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452" w:rsidRPr="002F6240" w:rsidRDefault="00883452" w:rsidP="00883452">
      <w:pPr>
        <w:pStyle w:val="BodyText2"/>
        <w:spacing w:line="240" w:lineRule="auto"/>
        <w:jc w:val="right"/>
        <w:rPr>
          <w:b/>
          <w:color w:val="17365D"/>
          <w:sz w:val="40"/>
          <w:szCs w:val="40"/>
        </w:rPr>
      </w:pPr>
    </w:p>
    <w:p w:rsidR="00883452" w:rsidRPr="002F6240" w:rsidRDefault="00883452" w:rsidP="00883452">
      <w:pPr>
        <w:pStyle w:val="BodyText2"/>
        <w:spacing w:line="240" w:lineRule="auto"/>
        <w:jc w:val="right"/>
        <w:rPr>
          <w:b/>
          <w:color w:val="17365D"/>
          <w:sz w:val="40"/>
          <w:szCs w:val="40"/>
        </w:rPr>
      </w:pPr>
    </w:p>
    <w:p w:rsidR="00883452" w:rsidRPr="002F6240" w:rsidRDefault="00883452" w:rsidP="00883452">
      <w:pPr>
        <w:pStyle w:val="BodyText2"/>
        <w:spacing w:line="240" w:lineRule="auto"/>
        <w:jc w:val="right"/>
        <w:rPr>
          <w:b/>
          <w:color w:val="17365D"/>
          <w:sz w:val="40"/>
          <w:szCs w:val="40"/>
        </w:rPr>
      </w:pPr>
    </w:p>
    <w:p w:rsidR="00883452" w:rsidRPr="002F6240" w:rsidRDefault="00883452" w:rsidP="00883452">
      <w:pPr>
        <w:pStyle w:val="BodyText2"/>
        <w:spacing w:line="240" w:lineRule="auto"/>
        <w:jc w:val="right"/>
        <w:rPr>
          <w:b/>
          <w:color w:val="17365D"/>
          <w:sz w:val="40"/>
          <w:szCs w:val="40"/>
        </w:rPr>
      </w:pPr>
    </w:p>
    <w:p w:rsidR="00883452" w:rsidRPr="002F6240" w:rsidRDefault="00883452" w:rsidP="00883452">
      <w:pPr>
        <w:pStyle w:val="BodyText2"/>
        <w:spacing w:line="240" w:lineRule="auto"/>
        <w:jc w:val="right"/>
        <w:rPr>
          <w:b/>
          <w:color w:val="17365D"/>
          <w:sz w:val="40"/>
          <w:szCs w:val="40"/>
        </w:rPr>
      </w:pPr>
    </w:p>
    <w:p w:rsidR="00883452" w:rsidRPr="002F6240" w:rsidRDefault="00883452" w:rsidP="00883452">
      <w:pPr>
        <w:pStyle w:val="BodyText2"/>
        <w:spacing w:line="240" w:lineRule="auto"/>
        <w:jc w:val="right"/>
        <w:rPr>
          <w:b/>
          <w:color w:val="17365D"/>
          <w:sz w:val="40"/>
          <w:szCs w:val="40"/>
        </w:rPr>
      </w:pPr>
    </w:p>
    <w:p w:rsidR="00883452" w:rsidRPr="002F6240" w:rsidRDefault="00883452" w:rsidP="00883452">
      <w:pPr>
        <w:pStyle w:val="BodyText2"/>
        <w:spacing w:line="240" w:lineRule="auto"/>
        <w:jc w:val="right"/>
        <w:rPr>
          <w:rFonts w:ascii="Arial" w:hAnsi="Arial" w:cs="Arial"/>
          <w:b/>
          <w:color w:val="17365D"/>
          <w:sz w:val="36"/>
          <w:szCs w:val="36"/>
        </w:rPr>
      </w:pPr>
    </w:p>
    <w:p w:rsidR="00883452" w:rsidRPr="00196439" w:rsidRDefault="00883452" w:rsidP="00D425BD">
      <w:pPr>
        <w:pStyle w:val="Subtitle"/>
        <w:jc w:val="center"/>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pPr>
      <w:r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МИШЉЕЊЕ ОВЛАШЋЕНОГ АКТУАРА</w:t>
      </w:r>
    </w:p>
    <w:p w:rsidR="00883452" w:rsidRPr="00196439" w:rsidRDefault="00883452" w:rsidP="00D425BD">
      <w:pPr>
        <w:pStyle w:val="Subtitle"/>
        <w:jc w:val="center"/>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pPr>
      <w:r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О ФИНАНСИЈСКИМ ИЗВЕШТАЈИМА И ГОДИШЊЕМ ИЗВЕШТАЈУ О ПО</w:t>
      </w:r>
      <w:r w:rsidR="0082220B"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СЛОВАЊУ ДРУШТВА ЗА РЕОСИГУРАЊЕ „</w:t>
      </w:r>
      <w:r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ДУНАВ-РЕ”</w:t>
      </w:r>
      <w:r w:rsidR="00E82F40"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A.</w:t>
      </w:r>
      <w:r w:rsidR="00E82F40" w:rsidRPr="00196439">
        <w:rPr>
          <w:rFonts w:ascii="MS Reference Sans Serif" w:eastAsia="Microsoft YaHei" w:hAnsi="MS Reference Sans Serif"/>
          <w:i w:val="0"/>
          <w:spacing w:val="0"/>
          <w:sz w:val="32"/>
          <w:szCs w:val="32"/>
          <w:lang w:val="sr-Cyrl-ME"/>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Д</w:t>
      </w:r>
      <w:r w:rsidR="00E82F40"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.O.</w:t>
      </w:r>
      <w:r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 xml:space="preserve"> БЕОГРАД</w:t>
      </w:r>
    </w:p>
    <w:p w:rsidR="00883452" w:rsidRPr="00196439" w:rsidRDefault="00883452" w:rsidP="00D425BD">
      <w:pPr>
        <w:pStyle w:val="Subtitle"/>
        <w:jc w:val="center"/>
        <w:rPr>
          <w:rFonts w:ascii="MS Reference Sans Serif" w:eastAsia="Microsoft YaHei" w:hAnsi="MS Reference Sans Serif"/>
          <w:i w:val="0"/>
          <w:spacing w:val="0"/>
          <w:sz w:val="32"/>
          <w:szCs w:val="32"/>
          <w:lang w:val="sr-Latn-RS"/>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pPr>
      <w:r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ЗА 201</w:t>
      </w:r>
      <w:r w:rsidR="0083204B"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9</w:t>
      </w:r>
      <w:r w:rsidR="00626F82" w:rsidRPr="00196439">
        <w:rPr>
          <w:rFonts w:ascii="MS Reference Sans Serif" w:eastAsia="Microsoft YaHei" w:hAnsi="MS Reference Sans Serif"/>
          <w:i w:val="0"/>
          <w:spacing w:val="0"/>
          <w:sz w:val="32"/>
          <w:szCs w:val="32"/>
          <w:lang w:val="sr-Cyrl-RS"/>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w:t>
      </w:r>
      <w:r w:rsidRPr="00196439">
        <w:rPr>
          <w:rFonts w:ascii="MS Reference Sans Serif" w:eastAsia="Microsoft YaHei" w:hAnsi="MS Reference Sans Serif"/>
          <w:i w:val="0"/>
          <w:spacing w:val="0"/>
          <w:sz w:val="32"/>
          <w:szCs w:val="32"/>
          <w14:shadow w14:blurRad="38100" w14:dist="25400" w14:dir="5400000" w14:sx="100000" w14:sy="100000" w14:kx="0" w14:ky="0" w14:algn="ctr">
            <w14:srgbClr w14:val="6E747A">
              <w14:alpha w14:val="57000"/>
            </w14:srgbClr>
          </w14:shadow>
          <w14:textOutline w14:w="12700" w14:cap="flat" w14:cmpd="sng" w14:algn="ctr">
            <w14:solidFill>
              <w14:schemeClr w14:val="tx2">
                <w14:lumMod w14:val="50000"/>
              </w14:schemeClr>
            </w14:solidFill>
            <w14:prstDash w14:val="solid"/>
            <w14:round/>
          </w14:textOutline>
        </w:rPr>
        <w:t xml:space="preserve"> ГОДИНУ</w:t>
      </w:r>
    </w:p>
    <w:p w:rsidR="00883452" w:rsidRPr="00B26B19" w:rsidRDefault="00883452" w:rsidP="00D425BD">
      <w:pPr>
        <w:pStyle w:val="Subtitle"/>
        <w:jc w:val="center"/>
        <w:rPr>
          <w:b/>
          <w:i w:val="0"/>
          <w:color w:val="17365D"/>
          <w:sz w:val="28"/>
          <w:szCs w:val="28"/>
        </w:rPr>
      </w:pPr>
    </w:p>
    <w:p w:rsidR="00883452" w:rsidRPr="00B26B19" w:rsidRDefault="00883452" w:rsidP="00D425BD">
      <w:pPr>
        <w:pStyle w:val="Subtitle"/>
        <w:rPr>
          <w:i w:val="0"/>
          <w:color w:val="17365D"/>
          <w:lang w:val="sr-Latn-CS"/>
        </w:rPr>
      </w:pPr>
    </w:p>
    <w:p w:rsidR="009806FC" w:rsidRPr="002F6240" w:rsidRDefault="009806FC">
      <w:pPr>
        <w:spacing w:after="200" w:line="276" w:lineRule="auto"/>
        <w:jc w:val="left"/>
        <w:rPr>
          <w:rFonts w:cs="Arial"/>
          <w:b/>
          <w:color w:val="17365D"/>
          <w:sz w:val="36"/>
          <w:szCs w:val="36"/>
          <w:lang w:val="sr-Latn-CS"/>
        </w:rPr>
      </w:pPr>
      <w:r w:rsidRPr="002F6240">
        <w:rPr>
          <w:rFonts w:cs="Arial"/>
          <w:b/>
          <w:color w:val="17365D"/>
          <w:sz w:val="36"/>
          <w:szCs w:val="36"/>
          <w:lang w:val="sr-Latn-CS"/>
        </w:rPr>
        <w:br w:type="page"/>
      </w:r>
    </w:p>
    <w:p w:rsidR="0082411B" w:rsidRDefault="0082411B" w:rsidP="00817A60">
      <w:pPr>
        <w:spacing w:line="276" w:lineRule="auto"/>
        <w:jc w:val="center"/>
        <w:rPr>
          <w:rFonts w:cs="Arial"/>
          <w:b/>
          <w:color w:val="17365D" w:themeColor="text2" w:themeShade="BF"/>
          <w:sz w:val="22"/>
          <w:szCs w:val="22"/>
        </w:rPr>
      </w:pPr>
    </w:p>
    <w:p w:rsidR="0082411B" w:rsidRDefault="0082411B" w:rsidP="00817A60">
      <w:pPr>
        <w:spacing w:line="276" w:lineRule="auto"/>
        <w:jc w:val="center"/>
        <w:rPr>
          <w:rFonts w:cs="Arial"/>
          <w:b/>
          <w:color w:val="17365D" w:themeColor="text2" w:themeShade="BF"/>
          <w:sz w:val="22"/>
          <w:szCs w:val="22"/>
        </w:rPr>
      </w:pPr>
    </w:p>
    <w:p w:rsidR="00FF2771" w:rsidRPr="00196439" w:rsidRDefault="00883452" w:rsidP="00817A60">
      <w:pPr>
        <w:spacing w:line="276" w:lineRule="auto"/>
        <w:jc w:val="center"/>
        <w:rPr>
          <w:rFonts w:cs="Arial"/>
          <w:b/>
          <w:color w:val="17365D" w:themeColor="text2" w:themeShade="BF"/>
          <w:sz w:val="22"/>
          <w:szCs w:val="22"/>
        </w:rPr>
      </w:pPr>
      <w:r w:rsidRPr="00196439">
        <w:rPr>
          <w:rFonts w:cs="Arial"/>
          <w:b/>
          <w:color w:val="17365D" w:themeColor="text2" w:themeShade="BF"/>
          <w:sz w:val="22"/>
          <w:szCs w:val="22"/>
        </w:rPr>
        <w:t xml:space="preserve">МИШЉЕЊЕ ОВЛАШЋЕНОГ АКТУАРА О </w:t>
      </w:r>
      <w:r w:rsidR="00FF2771" w:rsidRPr="00196439">
        <w:rPr>
          <w:rFonts w:cs="Arial"/>
          <w:b/>
          <w:color w:val="17365D" w:themeColor="text2" w:themeShade="BF"/>
          <w:sz w:val="22"/>
          <w:szCs w:val="22"/>
        </w:rPr>
        <w:t xml:space="preserve">ФИНАНСИЈСКИМ ИЗВЕШТАЈИМА И ГОДИШЊЕМ ИЗВЕШТАЈУ О ПОСЛОВАЊУ </w:t>
      </w:r>
    </w:p>
    <w:p w:rsidR="00883452" w:rsidRPr="00196439" w:rsidRDefault="00883452" w:rsidP="00817A60">
      <w:pPr>
        <w:spacing w:line="276" w:lineRule="auto"/>
        <w:jc w:val="center"/>
        <w:rPr>
          <w:rFonts w:cs="Arial"/>
          <w:b/>
          <w:color w:val="17365D" w:themeColor="text2" w:themeShade="BF"/>
          <w:sz w:val="22"/>
          <w:szCs w:val="22"/>
        </w:rPr>
      </w:pPr>
      <w:r w:rsidRPr="00196439">
        <w:rPr>
          <w:rFonts w:cs="Arial"/>
          <w:b/>
          <w:color w:val="17365D" w:themeColor="text2" w:themeShade="BF"/>
          <w:sz w:val="22"/>
          <w:szCs w:val="22"/>
        </w:rPr>
        <w:t>ДРУШТВА ЗА РЕОСИГУРАЊЕ »ДУНАВ-РЕ«</w:t>
      </w:r>
      <w:r w:rsidR="00E82F40" w:rsidRPr="00196439">
        <w:rPr>
          <w:rFonts w:cs="Arial"/>
          <w:b/>
          <w:color w:val="17365D" w:themeColor="text2" w:themeShade="BF"/>
          <w:sz w:val="22"/>
          <w:szCs w:val="22"/>
        </w:rPr>
        <w:t xml:space="preserve"> A.Д.O.</w:t>
      </w:r>
      <w:r w:rsidRPr="00196439">
        <w:rPr>
          <w:rFonts w:cs="Arial"/>
          <w:b/>
          <w:color w:val="17365D" w:themeColor="text2" w:themeShade="BF"/>
          <w:sz w:val="22"/>
          <w:szCs w:val="22"/>
        </w:rPr>
        <w:t xml:space="preserve">  БЕОГРАД</w:t>
      </w:r>
    </w:p>
    <w:p w:rsidR="00883452" w:rsidRPr="00196439" w:rsidRDefault="00883452" w:rsidP="00817A60">
      <w:pPr>
        <w:spacing w:line="276" w:lineRule="auto"/>
        <w:jc w:val="center"/>
        <w:outlineLvl w:val="0"/>
        <w:rPr>
          <w:rFonts w:cs="Arial"/>
          <w:b/>
          <w:color w:val="17365D" w:themeColor="text2" w:themeShade="BF"/>
          <w:sz w:val="22"/>
          <w:szCs w:val="22"/>
        </w:rPr>
      </w:pPr>
      <w:r w:rsidRPr="00196439">
        <w:rPr>
          <w:rFonts w:cs="Arial"/>
          <w:b/>
          <w:color w:val="17365D" w:themeColor="text2" w:themeShade="BF"/>
          <w:sz w:val="22"/>
          <w:szCs w:val="22"/>
        </w:rPr>
        <w:t xml:space="preserve">ЗА </w:t>
      </w:r>
      <w:r w:rsidR="00FF2771" w:rsidRPr="00196439">
        <w:rPr>
          <w:rFonts w:cs="Arial"/>
          <w:b/>
          <w:color w:val="17365D" w:themeColor="text2" w:themeShade="BF"/>
          <w:sz w:val="22"/>
          <w:szCs w:val="22"/>
        </w:rPr>
        <w:t>ПОСЛОВУ 201</w:t>
      </w:r>
      <w:r w:rsidR="0083204B" w:rsidRPr="00196439">
        <w:rPr>
          <w:rFonts w:cs="Arial"/>
          <w:b/>
          <w:color w:val="17365D" w:themeColor="text2" w:themeShade="BF"/>
          <w:sz w:val="22"/>
          <w:szCs w:val="22"/>
        </w:rPr>
        <w:t>9</w:t>
      </w:r>
      <w:r w:rsidR="00FF2771" w:rsidRPr="00196439">
        <w:rPr>
          <w:rFonts w:cs="Arial"/>
          <w:b/>
          <w:color w:val="17365D" w:themeColor="text2" w:themeShade="BF"/>
          <w:sz w:val="22"/>
          <w:szCs w:val="22"/>
        </w:rPr>
        <w:t>. ГОДИНУ</w:t>
      </w:r>
    </w:p>
    <w:p w:rsidR="00883452" w:rsidRPr="00196439" w:rsidRDefault="00883452" w:rsidP="00817A60">
      <w:pPr>
        <w:spacing w:line="276" w:lineRule="auto"/>
        <w:jc w:val="center"/>
        <w:rPr>
          <w:rFonts w:cs="Arial"/>
          <w:color w:val="17365D" w:themeColor="text2" w:themeShade="BF"/>
          <w:sz w:val="22"/>
          <w:szCs w:val="22"/>
        </w:rPr>
      </w:pPr>
    </w:p>
    <w:p w:rsidR="00883452" w:rsidRPr="00196439" w:rsidRDefault="00883452" w:rsidP="00817A60">
      <w:pPr>
        <w:spacing w:line="276" w:lineRule="auto"/>
        <w:jc w:val="center"/>
        <w:rPr>
          <w:rFonts w:cs="Arial"/>
          <w:color w:val="17365D" w:themeColor="text2" w:themeShade="BF"/>
          <w:sz w:val="22"/>
          <w:szCs w:val="22"/>
          <w:lang w:val="en-US"/>
        </w:rPr>
      </w:pPr>
    </w:p>
    <w:p w:rsidR="00883452" w:rsidRPr="00196439" w:rsidRDefault="00883452" w:rsidP="00817A60">
      <w:pPr>
        <w:spacing w:line="276" w:lineRule="auto"/>
        <w:rPr>
          <w:rFonts w:cs="Arial"/>
          <w:color w:val="17365D" w:themeColor="text2" w:themeShade="BF"/>
          <w:sz w:val="22"/>
          <w:szCs w:val="22"/>
        </w:rPr>
      </w:pPr>
      <w:r w:rsidRPr="00196439">
        <w:rPr>
          <w:rFonts w:cs="Arial"/>
          <w:color w:val="17365D" w:themeColor="text2" w:themeShade="BF"/>
          <w:sz w:val="22"/>
          <w:szCs w:val="22"/>
        </w:rPr>
        <w:t>За потребе Друштва за реосигурање »ДУНАВ-РЕ« а.д.о, Кнез Михаилова 6/II, Београд на основу Закона о осигурању (»Службени гласник РС« бр.</w:t>
      </w:r>
      <w:r w:rsidR="00FF2771" w:rsidRPr="00196439">
        <w:rPr>
          <w:rFonts w:cs="Arial"/>
          <w:color w:val="17365D" w:themeColor="text2" w:themeShade="BF"/>
          <w:sz w:val="22"/>
          <w:szCs w:val="22"/>
        </w:rPr>
        <w:t>139/14</w:t>
      </w:r>
      <w:r w:rsidRPr="00196439">
        <w:rPr>
          <w:rFonts w:cs="Arial"/>
          <w:color w:val="17365D" w:themeColor="text2" w:themeShade="BF"/>
          <w:sz w:val="22"/>
          <w:szCs w:val="22"/>
        </w:rPr>
        <w:t xml:space="preserve">), Одлуке о извештавању друштава за осигурање/реосигурање (»Службени гласник РС« бр. 55/2015), као и Одлуке о садржини мишљења овлашћеног актуара (»Службени гласник РС« бр. 38/2015) дајем мишљење на </w:t>
      </w:r>
      <w:r w:rsidR="00FF2771" w:rsidRPr="00196439">
        <w:rPr>
          <w:rFonts w:cs="Arial"/>
          <w:color w:val="17365D" w:themeColor="text2" w:themeShade="BF"/>
          <w:sz w:val="22"/>
          <w:szCs w:val="22"/>
        </w:rPr>
        <w:t xml:space="preserve">финансијске извештаје и годишњи извешта о пословању </w:t>
      </w:r>
      <w:r w:rsidRPr="00196439">
        <w:rPr>
          <w:rFonts w:cs="Arial"/>
          <w:color w:val="17365D" w:themeColor="text2" w:themeShade="BF"/>
          <w:sz w:val="22"/>
          <w:szCs w:val="22"/>
        </w:rPr>
        <w:t>Друштва</w:t>
      </w:r>
      <w:r w:rsidR="00FF2771" w:rsidRPr="00196439">
        <w:rPr>
          <w:rFonts w:cs="Arial"/>
          <w:color w:val="17365D" w:themeColor="text2" w:themeShade="BF"/>
          <w:sz w:val="22"/>
          <w:szCs w:val="22"/>
        </w:rPr>
        <w:t xml:space="preserve"> у 201</w:t>
      </w:r>
      <w:r w:rsidR="0083204B" w:rsidRPr="00196439">
        <w:rPr>
          <w:rFonts w:cs="Arial"/>
          <w:color w:val="17365D" w:themeColor="text2" w:themeShade="BF"/>
          <w:sz w:val="22"/>
          <w:szCs w:val="22"/>
        </w:rPr>
        <w:t>9</w:t>
      </w:r>
      <w:r w:rsidR="00FF2771" w:rsidRPr="00196439">
        <w:rPr>
          <w:rFonts w:cs="Arial"/>
          <w:color w:val="17365D" w:themeColor="text2" w:themeShade="BF"/>
          <w:sz w:val="22"/>
          <w:szCs w:val="22"/>
        </w:rPr>
        <w:t>. години:</w:t>
      </w:r>
      <w:r w:rsidRPr="00196439">
        <w:rPr>
          <w:rFonts w:cs="Arial"/>
          <w:color w:val="17365D" w:themeColor="text2" w:themeShade="BF"/>
          <w:sz w:val="22"/>
          <w:szCs w:val="22"/>
        </w:rPr>
        <w:t xml:space="preserve"> </w:t>
      </w:r>
    </w:p>
    <w:p w:rsidR="00376CA3" w:rsidRPr="00196439" w:rsidRDefault="00376CA3" w:rsidP="00817A60">
      <w:pPr>
        <w:spacing w:line="276" w:lineRule="auto"/>
        <w:rPr>
          <w:rFonts w:cs="Arial"/>
          <w:color w:val="17365D" w:themeColor="text2" w:themeShade="BF"/>
          <w:sz w:val="22"/>
          <w:szCs w:val="22"/>
        </w:rPr>
      </w:pPr>
    </w:p>
    <w:p w:rsidR="005419F2" w:rsidRPr="00196439" w:rsidRDefault="005419F2" w:rsidP="00817A60">
      <w:pPr>
        <w:spacing w:line="276" w:lineRule="auto"/>
        <w:rPr>
          <w:rFonts w:cs="Arial"/>
          <w:color w:val="17365D" w:themeColor="text2" w:themeShade="BF"/>
          <w:sz w:val="22"/>
          <w:szCs w:val="22"/>
        </w:rPr>
      </w:pPr>
    </w:p>
    <w:p w:rsidR="00FF2771" w:rsidRPr="00196439" w:rsidRDefault="00FF2771" w:rsidP="00817A60">
      <w:pPr>
        <w:spacing w:line="276" w:lineRule="auto"/>
        <w:rPr>
          <w:rFonts w:cs="Arial"/>
          <w:b/>
          <w:color w:val="17365D" w:themeColor="text2" w:themeShade="BF"/>
          <w:sz w:val="22"/>
          <w:szCs w:val="22"/>
        </w:rPr>
      </w:pPr>
      <w:r w:rsidRPr="00196439">
        <w:rPr>
          <w:rFonts w:cs="Arial"/>
          <w:b/>
          <w:color w:val="17365D" w:themeColor="text2" w:themeShade="BF"/>
          <w:sz w:val="22"/>
          <w:szCs w:val="22"/>
        </w:rPr>
        <w:t>I УВОД</w:t>
      </w:r>
    </w:p>
    <w:p w:rsidR="00D425BD" w:rsidRPr="00196439" w:rsidRDefault="00D425BD" w:rsidP="00817A60">
      <w:pPr>
        <w:spacing w:line="276" w:lineRule="auto"/>
        <w:rPr>
          <w:rFonts w:cs="Arial"/>
          <w:b/>
          <w:color w:val="17365D" w:themeColor="text2" w:themeShade="BF"/>
          <w:sz w:val="22"/>
          <w:szCs w:val="22"/>
        </w:rPr>
      </w:pPr>
    </w:p>
    <w:p w:rsidR="00BF4B8C" w:rsidRPr="00196439" w:rsidRDefault="00515F12" w:rsidP="00817A60">
      <w:pPr>
        <w:spacing w:line="276" w:lineRule="auto"/>
        <w:rPr>
          <w:rFonts w:cs="Arial"/>
          <w:color w:val="17365D" w:themeColor="text2" w:themeShade="BF"/>
          <w:sz w:val="22"/>
          <w:szCs w:val="22"/>
        </w:rPr>
      </w:pPr>
      <w:r w:rsidRPr="00196439">
        <w:rPr>
          <w:rFonts w:cs="Arial"/>
          <w:color w:val="17365D" w:themeColor="text2" w:themeShade="BF"/>
          <w:sz w:val="22"/>
          <w:szCs w:val="22"/>
          <w:lang w:val="en-US"/>
        </w:rPr>
        <w:t xml:space="preserve">Друштво за реосигурање »ДУНАВ-РЕ« а.д.о, </w:t>
      </w:r>
      <w:r w:rsidR="00B86A7A" w:rsidRPr="00196439">
        <w:rPr>
          <w:color w:val="17365D" w:themeColor="text2" w:themeShade="BF"/>
          <w:sz w:val="22"/>
          <w:szCs w:val="22"/>
        </w:rPr>
        <w:t xml:space="preserve">(у даљем тексту: Друштво) </w:t>
      </w:r>
      <w:r w:rsidRPr="00196439">
        <w:rPr>
          <w:rFonts w:cs="Arial"/>
          <w:color w:val="17365D" w:themeColor="text2" w:themeShade="BF"/>
          <w:sz w:val="22"/>
          <w:szCs w:val="22"/>
          <w:lang w:val="en-US"/>
        </w:rPr>
        <w:t>са пословним седиштем у Кнез Михаиловој 6/II, Београд је регистровано као отворено акционарско друштво</w:t>
      </w:r>
      <w:r w:rsidR="00386506" w:rsidRPr="00196439">
        <w:rPr>
          <w:rFonts w:cs="Arial"/>
          <w:color w:val="17365D" w:themeColor="text2" w:themeShade="BF"/>
          <w:sz w:val="22"/>
          <w:szCs w:val="22"/>
          <w:lang w:val="sr-Cyrl-ME"/>
        </w:rPr>
        <w:t>.</w:t>
      </w:r>
      <w:r w:rsidRPr="00196439">
        <w:rPr>
          <w:rFonts w:cs="Arial"/>
          <w:color w:val="17365D" w:themeColor="text2" w:themeShade="BF"/>
          <w:sz w:val="22"/>
          <w:szCs w:val="22"/>
          <w:lang w:val="en-US"/>
        </w:rPr>
        <w:t xml:space="preserve"> </w:t>
      </w:r>
      <w:r w:rsidR="00BF4B8C" w:rsidRPr="00196439">
        <w:rPr>
          <w:rFonts w:cs="Arial"/>
          <w:color w:val="17365D" w:themeColor="text2" w:themeShade="BF"/>
          <w:sz w:val="22"/>
          <w:szCs w:val="22"/>
          <w:lang w:val="en-US"/>
        </w:rPr>
        <w:t xml:space="preserve">Већински власник </w:t>
      </w:r>
      <w:r w:rsidR="00BF4B8C" w:rsidRPr="00196439">
        <w:rPr>
          <w:rFonts w:cs="Arial"/>
          <w:color w:val="17365D" w:themeColor="text2" w:themeShade="BF"/>
          <w:sz w:val="22"/>
          <w:szCs w:val="22"/>
        </w:rPr>
        <w:t>Д</w:t>
      </w:r>
      <w:r w:rsidR="00BF4B8C" w:rsidRPr="00196439">
        <w:rPr>
          <w:rFonts w:cs="Arial"/>
          <w:color w:val="17365D" w:themeColor="text2" w:themeShade="BF"/>
          <w:sz w:val="22"/>
          <w:szCs w:val="22"/>
          <w:lang w:val="en-US"/>
        </w:rPr>
        <w:t>руштва је Компанија Дунав осигурање са 92,65% учешћа у укупном акцијском капиталу</w:t>
      </w:r>
      <w:r w:rsidR="00BF4B8C" w:rsidRPr="00196439">
        <w:rPr>
          <w:rFonts w:cs="Arial"/>
          <w:color w:val="17365D" w:themeColor="text2" w:themeShade="BF"/>
          <w:sz w:val="22"/>
          <w:szCs w:val="22"/>
        </w:rPr>
        <w:t>.</w:t>
      </w:r>
    </w:p>
    <w:p w:rsidR="007B4452" w:rsidRPr="00196439" w:rsidRDefault="007B4452" w:rsidP="00817A60">
      <w:pPr>
        <w:spacing w:line="276" w:lineRule="auto"/>
        <w:rPr>
          <w:rFonts w:cs="Arial"/>
          <w:color w:val="17365D" w:themeColor="text2" w:themeShade="BF"/>
          <w:sz w:val="22"/>
          <w:szCs w:val="22"/>
        </w:rPr>
      </w:pPr>
    </w:p>
    <w:p w:rsidR="00771567" w:rsidRPr="00196439" w:rsidRDefault="003E1651" w:rsidP="00817A60">
      <w:pPr>
        <w:tabs>
          <w:tab w:val="left" w:pos="1134"/>
        </w:tabs>
        <w:spacing w:line="276" w:lineRule="auto"/>
        <w:rPr>
          <w:rFonts w:cs="Arial"/>
          <w:color w:val="17365D" w:themeColor="text2" w:themeShade="BF"/>
          <w:sz w:val="22"/>
          <w:szCs w:val="22"/>
        </w:rPr>
      </w:pPr>
      <w:r w:rsidRPr="00196439">
        <w:rPr>
          <w:rFonts w:cs="Arial"/>
          <w:color w:val="17365D" w:themeColor="text2" w:themeShade="BF"/>
          <w:sz w:val="22"/>
          <w:szCs w:val="22"/>
          <w:lang w:val="sr-Latn-CS"/>
        </w:rPr>
        <w:t>Решењем</w:t>
      </w:r>
      <w:r w:rsidR="00771567" w:rsidRPr="00196439">
        <w:rPr>
          <w:rFonts w:cs="Arial"/>
          <w:color w:val="17365D" w:themeColor="text2" w:themeShade="BF"/>
          <w:sz w:val="22"/>
          <w:szCs w:val="22"/>
          <w:lang w:val="sr-Latn-CS"/>
        </w:rPr>
        <w:t xml:space="preserve"> </w:t>
      </w:r>
      <w:r w:rsidRPr="00196439">
        <w:rPr>
          <w:rFonts w:cs="Arial"/>
          <w:color w:val="17365D" w:themeColor="text2" w:themeShade="BF"/>
          <w:sz w:val="22"/>
          <w:szCs w:val="22"/>
          <w:lang w:val="sr-Latn-CS"/>
        </w:rPr>
        <w:t>Народне</w:t>
      </w:r>
      <w:r w:rsidR="00771567" w:rsidRPr="00196439">
        <w:rPr>
          <w:rFonts w:cs="Arial"/>
          <w:color w:val="17365D" w:themeColor="text2" w:themeShade="BF"/>
          <w:sz w:val="22"/>
          <w:szCs w:val="22"/>
          <w:lang w:val="sr-Latn-CS"/>
        </w:rPr>
        <w:t xml:space="preserve"> </w:t>
      </w:r>
      <w:r w:rsidRPr="00196439">
        <w:rPr>
          <w:rFonts w:cs="Arial"/>
          <w:color w:val="17365D" w:themeColor="text2" w:themeShade="BF"/>
          <w:sz w:val="22"/>
          <w:szCs w:val="22"/>
          <w:lang w:val="sr-Latn-CS"/>
        </w:rPr>
        <w:t>банке</w:t>
      </w:r>
      <w:r w:rsidR="00771567" w:rsidRPr="00196439">
        <w:rPr>
          <w:rFonts w:cs="Arial"/>
          <w:color w:val="17365D" w:themeColor="text2" w:themeShade="BF"/>
          <w:sz w:val="22"/>
          <w:szCs w:val="22"/>
          <w:lang w:val="sr-Latn-CS"/>
        </w:rPr>
        <w:t xml:space="preserve"> </w:t>
      </w:r>
      <w:r w:rsidRPr="00196439">
        <w:rPr>
          <w:rFonts w:cs="Arial"/>
          <w:color w:val="17365D" w:themeColor="text2" w:themeShade="BF"/>
          <w:sz w:val="22"/>
          <w:szCs w:val="22"/>
          <w:lang w:val="sr-Latn-CS"/>
        </w:rPr>
        <w:t>Србије</w:t>
      </w:r>
      <w:r w:rsidR="00771567" w:rsidRPr="00196439">
        <w:rPr>
          <w:rFonts w:cs="Arial"/>
          <w:color w:val="17365D" w:themeColor="text2" w:themeShade="BF"/>
          <w:sz w:val="22"/>
          <w:szCs w:val="22"/>
          <w:lang w:val="sr-Latn-CS"/>
        </w:rPr>
        <w:t xml:space="preserve"> </w:t>
      </w:r>
      <w:r w:rsidR="00771567" w:rsidRPr="00196439">
        <w:rPr>
          <w:rFonts w:cs="Arial"/>
          <w:color w:val="17365D" w:themeColor="text2" w:themeShade="BF"/>
          <w:sz w:val="22"/>
          <w:szCs w:val="22"/>
          <w:lang w:val="sr-Cyrl-ME"/>
        </w:rPr>
        <w:t xml:space="preserve">Г.бр. 3340 од 13.5.2016. године </w:t>
      </w:r>
      <w:r w:rsidRPr="00196439">
        <w:rPr>
          <w:rFonts w:cs="Arial"/>
          <w:color w:val="17365D" w:themeColor="text2" w:themeShade="BF"/>
          <w:sz w:val="22"/>
          <w:szCs w:val="22"/>
        </w:rPr>
        <w:t>је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утврђено</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да</w:t>
      </w:r>
      <w:r w:rsidR="00771567" w:rsidRPr="00196439">
        <w:rPr>
          <w:rFonts w:cs="Arial"/>
          <w:color w:val="17365D" w:themeColor="text2" w:themeShade="BF"/>
          <w:sz w:val="22"/>
          <w:szCs w:val="22"/>
        </w:rPr>
        <w:t xml:space="preserve"> </w:t>
      </w:r>
      <w:r w:rsidR="00771567" w:rsidRPr="00196439">
        <w:rPr>
          <w:rFonts w:cs="Arial"/>
          <w:color w:val="17365D" w:themeColor="text2" w:themeShade="BF"/>
          <w:sz w:val="22"/>
          <w:szCs w:val="22"/>
          <w:lang w:val="sr-Cyrl-ME"/>
        </w:rPr>
        <w:t xml:space="preserve">је </w:t>
      </w:r>
      <w:r w:rsidRPr="00196439">
        <w:rPr>
          <w:rFonts w:cs="Arial"/>
          <w:color w:val="17365D" w:themeColor="text2" w:themeShade="BF"/>
          <w:sz w:val="22"/>
          <w:szCs w:val="22"/>
        </w:rPr>
        <w:t>Друштво</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ускладило</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своје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пословање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имовину</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капитал</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обавезе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органе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организацију</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и</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акте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са</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одредбама</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Закона</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о</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осигурању</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и</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испунило</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све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rPr>
        <w:t>услове</w:t>
      </w:r>
      <w:r w:rsidR="00771567" w:rsidRPr="00196439">
        <w:rPr>
          <w:rFonts w:cs="Arial"/>
          <w:color w:val="17365D" w:themeColor="text2" w:themeShade="BF"/>
          <w:sz w:val="22"/>
          <w:szCs w:val="22"/>
        </w:rPr>
        <w:t xml:space="preserve"> </w:t>
      </w:r>
      <w:r w:rsidRPr="00196439">
        <w:rPr>
          <w:rFonts w:cs="Arial"/>
          <w:color w:val="17365D" w:themeColor="text2" w:themeShade="BF"/>
          <w:sz w:val="22"/>
          <w:szCs w:val="22"/>
          <w:lang w:val="sr-Cyrl-ME"/>
        </w:rPr>
        <w:t xml:space="preserve">прописане за обављање послова реосигурања у складу са законом, чиме је </w:t>
      </w:r>
      <w:r w:rsidR="00456E95" w:rsidRPr="00196439">
        <w:rPr>
          <w:rFonts w:cs="Arial"/>
          <w:color w:val="17365D" w:themeColor="text2" w:themeShade="BF"/>
          <w:sz w:val="22"/>
          <w:szCs w:val="22"/>
          <w:lang w:val="sr-Cyrl-ME"/>
        </w:rPr>
        <w:t xml:space="preserve">Друштву </w:t>
      </w:r>
      <w:r w:rsidRPr="00196439">
        <w:rPr>
          <w:rFonts w:cs="Arial"/>
          <w:color w:val="17365D" w:themeColor="text2" w:themeShade="BF"/>
          <w:sz w:val="22"/>
          <w:szCs w:val="22"/>
          <w:lang w:val="sr-Cyrl-ME"/>
        </w:rPr>
        <w:t>издата дозвола за даљи рад.</w:t>
      </w:r>
    </w:p>
    <w:p w:rsidR="00771567" w:rsidRPr="00196439" w:rsidRDefault="00771567" w:rsidP="00817A60">
      <w:pPr>
        <w:spacing w:line="276" w:lineRule="auto"/>
        <w:rPr>
          <w:rFonts w:cs="Arial"/>
          <w:color w:val="17365D" w:themeColor="text2" w:themeShade="BF"/>
          <w:sz w:val="22"/>
          <w:szCs w:val="22"/>
          <w:lang w:val="sr-Cyrl-ME"/>
        </w:rPr>
      </w:pPr>
    </w:p>
    <w:p w:rsidR="007B4452" w:rsidRPr="00196439" w:rsidRDefault="007B4452" w:rsidP="00817A60">
      <w:pPr>
        <w:spacing w:line="276" w:lineRule="auto"/>
        <w:rPr>
          <w:rFonts w:cs="Arial"/>
          <w:color w:val="17365D" w:themeColor="text2" w:themeShade="BF"/>
          <w:sz w:val="22"/>
          <w:szCs w:val="22"/>
        </w:rPr>
      </w:pPr>
      <w:r w:rsidRPr="00196439">
        <w:rPr>
          <w:rFonts w:cs="Arial"/>
          <w:color w:val="17365D" w:themeColor="text2" w:themeShade="BF"/>
          <w:sz w:val="22"/>
          <w:szCs w:val="22"/>
          <w:lang w:val="en-US"/>
        </w:rPr>
        <w:t>Матични број Друштва</w:t>
      </w:r>
      <w:r w:rsidR="00B86A7A" w:rsidRPr="00196439">
        <w:rPr>
          <w:rFonts w:cs="Arial"/>
          <w:color w:val="17365D" w:themeColor="text2" w:themeShade="BF"/>
          <w:sz w:val="22"/>
          <w:szCs w:val="22"/>
          <w:lang w:val="en-US"/>
        </w:rPr>
        <w:t>:</w:t>
      </w:r>
      <w:r w:rsidRPr="00196439">
        <w:rPr>
          <w:rFonts w:cs="Arial"/>
          <w:color w:val="17365D" w:themeColor="text2" w:themeShade="BF"/>
          <w:sz w:val="22"/>
          <w:szCs w:val="22"/>
          <w:lang w:val="en-US"/>
        </w:rPr>
        <w:t xml:space="preserve"> 07046901. </w:t>
      </w:r>
    </w:p>
    <w:p w:rsidR="007B4452" w:rsidRPr="00196439" w:rsidRDefault="007B4452" w:rsidP="00817A60">
      <w:pPr>
        <w:spacing w:line="276" w:lineRule="auto"/>
        <w:rPr>
          <w:rFonts w:cs="Arial"/>
          <w:color w:val="17365D" w:themeColor="text2" w:themeShade="BF"/>
          <w:sz w:val="22"/>
          <w:szCs w:val="22"/>
        </w:rPr>
      </w:pPr>
      <w:r w:rsidRPr="00196439">
        <w:rPr>
          <w:rFonts w:cs="Arial"/>
          <w:color w:val="17365D" w:themeColor="text2" w:themeShade="BF"/>
          <w:sz w:val="22"/>
          <w:szCs w:val="22"/>
          <w:lang w:val="en-US"/>
        </w:rPr>
        <w:t>Шифра делатности</w:t>
      </w:r>
      <w:r w:rsidR="00B86A7A" w:rsidRPr="00196439">
        <w:rPr>
          <w:rFonts w:cs="Arial"/>
          <w:color w:val="17365D" w:themeColor="text2" w:themeShade="BF"/>
          <w:sz w:val="22"/>
          <w:szCs w:val="22"/>
        </w:rPr>
        <w:t>:</w:t>
      </w:r>
      <w:r w:rsidRPr="00196439">
        <w:rPr>
          <w:rFonts w:cs="Arial"/>
          <w:color w:val="17365D" w:themeColor="text2" w:themeShade="BF"/>
          <w:sz w:val="22"/>
          <w:szCs w:val="22"/>
          <w:lang w:val="en-US"/>
        </w:rPr>
        <w:t xml:space="preserve"> 6520. </w:t>
      </w:r>
    </w:p>
    <w:p w:rsidR="007B4452" w:rsidRPr="00196439" w:rsidRDefault="007B4452" w:rsidP="00817A60">
      <w:pPr>
        <w:spacing w:line="276" w:lineRule="auto"/>
        <w:rPr>
          <w:rFonts w:cs="Arial"/>
          <w:color w:val="17365D" w:themeColor="text2" w:themeShade="BF"/>
          <w:sz w:val="22"/>
          <w:szCs w:val="22"/>
          <w:lang w:val="en-US"/>
        </w:rPr>
      </w:pPr>
      <w:r w:rsidRPr="00196439">
        <w:rPr>
          <w:rFonts w:cs="Arial"/>
          <w:color w:val="17365D" w:themeColor="text2" w:themeShade="BF"/>
          <w:sz w:val="22"/>
          <w:szCs w:val="22"/>
          <w:lang w:val="en-US"/>
        </w:rPr>
        <w:t>П</w:t>
      </w:r>
      <w:r w:rsidRPr="00196439">
        <w:rPr>
          <w:rFonts w:cs="Arial"/>
          <w:color w:val="17365D" w:themeColor="text2" w:themeShade="BF"/>
          <w:sz w:val="22"/>
          <w:szCs w:val="22"/>
        </w:rPr>
        <w:t>орески идентификациони број</w:t>
      </w:r>
      <w:r w:rsidR="00B86A7A" w:rsidRPr="00196439">
        <w:rPr>
          <w:rFonts w:cs="Arial"/>
          <w:color w:val="17365D" w:themeColor="text2" w:themeShade="BF"/>
          <w:sz w:val="22"/>
          <w:szCs w:val="22"/>
        </w:rPr>
        <w:t>:</w:t>
      </w:r>
      <w:r w:rsidRPr="00196439">
        <w:rPr>
          <w:rFonts w:cs="Arial"/>
          <w:color w:val="17365D" w:themeColor="text2" w:themeShade="BF"/>
          <w:sz w:val="22"/>
          <w:szCs w:val="22"/>
          <w:lang w:val="en-US"/>
        </w:rPr>
        <w:t xml:space="preserve"> 100001327. </w:t>
      </w:r>
    </w:p>
    <w:p w:rsidR="005419F2" w:rsidRPr="00196439" w:rsidRDefault="005419F2" w:rsidP="00817A60">
      <w:pPr>
        <w:spacing w:line="276" w:lineRule="auto"/>
        <w:rPr>
          <w:rFonts w:cs="Arial"/>
          <w:color w:val="17365D" w:themeColor="text2" w:themeShade="BF"/>
          <w:sz w:val="22"/>
          <w:szCs w:val="22"/>
        </w:rPr>
      </w:pPr>
    </w:p>
    <w:p w:rsidR="005419F2" w:rsidRPr="00196439" w:rsidRDefault="003E3234" w:rsidP="00817A60">
      <w:pPr>
        <w:spacing w:line="276" w:lineRule="auto"/>
        <w:rPr>
          <w:rFonts w:cs="Arial"/>
          <w:color w:val="17365D" w:themeColor="text2" w:themeShade="BF"/>
          <w:sz w:val="22"/>
          <w:szCs w:val="22"/>
        </w:rPr>
      </w:pPr>
      <w:r w:rsidRPr="00196439">
        <w:rPr>
          <w:rFonts w:cs="Arial"/>
          <w:color w:val="17365D" w:themeColor="text2" w:themeShade="BF"/>
          <w:sz w:val="22"/>
          <w:szCs w:val="22"/>
          <w:lang w:val="sr-Cyrl-RS"/>
        </w:rPr>
        <w:t>Законски заступник Друштва је Зорана Пејчић, председник Извршног одбора.</w:t>
      </w:r>
    </w:p>
    <w:p w:rsidR="005419F2" w:rsidRPr="00196439" w:rsidRDefault="005419F2" w:rsidP="005419F2">
      <w:pPr>
        <w:spacing w:line="240" w:lineRule="auto"/>
        <w:rPr>
          <w:rFonts w:cs="Arial"/>
          <w:color w:val="17365D" w:themeColor="text2" w:themeShade="BF"/>
          <w:sz w:val="22"/>
          <w:szCs w:val="22"/>
        </w:rPr>
      </w:pPr>
    </w:p>
    <w:p w:rsidR="00295F93" w:rsidRPr="00196439" w:rsidRDefault="00295F93" w:rsidP="00295F93">
      <w:pPr>
        <w:tabs>
          <w:tab w:val="left" w:pos="1605"/>
        </w:tabs>
        <w:spacing w:after="240" w:line="240" w:lineRule="auto"/>
        <w:rPr>
          <w:rFonts w:cs="Arial"/>
          <w:color w:val="17365D" w:themeColor="text2" w:themeShade="BF"/>
          <w:sz w:val="22"/>
          <w:szCs w:val="22"/>
          <w:lang w:val="sr-Cyrl-CS"/>
        </w:rPr>
      </w:pPr>
      <w:r w:rsidRPr="00196439">
        <w:rPr>
          <w:rFonts w:cs="Arial"/>
          <w:color w:val="17365D" w:themeColor="text2" w:themeShade="BF"/>
          <w:sz w:val="22"/>
          <w:szCs w:val="22"/>
        </w:rPr>
        <w:t>Ми</w:t>
      </w:r>
      <w:r w:rsidRPr="00196439">
        <w:rPr>
          <w:rFonts w:cs="Arial"/>
          <w:color w:val="17365D" w:themeColor="text2" w:themeShade="BF"/>
          <w:sz w:val="22"/>
          <w:szCs w:val="22"/>
          <w:lang w:val="sr-Cyrl-CS"/>
        </w:rPr>
        <w:t>ш</w:t>
      </w:r>
      <w:r w:rsidRPr="00196439">
        <w:rPr>
          <w:rFonts w:cs="Arial"/>
          <w:color w:val="17365D" w:themeColor="text2" w:themeShade="BF"/>
          <w:sz w:val="22"/>
          <w:szCs w:val="22"/>
        </w:rPr>
        <w:t>љење</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актуара</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се</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даје</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на</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основу</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следе</w:t>
      </w:r>
      <w:r w:rsidRPr="00196439">
        <w:rPr>
          <w:rFonts w:cs="Arial"/>
          <w:color w:val="17365D" w:themeColor="text2" w:themeShade="BF"/>
          <w:sz w:val="22"/>
          <w:szCs w:val="22"/>
          <w:lang w:val="sr-Cyrl-CS"/>
        </w:rPr>
        <w:t>ћ</w:t>
      </w:r>
      <w:r w:rsidRPr="00196439">
        <w:rPr>
          <w:rFonts w:cs="Arial"/>
          <w:color w:val="17365D" w:themeColor="text2" w:themeShade="BF"/>
          <w:sz w:val="22"/>
          <w:szCs w:val="22"/>
        </w:rPr>
        <w:t>их</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докумената</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и</w:t>
      </w:r>
      <w:r w:rsidRPr="00196439">
        <w:rPr>
          <w:rFonts w:cs="Arial"/>
          <w:color w:val="17365D" w:themeColor="text2" w:themeShade="BF"/>
          <w:sz w:val="22"/>
          <w:szCs w:val="22"/>
          <w:lang w:val="sr-Cyrl-CS"/>
        </w:rPr>
        <w:t xml:space="preserve"> </w:t>
      </w:r>
      <w:r w:rsidRPr="00196439">
        <w:rPr>
          <w:rFonts w:cs="Arial"/>
          <w:color w:val="17365D" w:themeColor="text2" w:themeShade="BF"/>
          <w:sz w:val="22"/>
          <w:szCs w:val="22"/>
        </w:rPr>
        <w:t>података</w:t>
      </w:r>
      <w:r w:rsidRPr="00196439">
        <w:rPr>
          <w:rFonts w:cs="Arial"/>
          <w:color w:val="17365D" w:themeColor="text2" w:themeShade="BF"/>
          <w:sz w:val="22"/>
          <w:szCs w:val="22"/>
          <w:lang w:val="sr-Cyrl-CS"/>
        </w:rPr>
        <w:t>:</w:t>
      </w:r>
    </w:p>
    <w:p w:rsidR="00295F93" w:rsidRPr="00196439" w:rsidRDefault="00373B8A" w:rsidP="0042230F">
      <w:pPr>
        <w:numPr>
          <w:ilvl w:val="0"/>
          <w:numId w:val="1"/>
        </w:numPr>
        <w:tabs>
          <w:tab w:val="left" w:pos="1080"/>
        </w:tabs>
        <w:ind w:hanging="371"/>
        <w:rPr>
          <w:rFonts w:cs="Arial"/>
          <w:color w:val="17365D" w:themeColor="text2" w:themeShade="BF"/>
          <w:sz w:val="22"/>
          <w:szCs w:val="22"/>
        </w:rPr>
      </w:pPr>
      <w:r w:rsidRPr="00196439">
        <w:rPr>
          <w:rFonts w:cs="Arial"/>
          <w:color w:val="17365D" w:themeColor="text2" w:themeShade="BF"/>
          <w:sz w:val="22"/>
          <w:szCs w:val="22"/>
          <w:lang w:val="sr-Cyrl-ME"/>
        </w:rPr>
        <w:t xml:space="preserve">Финансијских извештаја </w:t>
      </w:r>
      <w:r w:rsidR="00295F93" w:rsidRPr="00196439">
        <w:rPr>
          <w:rFonts w:cs="Arial"/>
          <w:color w:val="17365D" w:themeColor="text2" w:themeShade="BF"/>
          <w:sz w:val="22"/>
          <w:szCs w:val="22"/>
        </w:rPr>
        <w:t>за 201</w:t>
      </w:r>
      <w:r w:rsidR="0083204B" w:rsidRPr="00196439">
        <w:rPr>
          <w:rFonts w:cs="Arial"/>
          <w:color w:val="17365D" w:themeColor="text2" w:themeShade="BF"/>
          <w:sz w:val="22"/>
          <w:szCs w:val="22"/>
        </w:rPr>
        <w:t>9</w:t>
      </w:r>
      <w:r w:rsidR="00295F93" w:rsidRPr="00196439">
        <w:rPr>
          <w:rFonts w:cs="Arial"/>
          <w:color w:val="17365D" w:themeColor="text2" w:themeShade="BF"/>
          <w:sz w:val="22"/>
          <w:szCs w:val="22"/>
        </w:rPr>
        <w:t>. годину;</w:t>
      </w:r>
    </w:p>
    <w:p w:rsidR="00295F93" w:rsidRPr="00196439" w:rsidRDefault="00295F93" w:rsidP="0042230F">
      <w:pPr>
        <w:numPr>
          <w:ilvl w:val="0"/>
          <w:numId w:val="1"/>
        </w:numPr>
        <w:tabs>
          <w:tab w:val="left" w:pos="1080"/>
        </w:tabs>
        <w:ind w:hanging="371"/>
        <w:rPr>
          <w:rFonts w:cs="Arial"/>
          <w:color w:val="17365D" w:themeColor="text2" w:themeShade="BF"/>
          <w:sz w:val="22"/>
          <w:szCs w:val="22"/>
        </w:rPr>
      </w:pPr>
      <w:r w:rsidRPr="00196439">
        <w:rPr>
          <w:rFonts w:cs="Arial"/>
          <w:color w:val="17365D" w:themeColor="text2" w:themeShade="BF"/>
          <w:sz w:val="22"/>
          <w:szCs w:val="22"/>
        </w:rPr>
        <w:t>Годишњег извештаја о пословању Друштва у 201</w:t>
      </w:r>
      <w:r w:rsidR="0083204B" w:rsidRPr="00196439">
        <w:rPr>
          <w:rFonts w:cs="Arial"/>
          <w:color w:val="17365D" w:themeColor="text2" w:themeShade="BF"/>
          <w:sz w:val="22"/>
          <w:szCs w:val="22"/>
        </w:rPr>
        <w:t>9</w:t>
      </w:r>
      <w:r w:rsidRPr="00196439">
        <w:rPr>
          <w:rFonts w:cs="Arial"/>
          <w:color w:val="17365D" w:themeColor="text2" w:themeShade="BF"/>
          <w:sz w:val="22"/>
          <w:szCs w:val="22"/>
        </w:rPr>
        <w:t>. години;</w:t>
      </w:r>
    </w:p>
    <w:p w:rsidR="00295F93" w:rsidRPr="00196439" w:rsidRDefault="00295F93" w:rsidP="0042230F">
      <w:pPr>
        <w:numPr>
          <w:ilvl w:val="0"/>
          <w:numId w:val="1"/>
        </w:numPr>
        <w:tabs>
          <w:tab w:val="left" w:pos="1080"/>
        </w:tabs>
        <w:ind w:hanging="371"/>
        <w:rPr>
          <w:rFonts w:cs="Arial"/>
          <w:color w:val="17365D" w:themeColor="text2" w:themeShade="BF"/>
          <w:sz w:val="22"/>
          <w:szCs w:val="22"/>
        </w:rPr>
      </w:pPr>
      <w:r w:rsidRPr="00196439">
        <w:rPr>
          <w:rFonts w:cs="Arial"/>
          <w:color w:val="17365D" w:themeColor="text2" w:themeShade="BF"/>
          <w:sz w:val="22"/>
          <w:szCs w:val="22"/>
        </w:rPr>
        <w:t>Аката пословне политике, утврђених Законом о осигурању;</w:t>
      </w:r>
    </w:p>
    <w:p w:rsidR="00295F93" w:rsidRPr="00196439" w:rsidRDefault="00295F93" w:rsidP="0042230F">
      <w:pPr>
        <w:numPr>
          <w:ilvl w:val="0"/>
          <w:numId w:val="1"/>
        </w:numPr>
        <w:tabs>
          <w:tab w:val="left" w:pos="1276"/>
        </w:tabs>
        <w:ind w:hanging="371"/>
        <w:rPr>
          <w:rFonts w:cs="Arial"/>
          <w:color w:val="17365D" w:themeColor="text2" w:themeShade="BF"/>
          <w:sz w:val="22"/>
          <w:szCs w:val="22"/>
        </w:rPr>
      </w:pPr>
      <w:r w:rsidRPr="00196439">
        <w:rPr>
          <w:rFonts w:cs="Arial"/>
          <w:color w:val="17365D" w:themeColor="text2" w:themeShade="BF"/>
          <w:sz w:val="22"/>
          <w:szCs w:val="22"/>
        </w:rPr>
        <w:t>Уговора о реосигурању по активним и пасивном послу, бордероа премија и штета;</w:t>
      </w:r>
    </w:p>
    <w:p w:rsidR="00295F93" w:rsidRPr="00196439" w:rsidRDefault="00295F93" w:rsidP="0042230F">
      <w:pPr>
        <w:numPr>
          <w:ilvl w:val="0"/>
          <w:numId w:val="1"/>
        </w:numPr>
        <w:ind w:hanging="371"/>
        <w:rPr>
          <w:rFonts w:cs="Arial"/>
          <w:color w:val="17365D" w:themeColor="text2" w:themeShade="BF"/>
          <w:sz w:val="22"/>
          <w:szCs w:val="22"/>
        </w:rPr>
      </w:pPr>
      <w:r w:rsidRPr="00196439">
        <w:rPr>
          <w:rFonts w:cs="Arial"/>
          <w:color w:val="17365D" w:themeColor="text2" w:themeShade="BF"/>
          <w:sz w:val="22"/>
          <w:szCs w:val="22"/>
        </w:rPr>
        <w:t>Књиге штета за 201</w:t>
      </w:r>
      <w:r w:rsidR="002647F6" w:rsidRPr="00196439">
        <w:rPr>
          <w:rFonts w:cs="Arial"/>
          <w:color w:val="17365D" w:themeColor="text2" w:themeShade="BF"/>
          <w:sz w:val="22"/>
          <w:szCs w:val="22"/>
        </w:rPr>
        <w:t>9</w:t>
      </w:r>
      <w:r w:rsidRPr="00196439">
        <w:rPr>
          <w:rFonts w:cs="Arial"/>
          <w:color w:val="17365D" w:themeColor="text2" w:themeShade="BF"/>
          <w:sz w:val="22"/>
          <w:szCs w:val="22"/>
        </w:rPr>
        <w:t>. годину, извештаја о обрађиваним, решеним, резервисаним и исплаћеним штетама;</w:t>
      </w:r>
    </w:p>
    <w:p w:rsidR="00295F93" w:rsidRPr="00196439" w:rsidRDefault="00295F93" w:rsidP="0042230F">
      <w:pPr>
        <w:numPr>
          <w:ilvl w:val="0"/>
          <w:numId w:val="1"/>
        </w:numPr>
        <w:tabs>
          <w:tab w:val="left" w:pos="1080"/>
        </w:tabs>
        <w:ind w:hanging="371"/>
        <w:rPr>
          <w:rFonts w:cs="Arial"/>
          <w:color w:val="17365D" w:themeColor="text2" w:themeShade="BF"/>
          <w:sz w:val="22"/>
          <w:szCs w:val="22"/>
        </w:rPr>
      </w:pPr>
      <w:r w:rsidRPr="00196439">
        <w:rPr>
          <w:rFonts w:cs="Arial"/>
          <w:color w:val="17365D" w:themeColor="text2" w:themeShade="BF"/>
          <w:sz w:val="22"/>
          <w:szCs w:val="22"/>
        </w:rPr>
        <w:t>Прег</w:t>
      </w:r>
      <w:r w:rsidR="00B86A7A" w:rsidRPr="00196439">
        <w:rPr>
          <w:rFonts w:cs="Arial"/>
          <w:color w:val="17365D" w:themeColor="text2" w:themeShade="BF"/>
          <w:sz w:val="22"/>
          <w:szCs w:val="22"/>
        </w:rPr>
        <w:t>леда обрачуна техничких резерви;</w:t>
      </w:r>
    </w:p>
    <w:p w:rsidR="00295F93" w:rsidRPr="00196439" w:rsidRDefault="00B86A7A" w:rsidP="0042230F">
      <w:pPr>
        <w:numPr>
          <w:ilvl w:val="0"/>
          <w:numId w:val="1"/>
        </w:numPr>
        <w:tabs>
          <w:tab w:val="left" w:pos="1080"/>
        </w:tabs>
        <w:ind w:hanging="371"/>
        <w:rPr>
          <w:rFonts w:cs="Arial"/>
          <w:color w:val="17365D" w:themeColor="text2" w:themeShade="BF"/>
          <w:sz w:val="22"/>
          <w:szCs w:val="22"/>
        </w:rPr>
      </w:pPr>
      <w:r w:rsidRPr="00196439">
        <w:rPr>
          <w:rFonts w:cs="Arial"/>
          <w:color w:val="17365D" w:themeColor="text2" w:themeShade="BF"/>
          <w:sz w:val="22"/>
          <w:szCs w:val="22"/>
        </w:rPr>
        <w:t>Извештаја и о</w:t>
      </w:r>
      <w:r w:rsidR="00295F93" w:rsidRPr="00196439">
        <w:rPr>
          <w:rFonts w:cs="Arial"/>
          <w:color w:val="17365D" w:themeColor="text2" w:themeShade="BF"/>
          <w:sz w:val="22"/>
          <w:szCs w:val="22"/>
        </w:rPr>
        <w:t xml:space="preserve">сталих </w:t>
      </w:r>
      <w:r w:rsidR="001D1E81" w:rsidRPr="00196439">
        <w:rPr>
          <w:rFonts w:cs="Arial"/>
          <w:color w:val="17365D" w:themeColor="text2" w:themeShade="BF"/>
          <w:sz w:val="22"/>
          <w:szCs w:val="22"/>
          <w:lang w:val="sr-Cyrl-ME"/>
        </w:rPr>
        <w:t xml:space="preserve">докумената и </w:t>
      </w:r>
      <w:r w:rsidR="00295F93" w:rsidRPr="00196439">
        <w:rPr>
          <w:rFonts w:cs="Arial"/>
          <w:color w:val="17365D" w:themeColor="text2" w:themeShade="BF"/>
          <w:sz w:val="22"/>
          <w:szCs w:val="22"/>
        </w:rPr>
        <w:t>података</w:t>
      </w:r>
      <w:r w:rsidR="00FC7CA9" w:rsidRPr="00196439">
        <w:rPr>
          <w:rFonts w:cs="Arial"/>
          <w:color w:val="17365D" w:themeColor="text2" w:themeShade="BF"/>
          <w:sz w:val="22"/>
          <w:szCs w:val="22"/>
          <w:lang w:val="sr-Cyrl-ME"/>
        </w:rPr>
        <w:t xml:space="preserve"> </w:t>
      </w:r>
      <w:r w:rsidR="00295F93" w:rsidRPr="00196439">
        <w:rPr>
          <w:rFonts w:cs="Arial"/>
          <w:color w:val="17365D" w:themeColor="text2" w:themeShade="BF"/>
          <w:sz w:val="22"/>
          <w:szCs w:val="22"/>
        </w:rPr>
        <w:t>Друштва.</w:t>
      </w:r>
    </w:p>
    <w:p w:rsidR="00A54899" w:rsidRPr="00196439" w:rsidRDefault="00A54899">
      <w:pPr>
        <w:spacing w:after="200" w:line="276" w:lineRule="auto"/>
        <w:jc w:val="left"/>
        <w:rPr>
          <w:rFonts w:cs="Arial"/>
          <w:color w:val="17365D" w:themeColor="text2" w:themeShade="BF"/>
          <w:sz w:val="22"/>
          <w:szCs w:val="22"/>
        </w:rPr>
      </w:pPr>
      <w:r w:rsidRPr="00196439">
        <w:rPr>
          <w:rFonts w:cs="Arial"/>
          <w:color w:val="17365D" w:themeColor="text2" w:themeShade="BF"/>
          <w:sz w:val="22"/>
          <w:szCs w:val="22"/>
        </w:rPr>
        <w:br w:type="page"/>
      </w:r>
    </w:p>
    <w:p w:rsidR="00FF2771" w:rsidRPr="00196439" w:rsidRDefault="00295F93">
      <w:pPr>
        <w:rPr>
          <w:rFonts w:cs="Arial"/>
          <w:b/>
          <w:color w:val="17365D" w:themeColor="text2" w:themeShade="BF"/>
          <w:sz w:val="22"/>
          <w:szCs w:val="22"/>
        </w:rPr>
      </w:pPr>
      <w:r w:rsidRPr="00196439">
        <w:rPr>
          <w:rFonts w:cs="Arial"/>
          <w:b/>
          <w:color w:val="17365D" w:themeColor="text2" w:themeShade="BF"/>
          <w:sz w:val="22"/>
          <w:szCs w:val="22"/>
        </w:rPr>
        <w:lastRenderedPageBreak/>
        <w:t>II ОПШТИ ДЕО</w:t>
      </w:r>
    </w:p>
    <w:p w:rsidR="00295F93" w:rsidRPr="00196439" w:rsidRDefault="00295F93" w:rsidP="00726D36">
      <w:pPr>
        <w:spacing w:line="240" w:lineRule="auto"/>
        <w:rPr>
          <w:rFonts w:cs="Arial"/>
          <w:b/>
          <w:color w:val="17365D" w:themeColor="text2" w:themeShade="BF"/>
          <w:sz w:val="22"/>
          <w:szCs w:val="22"/>
        </w:rPr>
      </w:pPr>
    </w:p>
    <w:p w:rsidR="00847FB7" w:rsidRPr="00196439" w:rsidRDefault="00D425BD" w:rsidP="00E905CD">
      <w:pPr>
        <w:pStyle w:val="ListParagraph"/>
        <w:numPr>
          <w:ilvl w:val="0"/>
          <w:numId w:val="3"/>
        </w:numPr>
        <w:spacing w:line="276" w:lineRule="auto"/>
        <w:ind w:left="284" w:hanging="284"/>
        <w:rPr>
          <w:rFonts w:cs="Arial"/>
          <w:b/>
          <w:color w:val="17365D" w:themeColor="text2" w:themeShade="BF"/>
          <w:sz w:val="22"/>
          <w:szCs w:val="22"/>
        </w:rPr>
      </w:pPr>
      <w:r w:rsidRPr="00196439">
        <w:rPr>
          <w:rFonts w:cs="Arial"/>
          <w:b/>
          <w:color w:val="17365D" w:themeColor="text2" w:themeShade="BF"/>
          <w:sz w:val="22"/>
          <w:szCs w:val="22"/>
        </w:rPr>
        <w:t>ПРЕМИЈА</w:t>
      </w:r>
      <w:r w:rsidR="00082566" w:rsidRPr="00196439">
        <w:rPr>
          <w:rFonts w:cs="Arial"/>
          <w:b/>
          <w:color w:val="17365D" w:themeColor="text2" w:themeShade="BF"/>
          <w:sz w:val="22"/>
          <w:szCs w:val="22"/>
        </w:rPr>
        <w:t xml:space="preserve"> РЕОСИГУРАЊА</w:t>
      </w:r>
      <w:r w:rsidR="00847FB7" w:rsidRPr="00196439">
        <w:rPr>
          <w:rFonts w:cs="Arial"/>
          <w:b/>
          <w:color w:val="17365D" w:themeColor="text2" w:themeShade="BF"/>
          <w:sz w:val="22"/>
          <w:szCs w:val="22"/>
        </w:rPr>
        <w:t xml:space="preserve"> </w:t>
      </w:r>
    </w:p>
    <w:p w:rsidR="00A47517" w:rsidRPr="00196439" w:rsidRDefault="00A47517" w:rsidP="00E905CD">
      <w:pPr>
        <w:tabs>
          <w:tab w:val="left" w:pos="1273"/>
        </w:tabs>
        <w:spacing w:line="276" w:lineRule="auto"/>
        <w:rPr>
          <w:rFonts w:cs="Arial"/>
          <w:color w:val="17365D" w:themeColor="text2" w:themeShade="BF"/>
          <w:sz w:val="22"/>
          <w:szCs w:val="22"/>
        </w:rPr>
      </w:pPr>
    </w:p>
    <w:p w:rsidR="00E905CD" w:rsidRPr="00196439" w:rsidRDefault="00E905CD" w:rsidP="00E905CD">
      <w:pPr>
        <w:tabs>
          <w:tab w:val="left" w:pos="1273"/>
        </w:tabs>
        <w:spacing w:line="276" w:lineRule="auto"/>
        <w:rPr>
          <w:rFonts w:cs="Arial"/>
          <w:color w:val="17365D" w:themeColor="text2" w:themeShade="BF"/>
          <w:sz w:val="22"/>
          <w:szCs w:val="22"/>
        </w:rPr>
      </w:pPr>
    </w:p>
    <w:p w:rsidR="00E905CD" w:rsidRPr="00196439" w:rsidRDefault="00E905CD" w:rsidP="00E905CD">
      <w:pPr>
        <w:tabs>
          <w:tab w:val="left" w:pos="1273"/>
        </w:tabs>
        <w:spacing w:line="276" w:lineRule="auto"/>
        <w:rPr>
          <w:rFonts w:cs="Arial"/>
          <w:b/>
          <w:color w:val="17365D" w:themeColor="text2" w:themeShade="BF"/>
          <w:sz w:val="22"/>
          <w:szCs w:val="22"/>
          <w:lang w:val="sr-Cyrl-RS"/>
        </w:rPr>
      </w:pPr>
      <w:r w:rsidRPr="00196439">
        <w:rPr>
          <w:rFonts w:cs="Arial"/>
          <w:b/>
          <w:color w:val="17365D" w:themeColor="text2" w:themeShade="BF"/>
          <w:sz w:val="22"/>
          <w:szCs w:val="22"/>
          <w:lang w:val="sr-Cyrl-RS"/>
        </w:rPr>
        <w:t xml:space="preserve">На бази спроведених анализа и расположивих релевантних података, овлашћени актуар даје мишљење да је премија реосигурања Друштва утврђена у складу са актуарском струком и прописима и да обезбеђује трајно испуњење свих обавеза </w:t>
      </w:r>
      <w:r w:rsidR="000C39AC" w:rsidRPr="00196439">
        <w:rPr>
          <w:rFonts w:cs="Arial"/>
          <w:b/>
          <w:color w:val="17365D" w:themeColor="text2" w:themeShade="BF"/>
          <w:sz w:val="22"/>
          <w:szCs w:val="22"/>
          <w:lang w:val="sr-Cyrl-RS"/>
        </w:rPr>
        <w:t>Д</w:t>
      </w:r>
      <w:r w:rsidRPr="00196439">
        <w:rPr>
          <w:rFonts w:cs="Arial"/>
          <w:b/>
          <w:color w:val="17365D" w:themeColor="text2" w:themeShade="BF"/>
          <w:sz w:val="22"/>
          <w:szCs w:val="22"/>
          <w:lang w:val="sr-Cyrl-RS"/>
        </w:rPr>
        <w:t>руштва из угов</w:t>
      </w:r>
      <w:r w:rsidR="00D71875" w:rsidRPr="00196439">
        <w:rPr>
          <w:rFonts w:cs="Arial"/>
          <w:b/>
          <w:color w:val="17365D" w:themeColor="text2" w:themeShade="BF"/>
          <w:sz w:val="22"/>
          <w:szCs w:val="22"/>
          <w:lang w:val="sr-Cyrl-RS"/>
        </w:rPr>
        <w:t>ора.</w:t>
      </w:r>
    </w:p>
    <w:p w:rsidR="00D425BD" w:rsidRPr="00196439" w:rsidRDefault="00D425BD" w:rsidP="00726D36">
      <w:pPr>
        <w:tabs>
          <w:tab w:val="left" w:pos="1273"/>
        </w:tabs>
        <w:spacing w:line="240" w:lineRule="auto"/>
        <w:rPr>
          <w:rFonts w:cs="Arial"/>
          <w:color w:val="17365D" w:themeColor="text2" w:themeShade="BF"/>
          <w:sz w:val="22"/>
          <w:szCs w:val="22"/>
        </w:rPr>
      </w:pPr>
    </w:p>
    <w:p w:rsidR="001F3B08" w:rsidRPr="00196439" w:rsidRDefault="001F3B08" w:rsidP="00726D36">
      <w:pPr>
        <w:tabs>
          <w:tab w:val="left" w:pos="1273"/>
        </w:tabs>
        <w:spacing w:line="240" w:lineRule="auto"/>
        <w:rPr>
          <w:rFonts w:cs="Arial"/>
          <w:color w:val="17365D" w:themeColor="text2" w:themeShade="BF"/>
          <w:sz w:val="22"/>
          <w:szCs w:val="22"/>
        </w:rPr>
      </w:pPr>
    </w:p>
    <w:p w:rsidR="00D425BD" w:rsidRPr="00196439" w:rsidRDefault="00203DE9" w:rsidP="00E905CD">
      <w:pPr>
        <w:pStyle w:val="ListParagraph"/>
        <w:numPr>
          <w:ilvl w:val="1"/>
          <w:numId w:val="3"/>
        </w:numPr>
        <w:tabs>
          <w:tab w:val="left" w:pos="1273"/>
        </w:tabs>
        <w:spacing w:line="276" w:lineRule="auto"/>
        <w:rPr>
          <w:rFonts w:cs="Arial"/>
          <w:i/>
          <w:color w:val="17365D" w:themeColor="text2" w:themeShade="BF"/>
          <w:sz w:val="22"/>
          <w:szCs w:val="22"/>
        </w:rPr>
      </w:pPr>
      <w:r w:rsidRPr="00196439">
        <w:rPr>
          <w:rFonts w:cs="Arial"/>
          <w:b/>
          <w:i/>
          <w:color w:val="17365D" w:themeColor="text2" w:themeShade="BF"/>
          <w:sz w:val="22"/>
          <w:szCs w:val="22"/>
        </w:rPr>
        <w:t>ПРЕМИЈА РЕОСИГУРАЊА</w:t>
      </w:r>
      <w:r w:rsidR="00082566" w:rsidRPr="00196439">
        <w:rPr>
          <w:rFonts w:cs="Arial"/>
          <w:b/>
          <w:i/>
          <w:color w:val="17365D" w:themeColor="text2" w:themeShade="BF"/>
          <w:sz w:val="22"/>
          <w:szCs w:val="22"/>
        </w:rPr>
        <w:t xml:space="preserve"> И СТРУКТУРА ПОРТФЕЉА</w:t>
      </w:r>
    </w:p>
    <w:p w:rsidR="00203DE9" w:rsidRPr="00196439" w:rsidRDefault="00203DE9" w:rsidP="00E905CD">
      <w:pPr>
        <w:spacing w:line="276" w:lineRule="auto"/>
        <w:rPr>
          <w:rFonts w:cs="Arial"/>
          <w:color w:val="17365D" w:themeColor="text2" w:themeShade="BF"/>
          <w:sz w:val="22"/>
          <w:szCs w:val="22"/>
        </w:rPr>
      </w:pPr>
    </w:p>
    <w:p w:rsidR="002566BC" w:rsidRPr="00196439" w:rsidRDefault="002566BC" w:rsidP="002566BC">
      <w:pPr>
        <w:spacing w:line="276" w:lineRule="auto"/>
        <w:rPr>
          <w:rFonts w:cs="Arial"/>
          <w:color w:val="17365D" w:themeColor="text2" w:themeShade="BF"/>
          <w:sz w:val="22"/>
          <w:szCs w:val="22"/>
        </w:rPr>
      </w:pPr>
      <w:r w:rsidRPr="00196439">
        <w:rPr>
          <w:rFonts w:cs="Arial"/>
          <w:b/>
          <w:color w:val="17365D" w:themeColor="text2" w:themeShade="BF"/>
          <w:sz w:val="22"/>
          <w:szCs w:val="22"/>
        </w:rPr>
        <w:t xml:space="preserve">Друштво је у </w:t>
      </w:r>
      <w:r w:rsidRPr="00196439">
        <w:rPr>
          <w:rFonts w:cs="Arial"/>
          <w:b/>
          <w:color w:val="17365D" w:themeColor="text2" w:themeShade="BF"/>
          <w:sz w:val="22"/>
          <w:szCs w:val="22"/>
          <w:lang w:val="sr-Cyrl-RS"/>
        </w:rPr>
        <w:t>2019. години</w:t>
      </w:r>
      <w:r w:rsidRPr="00196439">
        <w:rPr>
          <w:rFonts w:cs="Arial"/>
          <w:b/>
          <w:color w:val="17365D" w:themeColor="text2" w:themeShade="BF"/>
          <w:sz w:val="22"/>
          <w:szCs w:val="22"/>
        </w:rPr>
        <w:t xml:space="preserve"> по активном послу реосигурања остварило укупну премију у износу од </w:t>
      </w:r>
      <w:r w:rsidRPr="00196439">
        <w:rPr>
          <w:rFonts w:cs="Arial"/>
          <w:b/>
          <w:color w:val="17365D" w:themeColor="text2" w:themeShade="BF"/>
          <w:sz w:val="22"/>
          <w:szCs w:val="22"/>
          <w:lang w:val="sr-Latn-RS"/>
        </w:rPr>
        <w:t>4</w:t>
      </w:r>
      <w:r w:rsidRPr="00196439">
        <w:rPr>
          <w:rFonts w:cs="Arial"/>
          <w:b/>
          <w:color w:val="17365D" w:themeColor="text2" w:themeShade="BF"/>
          <w:sz w:val="22"/>
          <w:szCs w:val="22"/>
          <w:lang w:val="sr-Cyrl-RS"/>
        </w:rPr>
        <w:t>.785.879.902</w:t>
      </w:r>
      <w:r w:rsidRPr="00196439">
        <w:rPr>
          <w:rFonts w:cs="Arial"/>
          <w:b/>
          <w:color w:val="17365D" w:themeColor="text2" w:themeShade="BF"/>
          <w:sz w:val="22"/>
          <w:szCs w:val="22"/>
        </w:rPr>
        <w:t xml:space="preserve"> динара</w:t>
      </w:r>
      <w:r w:rsidRPr="00196439">
        <w:rPr>
          <w:rFonts w:cs="Arial"/>
          <w:color w:val="17365D" w:themeColor="text2" w:themeShade="BF"/>
          <w:sz w:val="22"/>
          <w:szCs w:val="22"/>
        </w:rPr>
        <w:t xml:space="preserve">, и то у неживотним осигурањима </w:t>
      </w:r>
      <w:r w:rsidRPr="00196439">
        <w:rPr>
          <w:rFonts w:cs="Arial"/>
          <w:color w:val="17365D" w:themeColor="text2" w:themeShade="BF"/>
          <w:sz w:val="22"/>
          <w:szCs w:val="22"/>
          <w:lang w:val="sr-Cyrl-RS"/>
        </w:rPr>
        <w:t>4.652.118.230 динара</w:t>
      </w:r>
      <w:r w:rsidRPr="00196439">
        <w:rPr>
          <w:rFonts w:cs="Arial"/>
          <w:color w:val="17365D" w:themeColor="text2" w:themeShade="BF"/>
          <w:sz w:val="22"/>
          <w:szCs w:val="22"/>
        </w:rPr>
        <w:t xml:space="preserve"> и животним осигурањима </w:t>
      </w:r>
      <w:r w:rsidRPr="00196439">
        <w:rPr>
          <w:rFonts w:cs="Arial"/>
          <w:color w:val="17365D" w:themeColor="text2" w:themeShade="BF"/>
          <w:sz w:val="22"/>
          <w:szCs w:val="22"/>
          <w:lang w:val="sr-Cyrl-RS"/>
        </w:rPr>
        <w:t>133.761.672</w:t>
      </w:r>
      <w:r w:rsidRPr="00196439">
        <w:rPr>
          <w:rFonts w:cs="Arial"/>
          <w:color w:val="17365D" w:themeColor="text2" w:themeShade="BF"/>
          <w:sz w:val="22"/>
          <w:szCs w:val="22"/>
        </w:rPr>
        <w:t xml:space="preserve"> динара. </w:t>
      </w:r>
    </w:p>
    <w:p w:rsidR="002566BC" w:rsidRPr="00196439" w:rsidRDefault="002566BC" w:rsidP="00726D36">
      <w:pPr>
        <w:spacing w:line="240" w:lineRule="auto"/>
        <w:rPr>
          <w:rFonts w:cs="Arial"/>
          <w:color w:val="17365D" w:themeColor="text2" w:themeShade="BF"/>
          <w:sz w:val="22"/>
          <w:szCs w:val="22"/>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У односу на претходну годину укупна премија реосигурања је већа за 1.663.620.622 динара, односно 53,28%.</w:t>
      </w:r>
    </w:p>
    <w:p w:rsidR="002566BC" w:rsidRPr="00196439" w:rsidRDefault="002566BC" w:rsidP="002566BC">
      <w:pPr>
        <w:spacing w:line="276"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Неживотна осигурања су порасла за 1.658.415.221 динар (55,40%), док je премија по активном послу животних осигурања виша за 5.205.400 динара (4,05%).</w:t>
      </w:r>
    </w:p>
    <w:p w:rsidR="002566BC" w:rsidRPr="00196439" w:rsidRDefault="002566BC" w:rsidP="00726D36">
      <w:pPr>
        <w:spacing w:line="240"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Представљена кретања су довела до раста учешћа премије неживотних осигурања у укупној премији по активном послу са 95,88%, колико је било годину дана раније, на 97,21%, док је учешће премије животних осигурања спуштено са 4,12% у 2018. години на 2,79% у овој години.</w:t>
      </w:r>
    </w:p>
    <w:p w:rsidR="002566BC" w:rsidRPr="00196439" w:rsidRDefault="002566BC" w:rsidP="00726D36">
      <w:pPr>
        <w:spacing w:line="240" w:lineRule="auto"/>
        <w:rPr>
          <w:rFonts w:cs="Arial"/>
          <w:color w:val="17365D" w:themeColor="text2" w:themeShade="BF"/>
          <w:sz w:val="22"/>
          <w:szCs w:val="22"/>
          <w:lang w:val="sr-Cyrl-RS"/>
        </w:rPr>
      </w:pPr>
    </w:p>
    <w:p w:rsidR="002566BC" w:rsidRPr="00196439" w:rsidRDefault="002566BC" w:rsidP="002566BC">
      <w:pPr>
        <w:keepNext/>
        <w:spacing w:after="120" w:line="276" w:lineRule="auto"/>
        <w:jc w:val="center"/>
        <w:rPr>
          <w:rFonts w:cs="Arial"/>
          <w:b/>
          <w:color w:val="17365D" w:themeColor="text2" w:themeShade="BF"/>
          <w:sz w:val="22"/>
          <w:szCs w:val="22"/>
        </w:rPr>
      </w:pPr>
      <w:r w:rsidRPr="00196439">
        <w:rPr>
          <w:rFonts w:cs="Arial"/>
          <w:b/>
          <w:color w:val="17365D" w:themeColor="text2" w:themeShade="BF"/>
          <w:sz w:val="22"/>
          <w:szCs w:val="22"/>
        </w:rPr>
        <w:t>Премија по активном послу и међугодишња промена</w:t>
      </w:r>
    </w:p>
    <w:p w:rsidR="002566BC" w:rsidRPr="00196439" w:rsidRDefault="002566BC" w:rsidP="002566BC">
      <w:pPr>
        <w:spacing w:line="240" w:lineRule="auto"/>
        <w:jc w:val="center"/>
        <w:rPr>
          <w:rFonts w:cs="Arial"/>
          <w:b/>
          <w:color w:val="17365D" w:themeColor="text2" w:themeShade="BF"/>
          <w:sz w:val="22"/>
          <w:szCs w:val="22"/>
          <w:lang w:val="sr-Cyrl-RS"/>
        </w:rPr>
      </w:pPr>
      <w:r w:rsidRPr="00196439">
        <w:rPr>
          <w:noProof/>
          <w:color w:val="17365D" w:themeColor="text2" w:themeShade="BF"/>
          <w:lang w:val="en-US"/>
        </w:rPr>
        <w:drawing>
          <wp:inline distT="0" distB="0" distL="0" distR="0" wp14:anchorId="77A3E047" wp14:editId="64E000FF">
            <wp:extent cx="4860000" cy="400826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0000" cy="4008263"/>
                    </a:xfrm>
                    <a:prstGeom prst="rect">
                      <a:avLst/>
                    </a:prstGeom>
                    <a:noFill/>
                    <a:ln>
                      <a:noFill/>
                    </a:ln>
                  </pic:spPr>
                </pic:pic>
              </a:graphicData>
            </a:graphic>
          </wp:inline>
        </w:drawing>
      </w: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lastRenderedPageBreak/>
        <w:t xml:space="preserve">Од укупно 19 врста осигурања у којима Друштво послује, на чак </w:t>
      </w:r>
      <w:r w:rsidRPr="00196439">
        <w:rPr>
          <w:rFonts w:cs="Arial"/>
          <w:color w:val="17365D" w:themeColor="text2" w:themeShade="BF"/>
          <w:sz w:val="22"/>
          <w:szCs w:val="22"/>
          <w:lang w:val="sr-Latn-RS"/>
        </w:rPr>
        <w:t>1</w:t>
      </w:r>
      <w:r w:rsidRPr="00196439">
        <w:rPr>
          <w:rFonts w:cs="Arial"/>
          <w:color w:val="17365D" w:themeColor="text2" w:themeShade="BF"/>
          <w:sz w:val="22"/>
          <w:szCs w:val="22"/>
          <w:lang w:val="sr-Cyrl-RS"/>
        </w:rPr>
        <w:t>8</w:t>
      </w:r>
      <w:r w:rsidRPr="00196439">
        <w:rPr>
          <w:rFonts w:cs="Arial"/>
          <w:color w:val="17365D" w:themeColor="text2" w:themeShade="BF"/>
          <w:sz w:val="22"/>
          <w:szCs w:val="22"/>
          <w:lang w:val="sr-Latn-RS"/>
        </w:rPr>
        <w:t xml:space="preserve"> </w:t>
      </w:r>
      <w:r w:rsidRPr="00196439">
        <w:rPr>
          <w:rFonts w:cs="Arial"/>
          <w:color w:val="17365D" w:themeColor="text2" w:themeShade="BF"/>
          <w:sz w:val="22"/>
          <w:szCs w:val="22"/>
          <w:lang w:val="sr-Cyrl-RS"/>
        </w:rPr>
        <w:t>врста осигурања је забележен раст, а само на једној врсти незнатан пад премије реосигурања по активном послу (врста 04 Осигурање шинских возила).</w:t>
      </w:r>
    </w:p>
    <w:p w:rsidR="002566BC" w:rsidRPr="00196439" w:rsidRDefault="002566BC" w:rsidP="002566BC">
      <w:pPr>
        <w:spacing w:line="240"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Највећи раст активне премије од 953.142.226 динара (117,36%) забележен је на врсти осигурања 09 Остала осигурања имовине, валиким делом као последица закључивања новог факултативног уговора о реосигурању за цедента Согаз осигурање. Значајан раст остварен је и на врстама: 08 Осигурања имовине од пожара и других опасности (259.497.197 динара) и 13 Осигурање од опште одговорности (229.611.240 динара), као последица развоја портфеља по постојећим аутоматским уговорима, као и закључивање нових факултативних уговора.</w:t>
      </w:r>
    </w:p>
    <w:p w:rsidR="002566BC" w:rsidRPr="00196439" w:rsidRDefault="002566BC" w:rsidP="002566BC">
      <w:pPr>
        <w:spacing w:line="240"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Поред ове три врсте осигурања, које су основни генератор раста премије у овом периоду, нешто већи раст је остварен и на врстама: 10 Осигурање од одговорности због употребе моторних возила (53.026.347 динара), 14 Осигурање кредита (32.511.722 динара), 03 Осигурање моторних возила (31.012.056 динара), 05 Осигурање ваздухоплова (21.577.683 динара), 16 Осигурање финансијских губитака (19.777.484 динара) и 11 Осигурање одговорности због употребе ваздухоплова (19.281.993 динара).</w:t>
      </w:r>
    </w:p>
    <w:p w:rsidR="002566BC" w:rsidRPr="00196439" w:rsidRDefault="002566BC" w:rsidP="002566BC">
      <w:pPr>
        <w:spacing w:line="240" w:lineRule="auto"/>
        <w:rPr>
          <w:rFonts w:cs="Arial"/>
          <w:b/>
          <w:color w:val="17365D" w:themeColor="text2" w:themeShade="BF"/>
          <w:sz w:val="22"/>
          <w:szCs w:val="22"/>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b/>
          <w:color w:val="17365D" w:themeColor="text2" w:themeShade="BF"/>
          <w:sz w:val="22"/>
          <w:szCs w:val="22"/>
          <w:lang w:val="sr-Cyrl-RS"/>
        </w:rPr>
        <w:t xml:space="preserve">Премија у самопридржају у 2019. години износи 1.002.571.933 динара, </w:t>
      </w:r>
      <w:r w:rsidRPr="00196439">
        <w:rPr>
          <w:rFonts w:cs="Arial"/>
          <w:color w:val="17365D" w:themeColor="text2" w:themeShade="BF"/>
          <w:sz w:val="22"/>
          <w:szCs w:val="22"/>
          <w:lang w:val="sr-Cyrl-RS"/>
        </w:rPr>
        <w:t>што је за 206.546.320 динара, односно 25,95% више у односу на 2018. годину</w:t>
      </w:r>
    </w:p>
    <w:p w:rsidR="002566BC" w:rsidRPr="00196439" w:rsidRDefault="002566BC" w:rsidP="002566BC">
      <w:pPr>
        <w:spacing w:line="276" w:lineRule="auto"/>
        <w:rPr>
          <w:rFonts w:cs="Arial"/>
          <w:color w:val="17365D" w:themeColor="text2" w:themeShade="BF"/>
          <w:sz w:val="22"/>
          <w:szCs w:val="22"/>
          <w:lang w:val="sr-Cyrl-RS"/>
        </w:rPr>
      </w:pPr>
    </w:p>
    <w:p w:rsidR="002566BC" w:rsidRPr="00196439" w:rsidRDefault="002566BC" w:rsidP="002566BC">
      <w:pPr>
        <w:keepNext/>
        <w:jc w:val="center"/>
        <w:rPr>
          <w:rFonts w:cs="Arial"/>
          <w:b/>
          <w:color w:val="17365D" w:themeColor="text2" w:themeShade="BF"/>
          <w:sz w:val="22"/>
          <w:szCs w:val="22"/>
        </w:rPr>
      </w:pPr>
      <w:r w:rsidRPr="00196439">
        <w:rPr>
          <w:rFonts w:cs="Arial"/>
          <w:b/>
          <w:color w:val="17365D" w:themeColor="text2" w:themeShade="BF"/>
          <w:sz w:val="22"/>
          <w:szCs w:val="22"/>
        </w:rPr>
        <w:t xml:space="preserve">Премија у самопридржају </w:t>
      </w:r>
      <w:r w:rsidRPr="00196439">
        <w:rPr>
          <w:rFonts w:cs="Arial"/>
          <w:b/>
          <w:color w:val="17365D" w:themeColor="text2" w:themeShade="BF"/>
          <w:sz w:val="22"/>
          <w:szCs w:val="22"/>
          <w:lang w:val="sr-Cyrl-RS"/>
        </w:rPr>
        <w:t>у 2019. и 2018. години</w:t>
      </w:r>
    </w:p>
    <w:p w:rsidR="002566BC" w:rsidRPr="00196439" w:rsidRDefault="002566BC" w:rsidP="002566BC">
      <w:pPr>
        <w:spacing w:line="240" w:lineRule="auto"/>
        <w:jc w:val="center"/>
        <w:rPr>
          <w:rFonts w:cs="Arial"/>
          <w:b/>
          <w:color w:val="17365D" w:themeColor="text2" w:themeShade="BF"/>
          <w:sz w:val="22"/>
          <w:szCs w:val="22"/>
        </w:rPr>
      </w:pPr>
      <w:r w:rsidRPr="00196439">
        <w:rPr>
          <w:noProof/>
          <w:color w:val="17365D" w:themeColor="text2" w:themeShade="BF"/>
          <w:lang w:val="en-US"/>
        </w:rPr>
        <w:drawing>
          <wp:inline distT="0" distB="0" distL="0" distR="0" wp14:anchorId="00932490" wp14:editId="27EE4756">
            <wp:extent cx="4929139" cy="4068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9139" cy="4068000"/>
                    </a:xfrm>
                    <a:prstGeom prst="rect">
                      <a:avLst/>
                    </a:prstGeom>
                    <a:noFill/>
                    <a:ln>
                      <a:noFill/>
                    </a:ln>
                  </pic:spPr>
                </pic:pic>
              </a:graphicData>
            </a:graphic>
          </wp:inline>
        </w:drawing>
      </w:r>
    </w:p>
    <w:p w:rsidR="002566BC" w:rsidRPr="00196439" w:rsidRDefault="002566BC" w:rsidP="002566BC">
      <w:pPr>
        <w:spacing w:line="240"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 xml:space="preserve">У односу на исти период претходне године дошло је до повећања учешћа ретроцесије у укупној премији реосигурања са 74,50% на 79,05%. </w:t>
      </w: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 xml:space="preserve">Премија у самопридржају неживотних осигурања износи 986.778.939 динара, док је код групе животних осигурања ова премија 15.792.994 динара. </w:t>
      </w:r>
    </w:p>
    <w:p w:rsidR="002566BC" w:rsidRPr="00196439" w:rsidRDefault="002566BC" w:rsidP="002566BC">
      <w:pPr>
        <w:spacing w:line="240"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lastRenderedPageBreak/>
        <w:t xml:space="preserve">Посматрано по врстама осигурања највеће повећање премије у самопридржају забележено је код врста осигурања: 08 Осигурање имовине од пожара и других опасности (62.737.623 динара), 09 Остала осигурања имовине (60.966.778 динара), 03 Осигурање моторних возила (35.496.482 динара), 15 Осигурање јемства (14.674.103 динара), 10 Осигурање од одговорности због употребе моторних возила (14.615.963 динара) и 13 Осигурање од опште одговорности (13.630.155 динара). </w:t>
      </w:r>
    </w:p>
    <w:p w:rsidR="002566BC" w:rsidRPr="00196439" w:rsidRDefault="002566BC" w:rsidP="002566BC">
      <w:pPr>
        <w:spacing w:line="276"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Смањење премије у самопридржају забележено је на три врсте осигурања: 04 Осигурање шинских возила (2.677.018 динара), 14 Осигурање кредита (1.399.441 динар) и 07 Осигурање робе у превозу (22.834 динара).</w:t>
      </w:r>
    </w:p>
    <w:p w:rsidR="002566BC" w:rsidRPr="00196439" w:rsidRDefault="002566BC" w:rsidP="002566BC">
      <w:pPr>
        <w:spacing w:line="240"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Посматрано у релативним показатељима највеће промене забележене су код врста осигурања са малим обухватом, које су због ниске основице подложне високим релативним флуктуацијама (врсте 06 Осигурање пловних објеката, 15 Осигурање јемства и 18 Осигурање помоћи на путовању).</w:t>
      </w:r>
    </w:p>
    <w:p w:rsidR="002566BC" w:rsidRPr="00196439" w:rsidRDefault="002566BC" w:rsidP="002566BC">
      <w:pPr>
        <w:spacing w:line="192" w:lineRule="auto"/>
        <w:rPr>
          <w:rFonts w:cs="Arial"/>
          <w:color w:val="17365D" w:themeColor="text2" w:themeShade="BF"/>
          <w:sz w:val="22"/>
          <w:szCs w:val="22"/>
          <w:lang w:val="sr-Cyrl-RS"/>
        </w:rPr>
      </w:pPr>
    </w:p>
    <w:p w:rsidR="002566BC" w:rsidRPr="00196439" w:rsidRDefault="002566BC" w:rsidP="002566BC">
      <w:pPr>
        <w:keepNext/>
        <w:jc w:val="center"/>
        <w:rPr>
          <w:rFonts w:cs="Arial"/>
          <w:b/>
          <w:color w:val="17365D" w:themeColor="text2" w:themeShade="BF"/>
          <w:sz w:val="22"/>
          <w:szCs w:val="22"/>
        </w:rPr>
      </w:pPr>
      <w:r w:rsidRPr="00196439">
        <w:rPr>
          <w:rFonts w:cs="Arial"/>
          <w:b/>
          <w:color w:val="17365D" w:themeColor="text2" w:themeShade="BF"/>
          <w:sz w:val="22"/>
          <w:szCs w:val="22"/>
        </w:rPr>
        <w:t>Учешће врсте осигурања у укупној премији</w:t>
      </w:r>
    </w:p>
    <w:p w:rsidR="002566BC" w:rsidRPr="00196439" w:rsidRDefault="002566BC" w:rsidP="002566BC">
      <w:pPr>
        <w:jc w:val="center"/>
        <w:rPr>
          <w:noProof/>
          <w:color w:val="17365D" w:themeColor="text2" w:themeShade="BF"/>
          <w:lang w:val="en-US"/>
        </w:rPr>
      </w:pPr>
      <w:r w:rsidRPr="00196439">
        <w:rPr>
          <w:noProof/>
          <w:color w:val="17365D" w:themeColor="text2" w:themeShade="BF"/>
          <w:lang w:val="en-US"/>
        </w:rPr>
        <w:drawing>
          <wp:inline distT="0" distB="0" distL="0" distR="0" wp14:anchorId="7B33695C" wp14:editId="7E5DDFD3">
            <wp:extent cx="4293527" cy="3996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3527" cy="3996000"/>
                    </a:xfrm>
                    <a:prstGeom prst="rect">
                      <a:avLst/>
                    </a:prstGeom>
                    <a:noFill/>
                    <a:ln>
                      <a:noFill/>
                    </a:ln>
                  </pic:spPr>
                </pic:pic>
              </a:graphicData>
            </a:graphic>
          </wp:inline>
        </w:drawing>
      </w:r>
    </w:p>
    <w:p w:rsidR="002566BC" w:rsidRPr="00196439" w:rsidRDefault="002566BC" w:rsidP="002566BC">
      <w:pPr>
        <w:spacing w:line="120" w:lineRule="auto"/>
        <w:rPr>
          <w:rFonts w:cs="Arial"/>
          <w:color w:val="17365D" w:themeColor="text2" w:themeShade="BF"/>
          <w:sz w:val="22"/>
          <w:szCs w:val="22"/>
        </w:rPr>
      </w:pPr>
    </w:p>
    <w:p w:rsidR="002566BC" w:rsidRPr="00196439" w:rsidRDefault="002566BC" w:rsidP="002566BC">
      <w:pPr>
        <w:spacing w:line="276" w:lineRule="auto"/>
        <w:rPr>
          <w:rFonts w:cs="Arial"/>
          <w:color w:val="17365D" w:themeColor="text2" w:themeShade="BF"/>
          <w:sz w:val="22"/>
          <w:szCs w:val="22"/>
        </w:rPr>
      </w:pPr>
      <w:r w:rsidRPr="00196439">
        <w:rPr>
          <w:rFonts w:cs="Arial"/>
          <w:color w:val="17365D" w:themeColor="text2" w:themeShade="BF"/>
          <w:sz w:val="22"/>
          <w:szCs w:val="22"/>
        </w:rPr>
        <w:t xml:space="preserve">Ниво премија по врстама осигурања је условљен тарифама премија, оствареним обимом и карактеристикама портфеља цедената и закљученим уговорима о реосигурању. </w:t>
      </w:r>
    </w:p>
    <w:p w:rsidR="002566BC" w:rsidRPr="00196439" w:rsidRDefault="002566BC" w:rsidP="002566BC">
      <w:pPr>
        <w:spacing w:line="240" w:lineRule="auto"/>
        <w:rPr>
          <w:rFonts w:cs="Arial"/>
          <w:color w:val="17365D" w:themeColor="text2" w:themeShade="BF"/>
          <w:sz w:val="22"/>
          <w:szCs w:val="22"/>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t xml:space="preserve">У </w:t>
      </w:r>
      <w:r w:rsidRPr="00196439">
        <w:rPr>
          <w:rFonts w:cs="Arial"/>
          <w:color w:val="17365D" w:themeColor="text2" w:themeShade="BF"/>
          <w:sz w:val="22"/>
          <w:szCs w:val="22"/>
          <w:lang w:val="sr-Cyrl-RS"/>
        </w:rPr>
        <w:t>2019. години</w:t>
      </w:r>
      <w:r w:rsidRPr="00196439">
        <w:rPr>
          <w:rFonts w:cs="Arial"/>
          <w:color w:val="17365D" w:themeColor="text2" w:themeShade="BF"/>
          <w:sz w:val="22"/>
          <w:szCs w:val="22"/>
        </w:rPr>
        <w:t xml:space="preserve"> највеће учешће у премији имаjу остала осигурања имовине која уз осигурање имовине од пожара и других опасности чине </w:t>
      </w:r>
      <w:r w:rsidRPr="00196439">
        <w:rPr>
          <w:rFonts w:cs="Arial"/>
          <w:color w:val="17365D" w:themeColor="text2" w:themeShade="BF"/>
          <w:sz w:val="22"/>
          <w:szCs w:val="22"/>
          <w:lang w:val="sr-Cyrl-RS"/>
        </w:rPr>
        <w:t>63,94</w:t>
      </w:r>
      <w:r w:rsidRPr="00196439">
        <w:rPr>
          <w:rFonts w:cs="Arial"/>
          <w:color w:val="17365D" w:themeColor="text2" w:themeShade="BF"/>
          <w:sz w:val="22"/>
          <w:szCs w:val="22"/>
        </w:rPr>
        <w:t>% укупне премије по активном послу. Код ових врста осигурања се уговарају највише суме осигурања</w:t>
      </w:r>
      <w:r w:rsidRPr="00196439">
        <w:rPr>
          <w:rFonts w:cs="Arial"/>
          <w:color w:val="17365D" w:themeColor="text2" w:themeShade="BF"/>
          <w:sz w:val="22"/>
          <w:szCs w:val="22"/>
          <w:lang w:val="sr-Cyrl-RS"/>
        </w:rPr>
        <w:t>,</w:t>
      </w:r>
      <w:r w:rsidRPr="00196439">
        <w:rPr>
          <w:rFonts w:cs="Arial"/>
          <w:color w:val="17365D" w:themeColor="text2" w:themeShade="BF"/>
          <w:sz w:val="22"/>
          <w:szCs w:val="22"/>
        </w:rPr>
        <w:t xml:space="preserve"> па се самим тим и најчешће преносе у реосигурање, тако да су оне најзаступљеније у портфељу Друштва. Ове </w:t>
      </w:r>
      <w:r w:rsidRPr="00196439">
        <w:rPr>
          <w:rFonts w:cs="Arial"/>
          <w:color w:val="17365D" w:themeColor="text2" w:themeShade="BF"/>
          <w:sz w:val="22"/>
          <w:szCs w:val="22"/>
          <w:lang w:val="sr-Cyrl-RS"/>
        </w:rPr>
        <w:t xml:space="preserve">две </w:t>
      </w:r>
      <w:r w:rsidRPr="00196439">
        <w:rPr>
          <w:rFonts w:cs="Arial"/>
          <w:color w:val="17365D" w:themeColor="text2" w:themeShade="BF"/>
          <w:sz w:val="22"/>
          <w:szCs w:val="22"/>
        </w:rPr>
        <w:t>врсте осигурања су имале највеће учешће у премији и у претходној години</w:t>
      </w:r>
      <w:r w:rsidRPr="00196439">
        <w:rPr>
          <w:rFonts w:cs="Arial"/>
          <w:color w:val="17365D" w:themeColor="text2" w:themeShade="BF"/>
          <w:sz w:val="22"/>
          <w:szCs w:val="22"/>
          <w:lang w:val="sr-Cyrl-RS"/>
        </w:rPr>
        <w:t xml:space="preserve"> (укупно 59,17%)</w:t>
      </w:r>
      <w:r w:rsidRPr="00196439">
        <w:rPr>
          <w:rFonts w:cs="Arial"/>
          <w:color w:val="17365D" w:themeColor="text2" w:themeShade="BF"/>
          <w:sz w:val="22"/>
          <w:szCs w:val="22"/>
        </w:rPr>
        <w:t xml:space="preserve">. Поред наведене две врсте осигурања учешће у премији по активном послу изнад 5% имају и </w:t>
      </w:r>
      <w:r w:rsidRPr="00196439">
        <w:rPr>
          <w:rFonts w:cs="Arial"/>
          <w:color w:val="17365D" w:themeColor="text2" w:themeShade="BF"/>
          <w:sz w:val="22"/>
          <w:szCs w:val="22"/>
          <w:lang w:val="sr-Cyrl-RS"/>
        </w:rPr>
        <w:t>Осигурање од опште одговорности (11,35%),</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О</w:t>
      </w:r>
      <w:r w:rsidRPr="00196439">
        <w:rPr>
          <w:rFonts w:cs="Arial"/>
          <w:color w:val="17365D" w:themeColor="text2" w:themeShade="BF"/>
          <w:sz w:val="22"/>
          <w:szCs w:val="22"/>
        </w:rPr>
        <w:t xml:space="preserve">сигурање </w:t>
      </w:r>
      <w:r w:rsidRPr="00196439">
        <w:rPr>
          <w:rFonts w:cs="Arial"/>
          <w:color w:val="17365D" w:themeColor="text2" w:themeShade="BF"/>
          <w:sz w:val="22"/>
          <w:szCs w:val="22"/>
          <w:lang w:val="sr-Cyrl-RS"/>
        </w:rPr>
        <w:t>од одговорности због употребе моторних возила (5,58%) и Осигурање моторних возила (5,11%).</w:t>
      </w: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lastRenderedPageBreak/>
        <w:t>На поменутим значајним врстама осигурања у односу на исти период претходне године дошло је до раста учешћа од 10,88% на врсти 09 и раста од 1,30% на врсти 13, док је учешће Осигурања имовине од пожара и других опасности, Осигурања моторних возила и Осигурања од одговорности због употребе моторних возила респективно смањено за 6,11%, 1,72%, и 1,28%.</w:t>
      </w:r>
    </w:p>
    <w:p w:rsidR="002566BC" w:rsidRPr="00196439" w:rsidRDefault="002566BC" w:rsidP="002566BC">
      <w:pPr>
        <w:spacing w:line="240" w:lineRule="auto"/>
        <w:rPr>
          <w:rFonts w:cs="Arial"/>
          <w:color w:val="17365D" w:themeColor="text2" w:themeShade="BF"/>
          <w:sz w:val="22"/>
          <w:szCs w:val="22"/>
          <w:lang w:val="sr-Cyrl-RS"/>
        </w:rPr>
      </w:pPr>
    </w:p>
    <w:p w:rsidR="002566BC" w:rsidRPr="00196439" w:rsidRDefault="002566BC" w:rsidP="002566BC">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Наведена кретања довела су до тога да је учеш</w:t>
      </w:r>
      <w:r w:rsidR="00A06B15">
        <w:rPr>
          <w:rFonts w:cs="Arial"/>
          <w:color w:val="17365D" w:themeColor="text2" w:themeShade="BF"/>
          <w:sz w:val="22"/>
          <w:szCs w:val="22"/>
          <w:lang w:val="sr-Cyrl-RS"/>
        </w:rPr>
        <w:t>ће поменутих пет значајних врста</w:t>
      </w:r>
      <w:r w:rsidRPr="00196439">
        <w:rPr>
          <w:rFonts w:cs="Arial"/>
          <w:color w:val="17365D" w:themeColor="text2" w:themeShade="BF"/>
          <w:sz w:val="22"/>
          <w:szCs w:val="22"/>
          <w:lang w:val="sr-Cyrl-RS"/>
        </w:rPr>
        <w:t xml:space="preserve"> осигурања </w:t>
      </w:r>
      <w:r w:rsidRPr="00DD1F44">
        <w:rPr>
          <w:rFonts w:cs="Arial"/>
          <w:color w:val="17365D" w:themeColor="text2" w:themeShade="BF"/>
          <w:sz w:val="22"/>
          <w:szCs w:val="22"/>
          <w:lang w:val="sr-Cyrl-RS"/>
        </w:rPr>
        <w:t>(биле су значајне и у претходној годин</w:t>
      </w:r>
      <w:r w:rsidR="002963B3" w:rsidRPr="00DD1F44">
        <w:rPr>
          <w:rFonts w:cs="Arial"/>
          <w:color w:val="17365D" w:themeColor="text2" w:themeShade="BF"/>
          <w:sz w:val="22"/>
          <w:szCs w:val="22"/>
          <w:lang w:val="sr-Cyrl-RS"/>
        </w:rPr>
        <w:t>и</w:t>
      </w:r>
      <w:r w:rsidRPr="00DD1F44">
        <w:rPr>
          <w:rFonts w:cs="Arial"/>
          <w:color w:val="17365D" w:themeColor="text2" w:themeShade="BF"/>
          <w:sz w:val="22"/>
          <w:szCs w:val="22"/>
          <w:lang w:val="sr-Cyrl-RS"/>
        </w:rPr>
        <w:t>) повећано са 82,91%, колико је износило у претходној</w:t>
      </w:r>
      <w:r w:rsidRPr="00196439">
        <w:rPr>
          <w:rFonts w:cs="Arial"/>
          <w:color w:val="17365D" w:themeColor="text2" w:themeShade="BF"/>
          <w:sz w:val="22"/>
          <w:szCs w:val="22"/>
          <w:lang w:val="sr-Cyrl-RS"/>
        </w:rPr>
        <w:t xml:space="preserve"> години, на 85,98% у 2019.</w:t>
      </w:r>
    </w:p>
    <w:p w:rsidR="00D72356" w:rsidRPr="00196439" w:rsidRDefault="00D72356" w:rsidP="00D72356">
      <w:pPr>
        <w:spacing w:line="276" w:lineRule="auto"/>
        <w:rPr>
          <w:rFonts w:cs="Arial"/>
          <w:color w:val="17365D" w:themeColor="text2" w:themeShade="BF"/>
          <w:sz w:val="22"/>
          <w:szCs w:val="22"/>
        </w:rPr>
      </w:pPr>
    </w:p>
    <w:p w:rsidR="002566BC" w:rsidRPr="00196439" w:rsidRDefault="002566BC" w:rsidP="002566BC">
      <w:pPr>
        <w:spacing w:line="276" w:lineRule="auto"/>
        <w:rPr>
          <w:rFonts w:cs="Arial"/>
          <w:color w:val="17365D" w:themeColor="text2" w:themeShade="BF"/>
          <w:sz w:val="22"/>
          <w:szCs w:val="22"/>
        </w:rPr>
      </w:pPr>
      <w:r w:rsidRPr="00196439">
        <w:rPr>
          <w:rFonts w:cs="Arial"/>
          <w:color w:val="17365D" w:themeColor="text2" w:themeShade="BF"/>
          <w:sz w:val="22"/>
          <w:szCs w:val="22"/>
        </w:rPr>
        <w:t>Права уговарача осигурања, осигураника и корисника осигурања, покривени ризици и искључења по производима дефинисани су условима осигурања цедената и појединим одредбама уговора о ретроцесији</w:t>
      </w:r>
      <w:r w:rsidRPr="00196439">
        <w:rPr>
          <w:rFonts w:cs="Arial"/>
          <w:color w:val="17365D" w:themeColor="text2" w:themeShade="BF"/>
          <w:sz w:val="22"/>
          <w:szCs w:val="22"/>
          <w:lang w:val="sr-Cyrl-RS"/>
        </w:rPr>
        <w:t>,</w:t>
      </w:r>
      <w:r w:rsidRPr="00196439">
        <w:rPr>
          <w:rFonts w:cs="Arial"/>
          <w:color w:val="17365D" w:themeColor="text2" w:themeShade="BF"/>
          <w:sz w:val="22"/>
          <w:szCs w:val="22"/>
        </w:rPr>
        <w:t xml:space="preserve"> а која су морала бити имплементирана у услове цедената (пре свега се мисли на клаузуле о искључењима).</w:t>
      </w:r>
      <w:r w:rsidRPr="00196439">
        <w:rPr>
          <w:rStyle w:val="FootnoteReference"/>
          <w:rFonts w:cs="Arial"/>
          <w:color w:val="17365D" w:themeColor="text2" w:themeShade="BF"/>
          <w:sz w:val="22"/>
          <w:szCs w:val="22"/>
        </w:rPr>
        <w:footnoteReference w:id="1"/>
      </w:r>
      <w:r w:rsidRPr="00196439">
        <w:rPr>
          <w:rFonts w:cs="Arial"/>
          <w:color w:val="17365D" w:themeColor="text2" w:themeShade="BF"/>
          <w:sz w:val="22"/>
          <w:szCs w:val="22"/>
        </w:rPr>
        <w:t xml:space="preserve">  </w:t>
      </w:r>
    </w:p>
    <w:p w:rsidR="002566BC" w:rsidRPr="00196439" w:rsidRDefault="002566BC" w:rsidP="002566BC">
      <w:pPr>
        <w:spacing w:line="168" w:lineRule="auto"/>
        <w:rPr>
          <w:rFonts w:cs="Arial"/>
          <w:color w:val="17365D" w:themeColor="text2" w:themeShade="BF"/>
          <w:sz w:val="22"/>
          <w:szCs w:val="22"/>
        </w:rPr>
      </w:pPr>
    </w:p>
    <w:p w:rsidR="00E9139D" w:rsidRPr="00196439" w:rsidRDefault="00E9139D" w:rsidP="0081472F">
      <w:pPr>
        <w:spacing w:line="276" w:lineRule="auto"/>
        <w:rPr>
          <w:rFonts w:cs="Arial"/>
          <w:color w:val="17365D" w:themeColor="text2" w:themeShade="BF"/>
          <w:sz w:val="22"/>
          <w:szCs w:val="22"/>
        </w:rPr>
      </w:pPr>
    </w:p>
    <w:p w:rsidR="00082566" w:rsidRPr="00196439" w:rsidRDefault="00082566" w:rsidP="001F3B08">
      <w:pPr>
        <w:pStyle w:val="ListParagraph"/>
        <w:keepNext/>
        <w:numPr>
          <w:ilvl w:val="1"/>
          <w:numId w:val="3"/>
        </w:numPr>
        <w:spacing w:line="276" w:lineRule="auto"/>
        <w:rPr>
          <w:rFonts w:cs="Arial"/>
          <w:i/>
          <w:color w:val="17365D" w:themeColor="text2" w:themeShade="BF"/>
          <w:sz w:val="22"/>
          <w:szCs w:val="22"/>
        </w:rPr>
      </w:pPr>
      <w:r w:rsidRPr="00196439">
        <w:rPr>
          <w:rFonts w:cs="Arial"/>
          <w:b/>
          <w:i/>
          <w:color w:val="17365D" w:themeColor="text2" w:themeShade="BF"/>
          <w:sz w:val="22"/>
          <w:szCs w:val="22"/>
        </w:rPr>
        <w:t>ЗНАЧАЈНИ РИЗИЦИ ПРЕУЗЕТИ У РЕОСИГУРАЊЕ</w:t>
      </w:r>
    </w:p>
    <w:p w:rsidR="00082566" w:rsidRPr="00196439" w:rsidRDefault="00082566" w:rsidP="001F3B08">
      <w:pPr>
        <w:keepNext/>
        <w:spacing w:line="276" w:lineRule="auto"/>
        <w:rPr>
          <w:rFonts w:cs="Arial"/>
          <w:b/>
          <w:i/>
          <w:color w:val="17365D" w:themeColor="text2" w:themeShade="BF"/>
          <w:sz w:val="22"/>
          <w:szCs w:val="22"/>
        </w:rPr>
      </w:pPr>
    </w:p>
    <w:p w:rsidR="00D31F06" w:rsidRPr="00196439" w:rsidRDefault="00D31F06" w:rsidP="0081472F">
      <w:pPr>
        <w:spacing w:line="276" w:lineRule="auto"/>
        <w:rPr>
          <w:rFonts w:cs="Arial"/>
          <w:color w:val="17365D" w:themeColor="text2" w:themeShade="BF"/>
          <w:sz w:val="22"/>
          <w:szCs w:val="22"/>
        </w:rPr>
      </w:pPr>
      <w:r w:rsidRPr="00196439">
        <w:rPr>
          <w:rFonts w:cs="Arial"/>
          <w:color w:val="17365D" w:themeColor="text2" w:themeShade="BF"/>
          <w:sz w:val="22"/>
          <w:szCs w:val="22"/>
        </w:rPr>
        <w:t>Најзначајнији ризици које је Друштво преузело у реосигурање у 201</w:t>
      </w:r>
      <w:r w:rsidR="00533A41" w:rsidRPr="00196439">
        <w:rPr>
          <w:rFonts w:cs="Arial"/>
          <w:color w:val="17365D" w:themeColor="text2" w:themeShade="BF"/>
          <w:sz w:val="22"/>
          <w:szCs w:val="22"/>
        </w:rPr>
        <w:t>9</w:t>
      </w:r>
      <w:r w:rsidRPr="00196439">
        <w:rPr>
          <w:rFonts w:cs="Arial"/>
          <w:color w:val="17365D" w:themeColor="text2" w:themeShade="BF"/>
          <w:sz w:val="22"/>
          <w:szCs w:val="22"/>
        </w:rPr>
        <w:t>. години односе</w:t>
      </w:r>
      <w:r w:rsidR="0027124B" w:rsidRPr="00196439">
        <w:rPr>
          <w:rFonts w:cs="Arial"/>
          <w:color w:val="17365D" w:themeColor="text2" w:themeShade="BF"/>
          <w:sz w:val="22"/>
          <w:szCs w:val="22"/>
        </w:rPr>
        <w:t xml:space="preserve"> се на остала осигурања имовине и</w:t>
      </w:r>
      <w:r w:rsidRPr="00196439">
        <w:rPr>
          <w:rFonts w:cs="Arial"/>
          <w:color w:val="17365D" w:themeColor="text2" w:themeShade="BF"/>
          <w:sz w:val="22"/>
          <w:szCs w:val="22"/>
        </w:rPr>
        <w:t xml:space="preserve"> осигурање имовине од пожара и других опасности </w:t>
      </w:r>
      <w:r w:rsidR="0027124B" w:rsidRPr="00196439">
        <w:rPr>
          <w:rFonts w:cs="Arial"/>
          <w:color w:val="17365D" w:themeColor="text2" w:themeShade="BF"/>
          <w:sz w:val="22"/>
          <w:szCs w:val="22"/>
          <w:lang w:val="sr-Cyrl-ME"/>
        </w:rPr>
        <w:t>као најзаступљеније врсте осигурања</w:t>
      </w:r>
      <w:r w:rsidRPr="00196439">
        <w:rPr>
          <w:rFonts w:cs="Arial"/>
          <w:color w:val="17365D" w:themeColor="text2" w:themeShade="BF"/>
          <w:sz w:val="22"/>
          <w:szCs w:val="22"/>
        </w:rPr>
        <w:t>.</w:t>
      </w:r>
    </w:p>
    <w:p w:rsidR="00D31F06" w:rsidRPr="00196439" w:rsidRDefault="00D31F06" w:rsidP="0081472F">
      <w:pPr>
        <w:spacing w:line="276" w:lineRule="auto"/>
        <w:rPr>
          <w:rFonts w:cs="Arial"/>
          <w:color w:val="17365D" w:themeColor="text2" w:themeShade="BF"/>
          <w:sz w:val="22"/>
          <w:szCs w:val="22"/>
        </w:rPr>
      </w:pPr>
    </w:p>
    <w:p w:rsidR="00D31F06" w:rsidRPr="00343AAA" w:rsidRDefault="00D31F06" w:rsidP="0081472F">
      <w:pPr>
        <w:spacing w:line="276" w:lineRule="auto"/>
        <w:rPr>
          <w:rFonts w:cs="Arial"/>
          <w:color w:val="17365D" w:themeColor="text2" w:themeShade="BF"/>
          <w:sz w:val="22"/>
          <w:szCs w:val="22"/>
        </w:rPr>
      </w:pPr>
      <w:r w:rsidRPr="00343AAA">
        <w:rPr>
          <w:rFonts w:cs="Arial"/>
          <w:color w:val="17365D" w:themeColor="text2" w:themeShade="BF"/>
          <w:sz w:val="22"/>
          <w:szCs w:val="22"/>
        </w:rPr>
        <w:t>Најзначајнији преузети ризици у оквиру осталих осигурања имовине односе се на лом машина и изградњу и монтажу.</w:t>
      </w:r>
    </w:p>
    <w:p w:rsidR="00D31F06" w:rsidRPr="00343AAA" w:rsidRDefault="00D31F06" w:rsidP="0081472F">
      <w:pPr>
        <w:spacing w:line="276" w:lineRule="auto"/>
        <w:rPr>
          <w:rFonts w:cs="Arial"/>
          <w:color w:val="17365D" w:themeColor="text2" w:themeShade="BF"/>
          <w:sz w:val="22"/>
          <w:szCs w:val="22"/>
        </w:rPr>
      </w:pPr>
      <w:r w:rsidRPr="00343AAA">
        <w:rPr>
          <w:rFonts w:cs="Arial"/>
          <w:color w:val="17365D" w:themeColor="text2" w:themeShade="BF"/>
          <w:sz w:val="22"/>
          <w:szCs w:val="22"/>
        </w:rPr>
        <w:t xml:space="preserve"> </w:t>
      </w:r>
    </w:p>
    <w:p w:rsidR="00D31F06" w:rsidRPr="00343AAA" w:rsidRDefault="00D31F06" w:rsidP="0081472F">
      <w:pPr>
        <w:spacing w:line="276" w:lineRule="auto"/>
        <w:rPr>
          <w:rFonts w:cs="Arial"/>
          <w:color w:val="17365D" w:themeColor="text2" w:themeShade="BF"/>
          <w:sz w:val="22"/>
          <w:szCs w:val="22"/>
        </w:rPr>
      </w:pPr>
      <w:r w:rsidRPr="00343AAA">
        <w:rPr>
          <w:rFonts w:cs="Arial"/>
          <w:color w:val="17365D" w:themeColor="text2" w:themeShade="BF"/>
          <w:sz w:val="22"/>
          <w:szCs w:val="22"/>
        </w:rPr>
        <w:t>Друштво је за изградњу и монтажу закључило како аутоматске, тако и факултативне уговоре о реосигурању.</w:t>
      </w:r>
    </w:p>
    <w:p w:rsidR="00D31F06" w:rsidRPr="00343AAA" w:rsidRDefault="00D31F06" w:rsidP="0081472F">
      <w:pPr>
        <w:spacing w:line="276" w:lineRule="auto"/>
        <w:rPr>
          <w:rFonts w:cs="Arial"/>
          <w:color w:val="17365D" w:themeColor="text2" w:themeShade="BF"/>
          <w:sz w:val="22"/>
          <w:szCs w:val="22"/>
        </w:rPr>
      </w:pPr>
    </w:p>
    <w:p w:rsidR="00D31F06" w:rsidRPr="00343AAA" w:rsidRDefault="00D31F06" w:rsidP="0081472F">
      <w:pPr>
        <w:spacing w:line="276" w:lineRule="auto"/>
        <w:rPr>
          <w:rFonts w:cs="Arial"/>
          <w:color w:val="17365D" w:themeColor="text2" w:themeShade="BF"/>
          <w:sz w:val="22"/>
          <w:szCs w:val="22"/>
        </w:rPr>
      </w:pPr>
      <w:r w:rsidRPr="00343AAA">
        <w:rPr>
          <w:rFonts w:cs="Arial"/>
          <w:color w:val="17365D" w:themeColor="text2" w:themeShade="BF"/>
          <w:sz w:val="22"/>
          <w:szCs w:val="22"/>
        </w:rPr>
        <w:t>Од пожарних ризика најзначајнија су имовинска покрића пожара и земљотреса.</w:t>
      </w:r>
    </w:p>
    <w:p w:rsidR="00D31F06" w:rsidRPr="00343AAA" w:rsidRDefault="00D31F06" w:rsidP="0081472F">
      <w:pPr>
        <w:spacing w:line="276" w:lineRule="auto"/>
        <w:rPr>
          <w:rFonts w:cs="Arial"/>
          <w:color w:val="17365D" w:themeColor="text2" w:themeShade="BF"/>
          <w:sz w:val="22"/>
          <w:szCs w:val="22"/>
        </w:rPr>
      </w:pPr>
    </w:p>
    <w:p w:rsidR="00D31F06" w:rsidRPr="00196439" w:rsidRDefault="00D31F06" w:rsidP="0081472F">
      <w:pPr>
        <w:spacing w:line="276" w:lineRule="auto"/>
        <w:rPr>
          <w:rFonts w:cs="Arial"/>
          <w:color w:val="17365D" w:themeColor="text2" w:themeShade="BF"/>
          <w:sz w:val="22"/>
          <w:szCs w:val="22"/>
        </w:rPr>
      </w:pPr>
      <w:r w:rsidRPr="00343AAA">
        <w:rPr>
          <w:rFonts w:cs="Arial"/>
          <w:color w:val="17365D" w:themeColor="text2" w:themeShade="BF"/>
          <w:sz w:val="22"/>
          <w:szCs w:val="22"/>
        </w:rPr>
        <w:t>Наведени ризици преузети су по уговорима о реосигурању имовине и земљотреса.</w:t>
      </w:r>
    </w:p>
    <w:p w:rsidR="00D31F06" w:rsidRPr="00196439" w:rsidRDefault="00D31F06" w:rsidP="0081472F">
      <w:pPr>
        <w:spacing w:line="276" w:lineRule="auto"/>
        <w:rPr>
          <w:rFonts w:cs="Arial"/>
          <w:color w:val="17365D" w:themeColor="text2" w:themeShade="BF"/>
          <w:sz w:val="22"/>
          <w:szCs w:val="22"/>
        </w:rPr>
      </w:pPr>
    </w:p>
    <w:p w:rsidR="0027124B" w:rsidRPr="00196439" w:rsidRDefault="0027124B" w:rsidP="0081472F">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Поред наведених</w:t>
      </w:r>
      <w:r w:rsidR="00847F41" w:rsidRPr="00196439">
        <w:rPr>
          <w:rFonts w:cs="Arial"/>
          <w:color w:val="17365D" w:themeColor="text2" w:themeShade="BF"/>
          <w:sz w:val="22"/>
          <w:szCs w:val="22"/>
          <w:lang w:val="sr-Cyrl-ME"/>
        </w:rPr>
        <w:t>,</w:t>
      </w:r>
      <w:r w:rsidRPr="00196439">
        <w:rPr>
          <w:rFonts w:cs="Arial"/>
          <w:color w:val="17365D" w:themeColor="text2" w:themeShade="BF"/>
          <w:sz w:val="22"/>
          <w:szCs w:val="22"/>
          <w:lang w:val="sr-Cyrl-ME"/>
        </w:rPr>
        <w:t xml:space="preserve"> значајни ризици се везује и за </w:t>
      </w:r>
      <w:r w:rsidR="00847F41" w:rsidRPr="00196439">
        <w:rPr>
          <w:rFonts w:cs="Arial"/>
          <w:color w:val="17365D" w:themeColor="text2" w:themeShade="BF"/>
          <w:sz w:val="22"/>
          <w:szCs w:val="22"/>
          <w:lang w:val="sr-Cyrl-ME"/>
        </w:rPr>
        <w:t xml:space="preserve">остале </w:t>
      </w:r>
      <w:r w:rsidRPr="00196439">
        <w:rPr>
          <w:rFonts w:cs="Arial"/>
          <w:color w:val="17365D" w:themeColor="text2" w:themeShade="BF"/>
          <w:sz w:val="22"/>
          <w:szCs w:val="22"/>
          <w:lang w:val="sr-Cyrl-ME"/>
        </w:rPr>
        <w:t>врсте осигурања које су заступљене у портфељу Друштва са преко 5%:</w:t>
      </w:r>
    </w:p>
    <w:p w:rsidR="00CB73AE" w:rsidRPr="00196439" w:rsidRDefault="00CB73AE" w:rsidP="00DC18B8">
      <w:pPr>
        <w:spacing w:line="120" w:lineRule="auto"/>
        <w:rPr>
          <w:rFonts w:cs="Arial"/>
          <w:color w:val="17365D" w:themeColor="text2" w:themeShade="BF"/>
          <w:sz w:val="22"/>
          <w:szCs w:val="22"/>
          <w:lang w:val="sr-Cyrl-ME"/>
        </w:rPr>
      </w:pPr>
    </w:p>
    <w:p w:rsidR="00CB73AE" w:rsidRPr="00196439" w:rsidRDefault="00B653F1" w:rsidP="0081472F">
      <w:pPr>
        <w:pStyle w:val="ListParagraph"/>
        <w:numPr>
          <w:ilvl w:val="0"/>
          <w:numId w:val="45"/>
        </w:num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o</w:t>
      </w:r>
      <w:r w:rsidR="0027124B" w:rsidRPr="00196439">
        <w:rPr>
          <w:rFonts w:cs="Arial"/>
          <w:color w:val="17365D" w:themeColor="text2" w:themeShade="BF"/>
          <w:sz w:val="22"/>
          <w:szCs w:val="22"/>
          <w:lang w:val="sr-Cyrl-ME"/>
        </w:rPr>
        <w:t>сигурање</w:t>
      </w:r>
      <w:r w:rsidR="00847F41" w:rsidRPr="00196439">
        <w:rPr>
          <w:rFonts w:cs="Arial"/>
          <w:color w:val="17365D" w:themeColor="text2" w:themeShade="BF"/>
          <w:sz w:val="22"/>
          <w:szCs w:val="22"/>
          <w:lang w:val="sr-Cyrl-ME"/>
        </w:rPr>
        <w:t xml:space="preserve"> од опште одговорности</w:t>
      </w:r>
      <w:r w:rsidR="00173AA9" w:rsidRPr="00196439">
        <w:rPr>
          <w:rFonts w:cs="Arial"/>
          <w:color w:val="17365D" w:themeColor="text2" w:themeShade="BF"/>
          <w:sz w:val="22"/>
          <w:szCs w:val="22"/>
          <w:lang w:val="sr-Cyrl-ME"/>
        </w:rPr>
        <w:t>,</w:t>
      </w:r>
      <w:r w:rsidR="00847F41" w:rsidRPr="00196439">
        <w:rPr>
          <w:rFonts w:cs="Arial"/>
          <w:color w:val="17365D" w:themeColor="text2" w:themeShade="BF"/>
          <w:sz w:val="22"/>
          <w:szCs w:val="22"/>
          <w:lang w:val="sr-Cyrl-ME"/>
        </w:rPr>
        <w:t xml:space="preserve"> </w:t>
      </w:r>
    </w:p>
    <w:p w:rsidR="00CB73AE" w:rsidRPr="00196439" w:rsidRDefault="00B653F1" w:rsidP="0081472F">
      <w:pPr>
        <w:pStyle w:val="ListParagraph"/>
        <w:numPr>
          <w:ilvl w:val="0"/>
          <w:numId w:val="45"/>
        </w:num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o</w:t>
      </w:r>
      <w:r w:rsidR="00474D98" w:rsidRPr="00196439">
        <w:rPr>
          <w:rFonts w:cs="Arial"/>
          <w:color w:val="17365D" w:themeColor="text2" w:themeShade="BF"/>
          <w:sz w:val="22"/>
          <w:szCs w:val="22"/>
          <w:lang w:val="sr-Cyrl-ME"/>
        </w:rPr>
        <w:t>сигурање</w:t>
      </w:r>
      <w:r w:rsidR="00710E03" w:rsidRPr="00196439">
        <w:rPr>
          <w:rFonts w:cs="Arial"/>
          <w:color w:val="17365D" w:themeColor="text2" w:themeShade="BF"/>
          <w:sz w:val="22"/>
          <w:szCs w:val="22"/>
          <w:lang w:val="sr-Cyrl-ME"/>
        </w:rPr>
        <w:t xml:space="preserve"> од одговорности због употребе моторних возила</w:t>
      </w:r>
      <w:r w:rsidR="00173AA9" w:rsidRPr="00196439">
        <w:rPr>
          <w:rFonts w:cs="Arial"/>
          <w:color w:val="17365D" w:themeColor="text2" w:themeShade="BF"/>
          <w:sz w:val="22"/>
          <w:szCs w:val="22"/>
          <w:lang w:val="sr-Cyrl-ME"/>
        </w:rPr>
        <w:t>,</w:t>
      </w:r>
      <w:r w:rsidR="00474D98" w:rsidRPr="00196439">
        <w:rPr>
          <w:rFonts w:cs="Arial"/>
          <w:color w:val="17365D" w:themeColor="text2" w:themeShade="BF"/>
          <w:sz w:val="22"/>
          <w:szCs w:val="22"/>
          <w:lang w:val="sr-Cyrl-ME"/>
        </w:rPr>
        <w:t xml:space="preserve"> </w:t>
      </w:r>
    </w:p>
    <w:p w:rsidR="00474D98" w:rsidRPr="00196439" w:rsidRDefault="00B653F1" w:rsidP="0081472F">
      <w:pPr>
        <w:pStyle w:val="ListParagraph"/>
        <w:numPr>
          <w:ilvl w:val="0"/>
          <w:numId w:val="45"/>
        </w:numPr>
        <w:spacing w:line="276" w:lineRule="auto"/>
        <w:rPr>
          <w:rFonts w:cs="Arial"/>
          <w:color w:val="17365D" w:themeColor="text2" w:themeShade="BF"/>
          <w:sz w:val="22"/>
          <w:szCs w:val="22"/>
          <w:lang w:val="sr-Cyrl-ME"/>
        </w:rPr>
      </w:pPr>
      <w:r w:rsidRPr="00196439">
        <w:rPr>
          <w:rFonts w:cs="Arial"/>
          <w:color w:val="17365D" w:themeColor="text2" w:themeShade="BF"/>
          <w:sz w:val="22"/>
          <w:szCs w:val="20"/>
          <w:lang w:val="sr-Cyrl-CS" w:bidi="he-IL"/>
        </w:rPr>
        <w:t>o</w:t>
      </w:r>
      <w:r w:rsidR="00474D98" w:rsidRPr="00196439">
        <w:rPr>
          <w:rFonts w:cs="Arial"/>
          <w:color w:val="17365D" w:themeColor="text2" w:themeShade="BF"/>
          <w:sz w:val="22"/>
          <w:szCs w:val="20"/>
          <w:lang w:val="sr-Cyrl-CS" w:bidi="he-IL"/>
        </w:rPr>
        <w:t>сигурање моторних возила</w:t>
      </w:r>
      <w:r w:rsidR="00173AA9" w:rsidRPr="00196439">
        <w:rPr>
          <w:rFonts w:cs="Arial"/>
          <w:color w:val="17365D" w:themeColor="text2" w:themeShade="BF"/>
          <w:sz w:val="22"/>
          <w:szCs w:val="20"/>
          <w:lang w:val="sr-Cyrl-CS" w:bidi="he-IL"/>
        </w:rPr>
        <w:t>.</w:t>
      </w:r>
    </w:p>
    <w:p w:rsidR="00CB73AE" w:rsidRPr="00196439" w:rsidRDefault="00CB73AE" w:rsidP="0081472F">
      <w:pPr>
        <w:pStyle w:val="ListParagraph"/>
        <w:spacing w:line="276" w:lineRule="auto"/>
        <w:rPr>
          <w:rFonts w:cs="Arial"/>
          <w:color w:val="17365D" w:themeColor="text2" w:themeShade="BF"/>
          <w:sz w:val="22"/>
          <w:szCs w:val="22"/>
          <w:lang w:val="sr-Cyrl-ME"/>
        </w:rPr>
      </w:pPr>
    </w:p>
    <w:p w:rsidR="00CD1416" w:rsidRPr="00196439" w:rsidRDefault="00CD1416" w:rsidP="0081472F">
      <w:pPr>
        <w:spacing w:line="276" w:lineRule="auto"/>
        <w:rPr>
          <w:rFonts w:cs="Arial"/>
          <w:color w:val="17365D" w:themeColor="text2" w:themeShade="BF"/>
          <w:sz w:val="22"/>
          <w:szCs w:val="22"/>
        </w:rPr>
      </w:pPr>
      <w:r w:rsidRPr="00196439">
        <w:rPr>
          <w:rFonts w:cs="Arial"/>
          <w:color w:val="17365D" w:themeColor="text2" w:themeShade="BF"/>
          <w:sz w:val="22"/>
          <w:szCs w:val="22"/>
        </w:rPr>
        <w:t>Најзначајнији преузети ризици у оквиру</w:t>
      </w:r>
      <w:r w:rsidRPr="00196439">
        <w:rPr>
          <w:rFonts w:cs="Arial"/>
          <w:color w:val="17365D" w:themeColor="text2" w:themeShade="BF"/>
          <w:sz w:val="22"/>
          <w:szCs w:val="22"/>
          <w:lang w:val="sr-Cyrl-RS"/>
        </w:rPr>
        <w:t xml:space="preserve"> о</w:t>
      </w:r>
      <w:r w:rsidRPr="00196439">
        <w:rPr>
          <w:rFonts w:cs="Arial"/>
          <w:color w:val="17365D" w:themeColor="text2" w:themeShade="BF"/>
          <w:sz w:val="22"/>
          <w:szCs w:val="22"/>
          <w:lang w:val="sr-Cyrl-ME"/>
        </w:rPr>
        <w:t xml:space="preserve">сигурања од опште одговорности </w:t>
      </w:r>
      <w:r w:rsidRPr="00196439">
        <w:rPr>
          <w:rFonts w:cs="Arial"/>
          <w:color w:val="17365D" w:themeColor="text2" w:themeShade="BF"/>
          <w:sz w:val="22"/>
          <w:szCs w:val="22"/>
        </w:rPr>
        <w:t>односе се на</w:t>
      </w:r>
      <w:r w:rsidRPr="00196439">
        <w:rPr>
          <w:rFonts w:cs="Arial"/>
          <w:color w:val="17365D" w:themeColor="text2" w:themeShade="BF"/>
          <w:sz w:val="22"/>
          <w:szCs w:val="22"/>
          <w:lang w:val="sr-Cyrl-RS"/>
        </w:rPr>
        <w:t xml:space="preserve"> професионалну одговорност. </w:t>
      </w:r>
      <w:r w:rsidRPr="00196439">
        <w:rPr>
          <w:rFonts w:cs="Arial"/>
          <w:color w:val="17365D" w:themeColor="text2" w:themeShade="BF"/>
          <w:sz w:val="22"/>
          <w:szCs w:val="22"/>
        </w:rPr>
        <w:t xml:space="preserve">Друштво је за </w:t>
      </w:r>
      <w:r w:rsidRPr="00196439">
        <w:rPr>
          <w:rFonts w:cs="Arial"/>
          <w:color w:val="17365D" w:themeColor="text2" w:themeShade="BF"/>
          <w:sz w:val="22"/>
          <w:szCs w:val="22"/>
          <w:lang w:val="sr-Cyrl-RS"/>
        </w:rPr>
        <w:t xml:space="preserve">осигурање одговорности закључила </w:t>
      </w:r>
      <w:r w:rsidRPr="00196439">
        <w:rPr>
          <w:rFonts w:cs="Arial"/>
          <w:color w:val="17365D" w:themeColor="text2" w:themeShade="BF"/>
          <w:sz w:val="22"/>
          <w:szCs w:val="22"/>
        </w:rPr>
        <w:t>аутоматске</w:t>
      </w:r>
      <w:r w:rsidRPr="00196439">
        <w:rPr>
          <w:rFonts w:cs="Arial"/>
          <w:color w:val="17365D" w:themeColor="text2" w:themeShade="BF"/>
          <w:sz w:val="22"/>
          <w:szCs w:val="22"/>
          <w:lang w:val="sr-Cyrl-RS"/>
        </w:rPr>
        <w:t xml:space="preserve"> и </w:t>
      </w:r>
      <w:r w:rsidRPr="00196439">
        <w:rPr>
          <w:rFonts w:cs="Arial"/>
          <w:color w:val="17365D" w:themeColor="text2" w:themeShade="BF"/>
          <w:sz w:val="22"/>
          <w:szCs w:val="22"/>
        </w:rPr>
        <w:t>факултативне уговоре о реосигурању.</w:t>
      </w:r>
    </w:p>
    <w:p w:rsidR="00710E03" w:rsidRPr="00196439" w:rsidRDefault="00710E03" w:rsidP="0081472F">
      <w:pPr>
        <w:spacing w:line="276" w:lineRule="auto"/>
        <w:rPr>
          <w:rFonts w:cs="Arial"/>
          <w:color w:val="17365D" w:themeColor="text2" w:themeShade="BF"/>
          <w:sz w:val="22"/>
          <w:szCs w:val="22"/>
        </w:rPr>
      </w:pPr>
    </w:p>
    <w:p w:rsidR="00CB73AE" w:rsidRPr="00196439" w:rsidRDefault="00710E03" w:rsidP="0081472F">
      <w:pPr>
        <w:spacing w:line="276" w:lineRule="auto"/>
        <w:rPr>
          <w:rFonts w:cs="Arial"/>
          <w:color w:val="17365D" w:themeColor="text2" w:themeShade="BF"/>
          <w:sz w:val="22"/>
          <w:szCs w:val="22"/>
        </w:rPr>
      </w:pPr>
      <w:r w:rsidRPr="00196439">
        <w:rPr>
          <w:rFonts w:cs="Arial"/>
          <w:color w:val="17365D" w:themeColor="text2" w:themeShade="BF"/>
          <w:sz w:val="22"/>
          <w:szCs w:val="22"/>
          <w:lang w:val="sr-Cyrl-RS"/>
        </w:rPr>
        <w:t xml:space="preserve">У оквиру </w:t>
      </w:r>
      <w:r w:rsidRPr="00196439">
        <w:rPr>
          <w:rFonts w:cs="Arial"/>
          <w:color w:val="17365D" w:themeColor="text2" w:themeShade="BF"/>
          <w:sz w:val="22"/>
          <w:szCs w:val="22"/>
          <w:lang w:val="sr-Cyrl-ME"/>
        </w:rPr>
        <w:t xml:space="preserve">осигурања од одговорности због употребе моторних возила </w:t>
      </w:r>
      <w:r w:rsidRPr="00196439">
        <w:rPr>
          <w:rFonts w:cs="Arial"/>
          <w:color w:val="17365D" w:themeColor="text2" w:themeShade="BF"/>
          <w:sz w:val="22"/>
          <w:szCs w:val="22"/>
        </w:rPr>
        <w:t xml:space="preserve">најзначајнији </w:t>
      </w:r>
      <w:r w:rsidR="005459DB" w:rsidRPr="00196439">
        <w:rPr>
          <w:rFonts w:cs="Arial"/>
          <w:color w:val="17365D" w:themeColor="text2" w:themeShade="BF"/>
          <w:sz w:val="22"/>
          <w:szCs w:val="22"/>
          <w:lang w:val="sr-Cyrl-RS"/>
        </w:rPr>
        <w:t xml:space="preserve">уговори </w:t>
      </w:r>
      <w:r w:rsidRPr="00196439">
        <w:rPr>
          <w:rFonts w:cs="Arial"/>
          <w:color w:val="17365D" w:themeColor="text2" w:themeShade="BF"/>
          <w:sz w:val="22"/>
          <w:szCs w:val="22"/>
          <w:lang w:val="sr-Cyrl-RS"/>
        </w:rPr>
        <w:t xml:space="preserve">које је </w:t>
      </w:r>
      <w:r w:rsidRPr="00196439">
        <w:rPr>
          <w:rFonts w:cs="Arial"/>
          <w:color w:val="17365D" w:themeColor="text2" w:themeShade="BF"/>
          <w:sz w:val="22"/>
          <w:szCs w:val="22"/>
          <w:lang w:val="sr-Cyrl-ME"/>
        </w:rPr>
        <w:t xml:space="preserve">Друштво </w:t>
      </w:r>
      <w:r w:rsidR="005459DB" w:rsidRPr="00196439">
        <w:rPr>
          <w:rFonts w:cs="Arial"/>
          <w:color w:val="17365D" w:themeColor="text2" w:themeShade="BF"/>
          <w:sz w:val="22"/>
          <w:szCs w:val="22"/>
          <w:lang w:val="sr-Cyrl-ME"/>
        </w:rPr>
        <w:t>закључило</w:t>
      </w:r>
      <w:r w:rsidRPr="00196439">
        <w:rPr>
          <w:rFonts w:cs="Arial"/>
          <w:color w:val="17365D" w:themeColor="text2" w:themeShade="BF"/>
          <w:sz w:val="22"/>
          <w:szCs w:val="22"/>
          <w:lang w:val="sr-Cyrl-ME"/>
        </w:rPr>
        <w:t xml:space="preserve"> односе се на </w:t>
      </w:r>
      <w:r w:rsidR="00810AAF" w:rsidRPr="00196439">
        <w:rPr>
          <w:rFonts w:cs="Arial"/>
          <w:color w:val="17365D" w:themeColor="text2" w:themeShade="BF"/>
          <w:sz w:val="22"/>
          <w:szCs w:val="22"/>
          <w:lang w:val="sr-Cyrl-ME"/>
        </w:rPr>
        <w:t>осигурање</w:t>
      </w:r>
      <w:r w:rsidRPr="00196439">
        <w:rPr>
          <w:rFonts w:cs="Arial"/>
          <w:color w:val="17365D" w:themeColor="text2" w:themeShade="BF"/>
          <w:sz w:val="22"/>
          <w:szCs w:val="22"/>
          <w:lang w:val="sr-Cyrl-ME"/>
        </w:rPr>
        <w:t xml:space="preserve"> домаће аутоодговорности и зелене карте.</w:t>
      </w:r>
      <w:r w:rsidR="00810AAF" w:rsidRPr="00196439">
        <w:rPr>
          <w:rFonts w:cs="Arial"/>
          <w:color w:val="17365D" w:themeColor="text2" w:themeShade="BF"/>
          <w:sz w:val="22"/>
          <w:szCs w:val="22"/>
          <w:lang w:val="sr-Cyrl-ME"/>
        </w:rPr>
        <w:t xml:space="preserve"> За наведене послове Друштво је закључило аутоматске непропорционалне угов</w:t>
      </w:r>
      <w:r w:rsidR="00FB7F36" w:rsidRPr="00196439">
        <w:rPr>
          <w:rFonts w:cs="Arial"/>
          <w:color w:val="17365D" w:themeColor="text2" w:themeShade="BF"/>
          <w:sz w:val="22"/>
          <w:szCs w:val="22"/>
          <w:lang w:val="sr-Latn-RS"/>
        </w:rPr>
        <w:t>o</w:t>
      </w:r>
      <w:r w:rsidR="00810AAF" w:rsidRPr="00196439">
        <w:rPr>
          <w:rFonts w:cs="Arial"/>
          <w:color w:val="17365D" w:themeColor="text2" w:themeShade="BF"/>
          <w:sz w:val="22"/>
          <w:szCs w:val="22"/>
          <w:lang w:val="sr-Cyrl-ME"/>
        </w:rPr>
        <w:t>ре о реосигурању.</w:t>
      </w:r>
      <w:r w:rsidR="00CB73AE" w:rsidRPr="00196439">
        <w:rPr>
          <w:rFonts w:cs="Arial"/>
          <w:color w:val="17365D" w:themeColor="text2" w:themeShade="BF"/>
          <w:sz w:val="22"/>
          <w:szCs w:val="22"/>
        </w:rPr>
        <w:t xml:space="preserve"> </w:t>
      </w:r>
    </w:p>
    <w:p w:rsidR="00CB73AE" w:rsidRPr="00196439" w:rsidRDefault="00CB73AE" w:rsidP="0081472F">
      <w:pPr>
        <w:spacing w:line="276" w:lineRule="auto"/>
        <w:rPr>
          <w:rFonts w:cs="Arial"/>
          <w:color w:val="17365D" w:themeColor="text2" w:themeShade="BF"/>
          <w:sz w:val="22"/>
          <w:szCs w:val="22"/>
        </w:rPr>
      </w:pPr>
    </w:p>
    <w:p w:rsidR="00710E03" w:rsidRPr="00196439" w:rsidRDefault="00CB73AE" w:rsidP="0081472F">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lastRenderedPageBreak/>
        <w:t>Најзначајнији преузети ризици у оквиру</w:t>
      </w:r>
      <w:r w:rsidRPr="00196439">
        <w:rPr>
          <w:rFonts w:cs="Arial"/>
          <w:color w:val="17365D" w:themeColor="text2" w:themeShade="BF"/>
          <w:sz w:val="22"/>
          <w:szCs w:val="22"/>
          <w:lang w:val="sr-Cyrl-RS"/>
        </w:rPr>
        <w:t xml:space="preserve"> о</w:t>
      </w:r>
      <w:r w:rsidRPr="00196439">
        <w:rPr>
          <w:rFonts w:cs="Arial"/>
          <w:color w:val="17365D" w:themeColor="text2" w:themeShade="BF"/>
          <w:sz w:val="22"/>
          <w:szCs w:val="22"/>
          <w:lang w:val="sr-Cyrl-ME"/>
        </w:rPr>
        <w:t xml:space="preserve">сигурања моторних возила </w:t>
      </w:r>
      <w:r w:rsidRPr="00196439">
        <w:rPr>
          <w:rFonts w:cs="Arial"/>
          <w:color w:val="17365D" w:themeColor="text2" w:themeShade="BF"/>
          <w:sz w:val="22"/>
          <w:szCs w:val="22"/>
        </w:rPr>
        <w:t xml:space="preserve">односе се </w:t>
      </w:r>
      <w:r w:rsidR="00343AAA">
        <w:rPr>
          <w:rFonts w:cs="Arial"/>
          <w:color w:val="17365D" w:themeColor="text2" w:themeShade="BF"/>
          <w:sz w:val="22"/>
          <w:szCs w:val="22"/>
          <w:lang w:val="sr-Cyrl-RS"/>
        </w:rPr>
        <w:t xml:space="preserve">на </w:t>
      </w:r>
      <w:r w:rsidR="00463FF5">
        <w:rPr>
          <w:rFonts w:cs="Arial"/>
          <w:color w:val="17365D" w:themeColor="text2" w:themeShade="BF"/>
          <w:sz w:val="22"/>
          <w:szCs w:val="22"/>
          <w:lang w:val="sr-Cyrl-RS"/>
        </w:rPr>
        <w:t>к</w:t>
      </w:r>
      <w:r w:rsidR="00343AAA">
        <w:rPr>
          <w:rFonts w:cs="Arial"/>
          <w:color w:val="17365D" w:themeColor="text2" w:themeShade="BF"/>
          <w:sz w:val="22"/>
          <w:szCs w:val="22"/>
          <w:lang w:val="sr-Cyrl-RS"/>
        </w:rPr>
        <w:t>рађу моторних возила</w:t>
      </w:r>
      <w:r w:rsidRPr="00196439">
        <w:rPr>
          <w:rFonts w:cs="Arial"/>
          <w:color w:val="17365D" w:themeColor="text2" w:themeShade="BF"/>
          <w:sz w:val="22"/>
          <w:szCs w:val="22"/>
          <w:lang w:val="sr-Cyrl-RS"/>
        </w:rPr>
        <w:t xml:space="preserve">. </w:t>
      </w:r>
      <w:r w:rsidRPr="00196439">
        <w:rPr>
          <w:rFonts w:cs="Arial"/>
          <w:color w:val="17365D" w:themeColor="text2" w:themeShade="BF"/>
          <w:sz w:val="22"/>
          <w:szCs w:val="22"/>
        </w:rPr>
        <w:t xml:space="preserve">Друштво је за </w:t>
      </w:r>
      <w:r w:rsidRPr="00196439">
        <w:rPr>
          <w:rFonts w:cs="Arial"/>
          <w:color w:val="17365D" w:themeColor="text2" w:themeShade="BF"/>
          <w:sz w:val="22"/>
          <w:szCs w:val="22"/>
          <w:lang w:val="sr-Cyrl-RS"/>
        </w:rPr>
        <w:t xml:space="preserve">осигурање </w:t>
      </w:r>
      <w:r w:rsidRPr="00196439">
        <w:rPr>
          <w:rFonts w:cs="Arial"/>
          <w:color w:val="17365D" w:themeColor="text2" w:themeShade="BF"/>
          <w:sz w:val="22"/>
          <w:szCs w:val="22"/>
          <w:lang w:val="sr-Cyrl-ME"/>
        </w:rPr>
        <w:t>моторних возила</w:t>
      </w:r>
      <w:r w:rsidRPr="00196439">
        <w:rPr>
          <w:rFonts w:cs="Arial"/>
          <w:color w:val="17365D" w:themeColor="text2" w:themeShade="BF"/>
          <w:sz w:val="22"/>
          <w:szCs w:val="22"/>
          <w:lang w:val="sr-Cyrl-RS"/>
        </w:rPr>
        <w:t xml:space="preserve"> закључила </w:t>
      </w:r>
      <w:r w:rsidRPr="00196439">
        <w:rPr>
          <w:rFonts w:cs="Arial"/>
          <w:color w:val="17365D" w:themeColor="text2" w:themeShade="BF"/>
          <w:sz w:val="22"/>
          <w:szCs w:val="22"/>
        </w:rPr>
        <w:t>аутоматске</w:t>
      </w:r>
      <w:r w:rsidRPr="00196439">
        <w:rPr>
          <w:rFonts w:cs="Arial"/>
          <w:color w:val="17365D" w:themeColor="text2" w:themeShade="BF"/>
          <w:sz w:val="22"/>
          <w:szCs w:val="22"/>
          <w:lang w:val="sr-Cyrl-RS"/>
        </w:rPr>
        <w:t xml:space="preserve"> и </w:t>
      </w:r>
      <w:r w:rsidRPr="00196439">
        <w:rPr>
          <w:rFonts w:cs="Arial"/>
          <w:color w:val="17365D" w:themeColor="text2" w:themeShade="BF"/>
          <w:sz w:val="22"/>
          <w:szCs w:val="22"/>
        </w:rPr>
        <w:t>факултативне уговоре о реосигурању.</w:t>
      </w:r>
    </w:p>
    <w:p w:rsidR="00CD1416" w:rsidRPr="00196439" w:rsidRDefault="00CD1416" w:rsidP="0081472F">
      <w:pPr>
        <w:spacing w:line="276" w:lineRule="auto"/>
        <w:rPr>
          <w:rFonts w:cs="Arial"/>
          <w:color w:val="17365D" w:themeColor="text2" w:themeShade="BF"/>
          <w:sz w:val="22"/>
          <w:szCs w:val="22"/>
        </w:rPr>
      </w:pPr>
    </w:p>
    <w:p w:rsidR="00B02885" w:rsidRPr="00196439" w:rsidRDefault="00B02885" w:rsidP="0081472F">
      <w:pPr>
        <w:spacing w:line="276" w:lineRule="auto"/>
        <w:rPr>
          <w:rFonts w:cs="Arial"/>
          <w:color w:val="17365D" w:themeColor="text2" w:themeShade="BF"/>
          <w:sz w:val="22"/>
          <w:szCs w:val="22"/>
        </w:rPr>
      </w:pPr>
    </w:p>
    <w:p w:rsidR="00203DE9" w:rsidRPr="00196439" w:rsidRDefault="00BC5966" w:rsidP="0081472F">
      <w:pPr>
        <w:pStyle w:val="ListParagraph"/>
        <w:numPr>
          <w:ilvl w:val="1"/>
          <w:numId w:val="3"/>
        </w:numPr>
        <w:spacing w:line="276" w:lineRule="auto"/>
        <w:rPr>
          <w:rFonts w:cs="Arial"/>
          <w:b/>
          <w:i/>
          <w:color w:val="17365D" w:themeColor="text2" w:themeShade="BF"/>
          <w:sz w:val="22"/>
          <w:szCs w:val="22"/>
        </w:rPr>
      </w:pPr>
      <w:r w:rsidRPr="00196439">
        <w:rPr>
          <w:rFonts w:cs="Arial"/>
          <w:b/>
          <w:i/>
          <w:color w:val="17365D" w:themeColor="text2" w:themeShade="BF"/>
          <w:sz w:val="22"/>
          <w:szCs w:val="22"/>
        </w:rPr>
        <w:t xml:space="preserve">ОСТВАРЕНА </w:t>
      </w:r>
      <w:r w:rsidRPr="00196439">
        <w:rPr>
          <w:rFonts w:cs="Arial"/>
          <w:b/>
          <w:i/>
          <w:color w:val="17365D" w:themeColor="text2" w:themeShade="BF"/>
          <w:sz w:val="22"/>
          <w:szCs w:val="22"/>
          <w:lang w:val="sr-Cyrl-ME"/>
        </w:rPr>
        <w:t>(</w:t>
      </w:r>
      <w:r w:rsidR="00082566" w:rsidRPr="00196439">
        <w:rPr>
          <w:rFonts w:cs="Arial"/>
          <w:b/>
          <w:i/>
          <w:color w:val="17365D" w:themeColor="text2" w:themeShade="BF"/>
          <w:sz w:val="22"/>
          <w:szCs w:val="22"/>
        </w:rPr>
        <w:t>МЕРОДАВНА) ПРЕМИЈА</w:t>
      </w:r>
      <w:r w:rsidR="00EA279C" w:rsidRPr="00196439">
        <w:rPr>
          <w:rFonts w:cs="Arial"/>
          <w:b/>
          <w:i/>
          <w:color w:val="17365D" w:themeColor="text2" w:themeShade="BF"/>
          <w:sz w:val="22"/>
          <w:szCs w:val="22"/>
        </w:rPr>
        <w:t xml:space="preserve"> </w:t>
      </w:r>
    </w:p>
    <w:p w:rsidR="00125771" w:rsidRPr="00196439" w:rsidRDefault="00125771" w:rsidP="0081472F">
      <w:pPr>
        <w:spacing w:line="276" w:lineRule="auto"/>
        <w:rPr>
          <w:rFonts w:cs="Arial"/>
          <w:color w:val="17365D" w:themeColor="text2" w:themeShade="BF"/>
          <w:sz w:val="22"/>
          <w:szCs w:val="22"/>
        </w:rPr>
      </w:pPr>
    </w:p>
    <w:p w:rsidR="00132F89" w:rsidRPr="00196439" w:rsidRDefault="00132F89" w:rsidP="00132F89">
      <w:pPr>
        <w:spacing w:line="276" w:lineRule="auto"/>
        <w:rPr>
          <w:rFonts w:cs="Arial"/>
          <w:color w:val="17365D" w:themeColor="text2" w:themeShade="BF"/>
          <w:sz w:val="22"/>
          <w:szCs w:val="22"/>
          <w:lang w:val="sr-Cyrl-RS"/>
        </w:rPr>
      </w:pPr>
      <w:r w:rsidRPr="00196439">
        <w:rPr>
          <w:rFonts w:cs="Arial"/>
          <w:b/>
          <w:color w:val="17365D" w:themeColor="text2" w:themeShade="BF"/>
          <w:sz w:val="22"/>
          <w:szCs w:val="22"/>
        </w:rPr>
        <w:t xml:space="preserve">У 2019. години меродавна премија износи </w:t>
      </w:r>
      <w:r w:rsidRPr="00196439">
        <w:rPr>
          <w:rFonts w:cs="Arial"/>
          <w:b/>
          <w:color w:val="17365D" w:themeColor="text2" w:themeShade="BF"/>
          <w:sz w:val="22"/>
          <w:szCs w:val="22"/>
          <w:lang w:val="sr-Cyrl-RS"/>
        </w:rPr>
        <w:t>4.337.128.946</w:t>
      </w:r>
      <w:r w:rsidRPr="00196439">
        <w:rPr>
          <w:rFonts w:cs="Arial"/>
          <w:b/>
          <w:color w:val="17365D" w:themeColor="text2" w:themeShade="BF"/>
          <w:sz w:val="22"/>
          <w:szCs w:val="22"/>
        </w:rPr>
        <w:t xml:space="preserve"> динара</w:t>
      </w:r>
      <w:r w:rsidRPr="00196439">
        <w:rPr>
          <w:rFonts w:cs="Arial"/>
          <w:color w:val="17365D" w:themeColor="text2" w:themeShade="BF"/>
          <w:sz w:val="22"/>
          <w:szCs w:val="22"/>
        </w:rPr>
        <w:t>, чиме је остварен раст у односу на исти обрачунски период претходне године</w:t>
      </w:r>
      <w:r w:rsidRPr="00196439">
        <w:rPr>
          <w:rFonts w:cs="Arial"/>
          <w:color w:val="17365D" w:themeColor="text2" w:themeShade="BF"/>
          <w:sz w:val="22"/>
          <w:szCs w:val="22"/>
          <w:lang w:val="sr-Cyrl-RS"/>
        </w:rPr>
        <w:t xml:space="preserve"> од 1.248.967.789 динара, односно 40,44%.</w:t>
      </w:r>
    </w:p>
    <w:p w:rsidR="00132F89" w:rsidRPr="00196439" w:rsidRDefault="00132F89" w:rsidP="00132F89">
      <w:pPr>
        <w:spacing w:line="240" w:lineRule="auto"/>
        <w:rPr>
          <w:rFonts w:cs="Arial"/>
          <w:color w:val="17365D" w:themeColor="text2" w:themeShade="BF"/>
          <w:sz w:val="22"/>
          <w:szCs w:val="22"/>
          <w:lang w:val="sr-Cyrl-RS"/>
        </w:rPr>
      </w:pPr>
    </w:p>
    <w:p w:rsidR="00132F89" w:rsidRPr="00196439" w:rsidRDefault="00132F89" w:rsidP="00132F89">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Меродавна премија по активном послу неживотних осигурања износи 4.203.367.274 динара (раст 1.243.762.389 динара, односно 42,02%), док у делу животних осигурања износи 133.761.672 динара (раст 5.205.400 динара, односно 4,05%).</w:t>
      </w:r>
    </w:p>
    <w:p w:rsidR="00132F89" w:rsidRPr="00196439" w:rsidRDefault="00132F89" w:rsidP="00C677AE">
      <w:pPr>
        <w:spacing w:line="276" w:lineRule="auto"/>
        <w:rPr>
          <w:rFonts w:cs="Arial"/>
          <w:color w:val="17365D" w:themeColor="text2" w:themeShade="BF"/>
          <w:sz w:val="22"/>
          <w:szCs w:val="22"/>
        </w:rPr>
      </w:pPr>
    </w:p>
    <w:p w:rsidR="00132F89" w:rsidRPr="00196439" w:rsidRDefault="00132F89" w:rsidP="00132F89">
      <w:pPr>
        <w:pStyle w:val="ListParagraph"/>
        <w:keepNext/>
        <w:ind w:left="0"/>
        <w:contextualSpacing w:val="0"/>
        <w:jc w:val="center"/>
        <w:rPr>
          <w:rFonts w:cs="Arial"/>
          <w:b/>
          <w:color w:val="17365D" w:themeColor="text2" w:themeShade="BF"/>
          <w:lang w:val="sr-Cyrl-RS"/>
        </w:rPr>
      </w:pPr>
      <w:r w:rsidRPr="00196439">
        <w:rPr>
          <w:rFonts w:cs="Arial"/>
          <w:b/>
          <w:color w:val="17365D" w:themeColor="text2" w:themeShade="BF"/>
          <w:lang w:val="sr-Cyrl-RS"/>
        </w:rPr>
        <w:t>М</w:t>
      </w:r>
      <w:r w:rsidRPr="00196439">
        <w:rPr>
          <w:rFonts w:cs="Arial"/>
          <w:b/>
          <w:color w:val="17365D" w:themeColor="text2" w:themeShade="BF"/>
        </w:rPr>
        <w:t>еродавне премија по активном послу</w:t>
      </w:r>
      <w:r w:rsidRPr="00196439">
        <w:rPr>
          <w:rFonts w:cs="Arial"/>
          <w:b/>
          <w:color w:val="17365D" w:themeColor="text2" w:themeShade="BF"/>
          <w:lang w:val="sr-Cyrl-RS"/>
        </w:rPr>
        <w:t xml:space="preserve"> у 2019. и 2018. години</w:t>
      </w:r>
    </w:p>
    <w:p w:rsidR="00132F89" w:rsidRPr="00196439" w:rsidRDefault="00132F89" w:rsidP="00132F89">
      <w:pPr>
        <w:pStyle w:val="ListParagraph"/>
        <w:ind w:left="0"/>
        <w:contextualSpacing w:val="0"/>
        <w:jc w:val="center"/>
        <w:rPr>
          <w:noProof/>
          <w:color w:val="17365D" w:themeColor="text2" w:themeShade="BF"/>
          <w:lang w:val="en-US"/>
        </w:rPr>
      </w:pPr>
      <w:r w:rsidRPr="00196439">
        <w:rPr>
          <w:noProof/>
          <w:color w:val="17365D" w:themeColor="text2" w:themeShade="BF"/>
          <w:lang w:val="en-US"/>
        </w:rPr>
        <w:drawing>
          <wp:inline distT="0" distB="0" distL="0" distR="0" wp14:anchorId="72608B60" wp14:editId="7CCFC71A">
            <wp:extent cx="4693285" cy="34194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9747" cy="3424183"/>
                    </a:xfrm>
                    <a:prstGeom prst="rect">
                      <a:avLst/>
                    </a:prstGeom>
                    <a:noFill/>
                    <a:ln>
                      <a:noFill/>
                    </a:ln>
                  </pic:spPr>
                </pic:pic>
              </a:graphicData>
            </a:graphic>
          </wp:inline>
        </w:drawing>
      </w:r>
    </w:p>
    <w:p w:rsidR="00C677AE" w:rsidRDefault="00C677AE" w:rsidP="00132F89">
      <w:pPr>
        <w:spacing w:line="276" w:lineRule="auto"/>
        <w:rPr>
          <w:rFonts w:cs="Arial"/>
          <w:color w:val="17365D" w:themeColor="text2" w:themeShade="BF"/>
          <w:sz w:val="22"/>
          <w:szCs w:val="22"/>
        </w:rPr>
      </w:pPr>
    </w:p>
    <w:p w:rsidR="00132F89" w:rsidRPr="00196439" w:rsidRDefault="00132F89" w:rsidP="00132F89">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t xml:space="preserve">Повећање премије </w:t>
      </w:r>
      <w:r w:rsidRPr="00196439">
        <w:rPr>
          <w:rFonts w:cs="Arial"/>
          <w:color w:val="17365D" w:themeColor="text2" w:themeShade="BF"/>
          <w:sz w:val="22"/>
          <w:szCs w:val="22"/>
          <w:lang w:val="sr-Cyrl-RS"/>
        </w:rPr>
        <w:t xml:space="preserve">у </w:t>
      </w:r>
      <w:r w:rsidRPr="00196439">
        <w:rPr>
          <w:rFonts w:cs="Arial"/>
          <w:color w:val="17365D" w:themeColor="text2" w:themeShade="BF"/>
          <w:sz w:val="22"/>
          <w:szCs w:val="22"/>
        </w:rPr>
        <w:t xml:space="preserve">2019. години утицало је и на повећање меродавне премије у односу на </w:t>
      </w:r>
      <w:r w:rsidRPr="00196439">
        <w:rPr>
          <w:rFonts w:cs="Arial"/>
          <w:color w:val="17365D" w:themeColor="text2" w:themeShade="BF"/>
          <w:sz w:val="22"/>
          <w:szCs w:val="22"/>
          <w:lang w:val="sr-Cyrl-RS"/>
        </w:rPr>
        <w:t>2018. годину</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Повећање укупне премије било је веће од повећања меродавне премије, 1.663.620.622 динара наспрам 1.248.967.789 динара.</w:t>
      </w:r>
    </w:p>
    <w:p w:rsidR="00132F89" w:rsidRPr="00196439" w:rsidRDefault="00132F89" w:rsidP="00132F89">
      <w:pPr>
        <w:spacing w:line="276" w:lineRule="auto"/>
        <w:rPr>
          <w:rFonts w:cs="Arial"/>
          <w:color w:val="17365D" w:themeColor="text2" w:themeShade="BF"/>
          <w:sz w:val="22"/>
          <w:szCs w:val="22"/>
          <w:lang w:val="sr-Cyrl-RS"/>
        </w:rPr>
      </w:pPr>
    </w:p>
    <w:p w:rsidR="00132F89" w:rsidRPr="00196439" w:rsidRDefault="00132F89" w:rsidP="00132F89">
      <w:pPr>
        <w:spacing w:line="276" w:lineRule="auto"/>
        <w:rPr>
          <w:rFonts w:cs="Arial"/>
          <w:color w:val="17365D" w:themeColor="text2" w:themeShade="BF"/>
          <w:sz w:val="22"/>
          <w:szCs w:val="22"/>
          <w:lang w:val="sr-Cyrl-RS"/>
        </w:rPr>
      </w:pPr>
      <w:r w:rsidRPr="002C0C22">
        <w:rPr>
          <w:rFonts w:cs="Arial"/>
          <w:color w:val="17365D" w:themeColor="text2" w:themeShade="BF"/>
          <w:sz w:val="22"/>
          <w:szCs w:val="22"/>
          <w:lang w:val="sr-Cyrl-RS"/>
        </w:rPr>
        <w:t>Забележено је повећањ</w:t>
      </w:r>
      <w:r w:rsidR="00360DDB" w:rsidRPr="002C0C22">
        <w:rPr>
          <w:rFonts w:cs="Arial"/>
          <w:color w:val="17365D" w:themeColor="text2" w:themeShade="BF"/>
          <w:sz w:val="22"/>
          <w:szCs w:val="22"/>
          <w:lang w:val="sr-Cyrl-RS"/>
        </w:rPr>
        <w:t>е меродавне премије реосигурања</w:t>
      </w:r>
      <w:r w:rsidRPr="002C0C22">
        <w:rPr>
          <w:rFonts w:cs="Arial"/>
          <w:color w:val="17365D" w:themeColor="text2" w:themeShade="BF"/>
          <w:sz w:val="22"/>
          <w:szCs w:val="22"/>
          <w:lang w:val="sr-Cyrl-RS"/>
        </w:rPr>
        <w:t xml:space="preserve"> по активном послу на свих 19 врста</w:t>
      </w:r>
      <w:r w:rsidRPr="00196439">
        <w:rPr>
          <w:rFonts w:cs="Arial"/>
          <w:color w:val="17365D" w:themeColor="text2" w:themeShade="BF"/>
          <w:sz w:val="22"/>
          <w:szCs w:val="22"/>
          <w:lang w:val="sr-Cyrl-RS"/>
        </w:rPr>
        <w:t xml:space="preserve"> осигурања у којима друштво послује.</w:t>
      </w:r>
    </w:p>
    <w:p w:rsidR="00132F89" w:rsidRPr="00196439" w:rsidRDefault="00132F89" w:rsidP="00132F89">
      <w:pPr>
        <w:pStyle w:val="ListParagraph"/>
        <w:spacing w:line="276" w:lineRule="auto"/>
        <w:ind w:left="0"/>
        <w:contextualSpacing w:val="0"/>
        <w:rPr>
          <w:rFonts w:cs="Arial"/>
          <w:color w:val="17365D" w:themeColor="text2" w:themeShade="BF"/>
          <w:u w:val="single"/>
        </w:rPr>
      </w:pPr>
    </w:p>
    <w:p w:rsidR="00132F89" w:rsidRPr="00196439" w:rsidRDefault="00132F89" w:rsidP="00132F89">
      <w:pPr>
        <w:pStyle w:val="ListParagraph"/>
        <w:spacing w:line="276" w:lineRule="auto"/>
        <w:ind w:left="0"/>
        <w:contextualSpacing w:val="0"/>
        <w:rPr>
          <w:rFonts w:cs="Arial"/>
          <w:color w:val="17365D" w:themeColor="text2" w:themeShade="BF"/>
          <w:sz w:val="22"/>
          <w:szCs w:val="22"/>
        </w:rPr>
      </w:pPr>
      <w:r w:rsidRPr="00196439">
        <w:rPr>
          <w:rFonts w:cs="Arial"/>
          <w:color w:val="17365D" w:themeColor="text2" w:themeShade="BF"/>
          <w:sz w:val="22"/>
          <w:szCs w:val="22"/>
        </w:rPr>
        <w:t>Посматрано по врстама осигурања највеће апсолутно повећање меродавне премије забележено је на врсти осигурања 0</w:t>
      </w:r>
      <w:r w:rsidRPr="00196439">
        <w:rPr>
          <w:rFonts w:cs="Arial"/>
          <w:color w:val="17365D" w:themeColor="text2" w:themeShade="BF"/>
          <w:sz w:val="22"/>
          <w:szCs w:val="22"/>
          <w:lang w:val="sr-Cyrl-RS"/>
        </w:rPr>
        <w:t>9</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Остала осигурања имовине</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721.169.494</w:t>
      </w:r>
      <w:r w:rsidRPr="00196439">
        <w:rPr>
          <w:rFonts w:cs="Arial"/>
          <w:color w:val="17365D" w:themeColor="text2" w:themeShade="BF"/>
          <w:sz w:val="22"/>
          <w:szCs w:val="22"/>
        </w:rPr>
        <w:t xml:space="preserve"> динара). Ово је ниже од раста укупне премије на овој врсти, а </w:t>
      </w:r>
      <w:r w:rsidRPr="00196439">
        <w:rPr>
          <w:rFonts w:cs="Arial"/>
          <w:color w:val="17365D" w:themeColor="text2" w:themeShade="BF"/>
          <w:sz w:val="22"/>
          <w:szCs w:val="22"/>
          <w:lang w:val="sr-Cyrl-RS"/>
        </w:rPr>
        <w:t>као последица</w:t>
      </w:r>
      <w:r w:rsidRPr="00196439">
        <w:rPr>
          <w:rFonts w:cs="Arial"/>
          <w:color w:val="17365D" w:themeColor="text2" w:themeShade="BF"/>
          <w:sz w:val="22"/>
          <w:szCs w:val="22"/>
        </w:rPr>
        <w:t xml:space="preserve"> веће</w:t>
      </w:r>
      <w:r w:rsidRPr="00196439">
        <w:rPr>
          <w:rFonts w:cs="Arial"/>
          <w:color w:val="17365D" w:themeColor="text2" w:themeShade="BF"/>
          <w:sz w:val="22"/>
          <w:szCs w:val="22"/>
          <w:lang w:val="sr-Cyrl-RS"/>
        </w:rPr>
        <w:t>г</w:t>
      </w:r>
      <w:r w:rsidRPr="00196439">
        <w:rPr>
          <w:rFonts w:cs="Arial"/>
          <w:color w:val="17365D" w:themeColor="text2" w:themeShade="BF"/>
          <w:sz w:val="22"/>
          <w:szCs w:val="22"/>
        </w:rPr>
        <w:t xml:space="preserve"> раст</w:t>
      </w:r>
      <w:r w:rsidRPr="00196439">
        <w:rPr>
          <w:rFonts w:cs="Arial"/>
          <w:color w:val="17365D" w:themeColor="text2" w:themeShade="BF"/>
          <w:sz w:val="22"/>
          <w:szCs w:val="22"/>
          <w:lang w:val="sr-Cyrl-RS"/>
        </w:rPr>
        <w:t>а</w:t>
      </w:r>
      <w:r w:rsidRPr="00196439">
        <w:rPr>
          <w:rFonts w:cs="Arial"/>
          <w:color w:val="17365D" w:themeColor="text2" w:themeShade="BF"/>
          <w:sz w:val="22"/>
          <w:szCs w:val="22"/>
        </w:rPr>
        <w:t xml:space="preserve"> преносне премије у односу на исти период претходне године. Релативно већи раст забележен је и на </w:t>
      </w:r>
      <w:r w:rsidRPr="00196439">
        <w:rPr>
          <w:rFonts w:cs="Arial"/>
          <w:color w:val="17365D" w:themeColor="text2" w:themeShade="BF"/>
          <w:sz w:val="22"/>
          <w:szCs w:val="22"/>
          <w:lang w:val="sr-Cyrl-RS"/>
        </w:rPr>
        <w:t>врсти</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08</w:t>
      </w:r>
      <w:r w:rsidRPr="00196439">
        <w:rPr>
          <w:rFonts w:cs="Arial"/>
          <w:color w:val="17365D" w:themeColor="text2" w:themeShade="BF"/>
          <w:sz w:val="22"/>
          <w:szCs w:val="22"/>
        </w:rPr>
        <w:t xml:space="preserve"> Осигурање </w:t>
      </w:r>
      <w:r w:rsidRPr="00196439">
        <w:rPr>
          <w:rFonts w:cs="Arial"/>
          <w:color w:val="17365D" w:themeColor="text2" w:themeShade="BF"/>
          <w:sz w:val="22"/>
          <w:szCs w:val="22"/>
          <w:lang w:val="sr-Cyrl-RS"/>
        </w:rPr>
        <w:t>имовине од пожара и других опасности</w:t>
      </w:r>
      <w:r w:rsidRPr="00196439">
        <w:rPr>
          <w:rFonts w:cs="Arial"/>
          <w:color w:val="17365D" w:themeColor="text2" w:themeShade="BF"/>
          <w:sz w:val="22"/>
          <w:szCs w:val="22"/>
        </w:rPr>
        <w:t xml:space="preserve">, где је меродавна премија порасла за </w:t>
      </w:r>
      <w:r w:rsidRPr="00196439">
        <w:rPr>
          <w:rFonts w:cs="Arial"/>
          <w:color w:val="17365D" w:themeColor="text2" w:themeShade="BF"/>
          <w:sz w:val="22"/>
          <w:szCs w:val="22"/>
          <w:lang w:val="sr-Cyrl-RS"/>
        </w:rPr>
        <w:t>226.420.026</w:t>
      </w:r>
      <w:r w:rsidRPr="00196439">
        <w:rPr>
          <w:rFonts w:cs="Arial"/>
          <w:color w:val="17365D" w:themeColor="text2" w:themeShade="BF"/>
          <w:sz w:val="22"/>
          <w:szCs w:val="22"/>
        </w:rPr>
        <w:t xml:space="preserve"> динара</w:t>
      </w:r>
      <w:r w:rsidRPr="00196439">
        <w:rPr>
          <w:rFonts w:cs="Arial"/>
          <w:color w:val="17365D" w:themeColor="text2" w:themeShade="BF"/>
          <w:sz w:val="22"/>
          <w:szCs w:val="22"/>
          <w:lang w:val="sr-Cyrl-RS"/>
        </w:rPr>
        <w:t>, односно врсти 13 Осигурање од опште одговорности, на којој је меродавна премија увећана за 86.788.057 динара</w:t>
      </w:r>
      <w:r w:rsidRPr="00196439">
        <w:rPr>
          <w:rFonts w:cs="Arial"/>
          <w:color w:val="17365D" w:themeColor="text2" w:themeShade="BF"/>
          <w:sz w:val="22"/>
          <w:szCs w:val="22"/>
        </w:rPr>
        <w:t xml:space="preserve">. </w:t>
      </w:r>
    </w:p>
    <w:p w:rsidR="00132F89" w:rsidRPr="00196439" w:rsidRDefault="00132F89" w:rsidP="00132F89">
      <w:pPr>
        <w:pStyle w:val="ListParagraph"/>
        <w:spacing w:line="276" w:lineRule="auto"/>
        <w:ind w:left="0"/>
        <w:contextualSpacing w:val="0"/>
        <w:rPr>
          <w:rFonts w:cs="Arial"/>
          <w:color w:val="17365D" w:themeColor="text2" w:themeShade="BF"/>
          <w:sz w:val="22"/>
          <w:szCs w:val="22"/>
          <w:lang w:val="sr-Cyrl-RS"/>
        </w:rPr>
      </w:pPr>
    </w:p>
    <w:p w:rsidR="00132F89" w:rsidRPr="00196439" w:rsidRDefault="00132F89" w:rsidP="00132F89">
      <w:pPr>
        <w:pStyle w:val="ListParagraph"/>
        <w:spacing w:line="276" w:lineRule="auto"/>
        <w:ind w:left="0"/>
        <w:contextualSpacing w:val="0"/>
        <w:rPr>
          <w:rFonts w:cs="Arial"/>
          <w:color w:val="17365D" w:themeColor="text2" w:themeShade="BF"/>
          <w:sz w:val="22"/>
          <w:szCs w:val="22"/>
        </w:rPr>
      </w:pPr>
      <w:r w:rsidRPr="00196439">
        <w:rPr>
          <w:rFonts w:cs="Arial"/>
          <w:color w:val="17365D" w:themeColor="text2" w:themeShade="BF"/>
          <w:sz w:val="22"/>
          <w:szCs w:val="22"/>
        </w:rPr>
        <w:t>Пошто је у животним осигурањима у оба извештајна периода преносна премија једнака нули онда је и меродавна премија једнака премији осигурања, односно једнаке су и њихове промене.</w:t>
      </w:r>
    </w:p>
    <w:p w:rsidR="00132F89" w:rsidRPr="00196439" w:rsidRDefault="00132F89" w:rsidP="00132F89">
      <w:pPr>
        <w:pStyle w:val="ListParagraph"/>
        <w:spacing w:line="276" w:lineRule="auto"/>
        <w:ind w:left="0"/>
        <w:contextualSpacing w:val="0"/>
        <w:rPr>
          <w:rFonts w:cs="Arial"/>
          <w:color w:val="17365D" w:themeColor="text2" w:themeShade="BF"/>
        </w:rPr>
      </w:pPr>
    </w:p>
    <w:p w:rsidR="00132F89" w:rsidRPr="00196439" w:rsidRDefault="00132F89" w:rsidP="00132F89">
      <w:pPr>
        <w:pStyle w:val="ListParagraph"/>
        <w:keepNext/>
        <w:ind w:left="0"/>
        <w:contextualSpacing w:val="0"/>
        <w:jc w:val="center"/>
        <w:rPr>
          <w:rFonts w:cs="Arial"/>
          <w:b/>
          <w:color w:val="17365D" w:themeColor="text2" w:themeShade="BF"/>
          <w:lang w:val="sr-Cyrl-RS"/>
        </w:rPr>
      </w:pPr>
      <w:r w:rsidRPr="00196439">
        <w:rPr>
          <w:rFonts w:cs="Arial"/>
          <w:b/>
          <w:color w:val="17365D" w:themeColor="text2" w:themeShade="BF"/>
          <w:lang w:val="sr-Cyrl-RS"/>
        </w:rPr>
        <w:t>М</w:t>
      </w:r>
      <w:r w:rsidRPr="00196439">
        <w:rPr>
          <w:rFonts w:cs="Arial"/>
          <w:b/>
          <w:color w:val="17365D" w:themeColor="text2" w:themeShade="BF"/>
        </w:rPr>
        <w:t>еродавн</w:t>
      </w:r>
      <w:r w:rsidRPr="00196439">
        <w:rPr>
          <w:rFonts w:cs="Arial"/>
          <w:b/>
          <w:color w:val="17365D" w:themeColor="text2" w:themeShade="BF"/>
          <w:lang w:val="sr-Cyrl-RS"/>
        </w:rPr>
        <w:t>а</w:t>
      </w:r>
      <w:r w:rsidRPr="00196439">
        <w:rPr>
          <w:rFonts w:cs="Arial"/>
          <w:b/>
          <w:color w:val="17365D" w:themeColor="text2" w:themeShade="BF"/>
        </w:rPr>
        <w:t xml:space="preserve"> премиј</w:t>
      </w:r>
      <w:r w:rsidRPr="00196439">
        <w:rPr>
          <w:rFonts w:cs="Arial"/>
          <w:b/>
          <w:color w:val="17365D" w:themeColor="text2" w:themeShade="BF"/>
          <w:lang w:val="sr-Cyrl-RS"/>
        </w:rPr>
        <w:t>а</w:t>
      </w:r>
      <w:r w:rsidRPr="00196439">
        <w:rPr>
          <w:rFonts w:cs="Arial"/>
          <w:b/>
          <w:color w:val="17365D" w:themeColor="text2" w:themeShade="BF"/>
        </w:rPr>
        <w:t xml:space="preserve"> у самопридржају</w:t>
      </w:r>
      <w:r w:rsidRPr="00196439">
        <w:rPr>
          <w:rFonts w:cs="Arial"/>
          <w:b/>
          <w:color w:val="17365D" w:themeColor="text2" w:themeShade="BF"/>
          <w:lang w:val="sr-Cyrl-RS"/>
        </w:rPr>
        <w:t xml:space="preserve"> у 2019. и 2018. години</w:t>
      </w:r>
    </w:p>
    <w:p w:rsidR="00132F89" w:rsidRPr="00196439" w:rsidRDefault="00132F89" w:rsidP="00132F89">
      <w:pPr>
        <w:pStyle w:val="ListParagraph"/>
        <w:ind w:left="0"/>
        <w:contextualSpacing w:val="0"/>
        <w:jc w:val="center"/>
        <w:rPr>
          <w:noProof/>
          <w:color w:val="17365D" w:themeColor="text2" w:themeShade="BF"/>
          <w:lang w:val="en-US"/>
        </w:rPr>
      </w:pPr>
      <w:r w:rsidRPr="00196439">
        <w:rPr>
          <w:noProof/>
          <w:color w:val="17365D" w:themeColor="text2" w:themeShade="BF"/>
          <w:lang w:val="en-US"/>
        </w:rPr>
        <w:drawing>
          <wp:inline distT="0" distB="0" distL="0" distR="0" wp14:anchorId="4A161992" wp14:editId="4CDFC9E2">
            <wp:extent cx="4901022" cy="4032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01022" cy="4032000"/>
                    </a:xfrm>
                    <a:prstGeom prst="rect">
                      <a:avLst/>
                    </a:prstGeom>
                    <a:noFill/>
                    <a:ln>
                      <a:noFill/>
                    </a:ln>
                  </pic:spPr>
                </pic:pic>
              </a:graphicData>
            </a:graphic>
          </wp:inline>
        </w:drawing>
      </w:r>
    </w:p>
    <w:p w:rsidR="00132F89" w:rsidRPr="00196439" w:rsidRDefault="00132F89" w:rsidP="00132F89">
      <w:pPr>
        <w:spacing w:line="276" w:lineRule="auto"/>
        <w:rPr>
          <w:rFonts w:cs="Arial"/>
          <w:color w:val="17365D" w:themeColor="text2" w:themeShade="BF"/>
          <w:sz w:val="22"/>
          <w:szCs w:val="22"/>
        </w:rPr>
      </w:pPr>
    </w:p>
    <w:p w:rsidR="00132F89" w:rsidRPr="00196439" w:rsidRDefault="00132F89" w:rsidP="00132F89">
      <w:pPr>
        <w:spacing w:line="276" w:lineRule="auto"/>
        <w:rPr>
          <w:rFonts w:cs="Arial"/>
          <w:b/>
          <w:color w:val="17365D" w:themeColor="text2" w:themeShade="BF"/>
          <w:sz w:val="22"/>
          <w:szCs w:val="22"/>
        </w:rPr>
      </w:pPr>
      <w:r w:rsidRPr="00196439">
        <w:rPr>
          <w:rFonts w:cs="Arial"/>
          <w:b/>
          <w:color w:val="17365D" w:themeColor="text2" w:themeShade="BF"/>
          <w:lang w:val="sr-Cyrl-RS"/>
        </w:rPr>
        <w:t>Меродавна премија у самопридржају у 2019. години износи 974.696.266 динара</w:t>
      </w:r>
      <w:r w:rsidRPr="00196439">
        <w:rPr>
          <w:rFonts w:cs="Arial"/>
          <w:color w:val="17365D" w:themeColor="text2" w:themeShade="BF"/>
          <w:lang w:val="sr-Cyrl-RS"/>
        </w:rPr>
        <w:t>, чиме је забележен раст од 211.918.758 динара (27,78%) у односу на 2018. годину.</w:t>
      </w:r>
    </w:p>
    <w:p w:rsidR="00431CD5" w:rsidRDefault="00431CD5">
      <w:pPr>
        <w:spacing w:after="200" w:line="276" w:lineRule="auto"/>
        <w:jc w:val="left"/>
        <w:rPr>
          <w:rFonts w:cs="Arial"/>
          <w:color w:val="17365D" w:themeColor="text2" w:themeShade="BF"/>
          <w:sz w:val="22"/>
          <w:szCs w:val="22"/>
        </w:rPr>
      </w:pPr>
      <w:r>
        <w:rPr>
          <w:rFonts w:cs="Arial"/>
          <w:color w:val="17365D" w:themeColor="text2" w:themeShade="BF"/>
          <w:sz w:val="22"/>
          <w:szCs w:val="22"/>
        </w:rPr>
        <w:br w:type="page"/>
      </w:r>
    </w:p>
    <w:p w:rsidR="00184792" w:rsidRPr="00196439" w:rsidRDefault="00184792" w:rsidP="00184792">
      <w:pPr>
        <w:spacing w:line="276" w:lineRule="auto"/>
        <w:rPr>
          <w:rFonts w:cs="Arial"/>
          <w:color w:val="17365D" w:themeColor="text2" w:themeShade="BF"/>
          <w:sz w:val="22"/>
          <w:szCs w:val="22"/>
        </w:rPr>
      </w:pPr>
    </w:p>
    <w:p w:rsidR="003C5BAA" w:rsidRPr="00196439" w:rsidRDefault="003C5BAA" w:rsidP="00987490">
      <w:pPr>
        <w:pStyle w:val="ListParagraph"/>
        <w:keepNext/>
        <w:numPr>
          <w:ilvl w:val="1"/>
          <w:numId w:val="3"/>
        </w:numPr>
        <w:spacing w:line="276" w:lineRule="auto"/>
        <w:rPr>
          <w:rFonts w:cs="Arial"/>
          <w:b/>
          <w:i/>
          <w:color w:val="17365D" w:themeColor="text2" w:themeShade="BF"/>
          <w:sz w:val="22"/>
          <w:szCs w:val="22"/>
        </w:rPr>
      </w:pPr>
      <w:r w:rsidRPr="00196439">
        <w:rPr>
          <w:rFonts w:cs="Arial"/>
          <w:b/>
          <w:i/>
          <w:color w:val="17365D" w:themeColor="text2" w:themeShade="BF"/>
          <w:sz w:val="22"/>
          <w:szCs w:val="22"/>
          <w:lang w:val="sr-Cyrl-RS"/>
        </w:rPr>
        <w:t>РАЦИО ШТЕТА, РАЦИО ТРОШКОВА И КОМБИНОВАНИ РАЦИО</w:t>
      </w:r>
    </w:p>
    <w:p w:rsidR="003C5BAA" w:rsidRPr="00196439" w:rsidRDefault="003C5BAA" w:rsidP="00431CD5">
      <w:pPr>
        <w:keepNext/>
        <w:spacing w:line="480" w:lineRule="auto"/>
        <w:rPr>
          <w:rFonts w:cs="Arial"/>
          <w:color w:val="17365D" w:themeColor="text2" w:themeShade="BF"/>
          <w:sz w:val="22"/>
          <w:szCs w:val="22"/>
        </w:rPr>
      </w:pPr>
    </w:p>
    <w:p w:rsidR="00A612A5" w:rsidRPr="00196439" w:rsidRDefault="00A612A5" w:rsidP="00A612A5">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t>Рацио штета и комбиновани рацио по активном послу у 2019. години</w:t>
      </w:r>
    </w:p>
    <w:p w:rsidR="00A612A5" w:rsidRPr="00196439" w:rsidRDefault="00A612A5" w:rsidP="00A612A5">
      <w:pPr>
        <w:spacing w:after="120" w:line="276" w:lineRule="auto"/>
        <w:rPr>
          <w:rFonts w:cs="Arial"/>
          <w:b/>
          <w:color w:val="17365D" w:themeColor="text2" w:themeShade="BF"/>
          <w:sz w:val="22"/>
          <w:szCs w:val="22"/>
          <w:lang w:val="sr-Cyrl-RS"/>
        </w:rPr>
      </w:pPr>
      <w:r w:rsidRPr="00196439">
        <w:rPr>
          <w:noProof/>
          <w:color w:val="17365D" w:themeColor="text2" w:themeShade="BF"/>
          <w:lang w:val="en-US"/>
        </w:rPr>
        <w:drawing>
          <wp:inline distT="0" distB="0" distL="0" distR="0" wp14:anchorId="4050C6C2" wp14:editId="75E5CA47">
            <wp:extent cx="6120765" cy="3409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3409950"/>
                    </a:xfrm>
                    <a:prstGeom prst="rect">
                      <a:avLst/>
                    </a:prstGeom>
                    <a:noFill/>
                    <a:ln>
                      <a:noFill/>
                    </a:ln>
                  </pic:spPr>
                </pic:pic>
              </a:graphicData>
            </a:graphic>
          </wp:inline>
        </w:drawing>
      </w:r>
    </w:p>
    <w:p w:rsidR="00A612A5" w:rsidRPr="00196439" w:rsidRDefault="00A612A5" w:rsidP="00431CD5">
      <w:pPr>
        <w:spacing w:line="480" w:lineRule="auto"/>
        <w:jc w:val="left"/>
        <w:rPr>
          <w:rFonts w:cs="Arial"/>
          <w:b/>
          <w:color w:val="17365D" w:themeColor="text2" w:themeShade="BF"/>
          <w:sz w:val="22"/>
          <w:szCs w:val="22"/>
          <w:lang w:val="sr-Cyrl-RS"/>
        </w:rPr>
      </w:pPr>
    </w:p>
    <w:p w:rsidR="00A612A5" w:rsidRPr="00196439" w:rsidRDefault="00A612A5" w:rsidP="00A612A5">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t>Рацио штета и комбиновани рацио у самопридржају у 2019. години</w:t>
      </w:r>
    </w:p>
    <w:p w:rsidR="00A612A5" w:rsidRPr="00196439" w:rsidRDefault="00A612A5" w:rsidP="00A612A5">
      <w:pPr>
        <w:spacing w:after="120" w:line="276" w:lineRule="auto"/>
        <w:rPr>
          <w:noProof/>
          <w:color w:val="17365D" w:themeColor="text2" w:themeShade="BF"/>
          <w:lang w:val="en-US"/>
        </w:rPr>
      </w:pPr>
      <w:r w:rsidRPr="00196439">
        <w:rPr>
          <w:noProof/>
          <w:color w:val="17365D" w:themeColor="text2" w:themeShade="BF"/>
          <w:lang w:val="en-US"/>
        </w:rPr>
        <w:drawing>
          <wp:inline distT="0" distB="0" distL="0" distR="0" wp14:anchorId="0B8E02C7" wp14:editId="620D3EDE">
            <wp:extent cx="6120130" cy="3419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3958" cy="3421614"/>
                    </a:xfrm>
                    <a:prstGeom prst="rect">
                      <a:avLst/>
                    </a:prstGeom>
                    <a:noFill/>
                    <a:ln>
                      <a:noFill/>
                    </a:ln>
                  </pic:spPr>
                </pic:pic>
              </a:graphicData>
            </a:graphic>
          </wp:inline>
        </w:drawing>
      </w:r>
    </w:p>
    <w:p w:rsidR="00A612A5" w:rsidRPr="00196439" w:rsidRDefault="00A612A5" w:rsidP="00A612A5">
      <w:pPr>
        <w:spacing w:after="120" w:line="276" w:lineRule="auto"/>
        <w:jc w:val="left"/>
        <w:rPr>
          <w:rFonts w:cs="Arial"/>
          <w:b/>
          <w:color w:val="17365D" w:themeColor="text2" w:themeShade="BF"/>
          <w:sz w:val="22"/>
          <w:szCs w:val="22"/>
        </w:rPr>
      </w:pPr>
    </w:p>
    <w:p w:rsidR="00A612A5" w:rsidRPr="00196439" w:rsidRDefault="00A612A5" w:rsidP="00A612A5">
      <w:pPr>
        <w:pStyle w:val="ListParagraph"/>
        <w:keepNext/>
        <w:ind w:left="0"/>
        <w:contextualSpacing w:val="0"/>
        <w:jc w:val="center"/>
        <w:rPr>
          <w:rFonts w:cs="Arial"/>
          <w:b/>
          <w:color w:val="17365D" w:themeColor="text2" w:themeShade="BF"/>
        </w:rPr>
      </w:pPr>
      <w:r w:rsidRPr="00196439">
        <w:rPr>
          <w:rFonts w:cs="Arial"/>
          <w:b/>
          <w:color w:val="17365D" w:themeColor="text2" w:themeShade="BF"/>
        </w:rPr>
        <w:lastRenderedPageBreak/>
        <w:t>Међугодишње промене рациа штета, трошкова и комбинованог рациа по активном послу</w:t>
      </w:r>
    </w:p>
    <w:p w:rsidR="00A612A5" w:rsidRPr="00196439" w:rsidRDefault="00A612A5" w:rsidP="00A612A5">
      <w:pPr>
        <w:pStyle w:val="ListParagraph"/>
        <w:ind w:left="0"/>
        <w:contextualSpacing w:val="0"/>
        <w:jc w:val="center"/>
        <w:rPr>
          <w:noProof/>
          <w:color w:val="17365D" w:themeColor="text2" w:themeShade="BF"/>
          <w:lang w:val="en-US"/>
        </w:rPr>
      </w:pPr>
      <w:r w:rsidRPr="00196439">
        <w:rPr>
          <w:noProof/>
          <w:color w:val="17365D" w:themeColor="text2" w:themeShade="BF"/>
          <w:lang w:val="en-US"/>
        </w:rPr>
        <w:drawing>
          <wp:inline distT="0" distB="0" distL="0" distR="0" wp14:anchorId="3131BBCB" wp14:editId="5BFE18DC">
            <wp:extent cx="6120765" cy="425784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4257848"/>
                    </a:xfrm>
                    <a:prstGeom prst="rect">
                      <a:avLst/>
                    </a:prstGeom>
                    <a:noFill/>
                    <a:ln>
                      <a:noFill/>
                    </a:ln>
                  </pic:spPr>
                </pic:pic>
              </a:graphicData>
            </a:graphic>
          </wp:inline>
        </w:drawing>
      </w:r>
    </w:p>
    <w:p w:rsidR="00A612A5" w:rsidRPr="00196439" w:rsidRDefault="00A612A5" w:rsidP="00A612A5">
      <w:pPr>
        <w:pStyle w:val="ListParagraph"/>
        <w:spacing w:line="276" w:lineRule="auto"/>
        <w:ind w:left="714"/>
        <w:contextualSpacing w:val="0"/>
        <w:jc w:val="center"/>
        <w:rPr>
          <w:rFonts w:cs="Arial"/>
          <w:b/>
          <w:color w:val="17365D" w:themeColor="text2" w:themeShade="BF"/>
        </w:rPr>
      </w:pPr>
    </w:p>
    <w:p w:rsidR="00A612A5" w:rsidRPr="00196439" w:rsidRDefault="00A612A5" w:rsidP="00A612A5">
      <w:pPr>
        <w:pStyle w:val="ListParagraph"/>
        <w:keepNext/>
        <w:ind w:left="0"/>
        <w:contextualSpacing w:val="0"/>
        <w:jc w:val="center"/>
        <w:rPr>
          <w:rFonts w:cs="Arial"/>
          <w:b/>
          <w:color w:val="17365D" w:themeColor="text2" w:themeShade="BF"/>
        </w:rPr>
      </w:pPr>
      <w:r w:rsidRPr="00196439">
        <w:rPr>
          <w:rFonts w:cs="Arial"/>
          <w:b/>
          <w:color w:val="17365D" w:themeColor="text2" w:themeShade="BF"/>
        </w:rPr>
        <w:t>Међугодишње промене рациа штета, трошкова и комбинованог рациа у самопридржају</w:t>
      </w:r>
    </w:p>
    <w:p w:rsidR="00A612A5" w:rsidRPr="00196439" w:rsidRDefault="00A612A5" w:rsidP="00A612A5">
      <w:pPr>
        <w:pStyle w:val="ListParagraph"/>
        <w:ind w:left="0"/>
        <w:contextualSpacing w:val="0"/>
        <w:jc w:val="center"/>
        <w:rPr>
          <w:noProof/>
          <w:color w:val="17365D" w:themeColor="text2" w:themeShade="BF"/>
          <w:lang w:val="sr-Cyrl-RS"/>
        </w:rPr>
      </w:pPr>
      <w:r w:rsidRPr="00196439">
        <w:rPr>
          <w:noProof/>
          <w:color w:val="17365D" w:themeColor="text2" w:themeShade="BF"/>
          <w:lang w:val="en-US"/>
        </w:rPr>
        <w:drawing>
          <wp:inline distT="0" distB="0" distL="0" distR="0" wp14:anchorId="3E0CA004" wp14:editId="0563891B">
            <wp:extent cx="6120765" cy="425784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4257848"/>
                    </a:xfrm>
                    <a:prstGeom prst="rect">
                      <a:avLst/>
                    </a:prstGeom>
                    <a:noFill/>
                    <a:ln>
                      <a:noFill/>
                    </a:ln>
                  </pic:spPr>
                </pic:pic>
              </a:graphicData>
            </a:graphic>
          </wp:inline>
        </w:drawing>
      </w:r>
    </w:p>
    <w:p w:rsidR="00A612A5" w:rsidRPr="00196439" w:rsidRDefault="00A612A5" w:rsidP="00A612A5">
      <w:pPr>
        <w:spacing w:line="276" w:lineRule="auto"/>
        <w:rPr>
          <w:rFonts w:cs="Arial"/>
          <w:color w:val="17365D" w:themeColor="text2" w:themeShade="BF"/>
          <w:sz w:val="22"/>
          <w:szCs w:val="22"/>
          <w:lang w:val="sr-Cyrl-RS"/>
        </w:rPr>
      </w:pPr>
    </w:p>
    <w:p w:rsidR="00A612A5" w:rsidRPr="00196439" w:rsidRDefault="00A612A5" w:rsidP="00A612A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Рацио штета за укупна неживотна осигурања по активном послу у 2019. години износи 28,16%, што представља повећање од 13,41% у односу на претходну годину.</w:t>
      </w:r>
    </w:p>
    <w:p w:rsidR="00A612A5" w:rsidRPr="00196439" w:rsidRDefault="00A612A5" w:rsidP="00A612A5">
      <w:pPr>
        <w:spacing w:line="276" w:lineRule="auto"/>
        <w:rPr>
          <w:rFonts w:cs="Arial"/>
          <w:color w:val="17365D" w:themeColor="text2" w:themeShade="BF"/>
          <w:sz w:val="22"/>
          <w:szCs w:val="22"/>
          <w:lang w:val="sr-Cyrl-RS"/>
        </w:rPr>
      </w:pPr>
    </w:p>
    <w:p w:rsidR="00A612A5" w:rsidRPr="00196439" w:rsidRDefault="00A612A5" w:rsidP="00A612A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Рацио штета у самопридржају у 2019. години износи 62,48% и виши је 10,52% у односу на 2018. годину.</w:t>
      </w:r>
    </w:p>
    <w:p w:rsidR="00A612A5" w:rsidRPr="00196439" w:rsidRDefault="00A612A5" w:rsidP="00A612A5">
      <w:pPr>
        <w:spacing w:line="276" w:lineRule="auto"/>
        <w:rPr>
          <w:rFonts w:cs="Arial"/>
          <w:color w:val="17365D" w:themeColor="text2" w:themeShade="BF"/>
          <w:sz w:val="22"/>
          <w:szCs w:val="22"/>
          <w:lang w:val="sr-Cyrl-RS"/>
        </w:rPr>
      </w:pPr>
    </w:p>
    <w:p w:rsidR="00A612A5" w:rsidRPr="00196439" w:rsidRDefault="00A612A5" w:rsidP="00A612A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Иако су забележена повећања вредности рациа штета у односу на њихове вредности у претходној години, како по активном послу, тако и у самопридржају, они су и даље изузетно повољни.</w:t>
      </w:r>
    </w:p>
    <w:p w:rsidR="00A612A5" w:rsidRPr="00196439" w:rsidRDefault="00A612A5" w:rsidP="00A612A5">
      <w:pPr>
        <w:spacing w:line="276" w:lineRule="auto"/>
        <w:rPr>
          <w:rFonts w:cs="Arial"/>
          <w:color w:val="17365D" w:themeColor="text2" w:themeShade="BF"/>
          <w:sz w:val="22"/>
          <w:szCs w:val="22"/>
          <w:lang w:val="sr-Cyrl-RS"/>
        </w:rPr>
      </w:pPr>
    </w:p>
    <w:p w:rsidR="00A612A5" w:rsidRPr="00196439" w:rsidRDefault="00A612A5" w:rsidP="00A612A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 xml:space="preserve">По активном послу готово на свим врстама осигурања остварене су повољне вредности рациа штета. Минусне вредности на појединим врстама осигурања (04, 11 и 15) последица су негативних меродавних штета односно оствареног прихода по основу штета узрокованог позитивним </w:t>
      </w:r>
      <w:r w:rsidRPr="00196439">
        <w:rPr>
          <w:rFonts w:cs="Arial"/>
          <w:color w:val="17365D" w:themeColor="text2" w:themeShade="BF"/>
          <w:sz w:val="22"/>
          <w:szCs w:val="22"/>
          <w:lang w:val="sr-Latn-RS"/>
        </w:rPr>
        <w:t>run-off</w:t>
      </w:r>
      <w:r w:rsidRPr="00196439">
        <w:rPr>
          <w:rFonts w:cs="Arial"/>
          <w:color w:val="17365D" w:themeColor="text2" w:themeShade="BF"/>
          <w:sz w:val="22"/>
          <w:szCs w:val="22"/>
          <w:lang w:val="sr-Cyrl-RS"/>
        </w:rPr>
        <w:t xml:space="preserve"> тестом резервације и оствареној ниској фреквенцији штета. Нешто веће вредности рациа штета по активном послу остварене су на врстама осигурања 01 Осигурање од последица незгоде (83,58%), 06 Осигурање пловних објеката (133,30%) и 07 Осигурање робе у превозу (95,13%). Релативно високе вредности рациа штета на врстама 01 и 06 последица су увећане ликвидације у 2019. години посматране у релативним показатељима. Будући да је реализована у условима ниске меродавне премије не могу да имају значај на нивоу порт</w:t>
      </w:r>
      <w:r w:rsidR="00A3238E">
        <w:rPr>
          <w:rFonts w:cs="Arial"/>
          <w:color w:val="17365D" w:themeColor="text2" w:themeShade="BF"/>
          <w:sz w:val="22"/>
          <w:szCs w:val="22"/>
          <w:lang w:val="sr-Cyrl-RS"/>
        </w:rPr>
        <w:t>ф</w:t>
      </w:r>
      <w:r w:rsidRPr="00196439">
        <w:rPr>
          <w:rFonts w:cs="Arial"/>
          <w:color w:val="17365D" w:themeColor="text2" w:themeShade="BF"/>
          <w:sz w:val="22"/>
          <w:szCs w:val="22"/>
          <w:lang w:val="sr-Cyrl-RS"/>
        </w:rPr>
        <w:t xml:space="preserve">еља. Узрок неповољног резултата на врсти осигурања 07 Осигурање робе у превозу су две значајне штете цедента Дунав осигурање из ове године. Једна је ликвидирана на износ од 36,2 милиона динара док је друга је резервисана на </w:t>
      </w:r>
      <w:r w:rsidR="004318E3">
        <w:rPr>
          <w:rFonts w:cs="Arial"/>
          <w:color w:val="17365D" w:themeColor="text2" w:themeShade="BF"/>
          <w:sz w:val="22"/>
          <w:szCs w:val="22"/>
          <w:lang w:val="sr-Cyrl-RS"/>
        </w:rPr>
        <w:t>43</w:t>
      </w:r>
      <w:r w:rsidRPr="00196439">
        <w:rPr>
          <w:rFonts w:cs="Arial"/>
          <w:color w:val="17365D" w:themeColor="text2" w:themeShade="BF"/>
          <w:sz w:val="22"/>
          <w:szCs w:val="22"/>
          <w:lang w:val="sr-Cyrl-RS"/>
        </w:rPr>
        <w:t>,</w:t>
      </w:r>
      <w:r w:rsidR="004318E3">
        <w:rPr>
          <w:rFonts w:cs="Arial"/>
          <w:color w:val="17365D" w:themeColor="text2" w:themeShade="BF"/>
          <w:sz w:val="22"/>
          <w:szCs w:val="22"/>
          <w:lang w:val="sr-Cyrl-RS"/>
        </w:rPr>
        <w:t>5</w:t>
      </w:r>
      <w:r w:rsidRPr="00196439">
        <w:rPr>
          <w:rFonts w:cs="Arial"/>
          <w:color w:val="17365D" w:themeColor="text2" w:themeShade="BF"/>
          <w:sz w:val="22"/>
          <w:szCs w:val="22"/>
          <w:lang w:val="sr-Cyrl-RS"/>
        </w:rPr>
        <w:t xml:space="preserve"> милиона динара.</w:t>
      </w:r>
    </w:p>
    <w:p w:rsidR="00A612A5" w:rsidRPr="00196439" w:rsidRDefault="00A612A5" w:rsidP="00A612A5">
      <w:pPr>
        <w:spacing w:line="276" w:lineRule="auto"/>
        <w:rPr>
          <w:rFonts w:cs="Arial"/>
          <w:color w:val="17365D" w:themeColor="text2" w:themeShade="BF"/>
          <w:sz w:val="22"/>
          <w:szCs w:val="22"/>
          <w:lang w:val="sr-Cyrl-RS"/>
        </w:rPr>
      </w:pPr>
    </w:p>
    <w:p w:rsidR="00A612A5" w:rsidRPr="00196439" w:rsidRDefault="00A612A5" w:rsidP="00A612A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У самопридржају, поред врста осигурања 06 и 07, нешто већа вредност рациа штета остварена је на врсти 09 Остала осигурања имовине (83,93%) и врсти 13 Осигурање од опште одговорности (88,57%), међутим закључак о рациу штета у самопридржају на нивоу укупног портфеља (62,46%) остаје повољан.</w:t>
      </w:r>
    </w:p>
    <w:p w:rsidR="00A612A5" w:rsidRPr="00196439" w:rsidRDefault="00A612A5" w:rsidP="00A612A5">
      <w:pPr>
        <w:spacing w:line="276" w:lineRule="auto"/>
        <w:rPr>
          <w:rFonts w:cs="Arial"/>
          <w:color w:val="17365D" w:themeColor="text2" w:themeShade="BF"/>
          <w:sz w:val="22"/>
          <w:szCs w:val="22"/>
          <w:lang w:val="sr-Cyrl-RS"/>
        </w:rPr>
      </w:pPr>
    </w:p>
    <w:p w:rsidR="00A612A5" w:rsidRPr="00196439" w:rsidRDefault="00A612A5" w:rsidP="00A612A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Независно од релативно виших вредности рациа штета у самопридржају на значајним врстама осигурања 09 и 13, на позитиван закључак утичу реализоване повољне вредности рациа на осталим значајним врстама осигурања за Друштво, као и чињеница да се у континуитету у дужем временском периоду бележе изузетно позитивни резултати на свим значајним врстама осигурања.</w:t>
      </w:r>
    </w:p>
    <w:p w:rsidR="00A612A5" w:rsidRPr="00196439" w:rsidRDefault="00A612A5" w:rsidP="00A612A5">
      <w:pPr>
        <w:spacing w:line="276" w:lineRule="auto"/>
        <w:rPr>
          <w:rFonts w:cs="Arial"/>
          <w:color w:val="17365D" w:themeColor="text2" w:themeShade="BF"/>
          <w:sz w:val="22"/>
          <w:szCs w:val="22"/>
        </w:rPr>
      </w:pPr>
    </w:p>
    <w:p w:rsidR="00A612A5" w:rsidRPr="00196439" w:rsidRDefault="00A612A5" w:rsidP="00A612A5">
      <w:pPr>
        <w:spacing w:line="276" w:lineRule="auto"/>
        <w:rPr>
          <w:rFonts w:cs="Arial"/>
          <w:color w:val="17365D" w:themeColor="text2" w:themeShade="BF"/>
          <w:sz w:val="22"/>
          <w:szCs w:val="22"/>
          <w:lang w:val="sr-Cyrl-ME"/>
        </w:rPr>
      </w:pPr>
      <w:r w:rsidRPr="00196439">
        <w:rPr>
          <w:rFonts w:cs="Arial"/>
          <w:color w:val="17365D" w:themeColor="text2" w:themeShade="BF"/>
          <w:sz w:val="22"/>
          <w:szCs w:val="22"/>
        </w:rPr>
        <w:t xml:space="preserve">Рацио трошкова </w:t>
      </w:r>
      <w:r w:rsidRPr="00196439">
        <w:rPr>
          <w:rFonts w:cs="Arial"/>
          <w:color w:val="17365D" w:themeColor="text2" w:themeShade="BF"/>
          <w:sz w:val="22"/>
          <w:szCs w:val="22"/>
          <w:lang w:val="sr-Cyrl-RS"/>
        </w:rPr>
        <w:t xml:space="preserve">је на нивоу неживотних осигурања изузетно низак, тако да за активан посао реосигурања износи 14,83% (смањење од 3,10%), односно у самопридржају 21,91% (смањење од 3,89%). </w:t>
      </w:r>
    </w:p>
    <w:p w:rsidR="00A612A5" w:rsidRPr="00196439" w:rsidRDefault="00A612A5" w:rsidP="00A612A5">
      <w:pPr>
        <w:spacing w:line="276" w:lineRule="auto"/>
        <w:rPr>
          <w:rFonts w:cs="Arial"/>
          <w:color w:val="17365D" w:themeColor="text2" w:themeShade="BF"/>
          <w:sz w:val="22"/>
          <w:szCs w:val="22"/>
          <w:lang w:val="sr-Cyrl-RS"/>
        </w:rPr>
      </w:pPr>
    </w:p>
    <w:p w:rsidR="00A612A5" w:rsidRPr="00196439" w:rsidRDefault="00A612A5" w:rsidP="00A612A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Повољне вредности рациа штета на већем делу портфеља, заједно са ниском вредношћу рациа трошкова резултирају изузетно повољним вредностима комбинованих рациа по већини врста осигурања, односно нарочито на укупном нивоу, како за активан посао, тако и у самопридржају. Тако је комбиновани рацио на нивоу неживотних осигурања по активном послу 42,99%, а у самопридржају 84,39%.</w:t>
      </w:r>
    </w:p>
    <w:p w:rsidR="00A612A5" w:rsidRPr="00196439" w:rsidRDefault="00A612A5" w:rsidP="00A612A5">
      <w:pPr>
        <w:spacing w:line="276" w:lineRule="auto"/>
        <w:rPr>
          <w:rFonts w:cs="Arial"/>
          <w:color w:val="17365D" w:themeColor="text2" w:themeShade="BF"/>
          <w:sz w:val="22"/>
          <w:szCs w:val="22"/>
        </w:rPr>
      </w:pPr>
    </w:p>
    <w:p w:rsidR="00A612A5" w:rsidRPr="00196439" w:rsidRDefault="00A612A5" w:rsidP="00A612A5">
      <w:pPr>
        <w:spacing w:line="276" w:lineRule="auto"/>
        <w:rPr>
          <w:color w:val="17365D" w:themeColor="text2" w:themeShade="BF"/>
          <w:sz w:val="22"/>
          <w:lang w:val="sr-Cyrl-CS"/>
        </w:rPr>
      </w:pPr>
      <w:r w:rsidRPr="00196439">
        <w:rPr>
          <w:color w:val="17365D" w:themeColor="text2" w:themeShade="BF"/>
          <w:sz w:val="22"/>
          <w:lang w:val="sr-Cyrl-CS"/>
        </w:rPr>
        <w:t xml:space="preserve">Реализовани рацио бројеви укупног портфеља и у самопридржају указују да је Друштво способно да из премије реосигурања обезбеди покриће свих штета и трошкова. </w:t>
      </w:r>
    </w:p>
    <w:p w:rsidR="00A612A5" w:rsidRPr="00196439" w:rsidRDefault="00A612A5" w:rsidP="00A612A5">
      <w:pPr>
        <w:spacing w:line="276" w:lineRule="auto"/>
        <w:rPr>
          <w:rFonts w:cs="Arial"/>
          <w:color w:val="17365D" w:themeColor="text2" w:themeShade="BF"/>
          <w:sz w:val="22"/>
          <w:szCs w:val="22"/>
        </w:rPr>
      </w:pPr>
    </w:p>
    <w:p w:rsidR="00C677AE" w:rsidRDefault="00C677AE">
      <w:pPr>
        <w:spacing w:after="200" w:line="276" w:lineRule="auto"/>
        <w:jc w:val="left"/>
        <w:rPr>
          <w:rFonts w:cs="Arial"/>
          <w:color w:val="17365D" w:themeColor="text2" w:themeShade="BF"/>
          <w:sz w:val="22"/>
          <w:szCs w:val="22"/>
          <w:lang w:val="sr-Cyrl-ME"/>
        </w:rPr>
      </w:pPr>
      <w:r>
        <w:rPr>
          <w:rFonts w:cs="Arial"/>
          <w:color w:val="17365D" w:themeColor="text2" w:themeShade="BF"/>
          <w:sz w:val="22"/>
          <w:szCs w:val="22"/>
          <w:lang w:val="sr-Cyrl-ME"/>
        </w:rPr>
        <w:br w:type="page"/>
      </w:r>
    </w:p>
    <w:p w:rsidR="00F96F11" w:rsidRPr="00196439" w:rsidRDefault="00F96F11" w:rsidP="00F96F11">
      <w:pPr>
        <w:spacing w:line="240" w:lineRule="auto"/>
        <w:rPr>
          <w:rFonts w:cs="Arial"/>
          <w:color w:val="17365D" w:themeColor="text2" w:themeShade="BF"/>
          <w:sz w:val="22"/>
          <w:szCs w:val="22"/>
          <w:lang w:val="sr-Cyrl-ME"/>
        </w:rPr>
      </w:pPr>
    </w:p>
    <w:p w:rsidR="008C4F34" w:rsidRPr="00196439" w:rsidRDefault="008C4F34" w:rsidP="003C5BAA">
      <w:pPr>
        <w:pStyle w:val="ListParagraph"/>
        <w:numPr>
          <w:ilvl w:val="0"/>
          <w:numId w:val="3"/>
        </w:numPr>
        <w:spacing w:line="276" w:lineRule="auto"/>
        <w:rPr>
          <w:rFonts w:cs="Arial"/>
          <w:b/>
          <w:color w:val="17365D" w:themeColor="text2" w:themeShade="BF"/>
          <w:sz w:val="22"/>
          <w:szCs w:val="22"/>
        </w:rPr>
      </w:pPr>
      <w:r w:rsidRPr="00196439">
        <w:rPr>
          <w:rFonts w:cs="Arial"/>
          <w:b/>
          <w:color w:val="17365D" w:themeColor="text2" w:themeShade="BF"/>
          <w:sz w:val="22"/>
          <w:szCs w:val="22"/>
        </w:rPr>
        <w:t>ТЕХНИЧКЕ РЕЗЕРВЕ</w:t>
      </w:r>
    </w:p>
    <w:p w:rsidR="008C4F34" w:rsidRPr="00196439" w:rsidRDefault="008C4F34" w:rsidP="00646143">
      <w:pPr>
        <w:spacing w:line="276" w:lineRule="auto"/>
        <w:rPr>
          <w:rFonts w:cs="Arial"/>
          <w:b/>
          <w:color w:val="17365D" w:themeColor="text2" w:themeShade="BF"/>
          <w:sz w:val="22"/>
          <w:szCs w:val="22"/>
        </w:rPr>
      </w:pPr>
    </w:p>
    <w:p w:rsidR="00542611" w:rsidRPr="00196439" w:rsidRDefault="00542611" w:rsidP="00646143">
      <w:pPr>
        <w:spacing w:line="276" w:lineRule="auto"/>
        <w:rPr>
          <w:rFonts w:cs="Arial"/>
          <w:b/>
          <w:color w:val="17365D" w:themeColor="text2" w:themeShade="BF"/>
          <w:sz w:val="22"/>
          <w:szCs w:val="22"/>
        </w:rPr>
      </w:pPr>
    </w:p>
    <w:p w:rsidR="00542611" w:rsidRPr="00196439" w:rsidRDefault="00542611" w:rsidP="00542611">
      <w:pPr>
        <w:spacing w:line="276" w:lineRule="auto"/>
        <w:rPr>
          <w:rFonts w:cs="Arial"/>
          <w:b/>
          <w:color w:val="17365D" w:themeColor="text2" w:themeShade="BF"/>
          <w:sz w:val="22"/>
          <w:szCs w:val="22"/>
        </w:rPr>
      </w:pPr>
      <w:r w:rsidRPr="00196439">
        <w:rPr>
          <w:rFonts w:cs="Arial"/>
          <w:b/>
          <w:color w:val="17365D" w:themeColor="text2" w:themeShade="BF"/>
          <w:sz w:val="22"/>
          <w:szCs w:val="22"/>
          <w:lang w:val="sr-Cyrl-ME"/>
        </w:rPr>
        <w:t>Све т</w:t>
      </w:r>
      <w:r w:rsidRPr="00196439">
        <w:rPr>
          <w:rFonts w:cs="Arial"/>
          <w:b/>
          <w:color w:val="17365D" w:themeColor="text2" w:themeShade="BF"/>
          <w:sz w:val="22"/>
          <w:szCs w:val="22"/>
        </w:rPr>
        <w:t>eхничкe рeзeрвe утврђeнe су у склaду сa aктуaрскoм струкoм, прoписимa, Прaвилни</w:t>
      </w:r>
      <w:r w:rsidRPr="00196439">
        <w:rPr>
          <w:rFonts w:cs="Arial"/>
          <w:b/>
          <w:color w:val="17365D" w:themeColor="text2" w:themeShade="BF"/>
          <w:sz w:val="22"/>
          <w:szCs w:val="22"/>
          <w:lang w:val="sr-Cyrl-ME"/>
        </w:rPr>
        <w:t xml:space="preserve">цима </w:t>
      </w:r>
      <w:r w:rsidRPr="00196439">
        <w:rPr>
          <w:rFonts w:cs="Arial"/>
          <w:b/>
          <w:color w:val="17365D" w:themeColor="text2" w:themeShade="BF"/>
          <w:sz w:val="22"/>
          <w:szCs w:val="22"/>
        </w:rPr>
        <w:t>Друштвa, уговорима о реосигурању и довољне су за трajнo испуњeњe свих oбaвeзa Друштвa из угoвoрa. Приликoм oбрaчунa пojeдинaчних тeхничких рeзeрви примeњeнe су aдeквaтнe мeтoдe њихoвoг oбрaчунa.</w:t>
      </w:r>
    </w:p>
    <w:p w:rsidR="00542611" w:rsidRPr="00196439" w:rsidRDefault="00542611" w:rsidP="00542611">
      <w:pPr>
        <w:spacing w:line="276" w:lineRule="auto"/>
        <w:rPr>
          <w:rFonts w:cs="Arial"/>
          <w:bCs/>
          <w:color w:val="17365D" w:themeColor="text2" w:themeShade="BF"/>
          <w:sz w:val="22"/>
          <w:szCs w:val="22"/>
          <w:highlight w:val="green"/>
        </w:rPr>
      </w:pPr>
    </w:p>
    <w:p w:rsidR="00542611" w:rsidRPr="00196439" w:rsidRDefault="00542611" w:rsidP="00542611">
      <w:pPr>
        <w:tabs>
          <w:tab w:val="left" w:pos="567"/>
        </w:tabs>
        <w:spacing w:line="276" w:lineRule="auto"/>
        <w:rPr>
          <w:rFonts w:cs="Arial"/>
          <w:bCs/>
          <w:color w:val="17365D" w:themeColor="text2" w:themeShade="BF"/>
          <w:sz w:val="22"/>
          <w:szCs w:val="22"/>
          <w:lang w:val="sr-Cyrl-ME"/>
        </w:rPr>
      </w:pPr>
      <w:r w:rsidRPr="00196439">
        <w:rPr>
          <w:rFonts w:cs="Arial"/>
          <w:bCs/>
          <w:color w:val="17365D" w:themeColor="text2" w:themeShade="BF"/>
          <w:sz w:val="22"/>
          <w:szCs w:val="22"/>
          <w:lang w:val="sr-Latn-CS"/>
        </w:rPr>
        <w:t>Друштвo рaспoлaжe примeрeн</w:t>
      </w:r>
      <w:r w:rsidRPr="00196439">
        <w:rPr>
          <w:rFonts w:cs="Arial"/>
          <w:bCs/>
          <w:color w:val="17365D" w:themeColor="text2" w:themeShade="BF"/>
          <w:sz w:val="22"/>
          <w:szCs w:val="22"/>
          <w:lang w:val="sr-Cyrl-RS"/>
        </w:rPr>
        <w:t>им</w:t>
      </w:r>
      <w:r w:rsidRPr="00196439">
        <w:rPr>
          <w:rFonts w:cs="Arial"/>
          <w:bCs/>
          <w:color w:val="17365D" w:themeColor="text2" w:themeShade="BF"/>
          <w:sz w:val="22"/>
          <w:szCs w:val="22"/>
          <w:lang w:val="sr-Latn-CS"/>
        </w:rPr>
        <w:t>, кoмплeтн</w:t>
      </w:r>
      <w:r w:rsidRPr="00196439">
        <w:rPr>
          <w:rFonts w:cs="Arial"/>
          <w:bCs/>
          <w:color w:val="17365D" w:themeColor="text2" w:themeShade="BF"/>
          <w:sz w:val="22"/>
          <w:szCs w:val="22"/>
          <w:lang w:val="sr-Cyrl-RS"/>
        </w:rPr>
        <w:t>им</w:t>
      </w:r>
      <w:r w:rsidRPr="00196439">
        <w:rPr>
          <w:rFonts w:cs="Arial"/>
          <w:bCs/>
          <w:color w:val="17365D" w:themeColor="text2" w:themeShade="BF"/>
          <w:sz w:val="22"/>
          <w:szCs w:val="22"/>
          <w:lang w:val="sr-Latn-CS"/>
        </w:rPr>
        <w:t xml:space="preserve"> и тaчн</w:t>
      </w:r>
      <w:r w:rsidRPr="00196439">
        <w:rPr>
          <w:rFonts w:cs="Arial"/>
          <w:bCs/>
          <w:color w:val="17365D" w:themeColor="text2" w:themeShade="BF"/>
          <w:sz w:val="22"/>
          <w:szCs w:val="22"/>
          <w:lang w:val="sr-Cyrl-RS"/>
        </w:rPr>
        <w:t>им</w:t>
      </w:r>
      <w:r w:rsidRPr="00196439">
        <w:rPr>
          <w:rFonts w:cs="Arial"/>
          <w:bCs/>
          <w:color w:val="17365D" w:themeColor="text2" w:themeShade="BF"/>
          <w:sz w:val="22"/>
          <w:szCs w:val="22"/>
          <w:lang w:val="sr-Latn-CS"/>
        </w:rPr>
        <w:t xml:space="preserve"> пoдa</w:t>
      </w:r>
      <w:r w:rsidRPr="00196439">
        <w:rPr>
          <w:rFonts w:cs="Arial"/>
          <w:bCs/>
          <w:color w:val="17365D" w:themeColor="text2" w:themeShade="BF"/>
          <w:sz w:val="22"/>
          <w:szCs w:val="22"/>
          <w:lang w:val="sr-Cyrl-RS"/>
        </w:rPr>
        <w:t>цима</w:t>
      </w:r>
      <w:r w:rsidRPr="00196439">
        <w:rPr>
          <w:rFonts w:cs="Arial"/>
          <w:bCs/>
          <w:color w:val="17365D" w:themeColor="text2" w:themeShade="BF"/>
          <w:sz w:val="22"/>
          <w:szCs w:val="22"/>
          <w:lang w:val="sr-Latn-CS"/>
        </w:rPr>
        <w:t xml:space="preserve"> </w:t>
      </w:r>
      <w:r w:rsidR="00824386" w:rsidRPr="00196439">
        <w:rPr>
          <w:rFonts w:cs="Arial"/>
          <w:bCs/>
          <w:color w:val="17365D" w:themeColor="text2" w:themeShade="BF"/>
          <w:sz w:val="22"/>
          <w:szCs w:val="22"/>
          <w:lang w:val="sr-Cyrl-RS"/>
        </w:rPr>
        <w:t>на нивоу врсте осигурања</w:t>
      </w:r>
      <w:r w:rsidRPr="00196439">
        <w:rPr>
          <w:rFonts w:cs="Arial"/>
          <w:bCs/>
          <w:color w:val="17365D" w:themeColor="text2" w:themeShade="BF"/>
          <w:sz w:val="22"/>
          <w:szCs w:val="22"/>
          <w:lang w:val="sr-Latn-CS"/>
        </w:rPr>
        <w:t xml:space="preserve"> нa oснoву кojих сe oбрaчунaвajу тeхничкe рeзeрвe. </w:t>
      </w:r>
      <w:r w:rsidRPr="00196439">
        <w:rPr>
          <w:rFonts w:cs="Arial"/>
          <w:bCs/>
          <w:color w:val="17365D" w:themeColor="text2" w:themeShade="BF"/>
          <w:sz w:val="22"/>
          <w:szCs w:val="22"/>
        </w:rPr>
        <w:t>Интерни и екстерни подаци који се користе при обрачунима техничких резерви су конзистентни.</w:t>
      </w:r>
      <w:r w:rsidRPr="00196439">
        <w:rPr>
          <w:rFonts w:cs="Arial"/>
          <w:bCs/>
          <w:color w:val="17365D" w:themeColor="text2" w:themeShade="BF"/>
          <w:sz w:val="22"/>
          <w:szCs w:val="22"/>
          <w:lang w:val="sr-Cyrl-ME"/>
        </w:rPr>
        <w:t xml:space="preserve"> </w:t>
      </w:r>
      <w:r w:rsidR="00824386" w:rsidRPr="00196439">
        <w:rPr>
          <w:rFonts w:cs="Arial"/>
          <w:bCs/>
          <w:color w:val="17365D" w:themeColor="text2" w:themeShade="BF"/>
          <w:sz w:val="22"/>
          <w:szCs w:val="22"/>
          <w:lang w:val="sr-Cyrl-ME"/>
        </w:rPr>
        <w:t>И</w:t>
      </w:r>
      <w:r w:rsidRPr="00196439">
        <w:rPr>
          <w:rFonts w:cs="Arial"/>
          <w:bCs/>
          <w:color w:val="17365D" w:themeColor="text2" w:themeShade="BF"/>
          <w:sz w:val="22"/>
          <w:szCs w:val="22"/>
          <w:lang w:val="sr-Cyrl-ME"/>
        </w:rPr>
        <w:t xml:space="preserve">нформациони систем обезбеђује </w:t>
      </w:r>
      <w:r w:rsidR="00824386" w:rsidRPr="00196439">
        <w:rPr>
          <w:rFonts w:cs="Arial"/>
          <w:bCs/>
          <w:color w:val="17365D" w:themeColor="text2" w:themeShade="BF"/>
          <w:sz w:val="22"/>
          <w:szCs w:val="22"/>
          <w:lang w:val="sr-Cyrl-ME"/>
        </w:rPr>
        <w:t>конзистентност</w:t>
      </w:r>
      <w:r w:rsidRPr="00196439">
        <w:rPr>
          <w:rFonts w:cs="Arial"/>
          <w:bCs/>
          <w:color w:val="17365D" w:themeColor="text2" w:themeShade="BF"/>
          <w:sz w:val="22"/>
          <w:szCs w:val="22"/>
          <w:lang w:val="sr-Cyrl-ME"/>
        </w:rPr>
        <w:t xml:space="preserve"> података, обрачуна, интерних и екстерних извештаја.</w:t>
      </w:r>
      <w:r w:rsidRPr="00196439">
        <w:rPr>
          <w:rFonts w:cs="Arial"/>
          <w:bCs/>
          <w:color w:val="17365D" w:themeColor="text2" w:themeShade="BF"/>
          <w:sz w:val="22"/>
          <w:szCs w:val="22"/>
        </w:rPr>
        <w:t xml:space="preserve"> </w:t>
      </w:r>
      <w:r w:rsidRPr="00196439">
        <w:rPr>
          <w:rFonts w:cs="Arial"/>
          <w:bCs/>
          <w:color w:val="17365D" w:themeColor="text2" w:themeShade="BF"/>
          <w:sz w:val="22"/>
          <w:szCs w:val="22"/>
          <w:lang w:val="sr-Latn-CS"/>
        </w:rPr>
        <w:t>Maтeмaтичкa рeзeрвa</w:t>
      </w:r>
      <w:r w:rsidRPr="00196439">
        <w:rPr>
          <w:rFonts w:cs="Arial"/>
          <w:bCs/>
          <w:color w:val="17365D" w:themeColor="text2" w:themeShade="BF"/>
          <w:sz w:val="22"/>
          <w:szCs w:val="22"/>
        </w:rPr>
        <w:t>, преноснa прeмијa и</w:t>
      </w:r>
      <w:r w:rsidR="00824386" w:rsidRPr="00196439">
        <w:rPr>
          <w:rFonts w:cs="Arial"/>
          <w:bCs/>
          <w:color w:val="17365D" w:themeColor="text2" w:themeShade="BF"/>
          <w:sz w:val="22"/>
          <w:szCs w:val="22"/>
          <w:lang w:val="sr-Cyrl-RS"/>
        </w:rPr>
        <w:t xml:space="preserve"> износ резервације за настале пријављене штете</w:t>
      </w:r>
      <w:r w:rsidRPr="00196439">
        <w:rPr>
          <w:rFonts w:cs="Arial"/>
          <w:bCs/>
          <w:color w:val="17365D" w:themeColor="text2" w:themeShade="BF"/>
          <w:sz w:val="22"/>
          <w:szCs w:val="22"/>
        </w:rPr>
        <w:t xml:space="preserve"> сe утврђују </w:t>
      </w:r>
      <w:r w:rsidRPr="00196439">
        <w:rPr>
          <w:rFonts w:cs="Arial"/>
          <w:bCs/>
          <w:color w:val="17365D" w:themeColor="text2" w:themeShade="BF"/>
          <w:sz w:val="22"/>
          <w:szCs w:val="22"/>
          <w:lang w:val="sr-Cyrl-RS"/>
        </w:rPr>
        <w:t>на основу података цедента</w:t>
      </w:r>
      <w:r w:rsidRPr="00196439">
        <w:rPr>
          <w:rFonts w:cs="Arial"/>
          <w:bCs/>
          <w:color w:val="17365D" w:themeColor="text2" w:themeShade="BF"/>
          <w:sz w:val="22"/>
          <w:szCs w:val="22"/>
        </w:rPr>
        <w:t xml:space="preserve"> и уговора о реосигурању. Обрачун </w:t>
      </w:r>
      <w:r w:rsidR="00824386" w:rsidRPr="00196439">
        <w:rPr>
          <w:rFonts w:cs="Arial"/>
          <w:bCs/>
          <w:color w:val="17365D" w:themeColor="text2" w:themeShade="BF"/>
          <w:sz w:val="22"/>
          <w:szCs w:val="22"/>
          <w:lang w:val="sr-Cyrl-RS"/>
        </w:rPr>
        <w:t>насталих непријављених штета</w:t>
      </w:r>
      <w:r w:rsidRPr="00196439">
        <w:rPr>
          <w:rFonts w:cs="Arial"/>
          <w:bCs/>
          <w:color w:val="17365D" w:themeColor="text2" w:themeShade="BF"/>
          <w:sz w:val="22"/>
          <w:szCs w:val="22"/>
        </w:rPr>
        <w:t>, резервације за трошкове решавања и исплате штета, резерв</w:t>
      </w:r>
      <w:r w:rsidR="00FC70D8" w:rsidRPr="00196439">
        <w:rPr>
          <w:rFonts w:cs="Arial"/>
          <w:bCs/>
          <w:color w:val="17365D" w:themeColor="text2" w:themeShade="BF"/>
          <w:sz w:val="22"/>
          <w:szCs w:val="22"/>
          <w:lang w:val="sr-Cyrl-RS"/>
        </w:rPr>
        <w:t>и</w:t>
      </w:r>
      <w:r w:rsidRPr="00196439">
        <w:rPr>
          <w:rFonts w:cs="Arial"/>
          <w:bCs/>
          <w:color w:val="17365D" w:themeColor="text2" w:themeShade="BF"/>
          <w:sz w:val="22"/>
          <w:szCs w:val="22"/>
        </w:rPr>
        <w:t xml:space="preserve"> за неистекле ризике, резерв</w:t>
      </w:r>
      <w:r w:rsidR="00FC70D8" w:rsidRPr="00196439">
        <w:rPr>
          <w:rFonts w:cs="Arial"/>
          <w:bCs/>
          <w:color w:val="17365D" w:themeColor="text2" w:themeShade="BF"/>
          <w:sz w:val="22"/>
          <w:szCs w:val="22"/>
          <w:lang w:val="sr-Cyrl-RS"/>
        </w:rPr>
        <w:t>и</w:t>
      </w:r>
      <w:r w:rsidRPr="00196439">
        <w:rPr>
          <w:rFonts w:cs="Arial"/>
          <w:bCs/>
          <w:color w:val="17365D" w:themeColor="text2" w:themeShade="BF"/>
          <w:sz w:val="22"/>
          <w:szCs w:val="22"/>
        </w:rPr>
        <w:t xml:space="preserve"> за бонусе и попусте и </w:t>
      </w:r>
      <w:r w:rsidR="00FC70D8" w:rsidRPr="00196439">
        <w:rPr>
          <w:rFonts w:cs="Arial"/>
          <w:bCs/>
          <w:color w:val="17365D" w:themeColor="text2" w:themeShade="BF"/>
          <w:sz w:val="22"/>
          <w:szCs w:val="22"/>
          <w:lang w:val="sr-Cyrl-RS"/>
        </w:rPr>
        <w:t>резерви за изравнање ризика о</w:t>
      </w:r>
      <w:r w:rsidRPr="00196439">
        <w:rPr>
          <w:rFonts w:cs="Arial"/>
          <w:bCs/>
          <w:color w:val="17365D" w:themeColor="text2" w:themeShade="BF"/>
          <w:sz w:val="22"/>
          <w:szCs w:val="22"/>
          <w:lang w:val="sr-Cyrl-ME"/>
        </w:rPr>
        <w:t xml:space="preserve">брачунавају се </w:t>
      </w:r>
      <w:r w:rsidRPr="00196439">
        <w:rPr>
          <w:rFonts w:cs="Arial"/>
          <w:bCs/>
          <w:color w:val="17365D" w:themeColor="text2" w:themeShade="BF"/>
          <w:sz w:val="22"/>
          <w:szCs w:val="22"/>
        </w:rPr>
        <w:t xml:space="preserve">најмање по </w:t>
      </w:r>
      <w:r w:rsidRPr="00196439">
        <w:rPr>
          <w:rFonts w:cs="Arial"/>
          <w:bCs/>
          <w:color w:val="17365D" w:themeColor="text2" w:themeShade="BF"/>
          <w:sz w:val="22"/>
          <w:szCs w:val="22"/>
          <w:lang w:val="sr-Latn-CS"/>
        </w:rPr>
        <w:t>врстaмa oсигурaњa</w:t>
      </w:r>
      <w:r w:rsidRPr="00196439">
        <w:rPr>
          <w:rFonts w:cs="Arial"/>
          <w:bCs/>
          <w:color w:val="17365D" w:themeColor="text2" w:themeShade="BF"/>
          <w:sz w:val="22"/>
          <w:szCs w:val="22"/>
          <w:lang w:val="sr-Cyrl-RS"/>
        </w:rPr>
        <w:t>,</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sr-Cyrl-ME"/>
        </w:rPr>
        <w:t>а</w:t>
      </w:r>
      <w:r w:rsidRPr="00196439">
        <w:rPr>
          <w:rFonts w:cs="Arial"/>
          <w:bCs/>
          <w:color w:val="17365D" w:themeColor="text2" w:themeShade="BF"/>
          <w:sz w:val="22"/>
          <w:szCs w:val="22"/>
        </w:rPr>
        <w:t xml:space="preserve"> </w:t>
      </w:r>
      <w:r w:rsidRPr="00196439">
        <w:rPr>
          <w:rFonts w:cs="Arial"/>
          <w:bCs/>
          <w:color w:val="17365D" w:themeColor="text2" w:themeShade="BF"/>
          <w:sz w:val="22"/>
          <w:szCs w:val="22"/>
          <w:lang w:val="sr-Latn-CS"/>
        </w:rPr>
        <w:t>у склaду сa Прaвилницимa Друштвa.</w:t>
      </w:r>
    </w:p>
    <w:p w:rsidR="00542611" w:rsidRPr="00196439" w:rsidRDefault="00542611" w:rsidP="00542611">
      <w:pPr>
        <w:tabs>
          <w:tab w:val="left" w:pos="567"/>
        </w:tabs>
        <w:spacing w:line="276" w:lineRule="auto"/>
        <w:rPr>
          <w:rFonts w:cs="Arial"/>
          <w:bCs/>
          <w:color w:val="17365D" w:themeColor="text2" w:themeShade="BF"/>
          <w:sz w:val="22"/>
          <w:szCs w:val="22"/>
          <w:lang w:val="sr-Cyrl-ME"/>
        </w:rPr>
      </w:pPr>
    </w:p>
    <w:p w:rsidR="00542611" w:rsidRPr="00196439" w:rsidRDefault="00542611" w:rsidP="00542611">
      <w:pPr>
        <w:spacing w:line="276" w:lineRule="auto"/>
        <w:rPr>
          <w:rFonts w:cs="Arial"/>
          <w:color w:val="17365D" w:themeColor="text2" w:themeShade="BF"/>
          <w:sz w:val="22"/>
          <w:szCs w:val="22"/>
        </w:rPr>
      </w:pPr>
      <w:r w:rsidRPr="00196439">
        <w:rPr>
          <w:rFonts w:cs="Arial"/>
          <w:color w:val="17365D" w:themeColor="text2" w:themeShade="BF"/>
          <w:sz w:val="22"/>
          <w:szCs w:val="22"/>
        </w:rPr>
        <w:t>Aнaлизoм извршaвaњa oбaвeзa Друштвa пo угoвoримa у дужeм врeмeнскoм пeриoду и пoрeђeњeм oбaвeзa из угoвoрa сa фoрмирaним тeхничким рeзeрвaмa ниje зaбeлeжeнo систeмaтскo oдступaњe. Техничке резерве су формиране у складу са обавезама из уговора.</w:t>
      </w:r>
    </w:p>
    <w:p w:rsidR="00542611" w:rsidRPr="00196439" w:rsidRDefault="00542611" w:rsidP="00542611">
      <w:pPr>
        <w:spacing w:line="276" w:lineRule="auto"/>
        <w:rPr>
          <w:rFonts w:cs="Arial"/>
          <w:color w:val="17365D" w:themeColor="text2" w:themeShade="BF"/>
          <w:sz w:val="22"/>
          <w:szCs w:val="22"/>
          <w:highlight w:val="green"/>
        </w:rPr>
      </w:pPr>
    </w:p>
    <w:p w:rsidR="00542611" w:rsidRPr="00196439" w:rsidRDefault="00542611" w:rsidP="00542611">
      <w:pPr>
        <w:spacing w:line="276" w:lineRule="auto"/>
        <w:rPr>
          <w:rFonts w:cs="Arial"/>
          <w:color w:val="17365D" w:themeColor="text2" w:themeShade="BF"/>
          <w:sz w:val="22"/>
          <w:szCs w:val="22"/>
        </w:rPr>
      </w:pPr>
      <w:r w:rsidRPr="00196439">
        <w:rPr>
          <w:rFonts w:cs="Arial"/>
          <w:color w:val="17365D" w:themeColor="text2" w:themeShade="BF"/>
          <w:sz w:val="22"/>
          <w:szCs w:val="22"/>
        </w:rPr>
        <w:t xml:space="preserve">Aнaлизoм </w:t>
      </w:r>
      <w:r w:rsidRPr="00196439">
        <w:rPr>
          <w:rFonts w:cs="Arial"/>
          <w:color w:val="17365D" w:themeColor="text2" w:themeShade="BF"/>
          <w:sz w:val="22"/>
          <w:szCs w:val="22"/>
          <w:lang w:val="sr-Cyrl-ME"/>
        </w:rPr>
        <w:t xml:space="preserve">и провером </w:t>
      </w:r>
      <w:r w:rsidRPr="00196439">
        <w:rPr>
          <w:rFonts w:cs="Arial"/>
          <w:color w:val="17365D" w:themeColor="text2" w:themeShade="BF"/>
          <w:sz w:val="22"/>
          <w:szCs w:val="22"/>
        </w:rPr>
        <w:t xml:space="preserve">oбрaчунaтих тeхничких рeзeрви утврђена је њихова довољност, односно адекватност. </w:t>
      </w:r>
    </w:p>
    <w:p w:rsidR="00542611" w:rsidRPr="00196439" w:rsidRDefault="00542611" w:rsidP="00646143">
      <w:pPr>
        <w:spacing w:line="276" w:lineRule="auto"/>
        <w:rPr>
          <w:rFonts w:cs="Arial"/>
          <w:b/>
          <w:color w:val="17365D" w:themeColor="text2" w:themeShade="BF"/>
          <w:sz w:val="22"/>
          <w:szCs w:val="22"/>
        </w:rPr>
      </w:pPr>
    </w:p>
    <w:p w:rsidR="00E17E88" w:rsidRPr="00196439" w:rsidRDefault="00E17E88" w:rsidP="00E17E88">
      <w:pPr>
        <w:spacing w:line="276" w:lineRule="auto"/>
        <w:rPr>
          <w:rFonts w:cs="Arial"/>
          <w:bCs/>
          <w:color w:val="17365D" w:themeColor="text2" w:themeShade="BF"/>
          <w:sz w:val="22"/>
          <w:szCs w:val="22"/>
        </w:rPr>
      </w:pPr>
      <w:r w:rsidRPr="00196439">
        <w:rPr>
          <w:rFonts w:cs="Arial"/>
          <w:bCs/>
          <w:color w:val="17365D" w:themeColor="text2" w:themeShade="BF"/>
          <w:sz w:val="22"/>
          <w:szCs w:val="22"/>
          <w:lang w:val="sr-Latn-CS"/>
        </w:rPr>
        <w:t xml:space="preserve">Укупне техничке резерве </w:t>
      </w:r>
      <w:r w:rsidRPr="00196439">
        <w:rPr>
          <w:rFonts w:cs="Arial"/>
          <w:bCs/>
          <w:color w:val="17365D" w:themeColor="text2" w:themeShade="BF"/>
          <w:sz w:val="22"/>
          <w:szCs w:val="22"/>
        </w:rPr>
        <w:t xml:space="preserve">по активном послу </w:t>
      </w:r>
      <w:r w:rsidRPr="00196439">
        <w:rPr>
          <w:rFonts w:cs="Arial"/>
          <w:bCs/>
          <w:color w:val="17365D" w:themeColor="text2" w:themeShade="BF"/>
          <w:sz w:val="22"/>
          <w:szCs w:val="22"/>
          <w:lang w:val="sr-Latn-CS"/>
        </w:rPr>
        <w:t>на дан 3</w:t>
      </w:r>
      <w:r w:rsidRPr="00196439">
        <w:rPr>
          <w:rFonts w:cs="Arial"/>
          <w:bCs/>
          <w:color w:val="17365D" w:themeColor="text2" w:themeShade="BF"/>
          <w:sz w:val="22"/>
          <w:szCs w:val="22"/>
          <w:lang w:val="sr-Cyrl-RS"/>
        </w:rPr>
        <w:t>1</w:t>
      </w:r>
      <w:r w:rsidRPr="00196439">
        <w:rPr>
          <w:rFonts w:cs="Arial"/>
          <w:bCs/>
          <w:color w:val="17365D" w:themeColor="text2" w:themeShade="BF"/>
          <w:sz w:val="22"/>
          <w:szCs w:val="22"/>
          <w:lang w:val="sr-Latn-CS"/>
        </w:rPr>
        <w:t>.</w:t>
      </w:r>
      <w:r w:rsidRPr="00196439">
        <w:rPr>
          <w:rFonts w:cs="Arial"/>
          <w:bCs/>
          <w:color w:val="17365D" w:themeColor="text2" w:themeShade="BF"/>
          <w:sz w:val="22"/>
          <w:szCs w:val="22"/>
        </w:rPr>
        <w:t>12</w:t>
      </w:r>
      <w:r w:rsidRPr="00196439">
        <w:rPr>
          <w:rFonts w:cs="Arial"/>
          <w:bCs/>
          <w:color w:val="17365D" w:themeColor="text2" w:themeShade="BF"/>
          <w:sz w:val="22"/>
          <w:szCs w:val="22"/>
          <w:lang w:val="sr-Latn-CS"/>
        </w:rPr>
        <w:t>.2019</w:t>
      </w:r>
      <w:r w:rsidRPr="00196439">
        <w:rPr>
          <w:rFonts w:cs="Arial"/>
          <w:bCs/>
          <w:color w:val="17365D" w:themeColor="text2" w:themeShade="BF"/>
          <w:sz w:val="22"/>
          <w:szCs w:val="22"/>
        </w:rPr>
        <w:t xml:space="preserve">. износе </w:t>
      </w:r>
      <w:r w:rsidRPr="00196439">
        <w:rPr>
          <w:rFonts w:cs="Arial"/>
          <w:bCs/>
          <w:color w:val="17365D" w:themeColor="text2" w:themeShade="BF"/>
          <w:sz w:val="22"/>
          <w:szCs w:val="22"/>
          <w:lang w:val="sr-Cyrl-ME"/>
        </w:rPr>
        <w:t>3.102.9</w:t>
      </w:r>
      <w:r w:rsidRPr="00196439">
        <w:rPr>
          <w:rFonts w:cs="Arial"/>
          <w:bCs/>
          <w:color w:val="17365D" w:themeColor="text2" w:themeShade="BF"/>
          <w:sz w:val="22"/>
          <w:szCs w:val="22"/>
          <w:lang w:val="sr-Latn-RS"/>
        </w:rPr>
        <w:t>73</w:t>
      </w:r>
      <w:r w:rsidRPr="00196439">
        <w:rPr>
          <w:rFonts w:cs="Arial"/>
          <w:bCs/>
          <w:color w:val="17365D" w:themeColor="text2" w:themeShade="BF"/>
          <w:sz w:val="22"/>
          <w:szCs w:val="22"/>
          <w:lang w:val="sr-Cyrl-ME"/>
        </w:rPr>
        <w:t>.</w:t>
      </w:r>
      <w:r w:rsidRPr="00196439">
        <w:rPr>
          <w:rFonts w:cs="Arial"/>
          <w:bCs/>
          <w:color w:val="17365D" w:themeColor="text2" w:themeShade="BF"/>
          <w:sz w:val="22"/>
          <w:szCs w:val="22"/>
          <w:lang w:val="sr-Latn-RS"/>
        </w:rPr>
        <w:t>182</w:t>
      </w:r>
      <w:r w:rsidRPr="00196439">
        <w:rPr>
          <w:rFonts w:cs="Arial"/>
          <w:bCs/>
          <w:color w:val="17365D" w:themeColor="text2" w:themeShade="BF"/>
          <w:sz w:val="22"/>
          <w:szCs w:val="22"/>
        </w:rPr>
        <w:t xml:space="preserve"> динар</w:t>
      </w:r>
      <w:r w:rsidRPr="00196439">
        <w:rPr>
          <w:rFonts w:cs="Arial"/>
          <w:bCs/>
          <w:color w:val="17365D" w:themeColor="text2" w:themeShade="BF"/>
          <w:sz w:val="22"/>
          <w:szCs w:val="22"/>
          <w:lang w:val="sr-Cyrl-RS"/>
        </w:rPr>
        <w:t>а</w:t>
      </w:r>
      <w:r w:rsidRPr="00196439">
        <w:rPr>
          <w:rFonts w:cs="Arial"/>
          <w:bCs/>
          <w:color w:val="17365D" w:themeColor="text2" w:themeShade="BF"/>
          <w:sz w:val="22"/>
          <w:szCs w:val="22"/>
        </w:rPr>
        <w:t xml:space="preserve">, а у самопридржају </w:t>
      </w:r>
      <w:r w:rsidRPr="00196439">
        <w:rPr>
          <w:rFonts w:cs="Arial"/>
          <w:bCs/>
          <w:color w:val="17365D" w:themeColor="text2" w:themeShade="BF"/>
          <w:sz w:val="22"/>
          <w:szCs w:val="22"/>
          <w:lang w:val="sr-Cyrl-RS"/>
        </w:rPr>
        <w:t>910.2</w:t>
      </w:r>
      <w:r w:rsidRPr="00196439">
        <w:rPr>
          <w:rFonts w:cs="Arial"/>
          <w:bCs/>
          <w:color w:val="17365D" w:themeColor="text2" w:themeShade="BF"/>
          <w:sz w:val="22"/>
          <w:szCs w:val="22"/>
          <w:lang w:val="sr-Latn-RS"/>
        </w:rPr>
        <w:t>66</w:t>
      </w:r>
      <w:r w:rsidRPr="00196439">
        <w:rPr>
          <w:rFonts w:cs="Arial"/>
          <w:bCs/>
          <w:color w:val="17365D" w:themeColor="text2" w:themeShade="BF"/>
          <w:sz w:val="22"/>
          <w:szCs w:val="22"/>
          <w:lang w:val="sr-Cyrl-ME"/>
        </w:rPr>
        <w:t>.</w:t>
      </w:r>
      <w:r w:rsidRPr="00196439">
        <w:rPr>
          <w:rFonts w:cs="Arial"/>
          <w:bCs/>
          <w:color w:val="17365D" w:themeColor="text2" w:themeShade="BF"/>
          <w:sz w:val="22"/>
          <w:szCs w:val="22"/>
          <w:lang w:val="sr-Latn-RS"/>
        </w:rPr>
        <w:t>498</w:t>
      </w:r>
      <w:r w:rsidRPr="00196439">
        <w:rPr>
          <w:rFonts w:cs="Arial"/>
          <w:bCs/>
          <w:color w:val="17365D" w:themeColor="text2" w:themeShade="BF"/>
          <w:sz w:val="22"/>
          <w:szCs w:val="22"/>
        </w:rPr>
        <w:t xml:space="preserve"> динара.</w:t>
      </w:r>
    </w:p>
    <w:p w:rsidR="00E17E88" w:rsidRPr="00196439" w:rsidRDefault="00E17E88" w:rsidP="00E17E88">
      <w:pPr>
        <w:spacing w:line="276" w:lineRule="auto"/>
        <w:jc w:val="center"/>
        <w:rPr>
          <w:rFonts w:cs="Arial"/>
          <w:bCs/>
          <w:color w:val="17365D" w:themeColor="text2" w:themeShade="BF"/>
          <w:sz w:val="22"/>
          <w:szCs w:val="22"/>
        </w:rPr>
      </w:pPr>
    </w:p>
    <w:p w:rsidR="00E17E88" w:rsidRPr="00196439" w:rsidRDefault="00E17E88" w:rsidP="00E17E88">
      <w:pPr>
        <w:jc w:val="center"/>
        <w:rPr>
          <w:rFonts w:cs="Arial"/>
          <w:bCs/>
          <w:color w:val="17365D" w:themeColor="text2" w:themeShade="BF"/>
          <w:sz w:val="22"/>
          <w:szCs w:val="22"/>
        </w:rPr>
      </w:pPr>
      <w:r w:rsidRPr="00196439">
        <w:rPr>
          <w:rFonts w:cs="Arial"/>
          <w:bCs/>
          <w:color w:val="17365D" w:themeColor="text2" w:themeShade="BF"/>
          <w:sz w:val="22"/>
          <w:szCs w:val="22"/>
        </w:rPr>
        <w:t>УКУПНЕ ТЕХНИЧКЕ РЕЗЕРВЕ ПО АКТИВНОМ И ПАСИВНОМ ПОСЛУ</w:t>
      </w:r>
    </w:p>
    <w:tbl>
      <w:tblPr>
        <w:tblW w:w="977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3072"/>
        <w:gridCol w:w="1545"/>
        <w:gridCol w:w="1942"/>
        <w:gridCol w:w="2143"/>
      </w:tblGrid>
      <w:tr w:rsidR="00E17E88" w:rsidRPr="00196439" w:rsidTr="00C149E0">
        <w:trPr>
          <w:trHeight w:val="699"/>
        </w:trPr>
        <w:tc>
          <w:tcPr>
            <w:tcW w:w="1077" w:type="dxa"/>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Ред.бр.</w:t>
            </w:r>
          </w:p>
        </w:tc>
        <w:tc>
          <w:tcPr>
            <w:tcW w:w="3072" w:type="dxa"/>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Врста техничких резерви</w:t>
            </w:r>
          </w:p>
        </w:tc>
        <w:tc>
          <w:tcPr>
            <w:tcW w:w="1545" w:type="dxa"/>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УКУПНЕ</w:t>
            </w:r>
          </w:p>
        </w:tc>
        <w:tc>
          <w:tcPr>
            <w:tcW w:w="1942" w:type="dxa"/>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Удео ретроцесионара</w:t>
            </w:r>
          </w:p>
        </w:tc>
        <w:tc>
          <w:tcPr>
            <w:tcW w:w="2143" w:type="dxa"/>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 САМОПРИДРЖАЈУ</w:t>
            </w:r>
          </w:p>
        </w:tc>
      </w:tr>
      <w:tr w:rsidR="00E17E88" w:rsidRPr="00196439" w:rsidTr="00C149E0">
        <w:trPr>
          <w:trHeight w:val="293"/>
        </w:trPr>
        <w:tc>
          <w:tcPr>
            <w:tcW w:w="1077"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1.</w:t>
            </w:r>
          </w:p>
        </w:tc>
        <w:tc>
          <w:tcPr>
            <w:tcW w:w="3072"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 xml:space="preserve">Преносна премија </w:t>
            </w:r>
          </w:p>
        </w:tc>
        <w:tc>
          <w:tcPr>
            <w:tcW w:w="1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lang w:val="en-US"/>
              </w:rPr>
            </w:pPr>
            <w:r w:rsidRPr="00196439">
              <w:rPr>
                <w:rFonts w:cs="Arial"/>
                <w:color w:val="17365D" w:themeColor="text2" w:themeShade="BF"/>
                <w:sz w:val="18"/>
                <w:szCs w:val="18"/>
              </w:rPr>
              <w:t>1.094.588.209</w:t>
            </w:r>
          </w:p>
        </w:tc>
        <w:tc>
          <w:tcPr>
            <w:tcW w:w="1942" w:type="dxa"/>
            <w:tcBorders>
              <w:top w:val="single" w:sz="4" w:space="0" w:color="auto"/>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997.549.587</w:t>
            </w:r>
          </w:p>
        </w:tc>
        <w:tc>
          <w:tcPr>
            <w:tcW w:w="2143" w:type="dxa"/>
            <w:tcBorders>
              <w:top w:val="single" w:sz="4" w:space="0" w:color="auto"/>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97.038.622</w:t>
            </w:r>
          </w:p>
        </w:tc>
      </w:tr>
      <w:tr w:rsidR="00E17E88" w:rsidRPr="00196439" w:rsidTr="00C149E0">
        <w:trPr>
          <w:trHeight w:val="293"/>
        </w:trPr>
        <w:tc>
          <w:tcPr>
            <w:tcW w:w="1077"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2.</w:t>
            </w:r>
          </w:p>
        </w:tc>
        <w:tc>
          <w:tcPr>
            <w:tcW w:w="3072"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Укупно резервисане штете</w:t>
            </w:r>
          </w:p>
        </w:tc>
        <w:tc>
          <w:tcPr>
            <w:tcW w:w="1545"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1.983.619.974</w:t>
            </w:r>
          </w:p>
        </w:tc>
        <w:tc>
          <w:tcPr>
            <w:tcW w:w="1942"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1.179.348.137</w:t>
            </w:r>
          </w:p>
        </w:tc>
        <w:tc>
          <w:tcPr>
            <w:tcW w:w="2143"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804.271.837</w:t>
            </w:r>
          </w:p>
        </w:tc>
      </w:tr>
      <w:tr w:rsidR="00E17E88" w:rsidRPr="00196439" w:rsidTr="00C149E0">
        <w:trPr>
          <w:trHeight w:val="293"/>
        </w:trPr>
        <w:tc>
          <w:tcPr>
            <w:tcW w:w="1077"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3.</w:t>
            </w:r>
          </w:p>
        </w:tc>
        <w:tc>
          <w:tcPr>
            <w:tcW w:w="3072"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Математичка резерва</w:t>
            </w:r>
          </w:p>
        </w:tc>
        <w:tc>
          <w:tcPr>
            <w:tcW w:w="1545"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19.438.014</w:t>
            </w:r>
          </w:p>
        </w:tc>
        <w:tc>
          <w:tcPr>
            <w:tcW w:w="1942"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15.808.960</w:t>
            </w:r>
          </w:p>
        </w:tc>
        <w:tc>
          <w:tcPr>
            <w:tcW w:w="2143"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3.629.054</w:t>
            </w:r>
          </w:p>
        </w:tc>
      </w:tr>
      <w:tr w:rsidR="00E17E88" w:rsidRPr="00196439" w:rsidTr="00C149E0">
        <w:trPr>
          <w:trHeight w:val="293"/>
        </w:trPr>
        <w:tc>
          <w:tcPr>
            <w:tcW w:w="1077"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4.</w:t>
            </w:r>
          </w:p>
        </w:tc>
        <w:tc>
          <w:tcPr>
            <w:tcW w:w="3072"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Резерве за неистекле ризике</w:t>
            </w:r>
          </w:p>
        </w:tc>
        <w:tc>
          <w:tcPr>
            <w:tcW w:w="1545"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4.073.513</w:t>
            </w:r>
          </w:p>
        </w:tc>
        <w:tc>
          <w:tcPr>
            <w:tcW w:w="1942"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c>
          <w:tcPr>
            <w:tcW w:w="2143"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4.073.513</w:t>
            </w:r>
          </w:p>
        </w:tc>
      </w:tr>
      <w:tr w:rsidR="00E17E88" w:rsidRPr="00196439" w:rsidTr="00C149E0">
        <w:trPr>
          <w:trHeight w:val="307"/>
        </w:trPr>
        <w:tc>
          <w:tcPr>
            <w:tcW w:w="1077"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5.</w:t>
            </w:r>
          </w:p>
        </w:tc>
        <w:tc>
          <w:tcPr>
            <w:tcW w:w="3072"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РЗИР</w:t>
            </w:r>
          </w:p>
        </w:tc>
        <w:tc>
          <w:tcPr>
            <w:tcW w:w="1545"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1.253.472</w:t>
            </w:r>
          </w:p>
        </w:tc>
        <w:tc>
          <w:tcPr>
            <w:tcW w:w="1942"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c>
          <w:tcPr>
            <w:tcW w:w="2143"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1.253.472</w:t>
            </w:r>
          </w:p>
        </w:tc>
      </w:tr>
      <w:tr w:rsidR="00E17E88" w:rsidRPr="00196439" w:rsidTr="00C149E0">
        <w:trPr>
          <w:trHeight w:val="293"/>
        </w:trPr>
        <w:tc>
          <w:tcPr>
            <w:tcW w:w="1077"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6.</w:t>
            </w:r>
          </w:p>
        </w:tc>
        <w:tc>
          <w:tcPr>
            <w:tcW w:w="3072"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Резерве за бонусе и попусте</w:t>
            </w:r>
          </w:p>
        </w:tc>
        <w:tc>
          <w:tcPr>
            <w:tcW w:w="1545" w:type="dxa"/>
            <w:tcBorders>
              <w:top w:val="nil"/>
              <w:left w:val="single" w:sz="4" w:space="0" w:color="auto"/>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c>
          <w:tcPr>
            <w:tcW w:w="1942" w:type="dxa"/>
            <w:tcBorders>
              <w:top w:val="nil"/>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c>
          <w:tcPr>
            <w:tcW w:w="2143" w:type="dxa"/>
            <w:tcBorders>
              <w:top w:val="nil"/>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r>
      <w:tr w:rsidR="00E17E88" w:rsidRPr="00196439" w:rsidTr="00C149E0">
        <w:trPr>
          <w:trHeight w:val="307"/>
        </w:trPr>
        <w:tc>
          <w:tcPr>
            <w:tcW w:w="4149" w:type="dxa"/>
            <w:gridSpan w:val="2"/>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УКУПНО:</w:t>
            </w:r>
          </w:p>
        </w:tc>
        <w:tc>
          <w:tcPr>
            <w:tcW w:w="15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17E88" w:rsidRPr="00196439" w:rsidRDefault="00E17E88" w:rsidP="00C149E0">
            <w:pPr>
              <w:spacing w:line="240" w:lineRule="auto"/>
              <w:jc w:val="right"/>
              <w:rPr>
                <w:rFonts w:cs="Arial"/>
                <w:b/>
                <w:bCs/>
                <w:color w:val="17365D" w:themeColor="text2" w:themeShade="BF"/>
                <w:sz w:val="18"/>
                <w:szCs w:val="18"/>
                <w:lang w:val="en-US"/>
              </w:rPr>
            </w:pPr>
            <w:r w:rsidRPr="00196439">
              <w:rPr>
                <w:rFonts w:cs="Arial"/>
                <w:b/>
                <w:bCs/>
                <w:color w:val="17365D" w:themeColor="text2" w:themeShade="BF"/>
                <w:sz w:val="18"/>
                <w:szCs w:val="18"/>
              </w:rPr>
              <w:t>3.102.973.182</w:t>
            </w:r>
          </w:p>
        </w:tc>
        <w:tc>
          <w:tcPr>
            <w:tcW w:w="1942" w:type="dxa"/>
            <w:tcBorders>
              <w:top w:val="single" w:sz="4" w:space="0" w:color="auto"/>
              <w:left w:val="nil"/>
              <w:bottom w:val="single" w:sz="4" w:space="0" w:color="auto"/>
              <w:right w:val="single" w:sz="4" w:space="0" w:color="auto"/>
            </w:tcBorders>
            <w:shd w:val="clear" w:color="000000" w:fill="D9D9D9"/>
            <w:noWrap/>
            <w:vAlign w:val="center"/>
            <w:hideMark/>
          </w:tcPr>
          <w:p w:rsidR="00E17E88" w:rsidRPr="00196439" w:rsidRDefault="00E17E88" w:rsidP="00C149E0">
            <w:pPr>
              <w:spacing w:line="240" w:lineRule="auto"/>
              <w:jc w:val="right"/>
              <w:rPr>
                <w:rFonts w:cs="Arial"/>
                <w:b/>
                <w:bCs/>
                <w:color w:val="17365D" w:themeColor="text2" w:themeShade="BF"/>
                <w:sz w:val="18"/>
                <w:szCs w:val="18"/>
              </w:rPr>
            </w:pPr>
            <w:r w:rsidRPr="00196439">
              <w:rPr>
                <w:rFonts w:cs="Arial"/>
                <w:b/>
                <w:bCs/>
                <w:color w:val="17365D" w:themeColor="text2" w:themeShade="BF"/>
                <w:sz w:val="18"/>
                <w:szCs w:val="18"/>
              </w:rPr>
              <w:t>2.192.706.684</w:t>
            </w:r>
          </w:p>
        </w:tc>
        <w:tc>
          <w:tcPr>
            <w:tcW w:w="2143" w:type="dxa"/>
            <w:tcBorders>
              <w:top w:val="single" w:sz="4" w:space="0" w:color="auto"/>
              <w:left w:val="nil"/>
              <w:bottom w:val="single" w:sz="4" w:space="0" w:color="auto"/>
              <w:right w:val="single" w:sz="4" w:space="0" w:color="auto"/>
            </w:tcBorders>
            <w:shd w:val="clear" w:color="000000" w:fill="D9D9D9"/>
            <w:vAlign w:val="center"/>
            <w:hideMark/>
          </w:tcPr>
          <w:p w:rsidR="00E17E88" w:rsidRPr="00196439" w:rsidRDefault="00E17E88" w:rsidP="00C149E0">
            <w:pPr>
              <w:spacing w:line="240" w:lineRule="auto"/>
              <w:jc w:val="right"/>
              <w:rPr>
                <w:rFonts w:cs="Arial"/>
                <w:b/>
                <w:bCs/>
                <w:color w:val="17365D" w:themeColor="text2" w:themeShade="BF"/>
                <w:sz w:val="18"/>
                <w:szCs w:val="18"/>
              </w:rPr>
            </w:pPr>
            <w:r w:rsidRPr="00196439">
              <w:rPr>
                <w:rFonts w:cs="Arial"/>
                <w:b/>
                <w:bCs/>
                <w:color w:val="17365D" w:themeColor="text2" w:themeShade="BF"/>
                <w:sz w:val="18"/>
                <w:szCs w:val="18"/>
              </w:rPr>
              <w:t>910.266.498</w:t>
            </w:r>
          </w:p>
        </w:tc>
      </w:tr>
    </w:tbl>
    <w:p w:rsidR="00E17E88" w:rsidRPr="00196439" w:rsidRDefault="00E17E88" w:rsidP="00E17E88">
      <w:pPr>
        <w:spacing w:line="276" w:lineRule="auto"/>
        <w:rPr>
          <w:rFonts w:cs="Arial"/>
          <w:b/>
          <w:bCs/>
          <w:color w:val="17365D" w:themeColor="text2" w:themeShade="BF"/>
          <w:sz w:val="22"/>
          <w:szCs w:val="22"/>
          <w:highlight w:val="yellow"/>
        </w:rPr>
      </w:pPr>
    </w:p>
    <w:p w:rsidR="00E17E88" w:rsidRPr="00196439" w:rsidRDefault="00E17E88" w:rsidP="00C677AE">
      <w:pPr>
        <w:keepNext/>
        <w:numPr>
          <w:ilvl w:val="0"/>
          <w:numId w:val="26"/>
        </w:numPr>
        <w:ind w:left="714" w:hanging="357"/>
        <w:rPr>
          <w:rFonts w:cs="Arial"/>
          <w:bCs/>
          <w:i/>
          <w:color w:val="17365D" w:themeColor="text2" w:themeShade="BF"/>
          <w:sz w:val="22"/>
          <w:szCs w:val="22"/>
          <w:lang w:val="sr-Latn-CS"/>
        </w:rPr>
      </w:pPr>
      <w:r w:rsidRPr="00196439">
        <w:rPr>
          <w:rFonts w:cs="Arial"/>
          <w:bCs/>
          <w:i/>
          <w:color w:val="17365D" w:themeColor="text2" w:themeShade="BF"/>
          <w:sz w:val="22"/>
          <w:szCs w:val="22"/>
          <w:lang w:val="sr-Latn-CS"/>
        </w:rPr>
        <w:t>Техничке резерве животних осигурања на дан 3</w:t>
      </w:r>
      <w:r w:rsidRPr="00196439">
        <w:rPr>
          <w:rFonts w:cs="Arial"/>
          <w:bCs/>
          <w:i/>
          <w:color w:val="17365D" w:themeColor="text2" w:themeShade="BF"/>
          <w:sz w:val="22"/>
          <w:szCs w:val="22"/>
          <w:lang w:val="sr-Cyrl-RS"/>
        </w:rPr>
        <w:t>1</w:t>
      </w:r>
      <w:r w:rsidRPr="00196439">
        <w:rPr>
          <w:rFonts w:cs="Arial"/>
          <w:bCs/>
          <w:i/>
          <w:color w:val="17365D" w:themeColor="text2" w:themeShade="BF"/>
          <w:sz w:val="22"/>
          <w:szCs w:val="22"/>
          <w:lang w:val="sr-Latn-CS"/>
        </w:rPr>
        <w:t>.12.2019</w:t>
      </w:r>
      <w:r w:rsidRPr="00196439">
        <w:rPr>
          <w:rFonts w:cs="Arial"/>
          <w:bCs/>
          <w:i/>
          <w:color w:val="17365D" w:themeColor="text2" w:themeShade="BF"/>
          <w:sz w:val="22"/>
          <w:szCs w:val="22"/>
          <w:lang w:val="sr-Cyrl-RS"/>
        </w:rPr>
        <w:t>.</w:t>
      </w:r>
    </w:p>
    <w:tbl>
      <w:tblPr>
        <w:tblW w:w="9747"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2977"/>
        <w:gridCol w:w="1559"/>
        <w:gridCol w:w="1985"/>
        <w:gridCol w:w="2115"/>
      </w:tblGrid>
      <w:tr w:rsidR="00E17E88" w:rsidRPr="00196439" w:rsidTr="00C149E0">
        <w:trPr>
          <w:trHeight w:val="674"/>
        </w:trPr>
        <w:tc>
          <w:tcPr>
            <w:tcW w:w="1111" w:type="dxa"/>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Ред.бр.</w:t>
            </w:r>
          </w:p>
        </w:tc>
        <w:tc>
          <w:tcPr>
            <w:tcW w:w="2977" w:type="dxa"/>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Врста техничких резерви</w:t>
            </w:r>
          </w:p>
        </w:tc>
        <w:tc>
          <w:tcPr>
            <w:tcW w:w="1559" w:type="dxa"/>
            <w:tcBorders>
              <w:bottom w:val="single" w:sz="4" w:space="0" w:color="auto"/>
            </w:tcBorders>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УКУПНЕ</w:t>
            </w:r>
          </w:p>
        </w:tc>
        <w:tc>
          <w:tcPr>
            <w:tcW w:w="1985" w:type="dxa"/>
            <w:tcBorders>
              <w:bottom w:val="single" w:sz="4" w:space="0" w:color="auto"/>
            </w:tcBorders>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Удео ретроцесионара</w:t>
            </w:r>
          </w:p>
        </w:tc>
        <w:tc>
          <w:tcPr>
            <w:tcW w:w="2115" w:type="dxa"/>
            <w:tcBorders>
              <w:bottom w:val="single" w:sz="4" w:space="0" w:color="auto"/>
            </w:tcBorders>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 САМОПРИДРЖАЈУ</w:t>
            </w:r>
          </w:p>
        </w:tc>
      </w:tr>
      <w:tr w:rsidR="00E17E88" w:rsidRPr="00196439" w:rsidTr="00C149E0">
        <w:trPr>
          <w:trHeight w:val="283"/>
        </w:trPr>
        <w:tc>
          <w:tcPr>
            <w:tcW w:w="1111"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1.</w:t>
            </w:r>
          </w:p>
        </w:tc>
        <w:tc>
          <w:tcPr>
            <w:tcW w:w="2977"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 xml:space="preserve">Преносна премија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lang w:val="en-US"/>
              </w:rPr>
            </w:pPr>
            <w:r w:rsidRPr="00196439">
              <w:rPr>
                <w:rFonts w:cs="Arial"/>
                <w:color w:val="17365D" w:themeColor="text2" w:themeShade="BF"/>
                <w:sz w:val="18"/>
                <w:szCs w:val="18"/>
              </w:rPr>
              <w:t>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c>
          <w:tcPr>
            <w:tcW w:w="2115" w:type="dxa"/>
            <w:tcBorders>
              <w:top w:val="single" w:sz="4" w:space="0" w:color="auto"/>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r>
      <w:tr w:rsidR="00E17E88" w:rsidRPr="00196439" w:rsidTr="00C149E0">
        <w:trPr>
          <w:trHeight w:val="283"/>
        </w:trPr>
        <w:tc>
          <w:tcPr>
            <w:tcW w:w="1111"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2.</w:t>
            </w:r>
          </w:p>
        </w:tc>
        <w:tc>
          <w:tcPr>
            <w:tcW w:w="2977"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Укупно резервисане штете</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21.577.582</w:t>
            </w:r>
          </w:p>
        </w:tc>
        <w:tc>
          <w:tcPr>
            <w:tcW w:w="1985"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19.221.733</w:t>
            </w:r>
          </w:p>
        </w:tc>
        <w:tc>
          <w:tcPr>
            <w:tcW w:w="2115" w:type="dxa"/>
            <w:tcBorders>
              <w:top w:val="nil"/>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2.355.849</w:t>
            </w:r>
          </w:p>
        </w:tc>
      </w:tr>
      <w:tr w:rsidR="00E17E88" w:rsidRPr="00196439" w:rsidTr="00C149E0">
        <w:trPr>
          <w:trHeight w:val="283"/>
        </w:trPr>
        <w:tc>
          <w:tcPr>
            <w:tcW w:w="1111"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3.</w:t>
            </w:r>
          </w:p>
        </w:tc>
        <w:tc>
          <w:tcPr>
            <w:tcW w:w="2977"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 xml:space="preserve">Математичка резерва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19.438.014</w:t>
            </w:r>
          </w:p>
        </w:tc>
        <w:tc>
          <w:tcPr>
            <w:tcW w:w="1985"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15.808.960</w:t>
            </w:r>
          </w:p>
        </w:tc>
        <w:tc>
          <w:tcPr>
            <w:tcW w:w="2115" w:type="dxa"/>
            <w:tcBorders>
              <w:top w:val="nil"/>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3.629.054</w:t>
            </w:r>
          </w:p>
        </w:tc>
      </w:tr>
      <w:tr w:rsidR="00E17E88" w:rsidRPr="00196439" w:rsidTr="00C149E0">
        <w:trPr>
          <w:trHeight w:val="283"/>
        </w:trPr>
        <w:tc>
          <w:tcPr>
            <w:tcW w:w="4088" w:type="dxa"/>
            <w:gridSpan w:val="2"/>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УКУПНО:</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17E88" w:rsidRPr="00196439" w:rsidRDefault="00E17E88" w:rsidP="00C149E0">
            <w:pPr>
              <w:spacing w:line="240" w:lineRule="auto"/>
              <w:jc w:val="right"/>
              <w:rPr>
                <w:rFonts w:cs="Arial"/>
                <w:b/>
                <w:bCs/>
                <w:color w:val="17365D" w:themeColor="text2" w:themeShade="BF"/>
                <w:sz w:val="18"/>
                <w:szCs w:val="18"/>
                <w:lang w:val="en-US"/>
              </w:rPr>
            </w:pPr>
            <w:r w:rsidRPr="00196439">
              <w:rPr>
                <w:rFonts w:cs="Arial"/>
                <w:b/>
                <w:bCs/>
                <w:color w:val="17365D" w:themeColor="text2" w:themeShade="BF"/>
                <w:sz w:val="18"/>
                <w:szCs w:val="18"/>
              </w:rPr>
              <w:t>41.015.596</w:t>
            </w:r>
          </w:p>
        </w:tc>
        <w:tc>
          <w:tcPr>
            <w:tcW w:w="1985" w:type="dxa"/>
            <w:tcBorders>
              <w:top w:val="single" w:sz="4" w:space="0" w:color="auto"/>
              <w:left w:val="nil"/>
              <w:bottom w:val="single" w:sz="4" w:space="0" w:color="auto"/>
              <w:right w:val="single" w:sz="4" w:space="0" w:color="auto"/>
            </w:tcBorders>
            <w:shd w:val="clear" w:color="000000" w:fill="D9D9D9"/>
            <w:vAlign w:val="center"/>
            <w:hideMark/>
          </w:tcPr>
          <w:p w:rsidR="00E17E88" w:rsidRPr="00196439" w:rsidRDefault="00E17E88" w:rsidP="00C149E0">
            <w:pPr>
              <w:spacing w:line="240" w:lineRule="auto"/>
              <w:jc w:val="right"/>
              <w:rPr>
                <w:rFonts w:cs="Arial"/>
                <w:b/>
                <w:bCs/>
                <w:color w:val="17365D" w:themeColor="text2" w:themeShade="BF"/>
                <w:sz w:val="18"/>
                <w:szCs w:val="18"/>
              </w:rPr>
            </w:pPr>
            <w:r w:rsidRPr="00196439">
              <w:rPr>
                <w:rFonts w:cs="Arial"/>
                <w:b/>
                <w:bCs/>
                <w:color w:val="17365D" w:themeColor="text2" w:themeShade="BF"/>
                <w:sz w:val="18"/>
                <w:szCs w:val="18"/>
              </w:rPr>
              <w:t>35.030.693</w:t>
            </w:r>
          </w:p>
        </w:tc>
        <w:tc>
          <w:tcPr>
            <w:tcW w:w="2115" w:type="dxa"/>
            <w:tcBorders>
              <w:top w:val="single" w:sz="4" w:space="0" w:color="auto"/>
              <w:left w:val="nil"/>
              <w:bottom w:val="single" w:sz="4" w:space="0" w:color="auto"/>
              <w:right w:val="single" w:sz="4" w:space="0" w:color="auto"/>
            </w:tcBorders>
            <w:shd w:val="clear" w:color="000000" w:fill="D9D9D9"/>
            <w:vAlign w:val="center"/>
            <w:hideMark/>
          </w:tcPr>
          <w:p w:rsidR="00E17E88" w:rsidRPr="00196439" w:rsidRDefault="00E17E88" w:rsidP="00C149E0">
            <w:pPr>
              <w:spacing w:line="240" w:lineRule="auto"/>
              <w:jc w:val="right"/>
              <w:rPr>
                <w:rFonts w:cs="Arial"/>
                <w:b/>
                <w:bCs/>
                <w:color w:val="17365D" w:themeColor="text2" w:themeShade="BF"/>
                <w:sz w:val="18"/>
                <w:szCs w:val="18"/>
              </w:rPr>
            </w:pPr>
            <w:r w:rsidRPr="00196439">
              <w:rPr>
                <w:rFonts w:cs="Arial"/>
                <w:b/>
                <w:bCs/>
                <w:color w:val="17365D" w:themeColor="text2" w:themeShade="BF"/>
                <w:sz w:val="18"/>
                <w:szCs w:val="18"/>
              </w:rPr>
              <w:t>5.984.903</w:t>
            </w:r>
          </w:p>
        </w:tc>
      </w:tr>
    </w:tbl>
    <w:p w:rsidR="00E17E88" w:rsidRPr="00196439" w:rsidRDefault="00E17E88" w:rsidP="00E17E88">
      <w:pPr>
        <w:spacing w:line="276" w:lineRule="auto"/>
        <w:rPr>
          <w:rFonts w:cs="Arial"/>
          <w:bCs/>
          <w:i/>
          <w:color w:val="17365D" w:themeColor="text2" w:themeShade="BF"/>
          <w:sz w:val="22"/>
          <w:szCs w:val="22"/>
          <w:highlight w:val="yellow"/>
          <w:lang w:val="sr-Latn-CS"/>
        </w:rPr>
      </w:pPr>
    </w:p>
    <w:p w:rsidR="00E17E88" w:rsidRPr="00196439" w:rsidRDefault="00E17E88" w:rsidP="00C677AE">
      <w:pPr>
        <w:keepNext/>
        <w:numPr>
          <w:ilvl w:val="0"/>
          <w:numId w:val="25"/>
        </w:numPr>
        <w:ind w:left="714" w:hanging="357"/>
        <w:rPr>
          <w:rFonts w:cs="Arial"/>
          <w:bCs/>
          <w:i/>
          <w:color w:val="17365D" w:themeColor="text2" w:themeShade="BF"/>
          <w:sz w:val="22"/>
          <w:szCs w:val="22"/>
          <w:lang w:val="sr-Latn-CS"/>
        </w:rPr>
      </w:pPr>
      <w:r w:rsidRPr="00196439">
        <w:rPr>
          <w:rFonts w:cs="Arial"/>
          <w:bCs/>
          <w:i/>
          <w:color w:val="17365D" w:themeColor="text2" w:themeShade="BF"/>
          <w:sz w:val="22"/>
          <w:szCs w:val="22"/>
          <w:lang w:val="sr-Latn-CS"/>
        </w:rPr>
        <w:lastRenderedPageBreak/>
        <w:t>Техничке резерве неживотних осигурања на дан 3</w:t>
      </w:r>
      <w:r w:rsidRPr="00196439">
        <w:rPr>
          <w:rFonts w:cs="Arial"/>
          <w:bCs/>
          <w:i/>
          <w:color w:val="17365D" w:themeColor="text2" w:themeShade="BF"/>
          <w:sz w:val="22"/>
          <w:szCs w:val="22"/>
          <w:lang w:val="sr-Cyrl-RS"/>
        </w:rPr>
        <w:t>1</w:t>
      </w:r>
      <w:r w:rsidRPr="00196439">
        <w:rPr>
          <w:rFonts w:cs="Arial"/>
          <w:bCs/>
          <w:i/>
          <w:color w:val="17365D" w:themeColor="text2" w:themeShade="BF"/>
          <w:sz w:val="22"/>
          <w:szCs w:val="22"/>
          <w:lang w:val="sr-Latn-CS"/>
        </w:rPr>
        <w:t>.12.2019</w:t>
      </w:r>
      <w:r w:rsidRPr="00196439">
        <w:rPr>
          <w:rFonts w:cs="Arial"/>
          <w:bCs/>
          <w:i/>
          <w:color w:val="17365D" w:themeColor="text2" w:themeShade="BF"/>
          <w:sz w:val="22"/>
          <w:szCs w:val="22"/>
          <w:lang w:val="sr-Cyrl-RS"/>
        </w:rPr>
        <w:t>.</w:t>
      </w:r>
    </w:p>
    <w:tbl>
      <w:tblPr>
        <w:tblW w:w="9715"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037"/>
        <w:gridCol w:w="1559"/>
        <w:gridCol w:w="1890"/>
        <w:gridCol w:w="2149"/>
      </w:tblGrid>
      <w:tr w:rsidR="00E17E88" w:rsidRPr="00196439" w:rsidTr="00C149E0">
        <w:trPr>
          <w:trHeight w:val="667"/>
        </w:trPr>
        <w:tc>
          <w:tcPr>
            <w:tcW w:w="1080" w:type="dxa"/>
            <w:shd w:val="clear" w:color="auto" w:fill="D9D9D9" w:themeFill="background1" w:themeFillShade="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Ред.бр.</w:t>
            </w:r>
          </w:p>
        </w:tc>
        <w:tc>
          <w:tcPr>
            <w:tcW w:w="3037" w:type="dxa"/>
            <w:shd w:val="clear" w:color="auto" w:fill="D9D9D9" w:themeFill="background1" w:themeFillShade="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Врста техничких резерви</w:t>
            </w:r>
          </w:p>
        </w:tc>
        <w:tc>
          <w:tcPr>
            <w:tcW w:w="1559" w:type="dxa"/>
            <w:tcBorders>
              <w:bottom w:val="single" w:sz="4" w:space="0" w:color="auto"/>
            </w:tcBorders>
            <w:shd w:val="clear" w:color="auto" w:fill="D9D9D9" w:themeFill="background1" w:themeFillShade="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УКУПНЕ</w:t>
            </w:r>
          </w:p>
        </w:tc>
        <w:tc>
          <w:tcPr>
            <w:tcW w:w="1890" w:type="dxa"/>
            <w:tcBorders>
              <w:bottom w:val="single" w:sz="4" w:space="0" w:color="auto"/>
            </w:tcBorders>
            <w:shd w:val="clear" w:color="auto" w:fill="D9D9D9" w:themeFill="background1" w:themeFillShade="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Удео ретроцесионара</w:t>
            </w:r>
          </w:p>
        </w:tc>
        <w:tc>
          <w:tcPr>
            <w:tcW w:w="2149" w:type="dxa"/>
            <w:tcBorders>
              <w:bottom w:val="single" w:sz="4" w:space="0" w:color="auto"/>
            </w:tcBorders>
            <w:shd w:val="clear" w:color="auto" w:fill="D9D9D9" w:themeFill="background1" w:themeFillShade="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 САМОПРИДРЖАЈУ</w:t>
            </w:r>
          </w:p>
        </w:tc>
      </w:tr>
      <w:tr w:rsidR="00E17E88" w:rsidRPr="00196439" w:rsidTr="00C149E0">
        <w:trPr>
          <w:trHeight w:val="272"/>
        </w:trPr>
        <w:tc>
          <w:tcPr>
            <w:tcW w:w="1080"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1.</w:t>
            </w:r>
          </w:p>
        </w:tc>
        <w:tc>
          <w:tcPr>
            <w:tcW w:w="3037"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 xml:space="preserve">Преносна премија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lang w:val="en-US"/>
              </w:rPr>
            </w:pPr>
            <w:r w:rsidRPr="00196439">
              <w:rPr>
                <w:rFonts w:cs="Arial"/>
                <w:color w:val="17365D" w:themeColor="text2" w:themeShade="BF"/>
                <w:sz w:val="18"/>
                <w:szCs w:val="18"/>
              </w:rPr>
              <w:t>1.094.588.209</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997.549.587</w:t>
            </w:r>
          </w:p>
        </w:tc>
        <w:tc>
          <w:tcPr>
            <w:tcW w:w="2149" w:type="dxa"/>
            <w:tcBorders>
              <w:top w:val="single" w:sz="4" w:space="0" w:color="auto"/>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97.038.622</w:t>
            </w:r>
          </w:p>
        </w:tc>
      </w:tr>
      <w:tr w:rsidR="00E17E88" w:rsidRPr="00196439" w:rsidTr="00C149E0">
        <w:trPr>
          <w:trHeight w:val="272"/>
        </w:trPr>
        <w:tc>
          <w:tcPr>
            <w:tcW w:w="1080"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2.</w:t>
            </w:r>
          </w:p>
        </w:tc>
        <w:tc>
          <w:tcPr>
            <w:tcW w:w="3037"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Укупно резервисане штете</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1.962.042.392</w:t>
            </w:r>
          </w:p>
        </w:tc>
        <w:tc>
          <w:tcPr>
            <w:tcW w:w="1890"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1.160.126.404</w:t>
            </w:r>
          </w:p>
        </w:tc>
        <w:tc>
          <w:tcPr>
            <w:tcW w:w="2149" w:type="dxa"/>
            <w:tcBorders>
              <w:top w:val="nil"/>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801.915.988</w:t>
            </w:r>
          </w:p>
        </w:tc>
      </w:tr>
      <w:tr w:rsidR="00E17E88" w:rsidRPr="00196439" w:rsidTr="00C149E0">
        <w:trPr>
          <w:trHeight w:val="272"/>
        </w:trPr>
        <w:tc>
          <w:tcPr>
            <w:tcW w:w="1080"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3.</w:t>
            </w:r>
          </w:p>
        </w:tc>
        <w:tc>
          <w:tcPr>
            <w:tcW w:w="3037"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Резерве за неистекле ризике</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4.073.513</w:t>
            </w:r>
          </w:p>
        </w:tc>
        <w:tc>
          <w:tcPr>
            <w:tcW w:w="1890"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c>
          <w:tcPr>
            <w:tcW w:w="2149" w:type="dxa"/>
            <w:tcBorders>
              <w:top w:val="nil"/>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4.073.513</w:t>
            </w:r>
          </w:p>
        </w:tc>
      </w:tr>
      <w:tr w:rsidR="00E17E88" w:rsidRPr="00196439" w:rsidTr="00C149E0">
        <w:trPr>
          <w:trHeight w:val="285"/>
        </w:trPr>
        <w:tc>
          <w:tcPr>
            <w:tcW w:w="1080" w:type="dxa"/>
            <w:shd w:val="clear" w:color="auto" w:fill="auto"/>
            <w:vAlign w:val="center"/>
            <w:hideMark/>
          </w:tcPr>
          <w:p w:rsidR="00E17E88" w:rsidRPr="00196439" w:rsidRDefault="00E17E88" w:rsidP="00C149E0">
            <w:pPr>
              <w:spacing w:line="240" w:lineRule="auto"/>
              <w:jc w:val="center"/>
              <w:rPr>
                <w:rFonts w:cs="Arial"/>
                <w:color w:val="17365D" w:themeColor="text2" w:themeShade="BF"/>
                <w:sz w:val="18"/>
                <w:szCs w:val="18"/>
                <w:lang w:val="en-US"/>
              </w:rPr>
            </w:pPr>
            <w:r w:rsidRPr="00196439">
              <w:rPr>
                <w:rFonts w:cs="Arial"/>
                <w:color w:val="17365D" w:themeColor="text2" w:themeShade="BF"/>
                <w:sz w:val="18"/>
                <w:szCs w:val="18"/>
                <w:lang w:val="en-US"/>
              </w:rPr>
              <w:t xml:space="preserve">4. </w:t>
            </w:r>
          </w:p>
        </w:tc>
        <w:tc>
          <w:tcPr>
            <w:tcW w:w="3037" w:type="dxa"/>
            <w:shd w:val="clear" w:color="auto" w:fill="auto"/>
            <w:vAlign w:val="center"/>
            <w:hideMark/>
          </w:tcPr>
          <w:p w:rsidR="00E17E88" w:rsidRPr="00196439" w:rsidRDefault="00E17E88" w:rsidP="00C149E0">
            <w:pPr>
              <w:spacing w:line="240" w:lineRule="auto"/>
              <w:jc w:val="left"/>
              <w:rPr>
                <w:rFonts w:cs="Arial"/>
                <w:color w:val="17365D" w:themeColor="text2" w:themeShade="BF"/>
                <w:sz w:val="18"/>
                <w:szCs w:val="18"/>
                <w:lang w:val="en-US"/>
              </w:rPr>
            </w:pPr>
            <w:r w:rsidRPr="00196439">
              <w:rPr>
                <w:rFonts w:cs="Arial"/>
                <w:color w:val="17365D" w:themeColor="text2" w:themeShade="BF"/>
                <w:sz w:val="18"/>
                <w:szCs w:val="18"/>
                <w:lang w:val="en-US"/>
              </w:rPr>
              <w:t>РЗИР</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1.253.472</w:t>
            </w:r>
          </w:p>
        </w:tc>
        <w:tc>
          <w:tcPr>
            <w:tcW w:w="1890" w:type="dxa"/>
            <w:tcBorders>
              <w:top w:val="nil"/>
              <w:left w:val="nil"/>
              <w:bottom w:val="single" w:sz="4" w:space="0" w:color="auto"/>
              <w:right w:val="single" w:sz="4" w:space="0" w:color="auto"/>
            </w:tcBorders>
            <w:shd w:val="clear" w:color="auto" w:fill="auto"/>
            <w:noWrap/>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0</w:t>
            </w:r>
          </w:p>
        </w:tc>
        <w:tc>
          <w:tcPr>
            <w:tcW w:w="2149" w:type="dxa"/>
            <w:tcBorders>
              <w:top w:val="nil"/>
              <w:left w:val="nil"/>
              <w:bottom w:val="single" w:sz="4" w:space="0" w:color="auto"/>
              <w:right w:val="single" w:sz="4" w:space="0" w:color="auto"/>
            </w:tcBorders>
            <w:shd w:val="clear" w:color="auto" w:fill="auto"/>
            <w:vAlign w:val="center"/>
            <w:hideMark/>
          </w:tcPr>
          <w:p w:rsidR="00E17E88" w:rsidRPr="00196439" w:rsidRDefault="00E17E88" w:rsidP="00C149E0">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1.253.472</w:t>
            </w:r>
          </w:p>
        </w:tc>
      </w:tr>
      <w:tr w:rsidR="00E17E88" w:rsidRPr="00196439" w:rsidTr="00C149E0">
        <w:trPr>
          <w:trHeight w:val="285"/>
        </w:trPr>
        <w:tc>
          <w:tcPr>
            <w:tcW w:w="4117" w:type="dxa"/>
            <w:gridSpan w:val="2"/>
            <w:shd w:val="clear" w:color="000000" w:fill="D9D9D9"/>
            <w:vAlign w:val="center"/>
            <w:hideMark/>
          </w:tcPr>
          <w:p w:rsidR="00E17E88" w:rsidRPr="00196439" w:rsidRDefault="00E17E88" w:rsidP="00C149E0">
            <w:pPr>
              <w:spacing w:line="240" w:lineRule="auto"/>
              <w:jc w:val="center"/>
              <w:rPr>
                <w:rFonts w:cs="Arial"/>
                <w:b/>
                <w:bCs/>
                <w:color w:val="17365D" w:themeColor="text2" w:themeShade="BF"/>
                <w:sz w:val="18"/>
                <w:szCs w:val="18"/>
                <w:lang w:val="en-US"/>
              </w:rPr>
            </w:pPr>
            <w:r w:rsidRPr="00196439">
              <w:rPr>
                <w:rFonts w:cs="Arial"/>
                <w:b/>
                <w:bCs/>
                <w:color w:val="17365D" w:themeColor="text2" w:themeShade="BF"/>
                <w:sz w:val="18"/>
                <w:szCs w:val="18"/>
                <w:lang w:val="en-US"/>
              </w:rPr>
              <w:t>УКУПНО:</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17E88" w:rsidRPr="00825D9F" w:rsidRDefault="00E17E88" w:rsidP="00825D9F">
            <w:pPr>
              <w:spacing w:line="240" w:lineRule="auto"/>
              <w:jc w:val="right"/>
              <w:rPr>
                <w:rFonts w:cs="Arial"/>
                <w:b/>
                <w:bCs/>
                <w:color w:val="17365D" w:themeColor="text2" w:themeShade="BF"/>
                <w:sz w:val="18"/>
                <w:szCs w:val="18"/>
                <w:lang w:val="sr-Cyrl-RS"/>
              </w:rPr>
            </w:pPr>
            <w:r w:rsidRPr="00196439">
              <w:rPr>
                <w:rFonts w:cs="Arial"/>
                <w:b/>
                <w:bCs/>
                <w:color w:val="17365D" w:themeColor="text2" w:themeShade="BF"/>
                <w:sz w:val="18"/>
                <w:szCs w:val="18"/>
              </w:rPr>
              <w:t>3.061.957.58</w:t>
            </w:r>
            <w:r w:rsidR="00825D9F">
              <w:rPr>
                <w:rFonts w:cs="Arial"/>
                <w:b/>
                <w:bCs/>
                <w:color w:val="17365D" w:themeColor="text2" w:themeShade="BF"/>
                <w:sz w:val="18"/>
                <w:szCs w:val="18"/>
                <w:lang w:val="sr-Cyrl-RS"/>
              </w:rPr>
              <w:t>6</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E17E88" w:rsidRPr="00196439" w:rsidRDefault="00E17E88" w:rsidP="00C149E0">
            <w:pPr>
              <w:spacing w:line="240" w:lineRule="auto"/>
              <w:jc w:val="right"/>
              <w:rPr>
                <w:rFonts w:cs="Arial"/>
                <w:b/>
                <w:bCs/>
                <w:color w:val="17365D" w:themeColor="text2" w:themeShade="BF"/>
                <w:sz w:val="18"/>
                <w:szCs w:val="18"/>
              </w:rPr>
            </w:pPr>
            <w:r w:rsidRPr="00196439">
              <w:rPr>
                <w:rFonts w:cs="Arial"/>
                <w:b/>
                <w:bCs/>
                <w:color w:val="17365D" w:themeColor="text2" w:themeShade="BF"/>
                <w:sz w:val="18"/>
                <w:szCs w:val="18"/>
              </w:rPr>
              <w:t>2.157.675.991</w:t>
            </w:r>
          </w:p>
        </w:tc>
        <w:tc>
          <w:tcPr>
            <w:tcW w:w="2149" w:type="dxa"/>
            <w:tcBorders>
              <w:top w:val="single" w:sz="4" w:space="0" w:color="auto"/>
              <w:left w:val="nil"/>
              <w:bottom w:val="single" w:sz="4" w:space="0" w:color="auto"/>
              <w:right w:val="single" w:sz="4" w:space="0" w:color="auto"/>
            </w:tcBorders>
            <w:shd w:val="clear" w:color="000000" w:fill="D9D9D9"/>
            <w:vAlign w:val="center"/>
            <w:hideMark/>
          </w:tcPr>
          <w:p w:rsidR="00E17E88" w:rsidRPr="00196439" w:rsidRDefault="00E17E88" w:rsidP="00C149E0">
            <w:pPr>
              <w:spacing w:line="240" w:lineRule="auto"/>
              <w:jc w:val="right"/>
              <w:rPr>
                <w:rFonts w:cs="Arial"/>
                <w:b/>
                <w:bCs/>
                <w:color w:val="17365D" w:themeColor="text2" w:themeShade="BF"/>
                <w:sz w:val="18"/>
                <w:szCs w:val="18"/>
              </w:rPr>
            </w:pPr>
            <w:r w:rsidRPr="00196439">
              <w:rPr>
                <w:rFonts w:cs="Arial"/>
                <w:b/>
                <w:bCs/>
                <w:color w:val="17365D" w:themeColor="text2" w:themeShade="BF"/>
                <w:sz w:val="18"/>
                <w:szCs w:val="18"/>
              </w:rPr>
              <w:t>904.281.595</w:t>
            </w:r>
          </w:p>
        </w:tc>
      </w:tr>
    </w:tbl>
    <w:p w:rsidR="00E17E88" w:rsidRPr="00196439" w:rsidRDefault="00E17E88" w:rsidP="00E17E88">
      <w:pPr>
        <w:spacing w:line="276" w:lineRule="auto"/>
        <w:rPr>
          <w:rFonts w:cs="Arial"/>
          <w:bCs/>
          <w:i/>
          <w:color w:val="17365D" w:themeColor="text2" w:themeShade="BF"/>
          <w:sz w:val="22"/>
          <w:szCs w:val="22"/>
          <w:lang w:val="sr-Latn-CS"/>
        </w:rPr>
      </w:pPr>
    </w:p>
    <w:p w:rsidR="00E17E88" w:rsidRPr="00196439" w:rsidRDefault="00E17E88" w:rsidP="00E17E88">
      <w:pPr>
        <w:spacing w:line="276" w:lineRule="auto"/>
        <w:rPr>
          <w:rFonts w:cs="Arial"/>
          <w:bCs/>
          <w:color w:val="17365D" w:themeColor="text2" w:themeShade="BF"/>
          <w:sz w:val="22"/>
          <w:szCs w:val="22"/>
          <w:lang w:val="sr-Cyrl-ME"/>
        </w:rPr>
      </w:pPr>
      <w:r w:rsidRPr="00196439">
        <w:rPr>
          <w:rFonts w:cs="Arial"/>
          <w:bCs/>
          <w:color w:val="17365D" w:themeColor="text2" w:themeShade="BF"/>
          <w:sz w:val="22"/>
          <w:szCs w:val="22"/>
          <w:lang w:val="sr-Cyrl-ME"/>
        </w:rPr>
        <w:t>Техничке резерве животних осигурања на дан 31.12.2019. по активном послу износе 41</w:t>
      </w:r>
      <w:r w:rsidRPr="00196439">
        <w:rPr>
          <w:rFonts w:cs="Arial"/>
          <w:bCs/>
          <w:color w:val="17365D" w:themeColor="text2" w:themeShade="BF"/>
          <w:sz w:val="22"/>
          <w:szCs w:val="22"/>
          <w:lang w:val="sr-Latn-RS"/>
        </w:rPr>
        <w:t>.</w:t>
      </w:r>
      <w:r w:rsidRPr="00196439">
        <w:rPr>
          <w:rFonts w:cs="Arial"/>
          <w:bCs/>
          <w:color w:val="17365D" w:themeColor="text2" w:themeShade="BF"/>
          <w:sz w:val="22"/>
          <w:szCs w:val="22"/>
          <w:lang w:val="sr-Cyrl-RS"/>
        </w:rPr>
        <w:t>015</w:t>
      </w:r>
      <w:r w:rsidRPr="00196439">
        <w:rPr>
          <w:rFonts w:cs="Arial"/>
          <w:bCs/>
          <w:color w:val="17365D" w:themeColor="text2" w:themeShade="BF"/>
          <w:sz w:val="22"/>
          <w:szCs w:val="22"/>
          <w:lang w:val="sr-Latn-RS"/>
        </w:rPr>
        <w:t>.</w:t>
      </w:r>
      <w:r w:rsidRPr="00196439">
        <w:rPr>
          <w:rFonts w:cs="Arial"/>
          <w:bCs/>
          <w:color w:val="17365D" w:themeColor="text2" w:themeShade="BF"/>
          <w:sz w:val="22"/>
          <w:szCs w:val="22"/>
          <w:lang w:val="sr-Cyrl-RS"/>
        </w:rPr>
        <w:t>596</w:t>
      </w:r>
      <w:r w:rsidRPr="00196439">
        <w:rPr>
          <w:rFonts w:cs="Arial"/>
          <w:bCs/>
          <w:color w:val="17365D" w:themeColor="text2" w:themeShade="BF"/>
          <w:sz w:val="22"/>
          <w:szCs w:val="22"/>
          <w:lang w:val="sr-Cyrl-ME"/>
        </w:rPr>
        <w:t xml:space="preserve"> динара, а неживотних 3.061.9</w:t>
      </w:r>
      <w:r w:rsidRPr="00196439">
        <w:rPr>
          <w:rFonts w:cs="Arial"/>
          <w:bCs/>
          <w:color w:val="17365D" w:themeColor="text2" w:themeShade="BF"/>
          <w:sz w:val="22"/>
          <w:szCs w:val="22"/>
          <w:lang w:val="sr-Latn-RS"/>
        </w:rPr>
        <w:t>57</w:t>
      </w:r>
      <w:r w:rsidRPr="00196439">
        <w:rPr>
          <w:rFonts w:cs="Arial"/>
          <w:bCs/>
          <w:color w:val="17365D" w:themeColor="text2" w:themeShade="BF"/>
          <w:sz w:val="22"/>
          <w:szCs w:val="22"/>
          <w:lang w:val="sr-Cyrl-ME"/>
        </w:rPr>
        <w:t>.</w:t>
      </w:r>
      <w:r w:rsidR="00825D9F">
        <w:rPr>
          <w:rFonts w:cs="Arial"/>
          <w:bCs/>
          <w:color w:val="17365D" w:themeColor="text2" w:themeShade="BF"/>
          <w:sz w:val="22"/>
          <w:szCs w:val="22"/>
          <w:lang w:val="sr-Latn-RS"/>
        </w:rPr>
        <w:t>586</w:t>
      </w:r>
      <w:r w:rsidRPr="00196439">
        <w:rPr>
          <w:rFonts w:cs="Arial"/>
          <w:bCs/>
          <w:color w:val="17365D" w:themeColor="text2" w:themeShade="BF"/>
          <w:sz w:val="22"/>
          <w:szCs w:val="22"/>
          <w:lang w:val="sr-Cyrl-ME"/>
        </w:rPr>
        <w:t xml:space="preserve"> динара, односно у самопридржају респективно износе </w:t>
      </w:r>
      <w:r w:rsidRPr="00196439">
        <w:rPr>
          <w:rFonts w:cs="Arial"/>
          <w:bCs/>
          <w:color w:val="17365D" w:themeColor="text2" w:themeShade="BF"/>
          <w:sz w:val="22"/>
          <w:szCs w:val="22"/>
          <w:lang w:val="sr-Latn-RS"/>
        </w:rPr>
        <w:t>5.984.903</w:t>
      </w:r>
      <w:r w:rsidRPr="00196439">
        <w:rPr>
          <w:rFonts w:cs="Arial"/>
          <w:bCs/>
          <w:color w:val="17365D" w:themeColor="text2" w:themeShade="BF"/>
          <w:sz w:val="22"/>
          <w:szCs w:val="22"/>
          <w:lang w:val="sr-Cyrl-ME"/>
        </w:rPr>
        <w:t xml:space="preserve"> динара и 904.2</w:t>
      </w:r>
      <w:r w:rsidRPr="00196439">
        <w:rPr>
          <w:rFonts w:cs="Arial"/>
          <w:bCs/>
          <w:color w:val="17365D" w:themeColor="text2" w:themeShade="BF"/>
          <w:sz w:val="22"/>
          <w:szCs w:val="22"/>
          <w:lang w:val="sr-Latn-RS"/>
        </w:rPr>
        <w:t>81</w:t>
      </w:r>
      <w:r w:rsidRPr="00196439">
        <w:rPr>
          <w:rFonts w:cs="Arial"/>
          <w:bCs/>
          <w:color w:val="17365D" w:themeColor="text2" w:themeShade="BF"/>
          <w:sz w:val="22"/>
          <w:szCs w:val="22"/>
          <w:lang w:val="sr-Cyrl-ME"/>
        </w:rPr>
        <w:t>.</w:t>
      </w:r>
      <w:r w:rsidRPr="00196439">
        <w:rPr>
          <w:rFonts w:cs="Arial"/>
          <w:bCs/>
          <w:color w:val="17365D" w:themeColor="text2" w:themeShade="BF"/>
          <w:sz w:val="22"/>
          <w:szCs w:val="22"/>
          <w:lang w:val="sr-Latn-RS"/>
        </w:rPr>
        <w:t>595</w:t>
      </w:r>
      <w:r w:rsidRPr="00196439">
        <w:rPr>
          <w:rFonts w:cs="Arial"/>
          <w:bCs/>
          <w:color w:val="17365D" w:themeColor="text2" w:themeShade="BF"/>
          <w:sz w:val="22"/>
          <w:szCs w:val="22"/>
          <w:lang w:val="sr-Cyrl-ME"/>
        </w:rPr>
        <w:t xml:space="preserve"> динара.</w:t>
      </w:r>
    </w:p>
    <w:p w:rsidR="00E17E88" w:rsidRPr="00196439" w:rsidRDefault="00E17E88" w:rsidP="00E17E88">
      <w:pPr>
        <w:spacing w:line="276" w:lineRule="auto"/>
        <w:rPr>
          <w:rFonts w:cs="Arial"/>
          <w:bCs/>
          <w:color w:val="17365D" w:themeColor="text2" w:themeShade="BF"/>
          <w:sz w:val="22"/>
          <w:szCs w:val="22"/>
          <w:highlight w:val="yellow"/>
          <w:lang w:val="sr-Cyrl-ME"/>
        </w:rPr>
      </w:pPr>
    </w:p>
    <w:p w:rsidR="00E17E88" w:rsidRPr="00196439" w:rsidRDefault="00E17E88" w:rsidP="00E17E88">
      <w:pPr>
        <w:spacing w:line="276" w:lineRule="auto"/>
        <w:rPr>
          <w:rFonts w:cs="Arial"/>
          <w:bCs/>
          <w:color w:val="17365D" w:themeColor="text2" w:themeShade="BF"/>
          <w:sz w:val="22"/>
          <w:szCs w:val="22"/>
        </w:rPr>
      </w:pPr>
      <w:r w:rsidRPr="00196439">
        <w:rPr>
          <w:rFonts w:cs="Arial"/>
          <w:bCs/>
          <w:color w:val="17365D" w:themeColor="text2" w:themeShade="BF"/>
          <w:sz w:val="22"/>
          <w:szCs w:val="22"/>
          <w:lang w:val="sr-Cyrl-ME"/>
        </w:rPr>
        <w:t>Укупне техничке резерве 31.12.2019. су више</w:t>
      </w:r>
      <w:r w:rsidRPr="00196439">
        <w:rPr>
          <w:rFonts w:cs="Arial"/>
          <w:bCs/>
          <w:color w:val="17365D" w:themeColor="text2" w:themeShade="BF"/>
          <w:sz w:val="22"/>
          <w:szCs w:val="22"/>
          <w:lang w:val="sr-Cyrl-RS"/>
        </w:rPr>
        <w:t xml:space="preserve"> за</w:t>
      </w:r>
      <w:r w:rsidRPr="00196439">
        <w:rPr>
          <w:rFonts w:cs="Arial"/>
          <w:bCs/>
          <w:color w:val="17365D" w:themeColor="text2" w:themeShade="BF"/>
          <w:sz w:val="22"/>
          <w:szCs w:val="22"/>
          <w:lang w:val="sr-Cyrl-ME"/>
        </w:rPr>
        <w:t xml:space="preserve"> 29,33% а у самопридржају за 15,3</w:t>
      </w:r>
      <w:r w:rsidRPr="00196439">
        <w:rPr>
          <w:rFonts w:cs="Arial"/>
          <w:bCs/>
          <w:color w:val="17365D" w:themeColor="text2" w:themeShade="BF"/>
          <w:sz w:val="22"/>
          <w:szCs w:val="22"/>
          <w:lang w:val="sr-Latn-RS"/>
        </w:rPr>
        <w:t>1</w:t>
      </w:r>
      <w:r w:rsidRPr="00196439">
        <w:rPr>
          <w:rFonts w:cs="Arial"/>
          <w:bCs/>
          <w:color w:val="17365D" w:themeColor="text2" w:themeShade="BF"/>
          <w:sz w:val="22"/>
          <w:szCs w:val="22"/>
          <w:lang w:val="sr-Cyrl-ME"/>
        </w:rPr>
        <w:t>% у односу на 31.12.2018. Посматрано у односу на претходни квартал укупне техничке резерве ниже су за 7,41%, а то је последица промене преносне премије и чињенице да је она најнижа крајем године, с обзиром да већина уговора о реосигурању као скаденцу има календарску годину.</w:t>
      </w:r>
    </w:p>
    <w:p w:rsidR="00E17E88" w:rsidRPr="00196439" w:rsidRDefault="00E17E88" w:rsidP="00646143">
      <w:pPr>
        <w:spacing w:line="276" w:lineRule="auto"/>
        <w:rPr>
          <w:rFonts w:cs="Arial"/>
          <w:b/>
          <w:color w:val="17365D" w:themeColor="text2" w:themeShade="BF"/>
          <w:sz w:val="22"/>
          <w:szCs w:val="22"/>
        </w:rPr>
      </w:pPr>
    </w:p>
    <w:p w:rsidR="00990413" w:rsidRPr="00196439" w:rsidRDefault="00990413" w:rsidP="00990413">
      <w:pPr>
        <w:spacing w:line="240" w:lineRule="auto"/>
        <w:rPr>
          <w:rFonts w:cs="Arial"/>
          <w:color w:val="17365D" w:themeColor="text2" w:themeShade="BF"/>
          <w:sz w:val="22"/>
          <w:szCs w:val="22"/>
        </w:rPr>
      </w:pPr>
    </w:p>
    <w:p w:rsidR="00990413" w:rsidRPr="00196439" w:rsidRDefault="00990413" w:rsidP="00990413">
      <w:pPr>
        <w:spacing w:line="276" w:lineRule="auto"/>
        <w:ind w:left="720"/>
        <w:rPr>
          <w:rFonts w:cs="Arial"/>
          <w:b/>
          <w:bCs/>
          <w:i/>
          <w:color w:val="17365D" w:themeColor="text2" w:themeShade="BF"/>
          <w:sz w:val="22"/>
          <w:szCs w:val="22"/>
          <w:lang w:val="sr-Latn-CS"/>
        </w:rPr>
      </w:pPr>
      <w:r w:rsidRPr="00196439">
        <w:rPr>
          <w:rFonts w:cs="Arial"/>
          <w:b/>
          <w:bCs/>
          <w:i/>
          <w:color w:val="17365D" w:themeColor="text2" w:themeShade="BF"/>
          <w:sz w:val="22"/>
          <w:szCs w:val="22"/>
          <w:lang w:val="sr-Cyrl-RS"/>
        </w:rPr>
        <w:t>2.</w:t>
      </w:r>
      <w:r w:rsidRPr="00196439">
        <w:rPr>
          <w:rFonts w:cs="Arial"/>
          <w:b/>
          <w:bCs/>
          <w:i/>
          <w:color w:val="17365D" w:themeColor="text2" w:themeShade="BF"/>
          <w:sz w:val="22"/>
          <w:szCs w:val="22"/>
          <w:lang w:val="sr-Latn-CS"/>
        </w:rPr>
        <w:t>1. ПРЕНОСНА ПРЕМИЈА</w:t>
      </w:r>
    </w:p>
    <w:p w:rsidR="00990413" w:rsidRPr="00196439" w:rsidRDefault="00990413" w:rsidP="00990413">
      <w:pPr>
        <w:spacing w:line="240" w:lineRule="auto"/>
        <w:rPr>
          <w:rFonts w:cs="Arial"/>
          <w:color w:val="17365D" w:themeColor="text2" w:themeShade="BF"/>
          <w:sz w:val="22"/>
          <w:szCs w:val="22"/>
        </w:rPr>
      </w:pPr>
    </w:p>
    <w:p w:rsidR="009D3E48" w:rsidRPr="00196439" w:rsidRDefault="009D3E48" w:rsidP="009D3E48">
      <w:pPr>
        <w:spacing w:line="276" w:lineRule="auto"/>
        <w:rPr>
          <w:rFonts w:ascii="Times New Roman" w:hAnsi="Times New Roman"/>
          <w:color w:val="17365D" w:themeColor="text2" w:themeShade="BF"/>
          <w:sz w:val="24"/>
        </w:rPr>
      </w:pPr>
      <w:r w:rsidRPr="00196439">
        <w:rPr>
          <w:rFonts w:cs="Arial"/>
          <w:color w:val="17365D" w:themeColor="text2" w:themeShade="BF"/>
          <w:sz w:val="22"/>
          <w:szCs w:val="22"/>
        </w:rPr>
        <w:t xml:space="preserve">Друштво је у 2019. години по активном послу реосигурања остварило укупну премију у износу од </w:t>
      </w:r>
      <w:r w:rsidRPr="00196439">
        <w:rPr>
          <w:rFonts w:cs="Arial"/>
          <w:color w:val="17365D" w:themeColor="text2" w:themeShade="BF"/>
          <w:sz w:val="22"/>
          <w:szCs w:val="22"/>
          <w:lang w:val="sr-Cyrl-RS"/>
        </w:rPr>
        <w:t>4.785.879.902</w:t>
      </w:r>
      <w:r w:rsidRPr="00196439">
        <w:rPr>
          <w:rFonts w:cs="Arial"/>
          <w:color w:val="17365D" w:themeColor="text2" w:themeShade="BF"/>
          <w:sz w:val="22"/>
          <w:szCs w:val="22"/>
        </w:rPr>
        <w:t xml:space="preserve"> динара, и то у неживотним осигурањима </w:t>
      </w:r>
      <w:r w:rsidRPr="00196439">
        <w:rPr>
          <w:rFonts w:cs="Arial"/>
          <w:color w:val="17365D" w:themeColor="text2" w:themeShade="BF"/>
          <w:sz w:val="22"/>
          <w:szCs w:val="22"/>
          <w:lang w:val="sr-Cyrl-RS"/>
        </w:rPr>
        <w:t>4.652.118.230 динара</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а у</w:t>
      </w:r>
      <w:r w:rsidRPr="00196439">
        <w:rPr>
          <w:rFonts w:cs="Arial"/>
          <w:color w:val="17365D" w:themeColor="text2" w:themeShade="BF"/>
          <w:sz w:val="22"/>
          <w:szCs w:val="22"/>
        </w:rPr>
        <w:t xml:space="preserve"> животним </w:t>
      </w:r>
      <w:r w:rsidRPr="00196439">
        <w:rPr>
          <w:rFonts w:cs="Arial"/>
          <w:color w:val="17365D" w:themeColor="text2" w:themeShade="BF"/>
          <w:sz w:val="22"/>
          <w:szCs w:val="22"/>
          <w:lang w:val="sr-Cyrl-RS"/>
        </w:rPr>
        <w:t>133.761.672</w:t>
      </w:r>
      <w:r w:rsidRPr="00196439">
        <w:rPr>
          <w:rFonts w:cs="Arial"/>
          <w:color w:val="17365D" w:themeColor="text2" w:themeShade="BF"/>
          <w:sz w:val="22"/>
          <w:szCs w:val="22"/>
        </w:rPr>
        <w:t xml:space="preserve"> динара. Премија у самопридржају износи </w:t>
      </w:r>
      <w:r w:rsidRPr="00196439">
        <w:rPr>
          <w:rFonts w:cs="Arial"/>
          <w:color w:val="17365D" w:themeColor="text2" w:themeShade="BF"/>
          <w:sz w:val="22"/>
          <w:szCs w:val="22"/>
          <w:lang w:val="sr-Cyrl-RS"/>
        </w:rPr>
        <w:t>1.002.571.933</w:t>
      </w:r>
      <w:r w:rsidRPr="00196439">
        <w:rPr>
          <w:rFonts w:cs="Arial"/>
          <w:color w:val="17365D" w:themeColor="text2" w:themeShade="BF"/>
          <w:sz w:val="22"/>
          <w:szCs w:val="22"/>
        </w:rPr>
        <w:t xml:space="preserve"> динара.</w:t>
      </w:r>
    </w:p>
    <w:p w:rsidR="009D3E48" w:rsidRPr="00196439" w:rsidRDefault="009D3E48" w:rsidP="009D3E48">
      <w:pPr>
        <w:spacing w:line="276" w:lineRule="auto"/>
        <w:rPr>
          <w:rFonts w:ascii="Times New Roman" w:hAnsi="Times New Roman"/>
          <w:color w:val="17365D" w:themeColor="text2" w:themeShade="BF"/>
          <w:sz w:val="24"/>
        </w:rPr>
      </w:pPr>
    </w:p>
    <w:p w:rsidR="009D3E48" w:rsidRPr="00196439" w:rsidRDefault="009D3E48" w:rsidP="009D3E48">
      <w:pPr>
        <w:spacing w:line="276" w:lineRule="auto"/>
        <w:rPr>
          <w:rFonts w:cs="Arial"/>
          <w:color w:val="17365D" w:themeColor="text2" w:themeShade="BF"/>
          <w:sz w:val="22"/>
          <w:szCs w:val="22"/>
        </w:rPr>
      </w:pPr>
      <w:r w:rsidRPr="00196439">
        <w:rPr>
          <w:rFonts w:cs="Arial"/>
          <w:b/>
          <w:color w:val="17365D" w:themeColor="text2" w:themeShade="BF"/>
          <w:sz w:val="22"/>
          <w:szCs w:val="22"/>
          <w:lang w:val="sr-Latn-CS"/>
        </w:rPr>
        <w:t>Укупна преносна премија на дан 3</w:t>
      </w:r>
      <w:r w:rsidRPr="00196439">
        <w:rPr>
          <w:rFonts w:cs="Arial"/>
          <w:b/>
          <w:color w:val="17365D" w:themeColor="text2" w:themeShade="BF"/>
          <w:sz w:val="22"/>
          <w:szCs w:val="22"/>
          <w:lang w:val="sr-Cyrl-RS"/>
        </w:rPr>
        <w:t>1</w:t>
      </w:r>
      <w:r w:rsidRPr="00196439">
        <w:rPr>
          <w:rFonts w:cs="Arial"/>
          <w:b/>
          <w:color w:val="17365D" w:themeColor="text2" w:themeShade="BF"/>
          <w:sz w:val="22"/>
          <w:szCs w:val="22"/>
          <w:lang w:val="sr-Latn-CS"/>
        </w:rPr>
        <w:t>.</w:t>
      </w:r>
      <w:r w:rsidRPr="00196439">
        <w:rPr>
          <w:rFonts w:cs="Arial"/>
          <w:b/>
          <w:color w:val="17365D" w:themeColor="text2" w:themeShade="BF"/>
          <w:sz w:val="22"/>
          <w:szCs w:val="22"/>
        </w:rPr>
        <w:t>12</w:t>
      </w:r>
      <w:r w:rsidRPr="00196439">
        <w:rPr>
          <w:rFonts w:cs="Arial"/>
          <w:b/>
          <w:color w:val="17365D" w:themeColor="text2" w:themeShade="BF"/>
          <w:sz w:val="22"/>
          <w:szCs w:val="22"/>
          <w:lang w:val="sr-Latn-CS"/>
        </w:rPr>
        <w:t xml:space="preserve">.2019. износи </w:t>
      </w:r>
      <w:r w:rsidRPr="00196439">
        <w:rPr>
          <w:rFonts w:cs="Arial"/>
          <w:b/>
          <w:color w:val="17365D" w:themeColor="text2" w:themeShade="BF"/>
          <w:sz w:val="22"/>
          <w:szCs w:val="22"/>
          <w:lang w:val="sr-Cyrl-RS"/>
        </w:rPr>
        <w:t>1.094.588.209 динара</w:t>
      </w:r>
      <w:r w:rsidRPr="00196439">
        <w:rPr>
          <w:rFonts w:cs="Arial"/>
          <w:color w:val="17365D" w:themeColor="text2" w:themeShade="BF"/>
          <w:sz w:val="22"/>
          <w:szCs w:val="22"/>
        </w:rPr>
        <w:t xml:space="preserve">, а у самопридржају </w:t>
      </w:r>
      <w:r w:rsidRPr="00196439">
        <w:rPr>
          <w:rFonts w:cs="Arial"/>
          <w:color w:val="17365D" w:themeColor="text2" w:themeShade="BF"/>
          <w:sz w:val="22"/>
          <w:szCs w:val="22"/>
          <w:lang w:val="sr-Cyrl-RS"/>
        </w:rPr>
        <w:t>97.038.622</w:t>
      </w:r>
      <w:r w:rsidRPr="00196439">
        <w:rPr>
          <w:rFonts w:cs="Arial"/>
          <w:color w:val="17365D" w:themeColor="text2" w:themeShade="BF"/>
          <w:sz w:val="22"/>
          <w:szCs w:val="22"/>
        </w:rPr>
        <w:t xml:space="preserve"> динар</w:t>
      </w:r>
      <w:r w:rsidRPr="00196439">
        <w:rPr>
          <w:rFonts w:cs="Arial"/>
          <w:color w:val="17365D" w:themeColor="text2" w:themeShade="BF"/>
          <w:sz w:val="22"/>
          <w:szCs w:val="22"/>
          <w:lang w:val="sr-Cyrl-RS"/>
        </w:rPr>
        <w:t>а</w:t>
      </w:r>
      <w:r w:rsidRPr="00196439">
        <w:rPr>
          <w:rFonts w:cs="Arial"/>
          <w:color w:val="17365D" w:themeColor="text2" w:themeShade="BF"/>
          <w:sz w:val="22"/>
          <w:szCs w:val="22"/>
        </w:rPr>
        <w:t xml:space="preserve">. Цео износ </w:t>
      </w:r>
      <w:r w:rsidRPr="00196439">
        <w:rPr>
          <w:rFonts w:cs="Arial"/>
          <w:color w:val="17365D" w:themeColor="text2" w:themeShade="BF"/>
          <w:sz w:val="22"/>
          <w:szCs w:val="22"/>
          <w:lang w:val="sr-Cyrl-RS"/>
        </w:rPr>
        <w:t xml:space="preserve">укупне преносне премије и преносне премије у самопридржају </w:t>
      </w:r>
      <w:r w:rsidRPr="00196439">
        <w:rPr>
          <w:rFonts w:cs="Arial"/>
          <w:color w:val="17365D" w:themeColor="text2" w:themeShade="BF"/>
          <w:sz w:val="22"/>
          <w:szCs w:val="22"/>
        </w:rPr>
        <w:t>односи се на неживотна осигурања.</w:t>
      </w:r>
    </w:p>
    <w:p w:rsidR="009D3E48" w:rsidRPr="00196439" w:rsidRDefault="009D3E48" w:rsidP="009D3E48">
      <w:pPr>
        <w:spacing w:line="276" w:lineRule="auto"/>
        <w:rPr>
          <w:rFonts w:cs="Arial"/>
          <w:color w:val="17365D" w:themeColor="text2" w:themeShade="BF"/>
          <w:sz w:val="22"/>
          <w:szCs w:val="22"/>
        </w:rPr>
      </w:pPr>
    </w:p>
    <w:p w:rsidR="009D3E48" w:rsidRPr="00196439" w:rsidRDefault="009D3E48" w:rsidP="009D3E48">
      <w:pPr>
        <w:keepNext/>
        <w:spacing w:after="120" w:line="276" w:lineRule="auto"/>
        <w:jc w:val="center"/>
        <w:rPr>
          <w:rFonts w:cs="Arial"/>
          <w:b/>
          <w:color w:val="17365D" w:themeColor="text2" w:themeShade="BF"/>
          <w:sz w:val="22"/>
          <w:szCs w:val="22"/>
          <w:lang w:val="sr-Cyrl-RS"/>
        </w:rPr>
      </w:pPr>
      <w:r w:rsidRPr="00196439">
        <w:rPr>
          <w:rFonts w:cs="Arial"/>
          <w:b/>
          <w:bCs/>
          <w:color w:val="17365D" w:themeColor="text2" w:themeShade="BF"/>
          <w:sz w:val="22"/>
          <w:szCs w:val="22"/>
        </w:rPr>
        <w:t>П</w:t>
      </w:r>
      <w:r w:rsidRPr="00196439">
        <w:rPr>
          <w:rFonts w:cs="Arial"/>
          <w:b/>
          <w:bCs/>
          <w:color w:val="17365D" w:themeColor="text2" w:themeShade="BF"/>
          <w:sz w:val="22"/>
          <w:szCs w:val="22"/>
          <w:lang w:val="sr-Cyrl-RS"/>
        </w:rPr>
        <w:t>реносна премија</w:t>
      </w:r>
      <w:r w:rsidRPr="00196439">
        <w:rPr>
          <w:rFonts w:cs="Arial"/>
          <w:b/>
          <w:bCs/>
          <w:color w:val="17365D" w:themeColor="text2" w:themeShade="BF"/>
          <w:sz w:val="22"/>
          <w:szCs w:val="22"/>
        </w:rPr>
        <w:t xml:space="preserve"> 31.12.2019</w:t>
      </w:r>
      <w:r w:rsidRPr="00196439">
        <w:rPr>
          <w:rFonts w:cs="Arial"/>
          <w:b/>
          <w:bCs/>
          <w:color w:val="17365D" w:themeColor="text2" w:themeShade="BF"/>
          <w:sz w:val="22"/>
          <w:szCs w:val="22"/>
          <w:lang w:val="sr-Cyrl-RS"/>
        </w:rPr>
        <w:t xml:space="preserve"> и промене у односу на</w:t>
      </w:r>
      <w:r w:rsidRPr="00196439">
        <w:rPr>
          <w:rFonts w:cs="Arial"/>
          <w:b/>
          <w:color w:val="17365D" w:themeColor="text2" w:themeShade="BF"/>
          <w:sz w:val="22"/>
          <w:szCs w:val="22"/>
        </w:rPr>
        <w:t xml:space="preserve"> </w:t>
      </w:r>
      <w:r w:rsidRPr="00196439">
        <w:rPr>
          <w:rFonts w:cs="Arial"/>
          <w:b/>
          <w:color w:val="17365D" w:themeColor="text2" w:themeShade="BF"/>
          <w:sz w:val="22"/>
          <w:szCs w:val="22"/>
          <w:lang w:val="sr-Cyrl-RS"/>
        </w:rPr>
        <w:t>31.12.2018</w:t>
      </w:r>
    </w:p>
    <w:p w:rsidR="009D3E48" w:rsidRPr="00196439" w:rsidRDefault="009D3E48" w:rsidP="009D3E48">
      <w:pPr>
        <w:spacing w:line="276" w:lineRule="auto"/>
        <w:jc w:val="center"/>
        <w:rPr>
          <w:noProof/>
          <w:color w:val="17365D" w:themeColor="text2" w:themeShade="BF"/>
          <w:lang w:val="en-US"/>
        </w:rPr>
      </w:pPr>
      <w:r w:rsidRPr="00196439">
        <w:rPr>
          <w:noProof/>
          <w:color w:val="17365D" w:themeColor="text2" w:themeShade="BF"/>
          <w:lang w:val="en-US"/>
        </w:rPr>
        <w:drawing>
          <wp:inline distT="0" distB="0" distL="0" distR="0" wp14:anchorId="568F8781" wp14:editId="5B4E50A1">
            <wp:extent cx="4679628" cy="342900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4695" cy="3432713"/>
                    </a:xfrm>
                    <a:prstGeom prst="rect">
                      <a:avLst/>
                    </a:prstGeom>
                    <a:noFill/>
                    <a:ln>
                      <a:noFill/>
                    </a:ln>
                  </pic:spPr>
                </pic:pic>
              </a:graphicData>
            </a:graphic>
          </wp:inline>
        </w:drawing>
      </w:r>
    </w:p>
    <w:p w:rsidR="009D3E48" w:rsidRPr="00196439" w:rsidRDefault="009D3E48" w:rsidP="009D3E48">
      <w:pPr>
        <w:spacing w:line="276" w:lineRule="auto"/>
        <w:rPr>
          <w:noProof/>
          <w:color w:val="17365D" w:themeColor="text2" w:themeShade="BF"/>
          <w:lang w:val="en-US"/>
        </w:rPr>
      </w:pPr>
    </w:p>
    <w:p w:rsidR="00936366" w:rsidRPr="00196439" w:rsidRDefault="00936366" w:rsidP="00936366">
      <w:pPr>
        <w:keepNext/>
        <w:spacing w:line="276" w:lineRule="auto"/>
        <w:jc w:val="center"/>
        <w:rPr>
          <w:rFonts w:cs="Arial"/>
          <w:b/>
          <w:bCs/>
          <w:color w:val="17365D" w:themeColor="text2" w:themeShade="BF"/>
          <w:sz w:val="22"/>
          <w:szCs w:val="22"/>
          <w:lang w:val="sr-Cyrl-RS"/>
        </w:rPr>
      </w:pPr>
      <w:r w:rsidRPr="00196439">
        <w:rPr>
          <w:rFonts w:cs="Arial"/>
          <w:b/>
          <w:bCs/>
          <w:color w:val="17365D" w:themeColor="text2" w:themeShade="BF"/>
          <w:sz w:val="22"/>
          <w:szCs w:val="22"/>
          <w:lang w:val="sr-Cyrl-RS"/>
        </w:rPr>
        <w:t xml:space="preserve">Очекивани просечни број месеци трајања реосигуравајућег покрића након </w:t>
      </w:r>
    </w:p>
    <w:p w:rsidR="00936366" w:rsidRPr="00196439" w:rsidRDefault="00936366" w:rsidP="00936366">
      <w:pPr>
        <w:keepNext/>
        <w:spacing w:after="120" w:line="276" w:lineRule="auto"/>
        <w:jc w:val="center"/>
        <w:rPr>
          <w:rFonts w:cs="Arial"/>
          <w:b/>
          <w:color w:val="17365D" w:themeColor="text2" w:themeShade="BF"/>
          <w:sz w:val="22"/>
          <w:szCs w:val="22"/>
          <w:lang w:val="sr-Cyrl-RS"/>
        </w:rPr>
      </w:pPr>
      <w:r w:rsidRPr="00196439">
        <w:rPr>
          <w:rFonts w:cs="Arial"/>
          <w:b/>
          <w:bCs/>
          <w:color w:val="17365D" w:themeColor="text2" w:themeShade="BF"/>
          <w:sz w:val="22"/>
          <w:szCs w:val="22"/>
          <w:lang w:val="sr-Cyrl-RS"/>
        </w:rPr>
        <w:t>обрачуна резерви за преносне премије неживотних осигурања</w:t>
      </w:r>
      <w:r w:rsidRPr="00196439">
        <w:rPr>
          <w:rStyle w:val="FootnoteReference"/>
          <w:rFonts w:cs="Arial"/>
          <w:b/>
          <w:bCs/>
          <w:color w:val="17365D" w:themeColor="text2" w:themeShade="BF"/>
          <w:sz w:val="22"/>
          <w:szCs w:val="22"/>
          <w:lang w:val="sr-Cyrl-RS"/>
        </w:rPr>
        <w:footnoteReference w:id="2"/>
      </w:r>
    </w:p>
    <w:p w:rsidR="00936366" w:rsidRPr="00196439" w:rsidRDefault="005E2B0C" w:rsidP="00936366">
      <w:pPr>
        <w:spacing w:line="276" w:lineRule="auto"/>
        <w:jc w:val="center"/>
        <w:rPr>
          <w:rFonts w:cs="Arial"/>
          <w:color w:val="17365D" w:themeColor="text2" w:themeShade="BF"/>
          <w:sz w:val="22"/>
          <w:szCs w:val="22"/>
        </w:rPr>
      </w:pPr>
      <w:r w:rsidRPr="00196439">
        <w:rPr>
          <w:noProof/>
          <w:color w:val="17365D" w:themeColor="text2" w:themeShade="BF"/>
          <w:lang w:val="en-US"/>
        </w:rPr>
        <w:drawing>
          <wp:inline distT="0" distB="0" distL="0" distR="0" wp14:anchorId="6678187D" wp14:editId="285051BF">
            <wp:extent cx="3815532" cy="3590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0069" cy="3595194"/>
                    </a:xfrm>
                    <a:prstGeom prst="rect">
                      <a:avLst/>
                    </a:prstGeom>
                    <a:noFill/>
                    <a:ln>
                      <a:noFill/>
                    </a:ln>
                  </pic:spPr>
                </pic:pic>
              </a:graphicData>
            </a:graphic>
          </wp:inline>
        </w:drawing>
      </w:r>
    </w:p>
    <w:p w:rsidR="00936366" w:rsidRPr="00196439" w:rsidRDefault="00936366" w:rsidP="009D3E48">
      <w:pPr>
        <w:spacing w:line="276" w:lineRule="auto"/>
        <w:rPr>
          <w:noProof/>
          <w:color w:val="17365D" w:themeColor="text2" w:themeShade="BF"/>
          <w:lang w:val="en-US"/>
        </w:rPr>
      </w:pPr>
    </w:p>
    <w:p w:rsidR="009D3E48" w:rsidRPr="00196439" w:rsidRDefault="009D3E48" w:rsidP="009D3E48">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t xml:space="preserve">Највеће учешће у преносној премији по активном послу имају следеће врсте осигурања: </w:t>
      </w:r>
      <w:r w:rsidRPr="00196439">
        <w:rPr>
          <w:rFonts w:cs="Arial"/>
          <w:color w:val="17365D" w:themeColor="text2" w:themeShade="BF"/>
          <w:sz w:val="22"/>
          <w:szCs w:val="22"/>
          <w:lang w:val="sr-Cyrl-RS"/>
        </w:rPr>
        <w:t>09 Остала осигурања имовине (51,88%), 13 Осигурање од опште одговорности (21,18%) и 08 О</w:t>
      </w:r>
      <w:r w:rsidRPr="00196439">
        <w:rPr>
          <w:rFonts w:cs="Arial"/>
          <w:color w:val="17365D" w:themeColor="text2" w:themeShade="BF"/>
          <w:sz w:val="22"/>
          <w:szCs w:val="22"/>
        </w:rPr>
        <w:t>сигурање имовине од пожара и других опасности</w:t>
      </w:r>
      <w:r w:rsidRPr="00196439">
        <w:rPr>
          <w:rFonts w:cs="Arial"/>
          <w:color w:val="17365D" w:themeColor="text2" w:themeShade="BF"/>
          <w:sz w:val="22"/>
          <w:szCs w:val="22"/>
          <w:lang w:val="sr-Cyrl-RS"/>
        </w:rPr>
        <w:t xml:space="preserve"> (12,71%).</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Наведене</w:t>
      </w:r>
      <w:r w:rsidRPr="00196439">
        <w:rPr>
          <w:rFonts w:cs="Arial"/>
          <w:color w:val="17365D" w:themeColor="text2" w:themeShade="BF"/>
          <w:sz w:val="22"/>
          <w:szCs w:val="22"/>
        </w:rPr>
        <w:t xml:space="preserve"> врсте осигурања имају и највеће учешће у премији по активном послу, с тим што је </w:t>
      </w:r>
      <w:r w:rsidRPr="00196439">
        <w:rPr>
          <w:rFonts w:cs="Arial"/>
          <w:color w:val="17365D" w:themeColor="text2" w:themeShade="BF"/>
          <w:sz w:val="22"/>
          <w:szCs w:val="22"/>
          <w:lang w:val="sr-Cyrl-RS"/>
        </w:rPr>
        <w:t xml:space="preserve">збирно </w:t>
      </w:r>
      <w:r w:rsidRPr="00196439">
        <w:rPr>
          <w:rFonts w:cs="Arial"/>
          <w:color w:val="17365D" w:themeColor="text2" w:themeShade="BF"/>
          <w:sz w:val="22"/>
          <w:szCs w:val="22"/>
        </w:rPr>
        <w:t>учешће наведених врста у преносној премији 85,77%</w:t>
      </w:r>
      <w:r w:rsidRPr="00196439">
        <w:rPr>
          <w:rFonts w:cs="Arial"/>
          <w:color w:val="17365D" w:themeColor="text2" w:themeShade="BF"/>
          <w:sz w:val="22"/>
          <w:szCs w:val="22"/>
          <w:lang w:val="sr-Cyrl-RS"/>
        </w:rPr>
        <w:t>, а у премији по активном послу 75,29%.</w:t>
      </w:r>
    </w:p>
    <w:p w:rsidR="009D3E48" w:rsidRPr="00196439" w:rsidRDefault="009D3E48" w:rsidP="009D3E48">
      <w:pPr>
        <w:spacing w:line="276" w:lineRule="auto"/>
        <w:rPr>
          <w:rFonts w:cs="Arial"/>
          <w:color w:val="17365D" w:themeColor="text2" w:themeShade="BF"/>
          <w:sz w:val="22"/>
          <w:szCs w:val="22"/>
          <w:lang w:val="sr-Cyrl-RS"/>
        </w:rPr>
      </w:pPr>
    </w:p>
    <w:p w:rsidR="009D3E48" w:rsidRPr="00196439" w:rsidRDefault="009D3E48" w:rsidP="009D3E48">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t xml:space="preserve">У односу на </w:t>
      </w:r>
      <w:r w:rsidRPr="00196439">
        <w:rPr>
          <w:rFonts w:cs="Arial"/>
          <w:color w:val="17365D" w:themeColor="text2" w:themeShade="BF"/>
          <w:sz w:val="22"/>
          <w:szCs w:val="22"/>
          <w:lang w:val="sr-Cyrl-RS"/>
        </w:rPr>
        <w:t>31.12.2018.</w:t>
      </w:r>
      <w:r w:rsidRPr="00196439">
        <w:rPr>
          <w:rFonts w:cs="Arial"/>
          <w:color w:val="17365D" w:themeColor="text2" w:themeShade="BF"/>
          <w:sz w:val="22"/>
          <w:szCs w:val="22"/>
        </w:rPr>
        <w:t xml:space="preserve"> преносна премија је виша за </w:t>
      </w:r>
      <w:r w:rsidRPr="00196439">
        <w:rPr>
          <w:rFonts w:cs="Arial"/>
          <w:color w:val="17365D" w:themeColor="text2" w:themeShade="BF"/>
          <w:sz w:val="22"/>
          <w:szCs w:val="22"/>
          <w:lang w:val="sr-Cyrl-RS"/>
        </w:rPr>
        <w:t>448.750.955</w:t>
      </w:r>
      <w:r w:rsidRPr="00196439">
        <w:rPr>
          <w:rFonts w:cs="Arial"/>
          <w:color w:val="17365D" w:themeColor="text2" w:themeShade="BF"/>
          <w:sz w:val="22"/>
          <w:szCs w:val="22"/>
        </w:rPr>
        <w:t xml:space="preserve"> динара односно за</w:t>
      </w:r>
      <w:r w:rsidRPr="00196439">
        <w:rPr>
          <w:rFonts w:cs="Arial"/>
          <w:color w:val="17365D" w:themeColor="text2" w:themeShade="BF"/>
          <w:sz w:val="22"/>
          <w:szCs w:val="22"/>
          <w:lang w:val="sr-Cyrl-RS"/>
        </w:rPr>
        <w:t xml:space="preserve"> 69</w:t>
      </w:r>
      <w:r w:rsidRPr="00196439">
        <w:rPr>
          <w:rFonts w:cs="Arial"/>
          <w:color w:val="17365D" w:themeColor="text2" w:themeShade="BF"/>
          <w:sz w:val="22"/>
          <w:szCs w:val="22"/>
        </w:rPr>
        <w:t>,</w:t>
      </w:r>
      <w:r w:rsidRPr="00196439">
        <w:rPr>
          <w:rFonts w:cs="Arial"/>
          <w:color w:val="17365D" w:themeColor="text2" w:themeShade="BF"/>
          <w:sz w:val="22"/>
          <w:szCs w:val="22"/>
          <w:lang w:val="sr-Cyrl-RS"/>
        </w:rPr>
        <w:t>48</w:t>
      </w:r>
      <w:r w:rsidRPr="00196439">
        <w:rPr>
          <w:rFonts w:cs="Arial"/>
          <w:color w:val="17365D" w:themeColor="text2" w:themeShade="BF"/>
          <w:sz w:val="22"/>
          <w:szCs w:val="22"/>
        </w:rPr>
        <w:t>%</w:t>
      </w:r>
      <w:r w:rsidRPr="00196439">
        <w:rPr>
          <w:rFonts w:cs="Arial"/>
          <w:color w:val="17365D" w:themeColor="text2" w:themeShade="BF"/>
          <w:sz w:val="22"/>
          <w:szCs w:val="22"/>
          <w:lang w:val="sr-Cyrl-RS"/>
        </w:rPr>
        <w:t>,</w:t>
      </w:r>
      <w:r w:rsidRPr="00196439">
        <w:rPr>
          <w:rFonts w:cs="Arial"/>
          <w:color w:val="17365D" w:themeColor="text2" w:themeShade="BF"/>
          <w:sz w:val="22"/>
          <w:szCs w:val="22"/>
        </w:rPr>
        <w:t xml:space="preserve"> што је </w:t>
      </w:r>
      <w:r w:rsidRPr="00196439">
        <w:rPr>
          <w:rFonts w:cs="Arial"/>
          <w:color w:val="17365D" w:themeColor="text2" w:themeShade="BF"/>
          <w:sz w:val="22"/>
          <w:szCs w:val="22"/>
          <w:lang w:val="sr-Cyrl-RS"/>
        </w:rPr>
        <w:t xml:space="preserve">претежно </w:t>
      </w:r>
      <w:r w:rsidRPr="00196439">
        <w:rPr>
          <w:rFonts w:cs="Arial"/>
          <w:color w:val="17365D" w:themeColor="text2" w:themeShade="BF"/>
          <w:sz w:val="22"/>
          <w:szCs w:val="22"/>
        </w:rPr>
        <w:t xml:space="preserve">последица међугодишњег повећања премије неживотних осигурања од </w:t>
      </w:r>
      <w:r w:rsidRPr="00196439">
        <w:rPr>
          <w:rFonts w:cs="Arial"/>
          <w:color w:val="17365D" w:themeColor="text2" w:themeShade="BF"/>
          <w:sz w:val="22"/>
          <w:szCs w:val="22"/>
          <w:lang w:val="sr-Cyrl-RS"/>
        </w:rPr>
        <w:t>1.658.415.221</w:t>
      </w:r>
      <w:r w:rsidRPr="00196439">
        <w:rPr>
          <w:rFonts w:cs="Arial"/>
          <w:color w:val="17365D" w:themeColor="text2" w:themeShade="BF"/>
          <w:sz w:val="22"/>
          <w:szCs w:val="22"/>
        </w:rPr>
        <w:t xml:space="preserve"> динар, односно </w:t>
      </w:r>
      <w:r w:rsidRPr="00196439">
        <w:rPr>
          <w:rFonts w:cs="Arial"/>
          <w:color w:val="17365D" w:themeColor="text2" w:themeShade="BF"/>
          <w:sz w:val="22"/>
          <w:szCs w:val="22"/>
          <w:lang w:val="sr-Cyrl-RS"/>
        </w:rPr>
        <w:t>55,40%.</w:t>
      </w:r>
    </w:p>
    <w:p w:rsidR="009D3E48" w:rsidRPr="00196439" w:rsidRDefault="009D3E48" w:rsidP="009D3E48">
      <w:pPr>
        <w:spacing w:line="276" w:lineRule="auto"/>
        <w:rPr>
          <w:rFonts w:cs="Arial"/>
          <w:color w:val="17365D" w:themeColor="text2" w:themeShade="BF"/>
          <w:sz w:val="22"/>
          <w:szCs w:val="22"/>
        </w:rPr>
      </w:pPr>
    </w:p>
    <w:p w:rsidR="009D3E48" w:rsidRPr="00196439" w:rsidRDefault="009D3E48" w:rsidP="009D3E48">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Највећи апсолутни раст преносне премије од 200.968.225 динара (54,78%) остварен је на врсти осигурања 09 Остала осигурања имовине</w:t>
      </w:r>
      <w:r w:rsidRPr="00196439">
        <w:rPr>
          <w:rFonts w:cs="Arial"/>
          <w:color w:val="17365D" w:themeColor="text2" w:themeShade="BF"/>
          <w:sz w:val="22"/>
          <w:szCs w:val="22"/>
          <w:lang w:val="sr-Latn-RS"/>
        </w:rPr>
        <w:t>,</w:t>
      </w:r>
      <w:r w:rsidRPr="00196439">
        <w:rPr>
          <w:rFonts w:cs="Arial"/>
          <w:color w:val="17365D" w:themeColor="text2" w:themeShade="BF"/>
          <w:sz w:val="22"/>
          <w:szCs w:val="22"/>
          <w:lang w:val="sr-Cyrl-RS"/>
        </w:rPr>
        <w:t xml:space="preserve"> као последица повећања премије од 953.142.226 динара. Значајна повећања преносне премије остварена су и на врстама осигурања 13 Осигурање од опште одговорности у износу од 147.480.213 динара (174,86%) и 08 Осигурање имовине од пожара и других опасности у износу од 59.614.303 динара (74,98%).</w:t>
      </w:r>
    </w:p>
    <w:p w:rsidR="009D3E48" w:rsidRPr="00196439" w:rsidRDefault="009D3E48" w:rsidP="009D3E48">
      <w:pPr>
        <w:spacing w:line="276" w:lineRule="auto"/>
        <w:rPr>
          <w:rFonts w:cs="Arial"/>
          <w:color w:val="17365D" w:themeColor="text2" w:themeShade="BF"/>
          <w:sz w:val="22"/>
          <w:szCs w:val="22"/>
          <w:lang w:val="sr-Cyrl-RS"/>
        </w:rPr>
      </w:pPr>
    </w:p>
    <w:p w:rsidR="009D3E48" w:rsidRPr="00196439" w:rsidRDefault="009D3E48" w:rsidP="009D3E48">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Незнатна смањења преносне премије у апсолутном износу забележена су на врстама 03 Осигурање моторних возила (1.219.638 динара); 04 Осигурање шинских возила (338.327 динара); 06 Осигурање пловних објеката (19.038 динара); 07 Осигурање робе у превозу (803.893 динара) и 14 Осигурање кредита, код кога је преносна премија готово на истом нивоу (230 динара).</w:t>
      </w:r>
    </w:p>
    <w:p w:rsidR="009D3E48" w:rsidRPr="00196439" w:rsidRDefault="009D3E48" w:rsidP="009D3E48">
      <w:pPr>
        <w:spacing w:line="276" w:lineRule="auto"/>
        <w:rPr>
          <w:rFonts w:cs="Arial"/>
          <w:color w:val="17365D" w:themeColor="text2" w:themeShade="BF"/>
          <w:sz w:val="22"/>
          <w:szCs w:val="22"/>
          <w:lang w:val="sr-Cyrl-RS"/>
        </w:rPr>
      </w:pPr>
    </w:p>
    <w:p w:rsidR="009D3E48" w:rsidRPr="00196439" w:rsidRDefault="009D3E48" w:rsidP="009D3E48">
      <w:pPr>
        <w:spacing w:line="276" w:lineRule="auto"/>
        <w:rPr>
          <w:rFonts w:cs="Arial"/>
          <w:color w:val="17365D" w:themeColor="text2" w:themeShade="BF"/>
          <w:sz w:val="22"/>
          <w:szCs w:val="22"/>
        </w:rPr>
      </w:pPr>
      <w:r w:rsidRPr="00196439">
        <w:rPr>
          <w:rFonts w:cs="Arial"/>
          <w:color w:val="17365D" w:themeColor="text2" w:themeShade="BF"/>
          <w:sz w:val="22"/>
          <w:szCs w:val="22"/>
        </w:rPr>
        <w:lastRenderedPageBreak/>
        <w:t xml:space="preserve">Значајнија одступања индекса раста преносне премије у појединим врстама осигурања проузрокована су </w:t>
      </w:r>
      <w:r w:rsidRPr="00196439">
        <w:rPr>
          <w:rFonts w:cs="Arial"/>
          <w:color w:val="17365D" w:themeColor="text2" w:themeShade="BF"/>
          <w:sz w:val="22"/>
          <w:szCs w:val="22"/>
          <w:lang w:val="sr-Cyrl-RS"/>
        </w:rPr>
        <w:t>ниским</w:t>
      </w:r>
      <w:r w:rsidRPr="00196439">
        <w:rPr>
          <w:rFonts w:cs="Arial"/>
          <w:color w:val="17365D" w:themeColor="text2" w:themeShade="BF"/>
          <w:sz w:val="22"/>
          <w:szCs w:val="22"/>
        </w:rPr>
        <w:t xml:space="preserve"> нивоом премије</w:t>
      </w:r>
      <w:r w:rsidRPr="00196439">
        <w:rPr>
          <w:rFonts w:cs="Arial"/>
          <w:color w:val="17365D" w:themeColor="text2" w:themeShade="BF"/>
          <w:sz w:val="22"/>
          <w:szCs w:val="22"/>
          <w:lang w:val="sr-Cyrl-RS"/>
        </w:rPr>
        <w:t>,</w:t>
      </w:r>
      <w:r w:rsidRPr="00196439">
        <w:rPr>
          <w:rFonts w:cs="Arial"/>
          <w:color w:val="17365D" w:themeColor="text2" w:themeShade="BF"/>
          <w:sz w:val="22"/>
          <w:szCs w:val="22"/>
        </w:rPr>
        <w:t xml:space="preserve"> тако да мале промене у апсолутном износу </w:t>
      </w:r>
      <w:r w:rsidRPr="00196439">
        <w:rPr>
          <w:rFonts w:cs="Arial"/>
          <w:color w:val="17365D" w:themeColor="text2" w:themeShade="BF"/>
          <w:sz w:val="22"/>
          <w:szCs w:val="22"/>
          <w:lang w:val="sr-Cyrl-RS"/>
        </w:rPr>
        <w:t>доводе</w:t>
      </w:r>
      <w:r w:rsidRPr="00196439">
        <w:rPr>
          <w:rFonts w:cs="Arial"/>
          <w:color w:val="17365D" w:themeColor="text2" w:themeShade="BF"/>
          <w:sz w:val="22"/>
          <w:szCs w:val="22"/>
        </w:rPr>
        <w:t xml:space="preserve"> до великих осцилација релативних показатеља промене.</w:t>
      </w:r>
    </w:p>
    <w:p w:rsidR="009D3E48" w:rsidRPr="00196439" w:rsidRDefault="009D3E48" w:rsidP="009D3E48">
      <w:pPr>
        <w:spacing w:line="240" w:lineRule="auto"/>
        <w:rPr>
          <w:rFonts w:cs="Arial"/>
          <w:color w:val="17365D" w:themeColor="text2" w:themeShade="BF"/>
          <w:sz w:val="22"/>
          <w:szCs w:val="22"/>
          <w:lang w:val="sr-Cyrl-RS"/>
        </w:rPr>
      </w:pPr>
    </w:p>
    <w:p w:rsidR="009D3E48" w:rsidRPr="00196439" w:rsidRDefault="009D3E48" w:rsidP="009D3E48">
      <w:pPr>
        <w:keepNext/>
        <w:spacing w:after="120" w:line="276" w:lineRule="auto"/>
        <w:jc w:val="center"/>
        <w:rPr>
          <w:rFonts w:cs="Arial"/>
          <w:b/>
          <w:color w:val="17365D" w:themeColor="text2" w:themeShade="BF"/>
          <w:sz w:val="22"/>
          <w:szCs w:val="22"/>
        </w:rPr>
      </w:pPr>
      <w:r w:rsidRPr="00196439">
        <w:rPr>
          <w:rFonts w:cs="Arial"/>
          <w:b/>
          <w:color w:val="17365D" w:themeColor="text2" w:themeShade="BF"/>
          <w:sz w:val="22"/>
          <w:szCs w:val="22"/>
        </w:rPr>
        <w:t>П</w:t>
      </w:r>
      <w:r w:rsidRPr="00196439">
        <w:rPr>
          <w:rFonts w:cs="Arial"/>
          <w:b/>
          <w:color w:val="17365D" w:themeColor="text2" w:themeShade="BF"/>
          <w:sz w:val="22"/>
          <w:szCs w:val="22"/>
          <w:lang w:val="sr-Cyrl-RS"/>
        </w:rPr>
        <w:t>ремија</w:t>
      </w:r>
      <w:r w:rsidRPr="00196439">
        <w:rPr>
          <w:rFonts w:cs="Arial"/>
          <w:b/>
          <w:color w:val="17365D" w:themeColor="text2" w:themeShade="BF"/>
          <w:sz w:val="22"/>
          <w:szCs w:val="22"/>
        </w:rPr>
        <w:t xml:space="preserve">, </w:t>
      </w:r>
      <w:r w:rsidRPr="00196439">
        <w:rPr>
          <w:rFonts w:cs="Arial"/>
          <w:b/>
          <w:color w:val="17365D" w:themeColor="text2" w:themeShade="BF"/>
          <w:sz w:val="22"/>
          <w:szCs w:val="22"/>
          <w:lang w:val="sr-Cyrl-RS"/>
        </w:rPr>
        <w:t>преносна премија и учешће преносне премије у премији 3</w:t>
      </w:r>
      <w:r w:rsidRPr="00196439">
        <w:rPr>
          <w:rFonts w:cs="Arial"/>
          <w:b/>
          <w:color w:val="17365D" w:themeColor="text2" w:themeShade="BF"/>
          <w:sz w:val="22"/>
          <w:szCs w:val="22"/>
          <w:lang w:val="sr-Latn-RS"/>
        </w:rPr>
        <w:t>1</w:t>
      </w:r>
      <w:r w:rsidRPr="00196439">
        <w:rPr>
          <w:rFonts w:cs="Arial"/>
          <w:b/>
          <w:color w:val="17365D" w:themeColor="text2" w:themeShade="BF"/>
          <w:sz w:val="22"/>
          <w:szCs w:val="22"/>
          <w:lang w:val="sr-Cyrl-RS"/>
        </w:rPr>
        <w:t>.</w:t>
      </w:r>
      <w:r w:rsidRPr="00196439">
        <w:rPr>
          <w:rFonts w:cs="Arial"/>
          <w:b/>
          <w:color w:val="17365D" w:themeColor="text2" w:themeShade="BF"/>
          <w:sz w:val="22"/>
          <w:szCs w:val="22"/>
          <w:lang w:val="sr-Latn-RS"/>
        </w:rPr>
        <w:t>12</w:t>
      </w:r>
      <w:r w:rsidRPr="00196439">
        <w:rPr>
          <w:rFonts w:cs="Arial"/>
          <w:b/>
          <w:color w:val="17365D" w:themeColor="text2" w:themeShade="BF"/>
          <w:sz w:val="22"/>
          <w:szCs w:val="22"/>
          <w:lang w:val="sr-Cyrl-RS"/>
        </w:rPr>
        <w:t>.2019</w:t>
      </w:r>
      <w:r w:rsidRPr="00196439">
        <w:rPr>
          <w:rFonts w:cs="Arial"/>
          <w:b/>
          <w:color w:val="17365D" w:themeColor="text2" w:themeShade="BF"/>
          <w:sz w:val="22"/>
          <w:szCs w:val="22"/>
        </w:rPr>
        <w:t>.</w:t>
      </w:r>
    </w:p>
    <w:p w:rsidR="009D3E48" w:rsidRPr="00196439" w:rsidRDefault="009D3E48" w:rsidP="009D3E48">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2C5CDA2A" wp14:editId="012A4591">
            <wp:extent cx="6120765" cy="3562513"/>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3562513"/>
                    </a:xfrm>
                    <a:prstGeom prst="rect">
                      <a:avLst/>
                    </a:prstGeom>
                    <a:noFill/>
                    <a:ln>
                      <a:noFill/>
                    </a:ln>
                  </pic:spPr>
                </pic:pic>
              </a:graphicData>
            </a:graphic>
          </wp:inline>
        </w:drawing>
      </w:r>
    </w:p>
    <w:p w:rsidR="009D3E48" w:rsidRPr="00196439" w:rsidRDefault="009D3E48" w:rsidP="009D3E48">
      <w:pPr>
        <w:spacing w:after="120" w:line="240" w:lineRule="auto"/>
        <w:jc w:val="center"/>
        <w:rPr>
          <w:noProof/>
          <w:color w:val="17365D" w:themeColor="text2" w:themeShade="BF"/>
          <w:lang w:val="en-US"/>
        </w:rPr>
      </w:pPr>
    </w:p>
    <w:p w:rsidR="009D3E48" w:rsidRPr="00196439" w:rsidRDefault="009D3E48" w:rsidP="009D3E48">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t>Коефицијент разграничења премије активног реосигурања (однос преносне премије и премије) за</w:t>
      </w:r>
      <w:r w:rsidRPr="00196439">
        <w:rPr>
          <w:rFonts w:cs="Arial"/>
          <w:color w:val="17365D" w:themeColor="text2" w:themeShade="BF"/>
          <w:sz w:val="22"/>
          <w:szCs w:val="22"/>
          <w:lang w:val="sr-Cyrl-RS"/>
        </w:rPr>
        <w:t xml:space="preserve"> 2019. годину за неживотна осигурања</w:t>
      </w:r>
      <w:r w:rsidRPr="00196439">
        <w:rPr>
          <w:rFonts w:cs="Arial"/>
          <w:color w:val="17365D" w:themeColor="text2" w:themeShade="BF"/>
          <w:sz w:val="22"/>
          <w:szCs w:val="22"/>
        </w:rPr>
        <w:t xml:space="preserve"> износи </w:t>
      </w:r>
      <w:r w:rsidRPr="00196439">
        <w:rPr>
          <w:rFonts w:cs="Arial"/>
          <w:color w:val="17365D" w:themeColor="text2" w:themeShade="BF"/>
          <w:sz w:val="22"/>
          <w:szCs w:val="22"/>
          <w:lang w:val="sr-Cyrl-RS"/>
        </w:rPr>
        <w:t>23,53%</w:t>
      </w:r>
      <w:r w:rsidRPr="00196439">
        <w:rPr>
          <w:rFonts w:cs="Arial"/>
          <w:color w:val="17365D" w:themeColor="text2" w:themeShade="BF"/>
          <w:sz w:val="22"/>
          <w:szCs w:val="22"/>
        </w:rPr>
        <w:t xml:space="preserve">, што је на </w:t>
      </w:r>
      <w:r w:rsidRPr="00196439">
        <w:rPr>
          <w:rFonts w:cs="Arial"/>
          <w:color w:val="17365D" w:themeColor="text2" w:themeShade="BF"/>
          <w:sz w:val="22"/>
          <w:szCs w:val="22"/>
          <w:lang w:val="sr-Cyrl-RS"/>
        </w:rPr>
        <w:t xml:space="preserve">нешто </w:t>
      </w:r>
      <w:r w:rsidRPr="00196439">
        <w:rPr>
          <w:rFonts w:cs="Arial"/>
          <w:color w:val="17365D" w:themeColor="text2" w:themeShade="BF"/>
          <w:sz w:val="22"/>
          <w:szCs w:val="22"/>
        </w:rPr>
        <w:t xml:space="preserve">вишем нивоу у односу </w:t>
      </w:r>
      <w:r w:rsidRPr="00196439">
        <w:rPr>
          <w:rFonts w:cs="Arial"/>
          <w:color w:val="17365D" w:themeColor="text2" w:themeShade="BF"/>
          <w:sz w:val="22"/>
          <w:szCs w:val="22"/>
          <w:lang w:val="sr-Cyrl-RS"/>
        </w:rPr>
        <w:t>2018. годину</w:t>
      </w:r>
      <w:r w:rsidRPr="00196439">
        <w:rPr>
          <w:rFonts w:cs="Arial"/>
          <w:color w:val="17365D" w:themeColor="text2" w:themeShade="BF"/>
          <w:sz w:val="22"/>
          <w:szCs w:val="22"/>
        </w:rPr>
        <w:t xml:space="preserve"> када је </w:t>
      </w:r>
      <w:r w:rsidRPr="00196439">
        <w:rPr>
          <w:rFonts w:cs="Arial"/>
          <w:color w:val="17365D" w:themeColor="text2" w:themeShade="BF"/>
          <w:sz w:val="22"/>
          <w:szCs w:val="22"/>
          <w:lang w:val="sr-Cyrl-RS"/>
        </w:rPr>
        <w:t xml:space="preserve">овај коефицијент </w:t>
      </w:r>
      <w:r w:rsidRPr="00196439">
        <w:rPr>
          <w:rFonts w:cs="Arial"/>
          <w:color w:val="17365D" w:themeColor="text2" w:themeShade="BF"/>
          <w:sz w:val="22"/>
          <w:szCs w:val="22"/>
        </w:rPr>
        <w:t xml:space="preserve">износио </w:t>
      </w:r>
      <w:r w:rsidRPr="00196439">
        <w:rPr>
          <w:rFonts w:cs="Arial"/>
          <w:color w:val="17365D" w:themeColor="text2" w:themeShade="BF"/>
          <w:sz w:val="22"/>
          <w:szCs w:val="22"/>
          <w:lang w:val="sr-Cyrl-RS"/>
        </w:rPr>
        <w:t>21,57%</w:t>
      </w:r>
      <w:r w:rsidRPr="00196439">
        <w:rPr>
          <w:rFonts w:cs="Arial"/>
          <w:color w:val="17365D" w:themeColor="text2" w:themeShade="BF"/>
          <w:sz w:val="22"/>
          <w:szCs w:val="22"/>
        </w:rPr>
        <w:t>.</w:t>
      </w:r>
      <w:r w:rsidRPr="00196439">
        <w:rPr>
          <w:rFonts w:cs="Arial"/>
          <w:color w:val="17365D" w:themeColor="text2" w:themeShade="BF"/>
          <w:sz w:val="22"/>
          <w:szCs w:val="22"/>
          <w:lang w:val="sr-Cyrl-RS"/>
        </w:rPr>
        <w:t xml:space="preserve"> Разлог за повећања коефицијента разграничења је у расту учешћа врсте 09 Остала осигурања имовине, односно врсте 13 Осигурање од опште одговорности, са релативно високим коеф. разграничења, у премији неживотних осигурања, као и са друге стране пад учешћа врсте 08 Осигурање имовине од пожара и других опасности са ниским коефицијентом разграничења.</w:t>
      </w:r>
    </w:p>
    <w:p w:rsidR="00130A25" w:rsidRPr="00196439" w:rsidRDefault="00130A25" w:rsidP="00990413">
      <w:pPr>
        <w:spacing w:line="276" w:lineRule="auto"/>
        <w:rPr>
          <w:rFonts w:cs="Arial"/>
          <w:color w:val="17365D" w:themeColor="text2" w:themeShade="BF"/>
          <w:sz w:val="22"/>
          <w:szCs w:val="22"/>
        </w:rPr>
      </w:pPr>
    </w:p>
    <w:p w:rsidR="00990413" w:rsidRPr="00196439" w:rsidRDefault="00990413" w:rsidP="00990413">
      <w:pPr>
        <w:spacing w:line="276" w:lineRule="auto"/>
        <w:rPr>
          <w:rFonts w:cs="Arial"/>
          <w:b/>
          <w:color w:val="17365D" w:themeColor="text2" w:themeShade="BF"/>
          <w:sz w:val="22"/>
          <w:szCs w:val="22"/>
          <w:lang w:val="sr-Cyrl-RS"/>
        </w:rPr>
      </w:pPr>
      <w:r w:rsidRPr="00196439">
        <w:rPr>
          <w:rFonts w:cs="Arial"/>
          <w:b/>
          <w:color w:val="17365D" w:themeColor="text2" w:themeShade="BF"/>
          <w:sz w:val="22"/>
          <w:szCs w:val="22"/>
        </w:rPr>
        <w:t>Oбрачун преносне премије извршен је у складу са Правилником o oбрaзoвaњу рeзeрви зa прeнoснe прeмиje Друштва којим се регулише њен обрачун, Одлуком о технички</w:t>
      </w:r>
      <w:r w:rsidRPr="00196439">
        <w:rPr>
          <w:rFonts w:cs="Arial"/>
          <w:b/>
          <w:color w:val="17365D" w:themeColor="text2" w:themeShade="BF"/>
          <w:sz w:val="22"/>
          <w:szCs w:val="22"/>
          <w:lang w:val="sr-Cyrl-RS"/>
        </w:rPr>
        <w:t>м</w:t>
      </w:r>
      <w:r w:rsidRPr="00196439">
        <w:rPr>
          <w:rFonts w:cs="Arial"/>
          <w:b/>
          <w:color w:val="17365D" w:themeColor="text2" w:themeShade="BF"/>
          <w:sz w:val="22"/>
          <w:szCs w:val="22"/>
        </w:rPr>
        <w:t xml:space="preserve"> резервама и законским прописим</w:t>
      </w:r>
      <w:r w:rsidRPr="00196439">
        <w:rPr>
          <w:rFonts w:cs="Arial"/>
          <w:b/>
          <w:color w:val="17365D" w:themeColor="text2" w:themeShade="BF"/>
          <w:sz w:val="22"/>
          <w:szCs w:val="22"/>
          <w:lang w:val="sr-Cyrl-RS"/>
        </w:rPr>
        <w:t>а.</w:t>
      </w:r>
    </w:p>
    <w:p w:rsidR="00990413" w:rsidRPr="00196439" w:rsidRDefault="00990413" w:rsidP="00990413">
      <w:pPr>
        <w:spacing w:line="276" w:lineRule="auto"/>
        <w:rPr>
          <w:rFonts w:cs="Arial"/>
          <w:b/>
          <w:color w:val="17365D" w:themeColor="text2" w:themeShade="BF"/>
          <w:sz w:val="22"/>
          <w:szCs w:val="22"/>
          <w:lang w:val="sr-Cyrl-RS"/>
        </w:rPr>
      </w:pPr>
    </w:p>
    <w:p w:rsidR="00990413" w:rsidRPr="00196439" w:rsidRDefault="00990413" w:rsidP="00990413">
      <w:pPr>
        <w:spacing w:line="276" w:lineRule="auto"/>
        <w:rPr>
          <w:rFonts w:cs="Arial"/>
          <w:b/>
          <w:color w:val="17365D" w:themeColor="text2" w:themeShade="BF"/>
          <w:sz w:val="22"/>
          <w:szCs w:val="22"/>
          <w:lang w:val="sr-Cyrl-RS"/>
        </w:rPr>
      </w:pPr>
    </w:p>
    <w:p w:rsidR="00990413" w:rsidRPr="00196439" w:rsidRDefault="00990413" w:rsidP="002303E7">
      <w:pPr>
        <w:spacing w:line="276" w:lineRule="auto"/>
        <w:ind w:firstLine="720"/>
        <w:rPr>
          <w:rFonts w:cs="Arial"/>
          <w:b/>
          <w:bCs/>
          <w:i/>
          <w:color w:val="17365D" w:themeColor="text2" w:themeShade="BF"/>
          <w:sz w:val="22"/>
          <w:szCs w:val="22"/>
          <w:lang w:val="sr-Latn-CS"/>
        </w:rPr>
      </w:pPr>
      <w:r w:rsidRPr="00196439">
        <w:rPr>
          <w:rFonts w:cs="Arial"/>
          <w:b/>
          <w:bCs/>
          <w:i/>
          <w:color w:val="17365D" w:themeColor="text2" w:themeShade="BF"/>
          <w:sz w:val="22"/>
          <w:szCs w:val="22"/>
          <w:lang w:val="sr-Latn-CS"/>
        </w:rPr>
        <w:t>2.</w:t>
      </w:r>
      <w:r w:rsidR="002303E7" w:rsidRPr="00196439">
        <w:rPr>
          <w:rFonts w:cs="Arial"/>
          <w:b/>
          <w:bCs/>
          <w:i/>
          <w:color w:val="17365D" w:themeColor="text2" w:themeShade="BF"/>
          <w:sz w:val="22"/>
          <w:szCs w:val="22"/>
          <w:lang w:val="sr-Cyrl-RS"/>
        </w:rPr>
        <w:t>2.</w:t>
      </w:r>
      <w:r w:rsidRPr="00196439">
        <w:rPr>
          <w:rFonts w:cs="Arial"/>
          <w:b/>
          <w:bCs/>
          <w:i/>
          <w:color w:val="17365D" w:themeColor="text2" w:themeShade="BF"/>
          <w:sz w:val="22"/>
          <w:szCs w:val="22"/>
          <w:lang w:val="sr-Latn-CS"/>
        </w:rPr>
        <w:t xml:space="preserve"> МАТЕМАТИЧКА РЕЗЕРВА</w:t>
      </w:r>
    </w:p>
    <w:p w:rsidR="00990413" w:rsidRPr="00196439" w:rsidRDefault="00990413" w:rsidP="00990413">
      <w:pPr>
        <w:spacing w:line="276" w:lineRule="auto"/>
        <w:rPr>
          <w:rFonts w:cs="Arial"/>
          <w:bCs/>
          <w:color w:val="17365D" w:themeColor="text2" w:themeShade="BF"/>
          <w:sz w:val="22"/>
          <w:szCs w:val="22"/>
        </w:rPr>
      </w:pPr>
    </w:p>
    <w:p w:rsidR="00990413" w:rsidRPr="00196439" w:rsidRDefault="00990413" w:rsidP="00990413">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hr-HR"/>
        </w:rPr>
        <w:t>Учешће Друштва у математичкој резерви цедената (математичка резерва</w:t>
      </w:r>
      <w:r w:rsidRPr="00196439">
        <w:rPr>
          <w:rFonts w:cs="Arial"/>
          <w:color w:val="17365D" w:themeColor="text2" w:themeShade="BF"/>
          <w:sz w:val="22"/>
          <w:szCs w:val="22"/>
        </w:rPr>
        <w:t xml:space="preserve"> по активном послу</w:t>
      </w:r>
      <w:r w:rsidRPr="00196439">
        <w:rPr>
          <w:rFonts w:cs="Arial"/>
          <w:color w:val="17365D" w:themeColor="text2" w:themeShade="BF"/>
          <w:sz w:val="22"/>
          <w:szCs w:val="22"/>
          <w:lang w:val="hr-HR"/>
        </w:rPr>
        <w:t xml:space="preserve">) бележи се као учешће у преносној премији која представља саставни део математичке резерве у осигурању живота. </w:t>
      </w:r>
      <w:r w:rsidRPr="00196439">
        <w:rPr>
          <w:rFonts w:cs="Arial"/>
          <w:color w:val="17365D" w:themeColor="text2" w:themeShade="BF"/>
          <w:sz w:val="22"/>
          <w:szCs w:val="22"/>
        </w:rPr>
        <w:t xml:space="preserve">Дакле, Друштво учествује само у ризико делу премије животних осигурања, а не и у штедном из којег се формира чиста математичка резерва. </w:t>
      </w:r>
      <w:r w:rsidR="00D0113A" w:rsidRPr="00196439">
        <w:rPr>
          <w:rFonts w:cs="Arial"/>
          <w:color w:val="17365D" w:themeColor="text2" w:themeShade="BF"/>
          <w:sz w:val="22"/>
          <w:szCs w:val="22"/>
          <w:lang w:val="sr-Cyrl-RS"/>
        </w:rPr>
        <w:t>Учешће се утврђује по извршеним пријавама, обрачунима цедената и по извршеној провери. Математичка резерва се формира по Техничким основама животних осигурања цедената.</w:t>
      </w:r>
    </w:p>
    <w:p w:rsidR="00990413" w:rsidRPr="00196439" w:rsidRDefault="00990413" w:rsidP="00990413">
      <w:pPr>
        <w:spacing w:line="276" w:lineRule="auto"/>
        <w:rPr>
          <w:rFonts w:cs="Arial"/>
          <w:color w:val="17365D" w:themeColor="text2" w:themeShade="BF"/>
          <w:sz w:val="22"/>
          <w:szCs w:val="22"/>
        </w:rPr>
      </w:pPr>
    </w:p>
    <w:p w:rsidR="00C541A7" w:rsidRPr="00196439" w:rsidRDefault="00C541A7" w:rsidP="00C541A7">
      <w:pPr>
        <w:pStyle w:val="FootnoteText"/>
        <w:spacing w:line="276" w:lineRule="auto"/>
        <w:rPr>
          <w:rFonts w:cs="Arial"/>
          <w:color w:val="17365D" w:themeColor="text2" w:themeShade="BF"/>
          <w:sz w:val="22"/>
          <w:szCs w:val="22"/>
        </w:rPr>
      </w:pPr>
      <w:r w:rsidRPr="00196439">
        <w:rPr>
          <w:rFonts w:cs="Arial"/>
          <w:color w:val="17365D" w:themeColor="text2" w:themeShade="BF"/>
          <w:sz w:val="22"/>
          <w:szCs w:val="22"/>
        </w:rPr>
        <w:lastRenderedPageBreak/>
        <w:t xml:space="preserve">Пошто Друштво учествује само у преносној премији предмет </w:t>
      </w:r>
      <w:r w:rsidRPr="00196439">
        <w:rPr>
          <w:rFonts w:cs="Arial"/>
          <w:color w:val="17365D" w:themeColor="text2" w:themeShade="BF"/>
          <w:sz w:val="22"/>
          <w:szCs w:val="22"/>
          <w:lang w:val="sr-Cyrl-ME"/>
        </w:rPr>
        <w:t xml:space="preserve">ове </w:t>
      </w:r>
      <w:r w:rsidRPr="00196439">
        <w:rPr>
          <w:rFonts w:cs="Arial"/>
          <w:color w:val="17365D" w:themeColor="text2" w:themeShade="BF"/>
          <w:sz w:val="22"/>
          <w:szCs w:val="22"/>
        </w:rPr>
        <w:t>анализе нису каматне стопе, таблице вероватноћа, методе обрачуна резерве (нето и Zillmer метода)</w:t>
      </w:r>
      <w:r w:rsidRPr="00196439">
        <w:rPr>
          <w:rFonts w:cs="Arial"/>
          <w:color w:val="17365D" w:themeColor="text2" w:themeShade="BF"/>
          <w:sz w:val="22"/>
          <w:szCs w:val="22"/>
          <w:lang w:val="sr-Cyrl-ME"/>
        </w:rPr>
        <w:t xml:space="preserve">, </w:t>
      </w:r>
      <w:r w:rsidRPr="00196439">
        <w:rPr>
          <w:rFonts w:cs="Arial"/>
          <w:i/>
          <w:color w:val="17365D" w:themeColor="text2" w:themeShade="BF"/>
          <w:sz w:val="22"/>
          <w:szCs w:val="22"/>
          <w:lang w:val="sr-Latn-RS"/>
        </w:rPr>
        <w:t>modified duration</w:t>
      </w:r>
      <w:r w:rsidRPr="00196439">
        <w:rPr>
          <w:rFonts w:cs="Arial"/>
          <w:color w:val="17365D" w:themeColor="text2" w:themeShade="BF"/>
          <w:sz w:val="22"/>
          <w:szCs w:val="22"/>
        </w:rPr>
        <w:t xml:space="preserve"> и др. која се ради за осигуравајућа друштва која </w:t>
      </w:r>
      <w:r w:rsidRPr="00196439">
        <w:rPr>
          <w:rFonts w:cs="Arial"/>
          <w:color w:val="17365D" w:themeColor="text2" w:themeShade="BF"/>
          <w:sz w:val="22"/>
          <w:szCs w:val="22"/>
          <w:lang w:val="sr-Cyrl-ME"/>
        </w:rPr>
        <w:t>формирају</w:t>
      </w:r>
      <w:r w:rsidRPr="00196439">
        <w:rPr>
          <w:rFonts w:cs="Arial"/>
          <w:color w:val="17365D" w:themeColor="text2" w:themeShade="BF"/>
          <w:sz w:val="22"/>
          <w:szCs w:val="22"/>
        </w:rPr>
        <w:t xml:space="preserve"> резервисања чисте математичке резерве образоване из штедног дела премије, резерв</w:t>
      </w:r>
      <w:r w:rsidRPr="00196439">
        <w:rPr>
          <w:rFonts w:cs="Arial"/>
          <w:color w:val="17365D" w:themeColor="text2" w:themeShade="BF"/>
          <w:sz w:val="22"/>
          <w:szCs w:val="22"/>
          <w:lang w:val="sr-Cyrl-ME"/>
        </w:rPr>
        <w:t>ис</w:t>
      </w:r>
      <w:r w:rsidRPr="00196439">
        <w:rPr>
          <w:rFonts w:cs="Arial"/>
          <w:color w:val="17365D" w:themeColor="text2" w:themeShade="BF"/>
          <w:sz w:val="22"/>
          <w:szCs w:val="22"/>
        </w:rPr>
        <w:t>ања за будуће управне трошкове, резерве добити и др.</w:t>
      </w:r>
    </w:p>
    <w:p w:rsidR="00C541A7" w:rsidRPr="00196439" w:rsidRDefault="00C541A7" w:rsidP="00CA503B">
      <w:pPr>
        <w:spacing w:line="240" w:lineRule="auto"/>
        <w:rPr>
          <w:rFonts w:cs="Arial"/>
          <w:color w:val="17365D" w:themeColor="text2" w:themeShade="BF"/>
          <w:sz w:val="22"/>
          <w:szCs w:val="22"/>
        </w:rPr>
      </w:pPr>
    </w:p>
    <w:p w:rsidR="00534EB0" w:rsidRPr="00196439" w:rsidRDefault="00534EB0" w:rsidP="00534EB0">
      <w:pPr>
        <w:spacing w:line="276" w:lineRule="auto"/>
        <w:rPr>
          <w:rFonts w:cs="Arial"/>
          <w:color w:val="17365D" w:themeColor="text2" w:themeShade="BF"/>
          <w:sz w:val="22"/>
          <w:szCs w:val="22"/>
        </w:rPr>
      </w:pPr>
      <w:r w:rsidRPr="00196439">
        <w:rPr>
          <w:rFonts w:cs="Arial"/>
          <w:b/>
          <w:color w:val="17365D" w:themeColor="text2" w:themeShade="BF"/>
          <w:sz w:val="22"/>
          <w:szCs w:val="22"/>
        </w:rPr>
        <w:t>Укупна математичка резерва на дан 3</w:t>
      </w:r>
      <w:r w:rsidRPr="00196439">
        <w:rPr>
          <w:rFonts w:cs="Arial"/>
          <w:b/>
          <w:color w:val="17365D" w:themeColor="text2" w:themeShade="BF"/>
          <w:sz w:val="22"/>
          <w:szCs w:val="22"/>
          <w:lang w:val="sr-Cyrl-RS"/>
        </w:rPr>
        <w:t>1</w:t>
      </w:r>
      <w:r w:rsidRPr="00196439">
        <w:rPr>
          <w:rFonts w:cs="Arial"/>
          <w:b/>
          <w:color w:val="17365D" w:themeColor="text2" w:themeShade="BF"/>
          <w:sz w:val="22"/>
          <w:szCs w:val="22"/>
        </w:rPr>
        <w:t>.</w:t>
      </w:r>
      <w:r w:rsidRPr="00196439">
        <w:rPr>
          <w:rFonts w:cs="Arial"/>
          <w:b/>
          <w:color w:val="17365D" w:themeColor="text2" w:themeShade="BF"/>
          <w:sz w:val="22"/>
          <w:szCs w:val="22"/>
          <w:lang w:val="sr-Cyrl-RS"/>
        </w:rPr>
        <w:t>12</w:t>
      </w:r>
      <w:r w:rsidRPr="00196439">
        <w:rPr>
          <w:rFonts w:cs="Arial"/>
          <w:b/>
          <w:color w:val="17365D" w:themeColor="text2" w:themeShade="BF"/>
          <w:sz w:val="22"/>
          <w:szCs w:val="22"/>
        </w:rPr>
        <w:t xml:space="preserve">.2019. износи </w:t>
      </w:r>
      <w:r w:rsidRPr="00196439">
        <w:rPr>
          <w:rFonts w:cs="Arial"/>
          <w:b/>
          <w:color w:val="17365D" w:themeColor="text2" w:themeShade="BF"/>
          <w:sz w:val="22"/>
          <w:szCs w:val="22"/>
          <w:lang w:val="sr-Cyrl-RS"/>
        </w:rPr>
        <w:t>19.438.018</w:t>
      </w:r>
      <w:r w:rsidRPr="00196439">
        <w:rPr>
          <w:rFonts w:cs="Arial"/>
          <w:b/>
          <w:color w:val="17365D" w:themeColor="text2" w:themeShade="BF"/>
          <w:sz w:val="22"/>
          <w:szCs w:val="22"/>
        </w:rPr>
        <w:t xml:space="preserve"> динар</w:t>
      </w:r>
      <w:r w:rsidRPr="00196439">
        <w:rPr>
          <w:rFonts w:cs="Arial"/>
          <w:b/>
          <w:color w:val="17365D" w:themeColor="text2" w:themeShade="BF"/>
          <w:sz w:val="22"/>
          <w:szCs w:val="22"/>
          <w:lang w:val="sr-Cyrl-RS"/>
        </w:rPr>
        <w:t>а</w:t>
      </w:r>
      <w:r w:rsidRPr="00196439">
        <w:rPr>
          <w:rFonts w:cs="Arial"/>
          <w:color w:val="17365D" w:themeColor="text2" w:themeShade="BF"/>
          <w:sz w:val="22"/>
          <w:szCs w:val="22"/>
        </w:rPr>
        <w:t xml:space="preserve">, а у самопридржају </w:t>
      </w:r>
      <w:r w:rsidRPr="00196439">
        <w:rPr>
          <w:rFonts w:cs="Arial"/>
          <w:color w:val="17365D" w:themeColor="text2" w:themeShade="BF"/>
          <w:sz w:val="22"/>
          <w:szCs w:val="22"/>
          <w:lang w:val="sr-Cyrl-RS"/>
        </w:rPr>
        <w:t>3.629.054</w:t>
      </w:r>
      <w:r w:rsidRPr="00196439">
        <w:rPr>
          <w:rFonts w:cs="Arial"/>
          <w:color w:val="17365D" w:themeColor="text2" w:themeShade="BF"/>
          <w:sz w:val="22"/>
          <w:szCs w:val="22"/>
        </w:rPr>
        <w:t xml:space="preserve"> динара.</w:t>
      </w:r>
    </w:p>
    <w:p w:rsidR="00534EB0" w:rsidRPr="00196439" w:rsidRDefault="00534EB0" w:rsidP="00CA503B">
      <w:pPr>
        <w:spacing w:line="192" w:lineRule="auto"/>
        <w:rPr>
          <w:rFonts w:cs="Arial"/>
          <w:color w:val="17365D" w:themeColor="text2" w:themeShade="BF"/>
          <w:sz w:val="22"/>
          <w:szCs w:val="22"/>
        </w:rPr>
      </w:pPr>
    </w:p>
    <w:p w:rsidR="00534EB0" w:rsidRPr="00196439" w:rsidRDefault="00534EB0" w:rsidP="00534EB0">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rPr>
        <w:t>М</w:t>
      </w:r>
      <w:r w:rsidRPr="00196439">
        <w:rPr>
          <w:rFonts w:cs="Arial"/>
          <w:b/>
          <w:color w:val="17365D" w:themeColor="text2" w:themeShade="BF"/>
          <w:sz w:val="22"/>
          <w:szCs w:val="22"/>
          <w:lang w:val="sr-Cyrl-RS"/>
        </w:rPr>
        <w:t>атематичка резерва по активном и пасивном послу (у РСД)</w:t>
      </w:r>
    </w:p>
    <w:p w:rsidR="00534EB0" w:rsidRPr="00196439" w:rsidRDefault="00534EB0" w:rsidP="00534EB0">
      <w:pPr>
        <w:spacing w:after="120" w:line="276" w:lineRule="auto"/>
        <w:jc w:val="center"/>
        <w:rPr>
          <w:noProof/>
          <w:color w:val="17365D" w:themeColor="text2" w:themeShade="BF"/>
          <w:lang w:val="en-US"/>
        </w:rPr>
      </w:pPr>
      <w:r w:rsidRPr="00196439">
        <w:rPr>
          <w:noProof/>
          <w:color w:val="17365D" w:themeColor="text2" w:themeShade="BF"/>
          <w:lang w:val="en-US"/>
        </w:rPr>
        <w:drawing>
          <wp:inline distT="0" distB="0" distL="0" distR="0" wp14:anchorId="4DBB8A04" wp14:editId="2EAA9A17">
            <wp:extent cx="5002580" cy="1147864"/>
            <wp:effectExtent l="0" t="0" r="762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05928" cy="1148632"/>
                    </a:xfrm>
                    <a:prstGeom prst="rect">
                      <a:avLst/>
                    </a:prstGeom>
                    <a:noFill/>
                    <a:ln>
                      <a:noFill/>
                    </a:ln>
                  </pic:spPr>
                </pic:pic>
              </a:graphicData>
            </a:graphic>
          </wp:inline>
        </w:drawing>
      </w:r>
    </w:p>
    <w:p w:rsidR="00534EB0" w:rsidRPr="00196439" w:rsidRDefault="00534EB0" w:rsidP="00CA503B">
      <w:pPr>
        <w:spacing w:line="192" w:lineRule="auto"/>
        <w:jc w:val="center"/>
        <w:rPr>
          <w:rFonts w:cs="Arial"/>
          <w:b/>
          <w:color w:val="17365D" w:themeColor="text2" w:themeShade="BF"/>
          <w:sz w:val="22"/>
          <w:szCs w:val="22"/>
        </w:rPr>
      </w:pPr>
    </w:p>
    <w:p w:rsidR="00534EB0" w:rsidRPr="00196439" w:rsidRDefault="00534EB0" w:rsidP="00534EB0">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rPr>
        <w:t>П</w:t>
      </w:r>
      <w:r w:rsidRPr="00196439">
        <w:rPr>
          <w:rFonts w:cs="Arial"/>
          <w:b/>
          <w:color w:val="17365D" w:themeColor="text2" w:themeShade="BF"/>
          <w:sz w:val="22"/>
          <w:szCs w:val="22"/>
          <w:lang w:val="sr-Cyrl-RS"/>
        </w:rPr>
        <w:t>ромена математичке резерве 3</w:t>
      </w:r>
      <w:r w:rsidRPr="00196439">
        <w:rPr>
          <w:rFonts w:cs="Arial"/>
          <w:b/>
          <w:color w:val="17365D" w:themeColor="text2" w:themeShade="BF"/>
          <w:sz w:val="22"/>
          <w:szCs w:val="22"/>
          <w:lang w:val="sr-Latn-RS"/>
        </w:rPr>
        <w:t>1</w:t>
      </w:r>
      <w:r w:rsidRPr="00196439">
        <w:rPr>
          <w:rFonts w:cs="Arial"/>
          <w:b/>
          <w:color w:val="17365D" w:themeColor="text2" w:themeShade="BF"/>
          <w:sz w:val="22"/>
          <w:szCs w:val="22"/>
          <w:lang w:val="sr-Cyrl-RS"/>
        </w:rPr>
        <w:t>.</w:t>
      </w:r>
      <w:r w:rsidRPr="00196439">
        <w:rPr>
          <w:rFonts w:cs="Arial"/>
          <w:b/>
          <w:color w:val="17365D" w:themeColor="text2" w:themeShade="BF"/>
          <w:sz w:val="22"/>
          <w:szCs w:val="22"/>
          <w:lang w:val="sr-Latn-RS"/>
        </w:rPr>
        <w:t>12</w:t>
      </w:r>
      <w:r w:rsidRPr="00196439">
        <w:rPr>
          <w:rFonts w:cs="Arial"/>
          <w:b/>
          <w:color w:val="17365D" w:themeColor="text2" w:themeShade="BF"/>
          <w:sz w:val="22"/>
          <w:szCs w:val="22"/>
        </w:rPr>
        <w:t xml:space="preserve">.2019 </w:t>
      </w:r>
      <w:r w:rsidRPr="00196439">
        <w:rPr>
          <w:rFonts w:cs="Arial"/>
          <w:b/>
          <w:color w:val="17365D" w:themeColor="text2" w:themeShade="BF"/>
          <w:sz w:val="22"/>
          <w:szCs w:val="22"/>
          <w:lang w:val="sr-Cyrl-RS"/>
        </w:rPr>
        <w:t>у односу на 31.12.2018. (у РСД)</w:t>
      </w:r>
    </w:p>
    <w:p w:rsidR="00534EB0" w:rsidRPr="00196439" w:rsidRDefault="00534EB0" w:rsidP="00534EB0">
      <w:pPr>
        <w:spacing w:after="120" w:line="276" w:lineRule="auto"/>
        <w:jc w:val="center"/>
        <w:rPr>
          <w:noProof/>
          <w:color w:val="17365D" w:themeColor="text2" w:themeShade="BF"/>
          <w:lang w:val="en-US"/>
        </w:rPr>
      </w:pPr>
      <w:r w:rsidRPr="00196439">
        <w:rPr>
          <w:noProof/>
          <w:color w:val="17365D" w:themeColor="text2" w:themeShade="BF"/>
          <w:lang w:val="en-US"/>
        </w:rPr>
        <w:drawing>
          <wp:inline distT="0" distB="0" distL="0" distR="0" wp14:anchorId="61E6331A" wp14:editId="574368FA">
            <wp:extent cx="5148000" cy="1153448"/>
            <wp:effectExtent l="0" t="0" r="0" b="889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8000" cy="1153448"/>
                    </a:xfrm>
                    <a:prstGeom prst="rect">
                      <a:avLst/>
                    </a:prstGeom>
                    <a:noFill/>
                    <a:ln>
                      <a:noFill/>
                    </a:ln>
                  </pic:spPr>
                </pic:pic>
              </a:graphicData>
            </a:graphic>
          </wp:inline>
        </w:drawing>
      </w:r>
    </w:p>
    <w:p w:rsidR="00534EB0" w:rsidRPr="00196439" w:rsidRDefault="00534EB0" w:rsidP="00CA503B">
      <w:pPr>
        <w:spacing w:line="192" w:lineRule="auto"/>
        <w:rPr>
          <w:rFonts w:cs="Arial"/>
          <w:i/>
          <w:iCs/>
          <w:color w:val="17365D" w:themeColor="text2" w:themeShade="BF"/>
          <w:sz w:val="20"/>
          <w:szCs w:val="20"/>
        </w:rPr>
      </w:pPr>
    </w:p>
    <w:p w:rsidR="00534EB0" w:rsidRPr="00196439" w:rsidRDefault="00534EB0" w:rsidP="00534EB0">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t>На дан 3</w:t>
      </w:r>
      <w:r w:rsidRPr="00196439">
        <w:rPr>
          <w:rFonts w:cs="Arial"/>
          <w:color w:val="17365D" w:themeColor="text2" w:themeShade="BF"/>
          <w:sz w:val="22"/>
          <w:szCs w:val="22"/>
          <w:lang w:val="sr-Cyrl-RS"/>
        </w:rPr>
        <w:t>1</w:t>
      </w:r>
      <w:r w:rsidRPr="00196439">
        <w:rPr>
          <w:rFonts w:cs="Arial"/>
          <w:color w:val="17365D" w:themeColor="text2" w:themeShade="BF"/>
          <w:sz w:val="22"/>
          <w:szCs w:val="22"/>
        </w:rPr>
        <w:t>.</w:t>
      </w:r>
      <w:r w:rsidRPr="00196439">
        <w:rPr>
          <w:rFonts w:cs="Arial"/>
          <w:color w:val="17365D" w:themeColor="text2" w:themeShade="BF"/>
          <w:sz w:val="22"/>
          <w:szCs w:val="22"/>
          <w:lang w:val="sr-Cyrl-RS"/>
        </w:rPr>
        <w:t>12</w:t>
      </w:r>
      <w:r w:rsidRPr="00196439">
        <w:rPr>
          <w:rFonts w:cs="Arial"/>
          <w:color w:val="17365D" w:themeColor="text2" w:themeShade="BF"/>
          <w:sz w:val="22"/>
          <w:szCs w:val="22"/>
        </w:rPr>
        <w:t xml:space="preserve">.2019. бележи се </w:t>
      </w:r>
      <w:r w:rsidRPr="00196439">
        <w:rPr>
          <w:rFonts w:cs="Arial"/>
          <w:color w:val="17365D" w:themeColor="text2" w:themeShade="BF"/>
          <w:sz w:val="22"/>
          <w:szCs w:val="22"/>
          <w:lang w:val="sr-Cyrl-RS"/>
        </w:rPr>
        <w:t>благо повећање</w:t>
      </w:r>
      <w:r w:rsidRPr="00196439">
        <w:rPr>
          <w:rFonts w:cs="Arial"/>
          <w:color w:val="17365D" w:themeColor="text2" w:themeShade="BF"/>
          <w:sz w:val="22"/>
          <w:szCs w:val="22"/>
        </w:rPr>
        <w:t xml:space="preserve"> математичке резерве у односу на </w:t>
      </w:r>
      <w:r w:rsidRPr="00196439">
        <w:rPr>
          <w:rFonts w:cs="Arial"/>
          <w:color w:val="17365D" w:themeColor="text2" w:themeShade="BF"/>
          <w:sz w:val="22"/>
          <w:szCs w:val="22"/>
          <w:lang w:val="sr-Cyrl-RS"/>
        </w:rPr>
        <w:t>31.12.</w:t>
      </w:r>
      <w:r w:rsidRPr="00196439">
        <w:rPr>
          <w:rFonts w:cs="Arial"/>
          <w:color w:val="17365D" w:themeColor="text2" w:themeShade="BF"/>
          <w:sz w:val="22"/>
          <w:szCs w:val="22"/>
        </w:rPr>
        <w:t>2018</w:t>
      </w:r>
      <w:r w:rsidRPr="00196439">
        <w:rPr>
          <w:rFonts w:cs="Arial"/>
          <w:color w:val="17365D" w:themeColor="text2" w:themeShade="BF"/>
          <w:sz w:val="22"/>
          <w:szCs w:val="22"/>
          <w:lang w:val="sr-Cyrl-RS"/>
        </w:rPr>
        <w:t>. за 1,18%.</w:t>
      </w:r>
    </w:p>
    <w:p w:rsidR="00534EB0" w:rsidRPr="00196439" w:rsidRDefault="00534EB0" w:rsidP="00CA503B">
      <w:pPr>
        <w:spacing w:line="192" w:lineRule="auto"/>
        <w:rPr>
          <w:rFonts w:cs="Arial"/>
          <w:color w:val="17365D" w:themeColor="text2" w:themeShade="BF"/>
          <w:sz w:val="22"/>
          <w:szCs w:val="22"/>
        </w:rPr>
      </w:pPr>
    </w:p>
    <w:p w:rsidR="00534EB0" w:rsidRPr="00196439" w:rsidRDefault="00534EB0" w:rsidP="00534EB0">
      <w:pPr>
        <w:spacing w:line="276" w:lineRule="auto"/>
        <w:rPr>
          <w:rFonts w:cs="Arial"/>
          <w:color w:val="17365D" w:themeColor="text2" w:themeShade="BF"/>
          <w:sz w:val="22"/>
          <w:szCs w:val="22"/>
          <w:lang w:val="sr-Cyrl-RS"/>
        </w:rPr>
      </w:pPr>
      <w:r w:rsidRPr="00E228B2">
        <w:rPr>
          <w:rFonts w:cs="Arial"/>
          <w:color w:val="17365D" w:themeColor="text2" w:themeShade="BF"/>
          <w:sz w:val="22"/>
          <w:szCs w:val="22"/>
          <w:lang w:val="sr-Cyrl-RS"/>
        </w:rPr>
        <w:t>Посматрано по цедентима у односу на крај 2018. забележен је раст код Дунав осигурања за</w:t>
      </w:r>
      <w:r w:rsidRPr="00196439">
        <w:rPr>
          <w:rFonts w:cs="Arial"/>
          <w:color w:val="17365D" w:themeColor="text2" w:themeShade="BF"/>
          <w:sz w:val="22"/>
          <w:szCs w:val="22"/>
          <w:lang w:val="sr-Cyrl-RS"/>
        </w:rPr>
        <w:t xml:space="preserve"> 941.173 динара (45,66%), док је код преостала два цедента математичка резерва забележила пад, и то код Меркур осигурања за 542.249 динара (3,43%) односно код </w:t>
      </w:r>
      <w:r w:rsidRPr="00196439">
        <w:rPr>
          <w:rFonts w:cs="Arial"/>
          <w:color w:val="17365D" w:themeColor="text2" w:themeShade="BF"/>
          <w:sz w:val="22"/>
          <w:szCs w:val="22"/>
          <w:lang w:val="sr-Latn-RS"/>
        </w:rPr>
        <w:t xml:space="preserve">Grawe </w:t>
      </w:r>
      <w:r w:rsidRPr="00196439">
        <w:rPr>
          <w:rFonts w:cs="Arial"/>
          <w:color w:val="17365D" w:themeColor="text2" w:themeShade="BF"/>
          <w:sz w:val="22"/>
          <w:szCs w:val="22"/>
          <w:lang w:val="sr-Cyrl-RS"/>
        </w:rPr>
        <w:t>осигурања за 172.123 динара (12,88%).</w:t>
      </w:r>
    </w:p>
    <w:p w:rsidR="00534EB0" w:rsidRPr="00196439" w:rsidRDefault="00534EB0" w:rsidP="00CA503B">
      <w:pPr>
        <w:spacing w:line="192" w:lineRule="auto"/>
        <w:rPr>
          <w:rFonts w:cs="Arial"/>
          <w:color w:val="17365D" w:themeColor="text2" w:themeShade="BF"/>
          <w:sz w:val="22"/>
          <w:szCs w:val="22"/>
          <w:lang w:val="sr-Cyrl-RS"/>
        </w:rPr>
      </w:pPr>
    </w:p>
    <w:p w:rsidR="00534EB0" w:rsidRPr="00196439" w:rsidRDefault="00534EB0" w:rsidP="00534EB0">
      <w:pPr>
        <w:keepNext/>
        <w:spacing w:after="120" w:line="276" w:lineRule="auto"/>
        <w:jc w:val="center"/>
        <w:rPr>
          <w:rFonts w:cs="Arial"/>
          <w:b/>
          <w:bCs/>
          <w:color w:val="17365D" w:themeColor="text2" w:themeShade="BF"/>
          <w:sz w:val="22"/>
          <w:szCs w:val="22"/>
          <w:lang w:val="sr-Cyrl-RS"/>
        </w:rPr>
      </w:pPr>
      <w:r w:rsidRPr="00196439">
        <w:rPr>
          <w:rFonts w:cs="Arial"/>
          <w:b/>
          <w:bCs/>
          <w:color w:val="17365D" w:themeColor="text2" w:themeShade="BF"/>
          <w:sz w:val="22"/>
          <w:szCs w:val="22"/>
          <w:lang w:val="en-US"/>
        </w:rPr>
        <w:t>М</w:t>
      </w:r>
      <w:r w:rsidRPr="00196439">
        <w:rPr>
          <w:rFonts w:cs="Arial"/>
          <w:b/>
          <w:bCs/>
          <w:color w:val="17365D" w:themeColor="text2" w:themeShade="BF"/>
          <w:sz w:val="22"/>
          <w:szCs w:val="22"/>
          <w:lang w:val="sr-Cyrl-RS"/>
        </w:rPr>
        <w:t>атематичка резерва</w:t>
      </w:r>
      <w:r w:rsidRPr="00196439">
        <w:rPr>
          <w:rFonts w:cs="Arial"/>
          <w:b/>
          <w:bCs/>
          <w:color w:val="17365D" w:themeColor="text2" w:themeShade="BF"/>
          <w:sz w:val="22"/>
          <w:szCs w:val="22"/>
          <w:lang w:val="en-US"/>
        </w:rPr>
        <w:t xml:space="preserve"> 31.12.201</w:t>
      </w:r>
      <w:r w:rsidRPr="00196439">
        <w:rPr>
          <w:rFonts w:cs="Arial"/>
          <w:b/>
          <w:bCs/>
          <w:color w:val="17365D" w:themeColor="text2" w:themeShade="BF"/>
          <w:sz w:val="22"/>
          <w:szCs w:val="22"/>
        </w:rPr>
        <w:t>9.</w:t>
      </w:r>
      <w:r w:rsidRPr="00196439">
        <w:rPr>
          <w:rFonts w:cs="Arial"/>
          <w:b/>
          <w:bCs/>
          <w:color w:val="17365D" w:themeColor="text2" w:themeShade="BF"/>
          <w:sz w:val="22"/>
          <w:szCs w:val="22"/>
          <w:lang w:val="en-US"/>
        </w:rPr>
        <w:t xml:space="preserve"> </w:t>
      </w:r>
      <w:r w:rsidRPr="00196439">
        <w:rPr>
          <w:rFonts w:cs="Arial"/>
          <w:b/>
          <w:bCs/>
          <w:color w:val="17365D" w:themeColor="text2" w:themeShade="BF"/>
          <w:sz w:val="22"/>
          <w:szCs w:val="22"/>
          <w:lang w:val="sr-Cyrl-RS"/>
        </w:rPr>
        <w:t>у валути</w:t>
      </w:r>
    </w:p>
    <w:p w:rsidR="00534EB0" w:rsidRPr="00196439" w:rsidRDefault="00534EB0" w:rsidP="00534EB0">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501F1450" wp14:editId="535B2491">
            <wp:extent cx="5397500" cy="113347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3629" cy="1134762"/>
                    </a:xfrm>
                    <a:prstGeom prst="rect">
                      <a:avLst/>
                    </a:prstGeom>
                    <a:noFill/>
                    <a:ln>
                      <a:noFill/>
                    </a:ln>
                  </pic:spPr>
                </pic:pic>
              </a:graphicData>
            </a:graphic>
          </wp:inline>
        </w:drawing>
      </w:r>
    </w:p>
    <w:p w:rsidR="00534EB0" w:rsidRPr="00196439" w:rsidRDefault="00534EB0" w:rsidP="00CA503B">
      <w:pPr>
        <w:spacing w:line="192" w:lineRule="auto"/>
        <w:jc w:val="center"/>
        <w:rPr>
          <w:rFonts w:cs="Arial"/>
          <w:b/>
          <w:bCs/>
          <w:color w:val="17365D" w:themeColor="text2" w:themeShade="BF"/>
          <w:sz w:val="22"/>
          <w:szCs w:val="22"/>
          <w:lang w:val="en-US"/>
        </w:rPr>
      </w:pPr>
    </w:p>
    <w:p w:rsidR="00534EB0" w:rsidRPr="00196439" w:rsidRDefault="00534EB0" w:rsidP="00534EB0">
      <w:pPr>
        <w:keepNext/>
        <w:spacing w:after="120" w:line="276" w:lineRule="auto"/>
        <w:jc w:val="center"/>
        <w:rPr>
          <w:rFonts w:cs="Arial"/>
          <w:b/>
          <w:bCs/>
          <w:color w:val="17365D" w:themeColor="text2" w:themeShade="BF"/>
          <w:sz w:val="22"/>
          <w:szCs w:val="22"/>
          <w:lang w:val="sr-Cyrl-RS"/>
        </w:rPr>
      </w:pPr>
      <w:r w:rsidRPr="00196439">
        <w:rPr>
          <w:rFonts w:cs="Arial"/>
          <w:b/>
          <w:bCs/>
          <w:color w:val="17365D" w:themeColor="text2" w:themeShade="BF"/>
          <w:sz w:val="22"/>
          <w:szCs w:val="22"/>
          <w:lang w:val="en-US"/>
        </w:rPr>
        <w:t>М</w:t>
      </w:r>
      <w:r w:rsidRPr="00196439">
        <w:rPr>
          <w:rFonts w:cs="Arial"/>
          <w:b/>
          <w:bCs/>
          <w:color w:val="17365D" w:themeColor="text2" w:themeShade="BF"/>
          <w:sz w:val="22"/>
          <w:szCs w:val="22"/>
          <w:lang w:val="sr-Cyrl-RS"/>
        </w:rPr>
        <w:t>атематичка резерва</w:t>
      </w:r>
      <w:r w:rsidRPr="00196439">
        <w:rPr>
          <w:rFonts w:cs="Arial"/>
          <w:b/>
          <w:bCs/>
          <w:color w:val="17365D" w:themeColor="text2" w:themeShade="BF"/>
          <w:sz w:val="22"/>
          <w:szCs w:val="22"/>
          <w:lang w:val="en-US"/>
        </w:rPr>
        <w:t xml:space="preserve"> 31.12.201</w:t>
      </w:r>
      <w:r w:rsidRPr="00196439">
        <w:rPr>
          <w:rFonts w:cs="Arial"/>
          <w:b/>
          <w:bCs/>
          <w:color w:val="17365D" w:themeColor="text2" w:themeShade="BF"/>
          <w:sz w:val="22"/>
          <w:szCs w:val="22"/>
        </w:rPr>
        <w:t>9</w:t>
      </w:r>
      <w:r w:rsidRPr="00196439">
        <w:rPr>
          <w:rFonts w:cs="Arial"/>
          <w:b/>
          <w:bCs/>
          <w:color w:val="17365D" w:themeColor="text2" w:themeShade="BF"/>
          <w:sz w:val="22"/>
          <w:szCs w:val="22"/>
          <w:lang w:val="sr-Cyrl-RS"/>
        </w:rPr>
        <w:t>.</w:t>
      </w:r>
      <w:r w:rsidRPr="00196439">
        <w:rPr>
          <w:rFonts w:cs="Arial"/>
          <w:b/>
          <w:bCs/>
          <w:color w:val="17365D" w:themeColor="text2" w:themeShade="BF"/>
          <w:sz w:val="22"/>
          <w:szCs w:val="22"/>
          <w:lang w:val="en-US"/>
        </w:rPr>
        <w:t xml:space="preserve"> </w:t>
      </w:r>
      <w:r w:rsidRPr="00196439">
        <w:rPr>
          <w:rFonts w:cs="Arial"/>
          <w:b/>
          <w:bCs/>
          <w:color w:val="17365D" w:themeColor="text2" w:themeShade="BF"/>
          <w:sz w:val="22"/>
          <w:szCs w:val="22"/>
          <w:lang w:val="sr-Cyrl-RS"/>
        </w:rPr>
        <w:t>у валути у самопридржају</w:t>
      </w:r>
    </w:p>
    <w:p w:rsidR="00534EB0" w:rsidRPr="00196439" w:rsidRDefault="00534EB0" w:rsidP="00534EB0">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6A96B0E8" wp14:editId="320D9324">
            <wp:extent cx="3813810" cy="107004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20557" cy="1071935"/>
                    </a:xfrm>
                    <a:prstGeom prst="rect">
                      <a:avLst/>
                    </a:prstGeom>
                    <a:noFill/>
                    <a:ln>
                      <a:noFill/>
                    </a:ln>
                  </pic:spPr>
                </pic:pic>
              </a:graphicData>
            </a:graphic>
          </wp:inline>
        </w:drawing>
      </w:r>
    </w:p>
    <w:p w:rsidR="00534EB0" w:rsidRPr="00196439" w:rsidRDefault="00534EB0" w:rsidP="00534EB0">
      <w:pPr>
        <w:spacing w:after="120" w:line="240" w:lineRule="auto"/>
        <w:jc w:val="center"/>
        <w:rPr>
          <w:noProof/>
          <w:color w:val="17365D" w:themeColor="text2" w:themeShade="BF"/>
          <w:lang w:val="en-US"/>
        </w:rPr>
      </w:pPr>
    </w:p>
    <w:p w:rsidR="00534EB0" w:rsidRPr="00196439" w:rsidRDefault="00534EB0" w:rsidP="00534EB0">
      <w:pPr>
        <w:spacing w:line="276" w:lineRule="auto"/>
        <w:rPr>
          <w:rFonts w:cs="Arial"/>
          <w:color w:val="17365D" w:themeColor="text2" w:themeShade="BF"/>
          <w:sz w:val="22"/>
          <w:szCs w:val="22"/>
        </w:rPr>
      </w:pPr>
      <w:r w:rsidRPr="00196439">
        <w:rPr>
          <w:rFonts w:cs="Arial"/>
          <w:color w:val="17365D" w:themeColor="text2" w:themeShade="BF"/>
          <w:sz w:val="22"/>
          <w:szCs w:val="22"/>
        </w:rPr>
        <w:t>Математичка резерва реосигурања живота у самопридржају, утврђена је бордероима као разлика активне математичке резерве коју су обрачунали цеденти на основу уговора о реосигурању и пасивне математичке резерве у складу са уговорима о ретроцесији.</w:t>
      </w:r>
    </w:p>
    <w:p w:rsidR="00534EB0" w:rsidRPr="00AA5404" w:rsidRDefault="00534EB0" w:rsidP="00990413">
      <w:pPr>
        <w:spacing w:line="276" w:lineRule="auto"/>
        <w:rPr>
          <w:rFonts w:cs="Arial"/>
          <w:color w:val="244061" w:themeColor="accent1" w:themeShade="80"/>
          <w:sz w:val="22"/>
          <w:szCs w:val="22"/>
        </w:rPr>
      </w:pPr>
    </w:p>
    <w:p w:rsidR="00AA5404" w:rsidRPr="00AA5404" w:rsidRDefault="00AA5404" w:rsidP="00AA5404">
      <w:pPr>
        <w:spacing w:line="276" w:lineRule="auto"/>
        <w:rPr>
          <w:rFonts w:ascii="Calibri" w:hAnsi="Calibri"/>
          <w:color w:val="244061" w:themeColor="accent1" w:themeShade="80"/>
          <w:sz w:val="22"/>
          <w:szCs w:val="22"/>
          <w:lang w:val="en-US"/>
        </w:rPr>
      </w:pPr>
      <w:r w:rsidRPr="00AA5404">
        <w:rPr>
          <w:color w:val="244061" w:themeColor="accent1" w:themeShade="80"/>
          <w:sz w:val="22"/>
          <w:szCs w:val="22"/>
          <w:lang w:val="sr-Cyrl-ME"/>
        </w:rPr>
        <w:t>Математичка резерва у самопридржају у страним валутама покривена је девизним ХОВ Републике Србије</w:t>
      </w:r>
      <w:r w:rsidRPr="00AA5404">
        <w:rPr>
          <w:color w:val="244061" w:themeColor="accent1" w:themeShade="80"/>
          <w:sz w:val="22"/>
          <w:szCs w:val="22"/>
          <w:lang w:val="sr-Latn-RS"/>
        </w:rPr>
        <w:t xml:space="preserve"> (петнаестогодишње </w:t>
      </w:r>
      <w:r w:rsidRPr="00AA5404">
        <w:rPr>
          <w:color w:val="244061" w:themeColor="accent1" w:themeShade="80"/>
          <w:sz w:val="22"/>
          <w:szCs w:val="22"/>
          <w:lang w:val="sr-Cyrl-ME"/>
        </w:rPr>
        <w:t>ХОВ</w:t>
      </w:r>
      <w:r w:rsidRPr="00AA5404">
        <w:rPr>
          <w:color w:val="244061" w:themeColor="accent1" w:themeShade="80"/>
          <w:sz w:val="22"/>
          <w:szCs w:val="22"/>
          <w:lang w:val="sr-Latn-RS"/>
        </w:rPr>
        <w:t xml:space="preserve"> које доспевају на наплату 2026.г</w:t>
      </w:r>
      <w:r w:rsidRPr="00AA5404">
        <w:rPr>
          <w:color w:val="244061" w:themeColor="accent1" w:themeShade="80"/>
          <w:sz w:val="22"/>
          <w:szCs w:val="22"/>
          <w:lang w:val="sr-Cyrl-ME"/>
        </w:rPr>
        <w:t>.</w:t>
      </w:r>
      <w:r w:rsidRPr="00AA5404">
        <w:rPr>
          <w:color w:val="244061" w:themeColor="accent1" w:themeShade="80"/>
          <w:sz w:val="22"/>
          <w:szCs w:val="22"/>
          <w:lang w:val="sr-Latn-RS"/>
        </w:rPr>
        <w:t>)</w:t>
      </w:r>
      <w:r w:rsidRPr="00AA5404">
        <w:rPr>
          <w:color w:val="244061" w:themeColor="accent1" w:themeShade="80"/>
          <w:sz w:val="22"/>
          <w:szCs w:val="22"/>
          <w:lang w:val="sr-Cyrl-ME"/>
        </w:rPr>
        <w:t xml:space="preserve"> са годишњим приносом од </w:t>
      </w:r>
      <w:r w:rsidRPr="00AA5404">
        <w:rPr>
          <w:color w:val="244061" w:themeColor="accent1" w:themeShade="80"/>
          <w:sz w:val="22"/>
          <w:szCs w:val="22"/>
          <w:lang w:val="sr-Latn-RS"/>
        </w:rPr>
        <w:t>5,85</w:t>
      </w:r>
      <w:r w:rsidRPr="00AA5404">
        <w:rPr>
          <w:color w:val="244061" w:themeColor="accent1" w:themeShade="80"/>
          <w:sz w:val="22"/>
          <w:szCs w:val="22"/>
          <w:lang w:val="sr-Cyrl-ME"/>
        </w:rPr>
        <w:t>%, који се није мењао током године</w:t>
      </w:r>
      <w:r w:rsidRPr="00AA5404">
        <w:rPr>
          <w:color w:val="244061" w:themeColor="accent1" w:themeShade="80"/>
          <w:sz w:val="22"/>
          <w:szCs w:val="22"/>
          <w:lang w:val="sr-Latn-RS"/>
        </w:rPr>
        <w:t xml:space="preserve">. </w:t>
      </w:r>
      <w:r w:rsidRPr="00AA5404">
        <w:rPr>
          <w:color w:val="244061" w:themeColor="accent1" w:themeShade="80"/>
          <w:sz w:val="22"/>
          <w:szCs w:val="22"/>
          <w:lang w:val="sr-Cyrl-RS"/>
        </w:rPr>
        <w:t>За уговоре</w:t>
      </w:r>
      <w:r w:rsidRPr="00AA5404">
        <w:rPr>
          <w:color w:val="244061" w:themeColor="accent1" w:themeShade="80"/>
          <w:sz w:val="22"/>
          <w:szCs w:val="22"/>
          <w:lang w:val="sr-Cyrl-ME"/>
        </w:rPr>
        <w:t xml:space="preserve"> у РСД покриће математичке резерве у самопридржају је обезбеђено готовином. Износ у висини пасивне математичке резерве покривен је учешћем ретроцесионара у математичкој резерви.</w:t>
      </w:r>
    </w:p>
    <w:p w:rsidR="00AA5404" w:rsidRPr="00AA5404" w:rsidRDefault="00AA5404" w:rsidP="006C4819">
      <w:pPr>
        <w:spacing w:line="276" w:lineRule="auto"/>
        <w:rPr>
          <w:color w:val="244061" w:themeColor="accent1" w:themeShade="80"/>
          <w:sz w:val="22"/>
          <w:szCs w:val="22"/>
          <w:highlight w:val="cyan"/>
          <w:lang w:val="sr-Cyrl-ME"/>
        </w:rPr>
      </w:pPr>
    </w:p>
    <w:p w:rsidR="00990413" w:rsidRPr="00196439" w:rsidRDefault="00990413" w:rsidP="00990413">
      <w:pPr>
        <w:spacing w:line="276" w:lineRule="auto"/>
        <w:rPr>
          <w:rFonts w:cs="Arial"/>
          <w:b/>
          <w:color w:val="17365D" w:themeColor="text2" w:themeShade="BF"/>
          <w:sz w:val="22"/>
          <w:szCs w:val="22"/>
        </w:rPr>
      </w:pPr>
      <w:r w:rsidRPr="00196439">
        <w:rPr>
          <w:rFonts w:cs="Arial"/>
          <w:b/>
          <w:color w:val="17365D" w:themeColor="text2" w:themeShade="BF"/>
          <w:sz w:val="22"/>
          <w:szCs w:val="22"/>
        </w:rPr>
        <w:t>Обрачун математичке резерве извршен је применом адекватних метода и у складу са актуарском струком, Правилником о образовању математичке резерве Друштва, Одлуком о техничким резервама и законским прописима.</w:t>
      </w:r>
    </w:p>
    <w:p w:rsidR="00990413" w:rsidRDefault="00990413" w:rsidP="00990413">
      <w:pPr>
        <w:spacing w:line="276" w:lineRule="auto"/>
        <w:rPr>
          <w:rFonts w:cs="Arial"/>
          <w:color w:val="17365D" w:themeColor="text2" w:themeShade="BF"/>
          <w:sz w:val="22"/>
          <w:szCs w:val="22"/>
        </w:rPr>
      </w:pPr>
    </w:p>
    <w:p w:rsidR="00CA503B" w:rsidRDefault="00CA503B" w:rsidP="00990413">
      <w:pPr>
        <w:spacing w:line="276" w:lineRule="auto"/>
        <w:rPr>
          <w:rFonts w:cs="Arial"/>
          <w:color w:val="17365D" w:themeColor="text2" w:themeShade="BF"/>
          <w:sz w:val="22"/>
          <w:szCs w:val="22"/>
        </w:rPr>
      </w:pPr>
    </w:p>
    <w:p w:rsidR="00CA503B" w:rsidRPr="00196439" w:rsidRDefault="00CA503B" w:rsidP="00990413">
      <w:pPr>
        <w:spacing w:line="276" w:lineRule="auto"/>
        <w:rPr>
          <w:rFonts w:cs="Arial"/>
          <w:color w:val="17365D" w:themeColor="text2" w:themeShade="BF"/>
          <w:sz w:val="22"/>
          <w:szCs w:val="22"/>
        </w:rPr>
      </w:pPr>
    </w:p>
    <w:p w:rsidR="00990413" w:rsidRPr="00196439" w:rsidRDefault="00C64B58" w:rsidP="00C64B58">
      <w:pPr>
        <w:keepNext/>
        <w:spacing w:line="276" w:lineRule="auto"/>
        <w:ind w:firstLine="720"/>
        <w:rPr>
          <w:rFonts w:cs="Arial"/>
          <w:b/>
          <w:bCs/>
          <w:i/>
          <w:color w:val="17365D" w:themeColor="text2" w:themeShade="BF"/>
          <w:sz w:val="22"/>
          <w:szCs w:val="22"/>
          <w:lang w:val="sr-Latn-CS"/>
        </w:rPr>
      </w:pPr>
      <w:r w:rsidRPr="00196439">
        <w:rPr>
          <w:rFonts w:cs="Arial"/>
          <w:b/>
          <w:bCs/>
          <w:i/>
          <w:color w:val="17365D" w:themeColor="text2" w:themeShade="BF"/>
          <w:sz w:val="22"/>
          <w:szCs w:val="22"/>
          <w:lang w:val="sr-Cyrl-RS"/>
        </w:rPr>
        <w:t>2.</w:t>
      </w:r>
      <w:r w:rsidR="00990413" w:rsidRPr="00196439">
        <w:rPr>
          <w:rFonts w:cs="Arial"/>
          <w:b/>
          <w:bCs/>
          <w:i/>
          <w:color w:val="17365D" w:themeColor="text2" w:themeShade="BF"/>
          <w:sz w:val="22"/>
          <w:szCs w:val="22"/>
          <w:lang w:val="sr-Latn-CS"/>
        </w:rPr>
        <w:t xml:space="preserve">3. РЕЗЕРВИСАНЕ ШТЕТЕ </w:t>
      </w:r>
    </w:p>
    <w:p w:rsidR="00990413" w:rsidRPr="00196439" w:rsidRDefault="00990413" w:rsidP="00990413">
      <w:pPr>
        <w:keepNext/>
        <w:spacing w:line="276" w:lineRule="auto"/>
        <w:ind w:left="360"/>
        <w:rPr>
          <w:rFonts w:ascii="Times New Roman" w:hAnsi="Times New Roman"/>
          <w:color w:val="17365D" w:themeColor="text2" w:themeShade="BF"/>
          <w:sz w:val="24"/>
        </w:rPr>
      </w:pPr>
    </w:p>
    <w:p w:rsidR="00761ED1" w:rsidRPr="00196439" w:rsidRDefault="00761ED1" w:rsidP="00761ED1">
      <w:pPr>
        <w:spacing w:line="276" w:lineRule="auto"/>
        <w:rPr>
          <w:rFonts w:cs="Arial"/>
          <w:color w:val="17365D" w:themeColor="text2" w:themeShade="BF"/>
          <w:sz w:val="22"/>
          <w:szCs w:val="22"/>
        </w:rPr>
      </w:pPr>
      <w:r w:rsidRPr="00196439">
        <w:rPr>
          <w:rFonts w:cs="Arial"/>
          <w:color w:val="17365D" w:themeColor="text2" w:themeShade="BF"/>
          <w:sz w:val="22"/>
          <w:szCs w:val="22"/>
          <w:lang w:val="sr-Latn-CS"/>
        </w:rPr>
        <w:t xml:space="preserve">Друштво је </w:t>
      </w:r>
      <w:r w:rsidRPr="00196439">
        <w:rPr>
          <w:rFonts w:cs="Arial"/>
          <w:color w:val="17365D" w:themeColor="text2" w:themeShade="BF"/>
          <w:sz w:val="22"/>
          <w:szCs w:val="22"/>
          <w:lang w:val="sr-Cyrl-RS"/>
        </w:rPr>
        <w:t xml:space="preserve">на дан </w:t>
      </w:r>
      <w:r w:rsidRPr="00196439">
        <w:rPr>
          <w:rFonts w:cs="Arial"/>
          <w:color w:val="17365D" w:themeColor="text2" w:themeShade="BF"/>
          <w:sz w:val="22"/>
          <w:szCs w:val="22"/>
          <w:lang w:val="sr-Latn-CS"/>
        </w:rPr>
        <w:t>3</w:t>
      </w:r>
      <w:r w:rsidRPr="00196439">
        <w:rPr>
          <w:rFonts w:cs="Arial"/>
          <w:color w:val="17365D" w:themeColor="text2" w:themeShade="BF"/>
          <w:sz w:val="22"/>
          <w:szCs w:val="22"/>
          <w:lang w:val="sr-Cyrl-RS"/>
        </w:rPr>
        <w:t>1</w:t>
      </w:r>
      <w:r w:rsidRPr="00196439">
        <w:rPr>
          <w:rFonts w:cs="Arial"/>
          <w:color w:val="17365D" w:themeColor="text2" w:themeShade="BF"/>
          <w:sz w:val="22"/>
          <w:szCs w:val="22"/>
          <w:lang w:val="sr-Latn-CS"/>
        </w:rPr>
        <w:t>.</w:t>
      </w:r>
      <w:r w:rsidRPr="00196439">
        <w:rPr>
          <w:rFonts w:cs="Arial"/>
          <w:color w:val="17365D" w:themeColor="text2" w:themeShade="BF"/>
          <w:sz w:val="22"/>
          <w:szCs w:val="22"/>
          <w:lang w:val="sr-Cyrl-RS"/>
        </w:rPr>
        <w:t>12</w:t>
      </w:r>
      <w:r w:rsidRPr="00196439">
        <w:rPr>
          <w:rFonts w:cs="Arial"/>
          <w:color w:val="17365D" w:themeColor="text2" w:themeShade="BF"/>
          <w:sz w:val="22"/>
          <w:szCs w:val="22"/>
          <w:lang w:val="sr-Latn-CS"/>
        </w:rPr>
        <w:t xml:space="preserve">.2019. по активном послу </w:t>
      </w:r>
      <w:r w:rsidRPr="00196439">
        <w:rPr>
          <w:rFonts w:cs="Arial"/>
          <w:b/>
          <w:color w:val="17365D" w:themeColor="text2" w:themeShade="BF"/>
          <w:sz w:val="22"/>
          <w:szCs w:val="22"/>
          <w:lang w:val="sr-Latn-CS"/>
        </w:rPr>
        <w:t xml:space="preserve">резервисало настале пријављене а нерешене штете </w:t>
      </w:r>
      <w:r w:rsidRPr="00196439">
        <w:rPr>
          <w:rFonts w:cs="Arial"/>
          <w:color w:val="17365D" w:themeColor="text2" w:themeShade="BF"/>
          <w:sz w:val="22"/>
          <w:szCs w:val="22"/>
          <w:lang w:val="sr-Latn-CS"/>
        </w:rPr>
        <w:t xml:space="preserve">према бордероима и закљученим уговорима о реосигурању са цедентима у укупном износу од </w:t>
      </w:r>
      <w:r w:rsidRPr="00196439">
        <w:rPr>
          <w:rFonts w:cs="Arial"/>
          <w:b/>
          <w:color w:val="17365D" w:themeColor="text2" w:themeShade="BF"/>
          <w:sz w:val="22"/>
          <w:szCs w:val="22"/>
          <w:lang w:val="sr-Cyrl-RS"/>
        </w:rPr>
        <w:t>1.507.893.715</w:t>
      </w:r>
      <w:r w:rsidRPr="00196439">
        <w:rPr>
          <w:rFonts w:cs="Arial"/>
          <w:b/>
          <w:color w:val="17365D" w:themeColor="text2" w:themeShade="BF"/>
          <w:sz w:val="22"/>
          <w:szCs w:val="22"/>
        </w:rPr>
        <w:t xml:space="preserve"> динара</w:t>
      </w:r>
      <w:r w:rsidRPr="00196439">
        <w:rPr>
          <w:rFonts w:cs="Arial"/>
          <w:color w:val="17365D" w:themeColor="text2" w:themeShade="BF"/>
          <w:sz w:val="22"/>
          <w:szCs w:val="22"/>
        </w:rPr>
        <w:t>.</w:t>
      </w:r>
    </w:p>
    <w:p w:rsidR="00761ED1" w:rsidRPr="00196439" w:rsidRDefault="00761ED1" w:rsidP="00761ED1">
      <w:pPr>
        <w:spacing w:line="276" w:lineRule="auto"/>
        <w:rPr>
          <w:rFonts w:cs="Arial"/>
          <w:color w:val="17365D" w:themeColor="text2" w:themeShade="BF"/>
          <w:sz w:val="22"/>
          <w:szCs w:val="22"/>
        </w:rPr>
      </w:pPr>
    </w:p>
    <w:p w:rsidR="00761ED1" w:rsidRPr="00196439" w:rsidRDefault="00761ED1" w:rsidP="00761ED1">
      <w:pPr>
        <w:keepNext/>
        <w:spacing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rPr>
        <w:t>Резервација насталих пријављених а нерешених штета</w:t>
      </w:r>
      <w:r w:rsidRPr="00196439">
        <w:rPr>
          <w:rFonts w:cs="Arial"/>
          <w:b/>
          <w:color w:val="17365D" w:themeColor="text2" w:themeShade="BF"/>
          <w:sz w:val="22"/>
          <w:szCs w:val="22"/>
          <w:lang w:val="sr-Cyrl-RS"/>
        </w:rPr>
        <w:t xml:space="preserve"> 3</w:t>
      </w:r>
      <w:r w:rsidRPr="00196439">
        <w:rPr>
          <w:rFonts w:cs="Arial"/>
          <w:b/>
          <w:color w:val="17365D" w:themeColor="text2" w:themeShade="BF"/>
          <w:sz w:val="22"/>
          <w:szCs w:val="22"/>
          <w:lang w:val="sr-Latn-RS"/>
        </w:rPr>
        <w:t>1</w:t>
      </w:r>
      <w:r w:rsidRPr="00196439">
        <w:rPr>
          <w:rFonts w:cs="Arial"/>
          <w:b/>
          <w:color w:val="17365D" w:themeColor="text2" w:themeShade="BF"/>
          <w:sz w:val="22"/>
          <w:szCs w:val="22"/>
          <w:lang w:val="sr-Cyrl-RS"/>
        </w:rPr>
        <w:t>.</w:t>
      </w:r>
      <w:r w:rsidRPr="00196439">
        <w:rPr>
          <w:rFonts w:cs="Arial"/>
          <w:b/>
          <w:color w:val="17365D" w:themeColor="text2" w:themeShade="BF"/>
          <w:sz w:val="22"/>
          <w:szCs w:val="22"/>
          <w:lang w:val="sr-Latn-RS"/>
        </w:rPr>
        <w:t>12</w:t>
      </w:r>
      <w:r w:rsidRPr="00196439">
        <w:rPr>
          <w:rFonts w:cs="Arial"/>
          <w:b/>
          <w:color w:val="17365D" w:themeColor="text2" w:themeShade="BF"/>
          <w:sz w:val="22"/>
          <w:szCs w:val="22"/>
          <w:lang w:val="sr-Cyrl-RS"/>
        </w:rPr>
        <w:t xml:space="preserve">.2019. </w:t>
      </w:r>
    </w:p>
    <w:p w:rsidR="00761ED1" w:rsidRPr="00196439" w:rsidRDefault="00761ED1" w:rsidP="00761ED1">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t>и промена у односу на 31.12.2018.</w:t>
      </w:r>
    </w:p>
    <w:p w:rsidR="00761ED1" w:rsidRPr="00196439" w:rsidRDefault="00761ED1" w:rsidP="00761ED1">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4DD2A445" wp14:editId="24F4BCE4">
            <wp:extent cx="4829175" cy="34766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44785" cy="3487863"/>
                    </a:xfrm>
                    <a:prstGeom prst="rect">
                      <a:avLst/>
                    </a:prstGeom>
                    <a:noFill/>
                    <a:ln>
                      <a:noFill/>
                    </a:ln>
                  </pic:spPr>
                </pic:pic>
              </a:graphicData>
            </a:graphic>
          </wp:inline>
        </w:drawing>
      </w:r>
    </w:p>
    <w:p w:rsidR="00761ED1" w:rsidRPr="00196439" w:rsidRDefault="00761ED1" w:rsidP="00761ED1">
      <w:pPr>
        <w:spacing w:line="276" w:lineRule="auto"/>
        <w:rPr>
          <w:rFonts w:cs="Arial"/>
          <w:color w:val="17365D" w:themeColor="text2" w:themeShade="BF"/>
          <w:sz w:val="22"/>
          <w:szCs w:val="22"/>
          <w:lang w:val="sr-Cyrl-RS"/>
        </w:rPr>
      </w:pPr>
    </w:p>
    <w:p w:rsidR="00AA5404" w:rsidRDefault="00761ED1" w:rsidP="00761ED1">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Износ резервације насталих пријављених а нерешених штета је за 153.785.236 динара (11,36%) виши у односу на 31.12.</w:t>
      </w:r>
      <w:r w:rsidRPr="00196439">
        <w:rPr>
          <w:rFonts w:cs="Arial"/>
          <w:color w:val="17365D" w:themeColor="text2" w:themeShade="BF"/>
          <w:sz w:val="22"/>
          <w:szCs w:val="22"/>
        </w:rPr>
        <w:t>2018</w:t>
      </w:r>
      <w:r w:rsidRPr="00196439">
        <w:rPr>
          <w:rFonts w:cs="Arial"/>
          <w:color w:val="17365D" w:themeColor="text2" w:themeShade="BF"/>
          <w:sz w:val="22"/>
          <w:szCs w:val="22"/>
          <w:lang w:val="sr-Cyrl-RS"/>
        </w:rPr>
        <w:t>.</w:t>
      </w:r>
    </w:p>
    <w:p w:rsidR="00AA5404" w:rsidRDefault="00AA5404">
      <w:pPr>
        <w:spacing w:after="200" w:line="276" w:lineRule="auto"/>
        <w:jc w:val="left"/>
        <w:rPr>
          <w:rFonts w:cs="Arial"/>
          <w:color w:val="17365D" w:themeColor="text2" w:themeShade="BF"/>
          <w:sz w:val="22"/>
          <w:szCs w:val="22"/>
          <w:lang w:val="sr-Cyrl-RS"/>
        </w:rPr>
      </w:pPr>
    </w:p>
    <w:p w:rsidR="00CA503B" w:rsidRPr="00196439" w:rsidRDefault="00CA503B" w:rsidP="00761ED1">
      <w:pPr>
        <w:spacing w:line="276" w:lineRule="auto"/>
        <w:rPr>
          <w:rFonts w:cs="Arial"/>
          <w:color w:val="17365D" w:themeColor="text2" w:themeShade="BF"/>
          <w:sz w:val="22"/>
          <w:szCs w:val="22"/>
          <w:lang w:val="sr-Cyrl-RS"/>
        </w:rPr>
      </w:pPr>
      <w:bookmarkStart w:id="0" w:name="_GoBack"/>
      <w:bookmarkEnd w:id="0"/>
    </w:p>
    <w:p w:rsidR="00761ED1" w:rsidRPr="00196439" w:rsidRDefault="00761ED1" w:rsidP="00761ED1">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t xml:space="preserve">У односу на </w:t>
      </w:r>
      <w:r w:rsidRPr="00196439">
        <w:rPr>
          <w:rFonts w:cs="Arial"/>
          <w:color w:val="17365D" w:themeColor="text2" w:themeShade="BF"/>
          <w:sz w:val="22"/>
          <w:szCs w:val="22"/>
          <w:lang w:val="sr-Cyrl-RS"/>
        </w:rPr>
        <w:t>31.12.</w:t>
      </w:r>
      <w:r w:rsidRPr="00196439">
        <w:rPr>
          <w:rFonts w:cs="Arial"/>
          <w:color w:val="17365D" w:themeColor="text2" w:themeShade="BF"/>
          <w:sz w:val="22"/>
          <w:szCs w:val="22"/>
        </w:rPr>
        <w:t xml:space="preserve">2018. </w:t>
      </w:r>
      <w:r w:rsidRPr="00196439">
        <w:rPr>
          <w:rFonts w:cs="Arial"/>
          <w:color w:val="17365D" w:themeColor="text2" w:themeShade="BF"/>
          <w:sz w:val="22"/>
          <w:szCs w:val="22"/>
          <w:lang w:val="sr-Cyrl-RS"/>
        </w:rPr>
        <w:t>значајнија</w:t>
      </w:r>
      <w:r w:rsidRPr="00196439">
        <w:rPr>
          <w:rFonts w:cs="Arial"/>
          <w:color w:val="17365D" w:themeColor="text2" w:themeShade="BF"/>
          <w:sz w:val="22"/>
          <w:szCs w:val="22"/>
        </w:rPr>
        <w:t xml:space="preserve"> смањењ</w:t>
      </w:r>
      <w:r w:rsidRPr="00196439">
        <w:rPr>
          <w:rFonts w:cs="Arial"/>
          <w:color w:val="17365D" w:themeColor="text2" w:themeShade="BF"/>
          <w:sz w:val="22"/>
          <w:szCs w:val="22"/>
          <w:lang w:val="sr-Cyrl-RS"/>
        </w:rPr>
        <w:t>а</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RS"/>
        </w:rPr>
        <w:t xml:space="preserve">резервације пријављених неликвидираних штета </w:t>
      </w:r>
      <w:r w:rsidRPr="00196439">
        <w:rPr>
          <w:rFonts w:cs="Arial"/>
          <w:color w:val="17365D" w:themeColor="text2" w:themeShade="BF"/>
          <w:sz w:val="22"/>
          <w:szCs w:val="22"/>
        </w:rPr>
        <w:t>се бележ</w:t>
      </w:r>
      <w:r w:rsidRPr="00196439">
        <w:rPr>
          <w:rFonts w:cs="Arial"/>
          <w:color w:val="17365D" w:themeColor="text2" w:themeShade="BF"/>
          <w:sz w:val="22"/>
          <w:szCs w:val="22"/>
          <w:lang w:val="sr-Cyrl-RS"/>
        </w:rPr>
        <w:t>е</w:t>
      </w:r>
      <w:r w:rsidRPr="00196439">
        <w:rPr>
          <w:rFonts w:cs="Arial"/>
          <w:color w:val="17365D" w:themeColor="text2" w:themeShade="BF"/>
          <w:sz w:val="22"/>
          <w:szCs w:val="22"/>
        </w:rPr>
        <w:t xml:space="preserve"> код </w:t>
      </w:r>
      <w:r w:rsidRPr="00196439">
        <w:rPr>
          <w:rFonts w:cs="Arial"/>
          <w:color w:val="17365D" w:themeColor="text2" w:themeShade="BF"/>
          <w:sz w:val="22"/>
          <w:szCs w:val="22"/>
          <w:lang w:val="sr-Cyrl-RS"/>
        </w:rPr>
        <w:t>врста осигурања: 10 Осигурање од одговорности због употребе моторних возила (78.103.425 динара), 09 Остала осигурања имовине (32.497.226 динара) и 16 Осигурање финансијских губитака (30.175.866 динара), а као последица решавања штета на овим врстама осигурања.</w:t>
      </w:r>
    </w:p>
    <w:p w:rsidR="00761ED1" w:rsidRPr="00196439" w:rsidRDefault="00761ED1" w:rsidP="00CA503B">
      <w:pPr>
        <w:spacing w:line="276" w:lineRule="auto"/>
        <w:rPr>
          <w:rFonts w:cs="Arial"/>
          <w:color w:val="17365D" w:themeColor="text2" w:themeShade="BF"/>
          <w:sz w:val="22"/>
          <w:szCs w:val="22"/>
          <w:lang w:val="sr-Cyrl-RS"/>
        </w:rPr>
      </w:pPr>
    </w:p>
    <w:p w:rsidR="00761ED1" w:rsidRPr="00196439" w:rsidRDefault="00761ED1" w:rsidP="00761ED1">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Највећа повећања у апсолутном износу су на врстама осигурања: 13 Осигурање од опште одговорности (183.602.112 динара); 08 Осигурање имовине од пожара и других опасности (73.774.369 динара) и 07 Осигурање робе у превозу (38.265.779 динара). На врсти 07 повећање је последица једне штете из ове године, која је резервисана на износ од 43.556.980 динара док је на врсти 13 повећање највећим делом последица једне штете пријављене у последњем кварталу 2019. године а која је резервисана на износ од 138.700.218 динара.</w:t>
      </w:r>
    </w:p>
    <w:p w:rsidR="00761ED1" w:rsidRPr="00196439" w:rsidRDefault="00761ED1" w:rsidP="00CA503B">
      <w:pPr>
        <w:spacing w:line="276" w:lineRule="auto"/>
        <w:rPr>
          <w:rFonts w:cs="Arial"/>
          <w:color w:val="17365D" w:themeColor="text2" w:themeShade="BF"/>
          <w:sz w:val="22"/>
          <w:szCs w:val="22"/>
          <w:lang w:val="sr-Cyrl-RS"/>
        </w:rPr>
      </w:pPr>
    </w:p>
    <w:p w:rsidR="00761ED1" w:rsidRPr="00196439" w:rsidRDefault="00761ED1" w:rsidP="00761ED1">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Latn-CS"/>
        </w:rPr>
        <w:t xml:space="preserve">Друштво је према Правилнику </w:t>
      </w:r>
      <w:r w:rsidRPr="00196439">
        <w:rPr>
          <w:rFonts w:cs="Arial"/>
          <w:color w:val="17365D" w:themeColor="text2" w:themeShade="BF"/>
          <w:sz w:val="22"/>
          <w:szCs w:val="22"/>
        </w:rPr>
        <w:t xml:space="preserve">о образовању резервисаних штета </w:t>
      </w:r>
      <w:r w:rsidRPr="00196439">
        <w:rPr>
          <w:rFonts w:cs="Arial"/>
          <w:color w:val="17365D" w:themeColor="text2" w:themeShade="BF"/>
          <w:sz w:val="22"/>
          <w:szCs w:val="22"/>
          <w:lang w:val="sr-Latn-CS"/>
        </w:rPr>
        <w:t xml:space="preserve">обрачунало </w:t>
      </w:r>
      <w:r w:rsidRPr="00196439">
        <w:rPr>
          <w:rFonts w:cs="Arial"/>
          <w:b/>
          <w:color w:val="17365D" w:themeColor="text2" w:themeShade="BF"/>
          <w:sz w:val="22"/>
          <w:szCs w:val="22"/>
          <w:lang w:val="sr-Latn-CS"/>
        </w:rPr>
        <w:t xml:space="preserve">резервисане настале непријављене штете у износу од </w:t>
      </w:r>
      <w:r w:rsidRPr="00196439">
        <w:rPr>
          <w:rFonts w:cs="Arial"/>
          <w:b/>
          <w:color w:val="17365D" w:themeColor="text2" w:themeShade="BF"/>
          <w:sz w:val="22"/>
          <w:szCs w:val="22"/>
          <w:lang w:val="sr-Cyrl-RS"/>
        </w:rPr>
        <w:t>443.718.490</w:t>
      </w:r>
      <w:r w:rsidRPr="00196439">
        <w:rPr>
          <w:rFonts w:cs="Arial"/>
          <w:b/>
          <w:color w:val="17365D" w:themeColor="text2" w:themeShade="BF"/>
          <w:sz w:val="22"/>
          <w:szCs w:val="22"/>
          <w:lang w:val="sr-Latn-CS"/>
        </w:rPr>
        <w:t xml:space="preserve"> динар</w:t>
      </w:r>
      <w:r w:rsidRPr="00196439">
        <w:rPr>
          <w:rFonts w:cs="Arial"/>
          <w:b/>
          <w:color w:val="17365D" w:themeColor="text2" w:themeShade="BF"/>
          <w:sz w:val="22"/>
          <w:szCs w:val="22"/>
        </w:rPr>
        <w:t>а.</w:t>
      </w:r>
      <w:r w:rsidRPr="00196439">
        <w:rPr>
          <w:rFonts w:cs="Arial"/>
          <w:color w:val="17365D" w:themeColor="text2" w:themeShade="BF"/>
          <w:sz w:val="22"/>
          <w:szCs w:val="22"/>
        </w:rPr>
        <w:t xml:space="preserve"> </w:t>
      </w:r>
    </w:p>
    <w:p w:rsidR="00761ED1" w:rsidRPr="00196439" w:rsidRDefault="00761ED1" w:rsidP="00CA503B">
      <w:pPr>
        <w:spacing w:line="276" w:lineRule="auto"/>
        <w:rPr>
          <w:rFonts w:cs="Arial"/>
          <w:color w:val="17365D" w:themeColor="text2" w:themeShade="BF"/>
          <w:sz w:val="22"/>
          <w:szCs w:val="22"/>
          <w:highlight w:val="yellow"/>
          <w:lang w:val="sr-Latn-CS"/>
        </w:rPr>
      </w:pPr>
    </w:p>
    <w:p w:rsidR="00990413" w:rsidRPr="00196439" w:rsidRDefault="00990413" w:rsidP="00990413">
      <w:pPr>
        <w:spacing w:line="276" w:lineRule="auto"/>
        <w:rPr>
          <w:rFonts w:cs="Arial"/>
          <w:color w:val="17365D" w:themeColor="text2" w:themeShade="BF"/>
          <w:sz w:val="22"/>
          <w:szCs w:val="22"/>
        </w:rPr>
      </w:pPr>
      <w:r w:rsidRPr="00E228B2">
        <w:rPr>
          <w:rFonts w:cs="Arial"/>
          <w:color w:val="17365D" w:themeColor="text2" w:themeShade="BF"/>
          <w:sz w:val="22"/>
          <w:szCs w:val="22"/>
        </w:rPr>
        <w:t>Резервација IBNR је урађена применом паушалне методе у свим врстама осигурања, осим код осигурања аутоодговорности</w:t>
      </w:r>
      <w:r w:rsidRPr="00E228B2">
        <w:rPr>
          <w:rFonts w:cs="Arial"/>
          <w:color w:val="17365D" w:themeColor="text2" w:themeShade="BF"/>
          <w:sz w:val="22"/>
          <w:szCs w:val="22"/>
          <w:lang w:val="sr-Cyrl-RS"/>
        </w:rPr>
        <w:t>,</w:t>
      </w:r>
      <w:r w:rsidRPr="00E228B2">
        <w:rPr>
          <w:rFonts w:cs="Arial"/>
          <w:color w:val="17365D" w:themeColor="text2" w:themeShade="BF"/>
          <w:sz w:val="22"/>
          <w:szCs w:val="22"/>
        </w:rPr>
        <w:t xml:space="preserve"> где </w:t>
      </w:r>
      <w:r w:rsidRPr="00E228B2">
        <w:rPr>
          <w:rFonts w:cs="Arial"/>
          <w:color w:val="17365D" w:themeColor="text2" w:themeShade="BF"/>
          <w:sz w:val="22"/>
          <w:szCs w:val="22"/>
          <w:lang w:val="sr-Cyrl-RS"/>
        </w:rPr>
        <w:t xml:space="preserve">су приликом обрачуна </w:t>
      </w:r>
      <w:r w:rsidRPr="00E228B2">
        <w:rPr>
          <w:rFonts w:cs="Arial"/>
          <w:color w:val="17365D" w:themeColor="text2" w:themeShade="BF"/>
          <w:sz w:val="22"/>
          <w:szCs w:val="22"/>
        </w:rPr>
        <w:t>примењен</w:t>
      </w:r>
      <w:r w:rsidRPr="00E228B2">
        <w:rPr>
          <w:rFonts w:cs="Arial"/>
          <w:color w:val="17365D" w:themeColor="text2" w:themeShade="BF"/>
          <w:sz w:val="22"/>
          <w:szCs w:val="22"/>
          <w:lang w:val="sr-Cyrl-RS"/>
        </w:rPr>
        <w:t>е</w:t>
      </w:r>
      <w:r w:rsidRPr="00E228B2">
        <w:rPr>
          <w:rFonts w:cs="Arial"/>
          <w:color w:val="17365D" w:themeColor="text2" w:themeShade="BF"/>
          <w:sz w:val="22"/>
          <w:szCs w:val="22"/>
        </w:rPr>
        <w:t xml:space="preserve"> Chain Ladder методa</w:t>
      </w:r>
      <w:r w:rsidRPr="00E228B2">
        <w:rPr>
          <w:rFonts w:cs="Arial"/>
          <w:color w:val="17365D" w:themeColor="text2" w:themeShade="BF"/>
          <w:sz w:val="22"/>
          <w:szCs w:val="22"/>
          <w:lang w:val="sr-Cyrl-RS"/>
        </w:rPr>
        <w:t xml:space="preserve"> на основу троуглова пријављених штета, </w:t>
      </w:r>
      <w:r w:rsidRPr="00E228B2">
        <w:rPr>
          <w:rFonts w:cs="Arial"/>
          <w:color w:val="17365D" w:themeColor="text2" w:themeShade="BF"/>
          <w:sz w:val="22"/>
          <w:szCs w:val="22"/>
        </w:rPr>
        <w:t>Chain Ladder методa</w:t>
      </w:r>
      <w:r w:rsidRPr="00E228B2">
        <w:rPr>
          <w:rFonts w:cs="Arial"/>
          <w:color w:val="17365D" w:themeColor="text2" w:themeShade="BF"/>
          <w:sz w:val="22"/>
          <w:szCs w:val="22"/>
          <w:lang w:val="sr-Cyrl-RS"/>
        </w:rPr>
        <w:t xml:space="preserve"> на основу троуглова ликвидираних штета и Метода очекиване квоте штета при чему су респективно добијени резултати </w:t>
      </w:r>
      <w:r w:rsidR="00966C51" w:rsidRPr="00E228B2">
        <w:rPr>
          <w:rFonts w:cs="Arial"/>
          <w:color w:val="17365D" w:themeColor="text2" w:themeShade="BF"/>
          <w:sz w:val="22"/>
          <w:szCs w:val="22"/>
          <w:lang w:val="sr-Latn-RS"/>
        </w:rPr>
        <w:t>37.199.126</w:t>
      </w:r>
      <w:r w:rsidRPr="00E228B2">
        <w:rPr>
          <w:rFonts w:cs="Arial"/>
          <w:color w:val="17365D" w:themeColor="text2" w:themeShade="BF"/>
          <w:sz w:val="22"/>
          <w:szCs w:val="22"/>
          <w:lang w:val="sr-Cyrl-RS"/>
        </w:rPr>
        <w:t xml:space="preserve"> динара, 1</w:t>
      </w:r>
      <w:r w:rsidR="00966C51" w:rsidRPr="00E228B2">
        <w:rPr>
          <w:rFonts w:cs="Arial"/>
          <w:color w:val="17365D" w:themeColor="text2" w:themeShade="BF"/>
          <w:sz w:val="22"/>
          <w:szCs w:val="22"/>
          <w:lang w:val="sr-Latn-RS"/>
        </w:rPr>
        <w:t>53</w:t>
      </w:r>
      <w:r w:rsidRPr="00E228B2">
        <w:rPr>
          <w:rFonts w:cs="Arial"/>
          <w:color w:val="17365D" w:themeColor="text2" w:themeShade="BF"/>
          <w:sz w:val="22"/>
          <w:szCs w:val="22"/>
          <w:lang w:val="sr-Cyrl-RS"/>
        </w:rPr>
        <w:t>.</w:t>
      </w:r>
      <w:r w:rsidR="00966C51" w:rsidRPr="00E228B2">
        <w:rPr>
          <w:rFonts w:cs="Arial"/>
          <w:color w:val="17365D" w:themeColor="text2" w:themeShade="BF"/>
          <w:sz w:val="22"/>
          <w:szCs w:val="22"/>
          <w:lang w:val="sr-Latn-RS"/>
        </w:rPr>
        <w:t>138</w:t>
      </w:r>
      <w:r w:rsidRPr="00E228B2">
        <w:rPr>
          <w:rFonts w:cs="Arial"/>
          <w:color w:val="17365D" w:themeColor="text2" w:themeShade="BF"/>
          <w:sz w:val="22"/>
          <w:szCs w:val="22"/>
          <w:lang w:val="sr-Cyrl-RS"/>
        </w:rPr>
        <w:t>.</w:t>
      </w:r>
      <w:r w:rsidR="00966C51" w:rsidRPr="00E228B2">
        <w:rPr>
          <w:rFonts w:cs="Arial"/>
          <w:color w:val="17365D" w:themeColor="text2" w:themeShade="BF"/>
          <w:sz w:val="22"/>
          <w:szCs w:val="22"/>
          <w:lang w:val="sr-Latn-RS"/>
        </w:rPr>
        <w:t>451</w:t>
      </w:r>
      <w:r w:rsidRPr="00E228B2">
        <w:rPr>
          <w:rFonts w:cs="Arial"/>
          <w:color w:val="17365D" w:themeColor="text2" w:themeShade="BF"/>
          <w:sz w:val="22"/>
          <w:szCs w:val="22"/>
          <w:lang w:val="sr-Cyrl-RS"/>
        </w:rPr>
        <w:t xml:space="preserve"> динар</w:t>
      </w:r>
      <w:r w:rsidR="00966C51" w:rsidRPr="00E228B2">
        <w:rPr>
          <w:rFonts w:cs="Arial"/>
          <w:color w:val="17365D" w:themeColor="text2" w:themeShade="BF"/>
          <w:sz w:val="22"/>
          <w:szCs w:val="22"/>
          <w:lang w:val="sr-Latn-RS"/>
        </w:rPr>
        <w:t>a</w:t>
      </w:r>
      <w:r w:rsidRPr="00E228B2">
        <w:rPr>
          <w:rFonts w:cs="Arial"/>
          <w:color w:val="17365D" w:themeColor="text2" w:themeShade="BF"/>
          <w:sz w:val="22"/>
          <w:szCs w:val="22"/>
          <w:lang w:val="sr-Cyrl-RS"/>
        </w:rPr>
        <w:t xml:space="preserve"> и 1</w:t>
      </w:r>
      <w:r w:rsidR="00C746F0" w:rsidRPr="00E228B2">
        <w:rPr>
          <w:rFonts w:cs="Arial"/>
          <w:color w:val="17365D" w:themeColor="text2" w:themeShade="BF"/>
          <w:sz w:val="22"/>
          <w:szCs w:val="22"/>
          <w:lang w:val="sr-Latn-RS"/>
        </w:rPr>
        <w:t>59</w:t>
      </w:r>
      <w:r w:rsidRPr="00E228B2">
        <w:rPr>
          <w:rFonts w:cs="Arial"/>
          <w:color w:val="17365D" w:themeColor="text2" w:themeShade="BF"/>
          <w:sz w:val="22"/>
          <w:szCs w:val="22"/>
          <w:lang w:val="sr-Cyrl-RS"/>
        </w:rPr>
        <w:t>.</w:t>
      </w:r>
      <w:r w:rsidR="00C746F0" w:rsidRPr="00E228B2">
        <w:rPr>
          <w:rFonts w:cs="Arial"/>
          <w:color w:val="17365D" w:themeColor="text2" w:themeShade="BF"/>
          <w:sz w:val="22"/>
          <w:szCs w:val="22"/>
          <w:lang w:val="sr-Latn-RS"/>
        </w:rPr>
        <w:t>812</w:t>
      </w:r>
      <w:r w:rsidRPr="00E228B2">
        <w:rPr>
          <w:rFonts w:cs="Arial"/>
          <w:color w:val="17365D" w:themeColor="text2" w:themeShade="BF"/>
          <w:sz w:val="22"/>
          <w:szCs w:val="22"/>
          <w:lang w:val="sr-Cyrl-RS"/>
        </w:rPr>
        <w:t>.</w:t>
      </w:r>
      <w:r w:rsidR="00C746F0" w:rsidRPr="00E228B2">
        <w:rPr>
          <w:rFonts w:cs="Arial"/>
          <w:color w:val="17365D" w:themeColor="text2" w:themeShade="BF"/>
          <w:sz w:val="22"/>
          <w:szCs w:val="22"/>
          <w:lang w:val="sr-Latn-RS"/>
        </w:rPr>
        <w:t>006</w:t>
      </w:r>
      <w:r w:rsidRPr="00E228B2">
        <w:rPr>
          <w:rFonts w:cs="Arial"/>
          <w:color w:val="17365D" w:themeColor="text2" w:themeShade="BF"/>
          <w:sz w:val="22"/>
          <w:szCs w:val="22"/>
          <w:lang w:val="sr-Cyrl-RS"/>
        </w:rPr>
        <w:t xml:space="preserve"> динара</w:t>
      </w:r>
      <w:r w:rsidRPr="00E228B2">
        <w:rPr>
          <w:rFonts w:cs="Arial"/>
          <w:color w:val="17365D" w:themeColor="text2" w:themeShade="BF"/>
          <w:sz w:val="22"/>
          <w:szCs w:val="22"/>
        </w:rPr>
        <w:t xml:space="preserve">. </w:t>
      </w:r>
      <w:r w:rsidRPr="00E228B2">
        <w:rPr>
          <w:rFonts w:cs="Arial"/>
          <w:color w:val="17365D" w:themeColor="text2" w:themeShade="BF"/>
          <w:sz w:val="22"/>
          <w:szCs w:val="22"/>
          <w:lang w:val="sr-Cyrl-RS"/>
        </w:rPr>
        <w:t>Усвојен је резултат добијен Методом очекиване квоте штета</w:t>
      </w:r>
      <w:r w:rsidRPr="00E228B2">
        <w:rPr>
          <w:rFonts w:cs="Arial"/>
          <w:color w:val="17365D" w:themeColor="text2" w:themeShade="BF"/>
          <w:sz w:val="22"/>
          <w:szCs w:val="22"/>
        </w:rPr>
        <w:t>.</w:t>
      </w:r>
      <w:r w:rsidRPr="00196439">
        <w:rPr>
          <w:rFonts w:cs="Arial"/>
          <w:color w:val="17365D" w:themeColor="text2" w:themeShade="BF"/>
          <w:sz w:val="22"/>
          <w:szCs w:val="22"/>
        </w:rPr>
        <w:t xml:space="preserve"> </w:t>
      </w:r>
    </w:p>
    <w:p w:rsidR="00990413" w:rsidRPr="00196439" w:rsidRDefault="00990413" w:rsidP="00CA503B">
      <w:pPr>
        <w:spacing w:line="276" w:lineRule="auto"/>
        <w:rPr>
          <w:rFonts w:cs="Arial"/>
          <w:color w:val="17365D" w:themeColor="text2" w:themeShade="BF"/>
          <w:sz w:val="22"/>
          <w:szCs w:val="22"/>
        </w:rPr>
      </w:pPr>
    </w:p>
    <w:p w:rsidR="00761ED1" w:rsidRPr="00196439" w:rsidRDefault="00761ED1" w:rsidP="00761ED1">
      <w:pPr>
        <w:keepNext/>
        <w:spacing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rPr>
        <w:t xml:space="preserve">Резервација насталих </w:t>
      </w:r>
      <w:r w:rsidRPr="00196439">
        <w:rPr>
          <w:rFonts w:cs="Arial"/>
          <w:b/>
          <w:color w:val="17365D" w:themeColor="text2" w:themeShade="BF"/>
          <w:sz w:val="22"/>
          <w:szCs w:val="22"/>
          <w:lang w:val="sr-Cyrl-RS"/>
        </w:rPr>
        <w:t>непријављених</w:t>
      </w:r>
      <w:r w:rsidRPr="00196439">
        <w:rPr>
          <w:rFonts w:cs="Arial"/>
          <w:b/>
          <w:color w:val="17365D" w:themeColor="text2" w:themeShade="BF"/>
          <w:sz w:val="22"/>
          <w:szCs w:val="22"/>
        </w:rPr>
        <w:t xml:space="preserve"> штета</w:t>
      </w:r>
      <w:r w:rsidRPr="00196439">
        <w:rPr>
          <w:rFonts w:cs="Arial"/>
          <w:b/>
          <w:color w:val="17365D" w:themeColor="text2" w:themeShade="BF"/>
          <w:sz w:val="22"/>
          <w:szCs w:val="22"/>
          <w:lang w:val="sr-Cyrl-RS"/>
        </w:rPr>
        <w:t xml:space="preserve"> 3</w:t>
      </w:r>
      <w:r w:rsidRPr="00196439">
        <w:rPr>
          <w:rFonts w:cs="Arial"/>
          <w:b/>
          <w:color w:val="17365D" w:themeColor="text2" w:themeShade="BF"/>
          <w:sz w:val="22"/>
          <w:szCs w:val="22"/>
          <w:lang w:val="sr-Latn-RS"/>
        </w:rPr>
        <w:t>1</w:t>
      </w:r>
      <w:r w:rsidRPr="00196439">
        <w:rPr>
          <w:rFonts w:cs="Arial"/>
          <w:b/>
          <w:color w:val="17365D" w:themeColor="text2" w:themeShade="BF"/>
          <w:sz w:val="22"/>
          <w:szCs w:val="22"/>
          <w:lang w:val="sr-Cyrl-RS"/>
        </w:rPr>
        <w:t>.</w:t>
      </w:r>
      <w:r w:rsidRPr="00196439">
        <w:rPr>
          <w:rFonts w:cs="Arial"/>
          <w:b/>
          <w:color w:val="17365D" w:themeColor="text2" w:themeShade="BF"/>
          <w:sz w:val="22"/>
          <w:szCs w:val="22"/>
          <w:lang w:val="sr-Latn-RS"/>
        </w:rPr>
        <w:t>12</w:t>
      </w:r>
      <w:r w:rsidRPr="00196439">
        <w:rPr>
          <w:rFonts w:cs="Arial"/>
          <w:b/>
          <w:color w:val="17365D" w:themeColor="text2" w:themeShade="BF"/>
          <w:sz w:val="22"/>
          <w:szCs w:val="22"/>
          <w:lang w:val="sr-Cyrl-RS"/>
        </w:rPr>
        <w:t xml:space="preserve">.2019. </w:t>
      </w:r>
    </w:p>
    <w:p w:rsidR="00761ED1" w:rsidRPr="00196439" w:rsidRDefault="00761ED1" w:rsidP="00761ED1">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t>и промена у односу на 31.12.2018.</w:t>
      </w:r>
    </w:p>
    <w:p w:rsidR="00761ED1" w:rsidRPr="00196439" w:rsidRDefault="00761ED1" w:rsidP="00761ED1">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5BFF37CA" wp14:editId="690C2CBA">
            <wp:extent cx="4644000" cy="3891669"/>
            <wp:effectExtent l="0" t="0" r="444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44000" cy="3891669"/>
                    </a:xfrm>
                    <a:prstGeom prst="rect">
                      <a:avLst/>
                    </a:prstGeom>
                    <a:noFill/>
                    <a:ln>
                      <a:noFill/>
                    </a:ln>
                  </pic:spPr>
                </pic:pic>
              </a:graphicData>
            </a:graphic>
          </wp:inline>
        </w:drawing>
      </w:r>
    </w:p>
    <w:p w:rsidR="00761ED1" w:rsidRDefault="00761ED1" w:rsidP="00761ED1">
      <w:pPr>
        <w:spacing w:line="276" w:lineRule="auto"/>
        <w:rPr>
          <w:rFonts w:cs="Arial"/>
          <w:color w:val="17365D" w:themeColor="text2" w:themeShade="BF"/>
          <w:sz w:val="22"/>
          <w:szCs w:val="22"/>
          <w:highlight w:val="cyan"/>
        </w:rPr>
      </w:pPr>
    </w:p>
    <w:p w:rsidR="00CA503B" w:rsidRPr="00196439" w:rsidRDefault="00CA503B" w:rsidP="00761ED1">
      <w:pPr>
        <w:spacing w:line="276" w:lineRule="auto"/>
        <w:rPr>
          <w:rFonts w:cs="Arial"/>
          <w:color w:val="17365D" w:themeColor="text2" w:themeShade="BF"/>
          <w:sz w:val="22"/>
          <w:szCs w:val="22"/>
          <w:highlight w:val="cyan"/>
        </w:rPr>
      </w:pPr>
    </w:p>
    <w:p w:rsidR="00761ED1" w:rsidRPr="00196439" w:rsidRDefault="00761ED1" w:rsidP="00761ED1">
      <w:pPr>
        <w:spacing w:line="276" w:lineRule="auto"/>
        <w:rPr>
          <w:rFonts w:cs="Arial"/>
          <w:color w:val="17365D" w:themeColor="text2" w:themeShade="BF"/>
          <w:sz w:val="22"/>
          <w:szCs w:val="22"/>
          <w:lang w:val="sr-Cyrl-RS"/>
        </w:rPr>
      </w:pPr>
      <w:r w:rsidRPr="00196439">
        <w:rPr>
          <w:rFonts w:cs="Arial"/>
          <w:color w:val="17365D" w:themeColor="text2" w:themeShade="BF"/>
          <w:sz w:val="22"/>
          <w:szCs w:val="22"/>
        </w:rPr>
        <w:lastRenderedPageBreak/>
        <w:t>Посматрано</w:t>
      </w:r>
      <w:r w:rsidRPr="00196439">
        <w:rPr>
          <w:rFonts w:cs="Arial"/>
          <w:color w:val="17365D" w:themeColor="text2" w:themeShade="BF"/>
          <w:sz w:val="22"/>
          <w:szCs w:val="22"/>
          <w:lang w:val="sr-Cyrl-ME"/>
        </w:rPr>
        <w:t xml:space="preserve"> </w:t>
      </w:r>
      <w:r w:rsidRPr="00196439">
        <w:rPr>
          <w:rFonts w:cs="Arial"/>
          <w:color w:val="17365D" w:themeColor="text2" w:themeShade="BF"/>
          <w:sz w:val="22"/>
          <w:szCs w:val="22"/>
        </w:rPr>
        <w:t xml:space="preserve">у односу на </w:t>
      </w:r>
      <w:r w:rsidRPr="00196439">
        <w:rPr>
          <w:rFonts w:cs="Arial"/>
          <w:color w:val="17365D" w:themeColor="text2" w:themeShade="BF"/>
          <w:sz w:val="22"/>
          <w:szCs w:val="22"/>
          <w:lang w:val="sr-Cyrl-RS"/>
        </w:rPr>
        <w:t>31.12.</w:t>
      </w:r>
      <w:r w:rsidRPr="00196439">
        <w:rPr>
          <w:rFonts w:cs="Arial"/>
          <w:color w:val="17365D" w:themeColor="text2" w:themeShade="BF"/>
          <w:sz w:val="22"/>
          <w:szCs w:val="22"/>
        </w:rPr>
        <w:t xml:space="preserve">2018. </w:t>
      </w:r>
      <w:r w:rsidRPr="00196439">
        <w:rPr>
          <w:rFonts w:cs="Arial"/>
          <w:color w:val="17365D" w:themeColor="text2" w:themeShade="BF"/>
          <w:sz w:val="22"/>
          <w:szCs w:val="22"/>
          <w:lang w:val="sr-Cyrl-RS"/>
        </w:rPr>
        <w:t xml:space="preserve">дошло је до повећања резервације за 108.330.330 динара (32,30%). Значајније повећање резервације за </w:t>
      </w:r>
      <w:r w:rsidRPr="00196439">
        <w:rPr>
          <w:rFonts w:cs="Arial"/>
          <w:color w:val="17365D" w:themeColor="text2" w:themeShade="BF"/>
          <w:sz w:val="22"/>
          <w:szCs w:val="22"/>
        </w:rPr>
        <w:t xml:space="preserve">IBNR </w:t>
      </w:r>
      <w:r w:rsidRPr="00196439">
        <w:rPr>
          <w:rFonts w:cs="Arial"/>
          <w:color w:val="17365D" w:themeColor="text2" w:themeShade="BF"/>
          <w:sz w:val="22"/>
          <w:szCs w:val="22"/>
          <w:lang w:val="sr-Cyrl-RS"/>
        </w:rPr>
        <w:t>штета је на следећим врстама осигурања: 13 Осигурање од опште одговорности (29.846.698 динара); 05 Осигурање ваздухоплова (19.203.605 динара); 10 Осигурање од одговорности због употребе моторних возила (19.159.674 динара) и 09 Остала осигурања имовине (18.492.515 динара).</w:t>
      </w:r>
    </w:p>
    <w:p w:rsidR="00761ED1" w:rsidRPr="00196439" w:rsidRDefault="00761ED1" w:rsidP="00761ED1">
      <w:pPr>
        <w:spacing w:line="276" w:lineRule="auto"/>
        <w:rPr>
          <w:rFonts w:cs="Arial"/>
          <w:color w:val="17365D" w:themeColor="text2" w:themeShade="BF"/>
          <w:sz w:val="22"/>
          <w:szCs w:val="22"/>
          <w:lang w:val="sr-Cyrl-RS"/>
        </w:rPr>
      </w:pPr>
    </w:p>
    <w:p w:rsidR="00761ED1" w:rsidRPr="00196439" w:rsidRDefault="00761ED1" w:rsidP="00761ED1">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 xml:space="preserve">Незнатна смањења резервације за </w:t>
      </w:r>
      <w:r w:rsidRPr="00196439">
        <w:rPr>
          <w:rFonts w:cs="Arial"/>
          <w:color w:val="17365D" w:themeColor="text2" w:themeShade="BF"/>
          <w:sz w:val="22"/>
          <w:szCs w:val="22"/>
          <w:lang w:val="sr-Latn-RS"/>
        </w:rPr>
        <w:t xml:space="preserve">IBNR </w:t>
      </w:r>
      <w:r w:rsidRPr="00196439">
        <w:rPr>
          <w:rFonts w:cs="Arial"/>
          <w:color w:val="17365D" w:themeColor="text2" w:themeShade="BF"/>
          <w:sz w:val="22"/>
          <w:szCs w:val="22"/>
          <w:lang w:val="sr-Cyrl-RS"/>
        </w:rPr>
        <w:t>штете у апсолутним износима забележено је код четири врсте осигурања: 22 Допунско осигурање уз осигурање живота, 04 Осигурање шинских возила, 11 Осигурање од одговорности због употребе ваздухоплова и 15 Осигурање јемства.</w:t>
      </w:r>
    </w:p>
    <w:p w:rsidR="00006F2D" w:rsidRPr="00196439" w:rsidRDefault="00006F2D" w:rsidP="00990413">
      <w:pPr>
        <w:spacing w:line="276" w:lineRule="auto"/>
        <w:rPr>
          <w:rFonts w:cs="Arial"/>
          <w:color w:val="17365D" w:themeColor="text2" w:themeShade="BF"/>
          <w:sz w:val="22"/>
          <w:szCs w:val="22"/>
          <w:lang w:val="sr-Cyrl-RS"/>
        </w:rPr>
      </w:pPr>
    </w:p>
    <w:p w:rsidR="00006F2D" w:rsidRPr="00196439" w:rsidRDefault="00006F2D" w:rsidP="00990413">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Приликом обрачуна на врсти осигурања 10 Осигурање од аутоодговорности, у односу на претходну годину узет</w:t>
      </w:r>
      <w:r w:rsidR="00ED06E1" w:rsidRPr="00196439">
        <w:rPr>
          <w:rFonts w:cs="Arial"/>
          <w:color w:val="17365D" w:themeColor="text2" w:themeShade="BF"/>
          <w:sz w:val="22"/>
          <w:szCs w:val="22"/>
          <w:lang w:val="sr-Cyrl-RS"/>
        </w:rPr>
        <w:t>а</w:t>
      </w:r>
      <w:r w:rsidRPr="00196439">
        <w:rPr>
          <w:rFonts w:cs="Arial"/>
          <w:color w:val="17365D" w:themeColor="text2" w:themeShade="BF"/>
          <w:sz w:val="22"/>
          <w:szCs w:val="22"/>
          <w:lang w:val="sr-Cyrl-RS"/>
        </w:rPr>
        <w:t xml:space="preserve"> је </w:t>
      </w:r>
      <w:r w:rsidR="00ED06E1" w:rsidRPr="00196439">
        <w:rPr>
          <w:rFonts w:cs="Arial"/>
          <w:color w:val="17365D" w:themeColor="text2" w:themeShade="BF"/>
          <w:sz w:val="22"/>
          <w:szCs w:val="22"/>
          <w:lang w:val="sr-Cyrl-RS"/>
        </w:rPr>
        <w:t>у обзир</w:t>
      </w:r>
      <w:r w:rsidRPr="00196439">
        <w:rPr>
          <w:rFonts w:cs="Arial"/>
          <w:color w:val="17365D" w:themeColor="text2" w:themeShade="BF"/>
          <w:sz w:val="22"/>
          <w:szCs w:val="22"/>
          <w:lang w:val="sr-Cyrl-RS"/>
        </w:rPr>
        <w:t xml:space="preserve"> једн</w:t>
      </w:r>
      <w:r w:rsidR="00ED06E1" w:rsidRPr="00196439">
        <w:rPr>
          <w:rFonts w:cs="Arial"/>
          <w:color w:val="17365D" w:themeColor="text2" w:themeShade="BF"/>
          <w:sz w:val="22"/>
          <w:szCs w:val="22"/>
          <w:lang w:val="sr-Cyrl-RS"/>
        </w:rPr>
        <w:t>а</w:t>
      </w:r>
      <w:r w:rsidRPr="00196439">
        <w:rPr>
          <w:rFonts w:cs="Arial"/>
          <w:color w:val="17365D" w:themeColor="text2" w:themeShade="BF"/>
          <w:sz w:val="22"/>
          <w:szCs w:val="22"/>
          <w:lang w:val="sr-Cyrl-RS"/>
        </w:rPr>
        <w:t xml:space="preserve"> годин</w:t>
      </w:r>
      <w:r w:rsidR="00ED06E1" w:rsidRPr="00196439">
        <w:rPr>
          <w:rFonts w:cs="Arial"/>
          <w:color w:val="17365D" w:themeColor="text2" w:themeShade="BF"/>
          <w:sz w:val="22"/>
          <w:szCs w:val="22"/>
          <w:lang w:val="sr-Cyrl-RS"/>
        </w:rPr>
        <w:t>а</w:t>
      </w:r>
      <w:r w:rsidRPr="00196439">
        <w:rPr>
          <w:rFonts w:cs="Arial"/>
          <w:color w:val="17365D" w:themeColor="text2" w:themeShade="BF"/>
          <w:sz w:val="22"/>
          <w:szCs w:val="22"/>
          <w:lang w:val="sr-Cyrl-RS"/>
        </w:rPr>
        <w:t xml:space="preserve"> више (1</w:t>
      </w:r>
      <w:r w:rsidR="000058AF" w:rsidRPr="00196439">
        <w:rPr>
          <w:rFonts w:cs="Arial"/>
          <w:color w:val="17365D" w:themeColor="text2" w:themeShade="BF"/>
          <w:sz w:val="22"/>
          <w:szCs w:val="22"/>
          <w:lang w:val="sr-Latn-RS"/>
        </w:rPr>
        <w:t>1</w:t>
      </w:r>
      <w:r w:rsidRPr="00196439">
        <w:rPr>
          <w:rFonts w:cs="Arial"/>
          <w:color w:val="17365D" w:themeColor="text2" w:themeShade="BF"/>
          <w:sz w:val="22"/>
          <w:szCs w:val="22"/>
          <w:lang w:val="sr-Cyrl-RS"/>
        </w:rPr>
        <w:t xml:space="preserve"> година). У почетној</w:t>
      </w:r>
      <w:r w:rsidR="003E0149" w:rsidRPr="00196439">
        <w:rPr>
          <w:rFonts w:cs="Arial"/>
          <w:color w:val="17365D" w:themeColor="text2" w:themeShade="BF"/>
          <w:sz w:val="22"/>
          <w:szCs w:val="22"/>
          <w:lang w:val="sr-Cyrl-RS"/>
        </w:rPr>
        <w:t xml:space="preserve"> 2009. години</w:t>
      </w:r>
      <w:r w:rsidR="00ED06E1" w:rsidRPr="00196439">
        <w:rPr>
          <w:rFonts w:cs="Arial"/>
          <w:color w:val="17365D" w:themeColor="text2" w:themeShade="BF"/>
          <w:sz w:val="22"/>
          <w:szCs w:val="22"/>
          <w:lang w:val="sr-Cyrl-RS"/>
        </w:rPr>
        <w:t>, као и претходних година,</w:t>
      </w:r>
      <w:r w:rsidR="003E0149" w:rsidRPr="00196439">
        <w:rPr>
          <w:rFonts w:cs="Arial"/>
          <w:color w:val="17365D" w:themeColor="text2" w:themeShade="BF"/>
          <w:sz w:val="22"/>
          <w:szCs w:val="22"/>
          <w:lang w:val="sr-Cyrl-RS"/>
        </w:rPr>
        <w:t xml:space="preserve"> узете су све решене штете настале у 2009. години и у свим претходним годинама. Од обрачуна за 31.12.2016. приликом обрачуна насталих непријављених штета из полазних података су искључене штете цедента „Таково осигурање“ што је образложено у Мишљењу овлашћеног актуара за 2016. годину. Исти подаци су искључени и у свим каснијим обрачунима.</w:t>
      </w:r>
    </w:p>
    <w:p w:rsidR="00990413" w:rsidRPr="00196439" w:rsidRDefault="00990413" w:rsidP="00990413">
      <w:pPr>
        <w:spacing w:line="276" w:lineRule="auto"/>
        <w:rPr>
          <w:rFonts w:cs="Arial"/>
          <w:color w:val="17365D" w:themeColor="text2" w:themeShade="BF"/>
          <w:sz w:val="22"/>
          <w:szCs w:val="22"/>
          <w:lang w:val="sr-Cyrl-RS"/>
        </w:rPr>
      </w:pPr>
    </w:p>
    <w:p w:rsidR="0078084F" w:rsidRPr="00196439" w:rsidRDefault="0078084F" w:rsidP="0078084F">
      <w:pPr>
        <w:spacing w:line="276" w:lineRule="auto"/>
        <w:rPr>
          <w:rFonts w:cs="Arial"/>
          <w:b/>
          <w:color w:val="17365D" w:themeColor="text2" w:themeShade="BF"/>
          <w:sz w:val="22"/>
          <w:szCs w:val="22"/>
        </w:rPr>
      </w:pPr>
      <w:r w:rsidRPr="00196439">
        <w:rPr>
          <w:rFonts w:cs="Arial"/>
          <w:b/>
          <w:color w:val="17365D" w:themeColor="text2" w:themeShade="BF"/>
          <w:sz w:val="22"/>
          <w:szCs w:val="22"/>
        </w:rPr>
        <w:t>Р</w:t>
      </w:r>
      <w:r w:rsidRPr="00196439">
        <w:rPr>
          <w:rFonts w:cs="Arial"/>
          <w:b/>
          <w:color w:val="17365D" w:themeColor="text2" w:themeShade="BF"/>
          <w:sz w:val="22"/>
          <w:szCs w:val="22"/>
          <w:lang w:val="sr-Latn-CS"/>
        </w:rPr>
        <w:t>езервациј</w:t>
      </w:r>
      <w:r w:rsidRPr="00196439">
        <w:rPr>
          <w:rFonts w:cs="Arial"/>
          <w:b/>
          <w:color w:val="17365D" w:themeColor="text2" w:themeShade="BF"/>
          <w:sz w:val="22"/>
          <w:szCs w:val="22"/>
        </w:rPr>
        <w:t xml:space="preserve">а за </w:t>
      </w:r>
      <w:r w:rsidRPr="00196439">
        <w:rPr>
          <w:rFonts w:cs="Arial"/>
          <w:b/>
          <w:color w:val="17365D" w:themeColor="text2" w:themeShade="BF"/>
          <w:sz w:val="22"/>
          <w:szCs w:val="22"/>
          <w:lang w:val="sr-Latn-CS"/>
        </w:rPr>
        <w:t>трошков</w:t>
      </w:r>
      <w:r w:rsidRPr="00196439">
        <w:rPr>
          <w:rFonts w:cs="Arial"/>
          <w:b/>
          <w:color w:val="17365D" w:themeColor="text2" w:themeShade="BF"/>
          <w:sz w:val="22"/>
          <w:szCs w:val="22"/>
        </w:rPr>
        <w:t xml:space="preserve">е у вези са решавањем и исплатом штета износи укупно </w:t>
      </w:r>
      <w:r w:rsidRPr="00196439">
        <w:rPr>
          <w:rFonts w:cs="Arial"/>
          <w:b/>
          <w:color w:val="17365D" w:themeColor="text2" w:themeShade="BF"/>
          <w:sz w:val="22"/>
          <w:szCs w:val="22"/>
          <w:lang w:val="sr-Cyrl-RS"/>
        </w:rPr>
        <w:t>32.007.768</w:t>
      </w:r>
      <w:r w:rsidRPr="00196439">
        <w:rPr>
          <w:rFonts w:cs="Arial"/>
          <w:b/>
          <w:color w:val="17365D" w:themeColor="text2" w:themeShade="BF"/>
          <w:sz w:val="22"/>
          <w:szCs w:val="22"/>
        </w:rPr>
        <w:t xml:space="preserve"> динар</w:t>
      </w:r>
      <w:r w:rsidRPr="00196439">
        <w:rPr>
          <w:rFonts w:cs="Arial"/>
          <w:b/>
          <w:color w:val="17365D" w:themeColor="text2" w:themeShade="BF"/>
          <w:sz w:val="22"/>
          <w:szCs w:val="22"/>
          <w:lang w:val="sr-Cyrl-RS"/>
        </w:rPr>
        <w:t>а</w:t>
      </w:r>
      <w:r w:rsidRPr="00196439">
        <w:rPr>
          <w:rFonts w:cs="Arial"/>
          <w:b/>
          <w:color w:val="17365D" w:themeColor="text2" w:themeShade="BF"/>
          <w:sz w:val="22"/>
          <w:szCs w:val="22"/>
          <w:lang w:val="sr-Latn-CS"/>
        </w:rPr>
        <w:t>.</w:t>
      </w:r>
    </w:p>
    <w:p w:rsidR="0078084F" w:rsidRPr="00196439" w:rsidRDefault="0078084F" w:rsidP="0078084F">
      <w:pPr>
        <w:spacing w:line="240" w:lineRule="auto"/>
        <w:rPr>
          <w:rFonts w:cs="Arial"/>
          <w:color w:val="17365D" w:themeColor="text2" w:themeShade="BF"/>
          <w:sz w:val="22"/>
          <w:szCs w:val="22"/>
          <w:lang w:val="sr-Latn-CS"/>
        </w:rPr>
      </w:pPr>
    </w:p>
    <w:p w:rsidR="0078084F" w:rsidRPr="00196439" w:rsidRDefault="0078084F" w:rsidP="0078084F">
      <w:pPr>
        <w:spacing w:line="276" w:lineRule="auto"/>
        <w:rPr>
          <w:rFonts w:cs="Arial"/>
          <w:color w:val="17365D" w:themeColor="text2" w:themeShade="BF"/>
          <w:sz w:val="22"/>
          <w:szCs w:val="22"/>
          <w:lang w:val="sr-Latn-CS"/>
        </w:rPr>
      </w:pPr>
      <w:r w:rsidRPr="00196439">
        <w:rPr>
          <w:rFonts w:cs="Arial"/>
          <w:color w:val="17365D" w:themeColor="text2" w:themeShade="BF"/>
          <w:sz w:val="22"/>
          <w:szCs w:val="22"/>
          <w:lang w:val="sr-Latn-CS"/>
        </w:rPr>
        <w:t>Рeзeрвaција зa трoшкoвe у вeзи рeшaвaњa и исплaтe штeтe утврђуje сe нa oснoву учeшћa oствaрeних трoшкoвa у укупнo рeшeним штeтaмa</w:t>
      </w:r>
      <w:r w:rsidRPr="00196439">
        <w:rPr>
          <w:rFonts w:cs="Arial"/>
          <w:color w:val="17365D" w:themeColor="text2" w:themeShade="BF"/>
          <w:sz w:val="22"/>
          <w:szCs w:val="22"/>
          <w:lang w:val="sr-Cyrl-RS"/>
        </w:rPr>
        <w:t xml:space="preserve"> у претходној години</w:t>
      </w:r>
      <w:r w:rsidRPr="00196439">
        <w:rPr>
          <w:rFonts w:cs="Arial"/>
          <w:color w:val="17365D" w:themeColor="text2" w:themeShade="BF"/>
          <w:sz w:val="22"/>
          <w:szCs w:val="22"/>
          <w:lang w:val="sr-Latn-CS"/>
        </w:rPr>
        <w:t xml:space="preserve"> и примeнoм истoг нa рeзeрвисaнe штeтe </w:t>
      </w:r>
      <w:r w:rsidRPr="00196439">
        <w:rPr>
          <w:rFonts w:cs="Arial"/>
          <w:color w:val="17365D" w:themeColor="text2" w:themeShade="BF"/>
          <w:sz w:val="22"/>
          <w:szCs w:val="22"/>
        </w:rPr>
        <w:t>у текућем обрачунском периоду</w:t>
      </w:r>
      <w:r w:rsidRPr="00196439">
        <w:rPr>
          <w:rFonts w:cs="Arial"/>
          <w:color w:val="17365D" w:themeColor="text2" w:themeShade="BF"/>
          <w:sz w:val="22"/>
          <w:szCs w:val="22"/>
          <w:lang w:val="sr-Latn-CS"/>
        </w:rPr>
        <w:t xml:space="preserve">. </w:t>
      </w:r>
    </w:p>
    <w:p w:rsidR="0078084F" w:rsidRPr="00196439" w:rsidRDefault="0078084F" w:rsidP="0078084F">
      <w:pPr>
        <w:spacing w:line="240" w:lineRule="auto"/>
        <w:rPr>
          <w:rFonts w:cs="Arial"/>
          <w:color w:val="17365D" w:themeColor="text2" w:themeShade="BF"/>
          <w:sz w:val="22"/>
          <w:szCs w:val="22"/>
          <w:lang w:val="sr-Latn-CS"/>
        </w:rPr>
      </w:pPr>
    </w:p>
    <w:p w:rsidR="0078084F" w:rsidRPr="00196439" w:rsidRDefault="0078084F" w:rsidP="0078084F">
      <w:pPr>
        <w:keepNext/>
        <w:spacing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rPr>
        <w:t>Резерв</w:t>
      </w:r>
      <w:r w:rsidRPr="00196439">
        <w:rPr>
          <w:rFonts w:cs="Arial"/>
          <w:b/>
          <w:color w:val="17365D" w:themeColor="text2" w:themeShade="BF"/>
          <w:sz w:val="22"/>
          <w:szCs w:val="22"/>
          <w:lang w:val="sr-Cyrl-RS"/>
        </w:rPr>
        <w:t>е за трошкове у вези са решавањем и исплатом штета 3</w:t>
      </w:r>
      <w:r w:rsidRPr="00196439">
        <w:rPr>
          <w:rFonts w:cs="Arial"/>
          <w:b/>
          <w:color w:val="17365D" w:themeColor="text2" w:themeShade="BF"/>
          <w:sz w:val="22"/>
          <w:szCs w:val="22"/>
          <w:lang w:val="sr-Latn-RS"/>
        </w:rPr>
        <w:t>1</w:t>
      </w:r>
      <w:r w:rsidRPr="00196439">
        <w:rPr>
          <w:rFonts w:cs="Arial"/>
          <w:b/>
          <w:color w:val="17365D" w:themeColor="text2" w:themeShade="BF"/>
          <w:sz w:val="22"/>
          <w:szCs w:val="22"/>
          <w:lang w:val="sr-Cyrl-RS"/>
        </w:rPr>
        <w:t>.</w:t>
      </w:r>
      <w:r w:rsidRPr="00196439">
        <w:rPr>
          <w:rFonts w:cs="Arial"/>
          <w:b/>
          <w:color w:val="17365D" w:themeColor="text2" w:themeShade="BF"/>
          <w:sz w:val="22"/>
          <w:szCs w:val="22"/>
          <w:lang w:val="sr-Latn-RS"/>
        </w:rPr>
        <w:t>12</w:t>
      </w:r>
      <w:r w:rsidRPr="00196439">
        <w:rPr>
          <w:rFonts w:cs="Arial"/>
          <w:b/>
          <w:color w:val="17365D" w:themeColor="text2" w:themeShade="BF"/>
          <w:sz w:val="22"/>
          <w:szCs w:val="22"/>
          <w:lang w:val="sr-Cyrl-RS"/>
        </w:rPr>
        <w:t xml:space="preserve">.2019. </w:t>
      </w:r>
    </w:p>
    <w:p w:rsidR="0078084F" w:rsidRPr="00196439" w:rsidRDefault="0078084F" w:rsidP="0078084F">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t xml:space="preserve">и промена у односу на 31.12.2018. </w:t>
      </w:r>
    </w:p>
    <w:p w:rsidR="0078084F" w:rsidRPr="00196439" w:rsidRDefault="0078084F" w:rsidP="0078084F">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131CCE70" wp14:editId="5328639F">
            <wp:extent cx="4644000" cy="3951935"/>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44000" cy="3951935"/>
                    </a:xfrm>
                    <a:prstGeom prst="rect">
                      <a:avLst/>
                    </a:prstGeom>
                    <a:noFill/>
                    <a:ln>
                      <a:noFill/>
                    </a:ln>
                  </pic:spPr>
                </pic:pic>
              </a:graphicData>
            </a:graphic>
          </wp:inline>
        </w:drawing>
      </w:r>
    </w:p>
    <w:p w:rsidR="0078084F" w:rsidRPr="00196439" w:rsidRDefault="0078084F" w:rsidP="0078084F">
      <w:pPr>
        <w:spacing w:line="240" w:lineRule="auto"/>
        <w:rPr>
          <w:rFonts w:cs="Arial"/>
          <w:color w:val="17365D" w:themeColor="text2" w:themeShade="BF"/>
          <w:sz w:val="22"/>
          <w:szCs w:val="22"/>
        </w:rPr>
      </w:pPr>
    </w:p>
    <w:p w:rsidR="0078084F" w:rsidRPr="00196439" w:rsidRDefault="0078084F" w:rsidP="0078084F">
      <w:pPr>
        <w:spacing w:line="276" w:lineRule="auto"/>
        <w:rPr>
          <w:rFonts w:cs="Arial"/>
          <w:color w:val="17365D" w:themeColor="text2" w:themeShade="BF"/>
          <w:sz w:val="22"/>
          <w:szCs w:val="22"/>
        </w:rPr>
      </w:pPr>
      <w:r w:rsidRPr="00196439">
        <w:rPr>
          <w:rFonts w:cs="Arial"/>
          <w:color w:val="17365D" w:themeColor="text2" w:themeShade="BF"/>
          <w:sz w:val="22"/>
          <w:szCs w:val="22"/>
        </w:rPr>
        <w:lastRenderedPageBreak/>
        <w:t xml:space="preserve">У односу на 31.12.2018. </w:t>
      </w:r>
      <w:r w:rsidRPr="00196439">
        <w:rPr>
          <w:rFonts w:cs="Arial"/>
          <w:color w:val="17365D" w:themeColor="text2" w:themeShade="BF"/>
          <w:sz w:val="22"/>
          <w:szCs w:val="22"/>
          <w:lang w:val="sr-Cyrl-RS"/>
        </w:rPr>
        <w:t>резервација за трошкове је смањена за 10.055.160 динара (23,91%)</w:t>
      </w:r>
      <w:r w:rsidRPr="00196439">
        <w:rPr>
          <w:rFonts w:cs="Arial"/>
          <w:color w:val="17365D" w:themeColor="text2" w:themeShade="BF"/>
          <w:sz w:val="22"/>
          <w:szCs w:val="22"/>
        </w:rPr>
        <w:t>.</w:t>
      </w:r>
      <w:r w:rsidRPr="00196439">
        <w:rPr>
          <w:rFonts w:cs="Arial"/>
          <w:color w:val="17365D" w:themeColor="text2" w:themeShade="BF"/>
          <w:sz w:val="22"/>
          <w:szCs w:val="22"/>
          <w:lang w:val="sr-Cyrl-RS"/>
        </w:rPr>
        <w:t xml:space="preserve"> Највеће смањење резервације за трошкове у вези са ликвидацијом и исплатом штета у односу на 31.12.2018. бележи се код врста осигурања: 10 Осигурање од одговорности због употребе моторних возила, 08 Осигурање имовине од пожара и др. опасности, 07 осигурање робе у превозу и 09 Остала осигурања имовине. Исказана смањења последица су нижег коефицијента за резервацију трошкова на наведеним врстама у односу на 31.12.2019, а код врста осигурања 09 и 10 је нижи и износ резервације. Нешто значајнији раст резервације за трошкове забележен је на врсти осигурања 13 Осигурање од опште одговорности као последица значајног раста резервације на овој врсти.</w:t>
      </w:r>
    </w:p>
    <w:p w:rsidR="0078084F" w:rsidRPr="00196439" w:rsidRDefault="0078084F" w:rsidP="00990413">
      <w:pPr>
        <w:spacing w:line="276" w:lineRule="auto"/>
        <w:rPr>
          <w:rFonts w:cs="Arial"/>
          <w:color w:val="17365D" w:themeColor="text2" w:themeShade="BF"/>
          <w:sz w:val="22"/>
          <w:szCs w:val="22"/>
          <w:lang w:val="sr-Cyrl-RS"/>
        </w:rPr>
      </w:pPr>
    </w:p>
    <w:p w:rsidR="006D19E9" w:rsidRPr="00196439" w:rsidRDefault="006D19E9" w:rsidP="006D19E9">
      <w:pPr>
        <w:spacing w:line="276" w:lineRule="auto"/>
        <w:rPr>
          <w:rFonts w:cs="Arial"/>
          <w:b/>
          <w:color w:val="17365D" w:themeColor="text2" w:themeShade="BF"/>
          <w:sz w:val="22"/>
          <w:szCs w:val="22"/>
        </w:rPr>
      </w:pPr>
      <w:r w:rsidRPr="00196439">
        <w:rPr>
          <w:rFonts w:cs="Arial"/>
          <w:b/>
          <w:color w:val="17365D" w:themeColor="text2" w:themeShade="BF"/>
          <w:sz w:val="22"/>
          <w:szCs w:val="22"/>
          <w:lang w:val="sr-Latn-CS"/>
        </w:rPr>
        <w:t>Укупне резервисане штете на дан 3</w:t>
      </w:r>
      <w:r w:rsidRPr="00196439">
        <w:rPr>
          <w:rFonts w:cs="Arial"/>
          <w:b/>
          <w:color w:val="17365D" w:themeColor="text2" w:themeShade="BF"/>
          <w:sz w:val="22"/>
          <w:szCs w:val="22"/>
          <w:lang w:val="sr-Cyrl-RS"/>
        </w:rPr>
        <w:t>1</w:t>
      </w:r>
      <w:r w:rsidRPr="00196439">
        <w:rPr>
          <w:rFonts w:cs="Arial"/>
          <w:b/>
          <w:color w:val="17365D" w:themeColor="text2" w:themeShade="BF"/>
          <w:sz w:val="22"/>
          <w:szCs w:val="22"/>
        </w:rPr>
        <w:t>.</w:t>
      </w:r>
      <w:r w:rsidRPr="00196439">
        <w:rPr>
          <w:rFonts w:cs="Arial"/>
          <w:b/>
          <w:color w:val="17365D" w:themeColor="text2" w:themeShade="BF"/>
          <w:sz w:val="22"/>
          <w:szCs w:val="22"/>
          <w:lang w:val="sr-Cyrl-RS"/>
        </w:rPr>
        <w:t>12</w:t>
      </w:r>
      <w:r w:rsidRPr="00196439">
        <w:rPr>
          <w:rFonts w:cs="Arial"/>
          <w:b/>
          <w:color w:val="17365D" w:themeColor="text2" w:themeShade="BF"/>
          <w:sz w:val="22"/>
          <w:szCs w:val="22"/>
        </w:rPr>
        <w:t>.</w:t>
      </w:r>
      <w:r w:rsidRPr="00196439">
        <w:rPr>
          <w:rFonts w:cs="Arial"/>
          <w:b/>
          <w:color w:val="17365D" w:themeColor="text2" w:themeShade="BF"/>
          <w:sz w:val="22"/>
          <w:szCs w:val="22"/>
          <w:lang w:val="sr-Latn-CS"/>
        </w:rPr>
        <w:t>201</w:t>
      </w:r>
      <w:r w:rsidRPr="00196439">
        <w:rPr>
          <w:rFonts w:cs="Arial"/>
          <w:b/>
          <w:color w:val="17365D" w:themeColor="text2" w:themeShade="BF"/>
          <w:sz w:val="22"/>
          <w:szCs w:val="22"/>
        </w:rPr>
        <w:t>9</w:t>
      </w:r>
      <w:r w:rsidRPr="00196439">
        <w:rPr>
          <w:rFonts w:cs="Arial"/>
          <w:b/>
          <w:color w:val="17365D" w:themeColor="text2" w:themeShade="BF"/>
          <w:sz w:val="22"/>
          <w:szCs w:val="22"/>
          <w:lang w:val="sr-Latn-CS"/>
        </w:rPr>
        <w:t xml:space="preserve">. износе </w:t>
      </w:r>
      <w:r w:rsidRPr="00196439">
        <w:rPr>
          <w:rFonts w:cs="Arial"/>
          <w:b/>
          <w:color w:val="17365D" w:themeColor="text2" w:themeShade="BF"/>
          <w:sz w:val="22"/>
          <w:szCs w:val="22"/>
        </w:rPr>
        <w:t>1.</w:t>
      </w:r>
      <w:r w:rsidRPr="00196439">
        <w:rPr>
          <w:rFonts w:cs="Arial"/>
          <w:b/>
          <w:color w:val="17365D" w:themeColor="text2" w:themeShade="BF"/>
          <w:sz w:val="22"/>
          <w:szCs w:val="22"/>
          <w:lang w:val="sr-Cyrl-RS"/>
        </w:rPr>
        <w:t>983.619.973</w:t>
      </w:r>
      <w:r w:rsidRPr="00196439">
        <w:rPr>
          <w:rFonts w:cs="Arial"/>
          <w:b/>
          <w:color w:val="17365D" w:themeColor="text2" w:themeShade="BF"/>
          <w:sz w:val="22"/>
          <w:szCs w:val="22"/>
          <w:lang w:val="sr-Latn-CS"/>
        </w:rPr>
        <w:t xml:space="preserve"> динара.</w:t>
      </w:r>
    </w:p>
    <w:p w:rsidR="006D19E9" w:rsidRPr="00196439" w:rsidRDefault="006D19E9" w:rsidP="006D19E9">
      <w:pPr>
        <w:spacing w:line="276" w:lineRule="auto"/>
        <w:rPr>
          <w:rFonts w:cs="Arial"/>
          <w:color w:val="17365D" w:themeColor="text2" w:themeShade="BF"/>
          <w:sz w:val="22"/>
          <w:szCs w:val="22"/>
          <w:lang w:val="sr-Latn-CS"/>
        </w:rPr>
      </w:pPr>
    </w:p>
    <w:p w:rsidR="006D19E9" w:rsidRDefault="006D19E9" w:rsidP="006D19E9">
      <w:pPr>
        <w:spacing w:line="276" w:lineRule="auto"/>
        <w:rPr>
          <w:rFonts w:cs="Arial"/>
          <w:bCs/>
          <w:color w:val="17365D" w:themeColor="text2" w:themeShade="BF"/>
          <w:sz w:val="22"/>
          <w:szCs w:val="22"/>
          <w:lang w:val="sr-Cyrl-RS"/>
        </w:rPr>
      </w:pPr>
      <w:r w:rsidRPr="00196439">
        <w:rPr>
          <w:rFonts w:cs="Arial"/>
          <w:color w:val="17365D" w:themeColor="text2" w:themeShade="BF"/>
          <w:sz w:val="22"/>
          <w:szCs w:val="22"/>
          <w:lang w:val="sr-Latn-CS"/>
        </w:rPr>
        <w:t>Учешће ретроце</w:t>
      </w:r>
      <w:r w:rsidRPr="00196439">
        <w:rPr>
          <w:rFonts w:cs="Arial"/>
          <w:color w:val="17365D" w:themeColor="text2" w:themeShade="BF"/>
          <w:sz w:val="22"/>
          <w:szCs w:val="22"/>
        </w:rPr>
        <w:t>с</w:t>
      </w:r>
      <w:r w:rsidRPr="00196439">
        <w:rPr>
          <w:rFonts w:cs="Arial"/>
          <w:color w:val="17365D" w:themeColor="text2" w:themeShade="BF"/>
          <w:sz w:val="22"/>
          <w:szCs w:val="22"/>
          <w:lang w:val="sr-Latn-CS"/>
        </w:rPr>
        <w:t xml:space="preserve">ионара у резервацији штета износи </w:t>
      </w:r>
      <w:r w:rsidRPr="00196439">
        <w:rPr>
          <w:rFonts w:cs="Arial"/>
          <w:bCs/>
          <w:color w:val="17365D" w:themeColor="text2" w:themeShade="BF"/>
          <w:sz w:val="22"/>
          <w:szCs w:val="22"/>
          <w:lang w:val="en-US"/>
        </w:rPr>
        <w:t>1.</w:t>
      </w:r>
      <w:r w:rsidRPr="00196439">
        <w:rPr>
          <w:rFonts w:cs="Arial"/>
          <w:bCs/>
          <w:color w:val="17365D" w:themeColor="text2" w:themeShade="BF"/>
          <w:sz w:val="22"/>
          <w:szCs w:val="22"/>
          <w:lang w:val="sr-Cyrl-RS"/>
        </w:rPr>
        <w:t>179</w:t>
      </w:r>
      <w:r w:rsidRPr="00196439">
        <w:rPr>
          <w:rFonts w:cs="Arial"/>
          <w:bCs/>
          <w:color w:val="17365D" w:themeColor="text2" w:themeShade="BF"/>
          <w:sz w:val="22"/>
          <w:szCs w:val="22"/>
        </w:rPr>
        <w:t>.</w:t>
      </w:r>
      <w:r w:rsidRPr="00196439">
        <w:rPr>
          <w:rFonts w:cs="Arial"/>
          <w:bCs/>
          <w:color w:val="17365D" w:themeColor="text2" w:themeShade="BF"/>
          <w:sz w:val="22"/>
          <w:szCs w:val="22"/>
          <w:lang w:val="sr-Cyrl-RS"/>
        </w:rPr>
        <w:t>348</w:t>
      </w:r>
      <w:r w:rsidRPr="00196439">
        <w:rPr>
          <w:rFonts w:cs="Arial"/>
          <w:bCs/>
          <w:color w:val="17365D" w:themeColor="text2" w:themeShade="BF"/>
          <w:sz w:val="22"/>
          <w:szCs w:val="22"/>
        </w:rPr>
        <w:t>.</w:t>
      </w:r>
      <w:r w:rsidRPr="00196439">
        <w:rPr>
          <w:rFonts w:cs="Arial"/>
          <w:bCs/>
          <w:color w:val="17365D" w:themeColor="text2" w:themeShade="BF"/>
          <w:sz w:val="22"/>
          <w:szCs w:val="22"/>
          <w:lang w:val="sr-Cyrl-RS"/>
        </w:rPr>
        <w:t>136</w:t>
      </w:r>
      <w:r w:rsidRPr="00196439">
        <w:rPr>
          <w:rFonts w:cs="Arial"/>
          <w:color w:val="17365D" w:themeColor="text2" w:themeShade="BF"/>
          <w:sz w:val="22"/>
          <w:szCs w:val="22"/>
          <w:lang w:val="sr-Latn-CS"/>
        </w:rPr>
        <w:t xml:space="preserve"> </w:t>
      </w:r>
      <w:r w:rsidRPr="00196439">
        <w:rPr>
          <w:rFonts w:cs="Arial"/>
          <w:color w:val="17365D" w:themeColor="text2" w:themeShade="BF"/>
          <w:sz w:val="22"/>
          <w:szCs w:val="22"/>
          <w:lang w:val="sr-Cyrl-RS"/>
        </w:rPr>
        <w:t xml:space="preserve">динара </w:t>
      </w:r>
      <w:r w:rsidRPr="00196439">
        <w:rPr>
          <w:rFonts w:cs="Arial"/>
          <w:color w:val="17365D" w:themeColor="text2" w:themeShade="BF"/>
          <w:sz w:val="22"/>
          <w:szCs w:val="22"/>
          <w:lang w:val="sr-Latn-CS"/>
        </w:rPr>
        <w:t>(пасивно реосигурање)</w:t>
      </w:r>
      <w:r w:rsidRPr="00196439">
        <w:rPr>
          <w:rFonts w:cs="Arial"/>
          <w:color w:val="17365D" w:themeColor="text2" w:themeShade="BF"/>
          <w:sz w:val="22"/>
          <w:szCs w:val="22"/>
        </w:rPr>
        <w:t xml:space="preserve">, тако да су резервисане штете у самопридржају </w:t>
      </w:r>
      <w:r w:rsidRPr="00196439">
        <w:rPr>
          <w:rFonts w:cs="Arial"/>
          <w:color w:val="17365D" w:themeColor="text2" w:themeShade="BF"/>
          <w:sz w:val="22"/>
          <w:szCs w:val="22"/>
          <w:lang w:val="sr-Cyrl-RS"/>
        </w:rPr>
        <w:t>804</w:t>
      </w:r>
      <w:r w:rsidRPr="00196439">
        <w:rPr>
          <w:rFonts w:cs="Arial"/>
          <w:color w:val="17365D" w:themeColor="text2" w:themeShade="BF"/>
          <w:sz w:val="22"/>
          <w:szCs w:val="22"/>
        </w:rPr>
        <w:t>.</w:t>
      </w:r>
      <w:r w:rsidRPr="00196439">
        <w:rPr>
          <w:rFonts w:cs="Arial"/>
          <w:color w:val="17365D" w:themeColor="text2" w:themeShade="BF"/>
          <w:sz w:val="22"/>
          <w:szCs w:val="22"/>
          <w:lang w:val="sr-Cyrl-RS"/>
        </w:rPr>
        <w:t>271</w:t>
      </w:r>
      <w:r w:rsidRPr="00196439">
        <w:rPr>
          <w:rFonts w:cs="Arial"/>
          <w:color w:val="17365D" w:themeColor="text2" w:themeShade="BF"/>
          <w:sz w:val="22"/>
          <w:szCs w:val="22"/>
        </w:rPr>
        <w:t>.</w:t>
      </w:r>
      <w:r w:rsidRPr="00196439">
        <w:rPr>
          <w:rFonts w:cs="Arial"/>
          <w:color w:val="17365D" w:themeColor="text2" w:themeShade="BF"/>
          <w:sz w:val="22"/>
          <w:szCs w:val="22"/>
          <w:lang w:val="sr-Cyrl-RS"/>
        </w:rPr>
        <w:t>837</w:t>
      </w:r>
      <w:r w:rsidRPr="00196439">
        <w:rPr>
          <w:rFonts w:cs="Arial"/>
          <w:color w:val="17365D" w:themeColor="text2" w:themeShade="BF"/>
          <w:sz w:val="22"/>
          <w:szCs w:val="22"/>
        </w:rPr>
        <w:t xml:space="preserve"> </w:t>
      </w:r>
      <w:r w:rsidRPr="00196439">
        <w:rPr>
          <w:rFonts w:cs="Arial"/>
          <w:bCs/>
          <w:color w:val="17365D" w:themeColor="text2" w:themeShade="BF"/>
          <w:sz w:val="22"/>
          <w:szCs w:val="22"/>
        </w:rPr>
        <w:t>динар</w:t>
      </w:r>
      <w:r w:rsidRPr="00196439">
        <w:rPr>
          <w:rFonts w:cs="Arial"/>
          <w:bCs/>
          <w:color w:val="17365D" w:themeColor="text2" w:themeShade="BF"/>
          <w:sz w:val="22"/>
          <w:szCs w:val="22"/>
          <w:lang w:val="sr-Cyrl-RS"/>
        </w:rPr>
        <w:t>а</w:t>
      </w:r>
      <w:r w:rsidRPr="00196439">
        <w:rPr>
          <w:rFonts w:cs="Arial"/>
          <w:bCs/>
          <w:color w:val="17365D" w:themeColor="text2" w:themeShade="BF"/>
          <w:sz w:val="22"/>
          <w:szCs w:val="22"/>
        </w:rPr>
        <w:t>.</w:t>
      </w:r>
    </w:p>
    <w:p w:rsidR="00CA503B" w:rsidRPr="00CA503B" w:rsidRDefault="00CA503B" w:rsidP="006D19E9">
      <w:pPr>
        <w:spacing w:line="276" w:lineRule="auto"/>
        <w:rPr>
          <w:rFonts w:cs="Arial"/>
          <w:bCs/>
          <w:color w:val="17365D" w:themeColor="text2" w:themeShade="BF"/>
          <w:sz w:val="22"/>
          <w:szCs w:val="22"/>
          <w:lang w:val="sr-Cyrl-RS"/>
        </w:rPr>
      </w:pPr>
    </w:p>
    <w:p w:rsidR="006D19E9" w:rsidRPr="00196439" w:rsidRDefault="006D19E9" w:rsidP="006D19E9">
      <w:pPr>
        <w:keepNext/>
        <w:jc w:val="center"/>
        <w:rPr>
          <w:rFonts w:cs="Arial"/>
          <w:b/>
          <w:color w:val="17365D" w:themeColor="text2" w:themeShade="BF"/>
          <w:sz w:val="22"/>
          <w:szCs w:val="22"/>
        </w:rPr>
      </w:pPr>
      <w:r w:rsidRPr="00196439">
        <w:rPr>
          <w:rFonts w:cs="Arial"/>
          <w:b/>
          <w:color w:val="17365D" w:themeColor="text2" w:themeShade="BF"/>
          <w:sz w:val="22"/>
          <w:szCs w:val="22"/>
        </w:rPr>
        <w:t>У</w:t>
      </w:r>
      <w:r w:rsidRPr="00196439">
        <w:rPr>
          <w:rFonts w:cs="Arial"/>
          <w:b/>
          <w:color w:val="17365D" w:themeColor="text2" w:themeShade="BF"/>
          <w:sz w:val="22"/>
          <w:szCs w:val="22"/>
          <w:lang w:val="sr-Cyrl-RS"/>
        </w:rPr>
        <w:t xml:space="preserve">купна резервација штета </w:t>
      </w:r>
      <w:r w:rsidRPr="00196439">
        <w:rPr>
          <w:rFonts w:cs="Arial"/>
          <w:b/>
          <w:color w:val="17365D" w:themeColor="text2" w:themeShade="BF"/>
          <w:sz w:val="22"/>
          <w:szCs w:val="22"/>
        </w:rPr>
        <w:t>31.12.2019.</w:t>
      </w:r>
    </w:p>
    <w:p w:rsidR="006D19E9" w:rsidRPr="00196439" w:rsidRDefault="006D19E9" w:rsidP="006D19E9">
      <w:pPr>
        <w:spacing w:line="276" w:lineRule="auto"/>
        <w:rPr>
          <w:noProof/>
          <w:color w:val="17365D" w:themeColor="text2" w:themeShade="BF"/>
          <w:lang w:val="en-US"/>
        </w:rPr>
      </w:pPr>
      <w:r w:rsidRPr="00196439">
        <w:rPr>
          <w:noProof/>
          <w:color w:val="17365D" w:themeColor="text2" w:themeShade="BF"/>
          <w:lang w:val="en-US"/>
        </w:rPr>
        <w:drawing>
          <wp:inline distT="0" distB="0" distL="0" distR="0" wp14:anchorId="4F82A8CC" wp14:editId="62927260">
            <wp:extent cx="6120765" cy="4203132"/>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4203132"/>
                    </a:xfrm>
                    <a:prstGeom prst="rect">
                      <a:avLst/>
                    </a:prstGeom>
                    <a:noFill/>
                    <a:ln>
                      <a:noFill/>
                    </a:ln>
                  </pic:spPr>
                </pic:pic>
              </a:graphicData>
            </a:graphic>
          </wp:inline>
        </w:drawing>
      </w:r>
    </w:p>
    <w:p w:rsidR="006D19E9" w:rsidRPr="00196439" w:rsidRDefault="006D19E9" w:rsidP="006D19E9">
      <w:pPr>
        <w:spacing w:line="240" w:lineRule="auto"/>
        <w:rPr>
          <w:rFonts w:cs="Arial"/>
          <w:b/>
          <w:color w:val="17365D" w:themeColor="text2" w:themeShade="BF"/>
          <w:sz w:val="22"/>
          <w:szCs w:val="22"/>
        </w:rPr>
      </w:pPr>
    </w:p>
    <w:p w:rsidR="006D19E9" w:rsidRPr="00196439" w:rsidRDefault="006D19E9" w:rsidP="006D19E9">
      <w:pPr>
        <w:keepNext/>
        <w:spacing w:after="120" w:line="276" w:lineRule="auto"/>
        <w:jc w:val="center"/>
        <w:rPr>
          <w:rFonts w:cs="Arial"/>
          <w:b/>
          <w:color w:val="17365D" w:themeColor="text2" w:themeShade="BF"/>
          <w:sz w:val="22"/>
          <w:szCs w:val="22"/>
        </w:rPr>
      </w:pPr>
      <w:r w:rsidRPr="00196439">
        <w:rPr>
          <w:rFonts w:cs="Arial"/>
          <w:b/>
          <w:color w:val="17365D" w:themeColor="text2" w:themeShade="BF"/>
          <w:sz w:val="22"/>
          <w:szCs w:val="22"/>
        </w:rPr>
        <w:lastRenderedPageBreak/>
        <w:t>Р</w:t>
      </w:r>
      <w:r w:rsidRPr="00196439">
        <w:rPr>
          <w:rFonts w:cs="Arial"/>
          <w:b/>
          <w:color w:val="17365D" w:themeColor="text2" w:themeShade="BF"/>
          <w:sz w:val="22"/>
          <w:szCs w:val="22"/>
          <w:lang w:val="sr-Cyrl-RS"/>
        </w:rPr>
        <w:t>езервација штета у самопридржају</w:t>
      </w:r>
      <w:r w:rsidRPr="00196439">
        <w:rPr>
          <w:rFonts w:cs="Arial"/>
          <w:b/>
          <w:color w:val="17365D" w:themeColor="text2" w:themeShade="BF"/>
          <w:sz w:val="22"/>
          <w:szCs w:val="22"/>
        </w:rPr>
        <w:t xml:space="preserve"> 31.12.2019.</w:t>
      </w:r>
    </w:p>
    <w:p w:rsidR="006D19E9" w:rsidRPr="00196439" w:rsidRDefault="006D19E9" w:rsidP="006D19E9">
      <w:pPr>
        <w:spacing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273AA5AB" wp14:editId="0FF24DF7">
            <wp:extent cx="6120279" cy="4078224"/>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4138" cy="4080795"/>
                    </a:xfrm>
                    <a:prstGeom prst="rect">
                      <a:avLst/>
                    </a:prstGeom>
                    <a:noFill/>
                    <a:ln>
                      <a:noFill/>
                    </a:ln>
                  </pic:spPr>
                </pic:pic>
              </a:graphicData>
            </a:graphic>
          </wp:inline>
        </w:drawing>
      </w:r>
    </w:p>
    <w:p w:rsidR="006D19E9" w:rsidRPr="00196439" w:rsidRDefault="006D19E9" w:rsidP="006D19E9">
      <w:pPr>
        <w:spacing w:line="240" w:lineRule="auto"/>
        <w:jc w:val="center"/>
        <w:rPr>
          <w:noProof/>
          <w:color w:val="17365D" w:themeColor="text2" w:themeShade="BF"/>
          <w:lang w:val="en-US"/>
        </w:rPr>
      </w:pPr>
    </w:p>
    <w:p w:rsidR="006D19E9" w:rsidRPr="00196439" w:rsidRDefault="006D19E9" w:rsidP="006D19E9">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t>Укупна резервација штета 3</w:t>
      </w:r>
      <w:r w:rsidRPr="00196439">
        <w:rPr>
          <w:rFonts w:cs="Arial"/>
          <w:b/>
          <w:color w:val="17365D" w:themeColor="text2" w:themeShade="BF"/>
          <w:sz w:val="22"/>
          <w:szCs w:val="22"/>
          <w:lang w:val="sr-Latn-RS"/>
        </w:rPr>
        <w:t>1</w:t>
      </w:r>
      <w:r w:rsidRPr="00196439">
        <w:rPr>
          <w:rFonts w:cs="Arial"/>
          <w:b/>
          <w:color w:val="17365D" w:themeColor="text2" w:themeShade="BF"/>
          <w:sz w:val="22"/>
          <w:szCs w:val="22"/>
          <w:lang w:val="sr-Cyrl-RS"/>
        </w:rPr>
        <w:t>.12.2019. и промене у односу на 31.12.2018.</w:t>
      </w:r>
    </w:p>
    <w:p w:rsidR="006D19E9" w:rsidRPr="00196439" w:rsidRDefault="006D19E9" w:rsidP="006D19E9">
      <w:pPr>
        <w:spacing w:line="276" w:lineRule="auto"/>
        <w:jc w:val="center"/>
        <w:rPr>
          <w:noProof/>
          <w:color w:val="17365D" w:themeColor="text2" w:themeShade="BF"/>
          <w:lang w:val="en-US"/>
        </w:rPr>
      </w:pPr>
      <w:r w:rsidRPr="00196439">
        <w:rPr>
          <w:noProof/>
          <w:color w:val="17365D" w:themeColor="text2" w:themeShade="BF"/>
          <w:lang w:val="en-US"/>
        </w:rPr>
        <w:drawing>
          <wp:inline distT="0" distB="0" distL="0" distR="0" wp14:anchorId="5DA5C316" wp14:editId="3B3A1256">
            <wp:extent cx="4752000" cy="4298368"/>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52000" cy="4298368"/>
                    </a:xfrm>
                    <a:prstGeom prst="rect">
                      <a:avLst/>
                    </a:prstGeom>
                    <a:noFill/>
                    <a:ln>
                      <a:noFill/>
                    </a:ln>
                  </pic:spPr>
                </pic:pic>
              </a:graphicData>
            </a:graphic>
          </wp:inline>
        </w:drawing>
      </w:r>
    </w:p>
    <w:p w:rsidR="006D19E9" w:rsidRPr="00196439" w:rsidRDefault="006D19E9" w:rsidP="006D19E9">
      <w:pPr>
        <w:spacing w:line="276" w:lineRule="auto"/>
        <w:rPr>
          <w:rFonts w:cs="Arial"/>
          <w:bCs/>
          <w:color w:val="17365D" w:themeColor="text2" w:themeShade="BF"/>
          <w:sz w:val="22"/>
          <w:szCs w:val="22"/>
        </w:rPr>
      </w:pPr>
    </w:p>
    <w:p w:rsidR="006D19E9" w:rsidRPr="00196439" w:rsidRDefault="006D19E9" w:rsidP="006D19E9">
      <w:pPr>
        <w:spacing w:line="276" w:lineRule="auto"/>
        <w:rPr>
          <w:rFonts w:cs="Arial"/>
          <w:color w:val="17365D" w:themeColor="text2" w:themeShade="BF"/>
          <w:sz w:val="22"/>
          <w:szCs w:val="22"/>
        </w:rPr>
      </w:pPr>
      <w:r w:rsidRPr="00196439">
        <w:rPr>
          <w:rFonts w:cs="Arial"/>
          <w:bCs/>
          <w:color w:val="17365D" w:themeColor="text2" w:themeShade="BF"/>
          <w:sz w:val="22"/>
          <w:szCs w:val="22"/>
        </w:rPr>
        <w:lastRenderedPageBreak/>
        <w:t xml:space="preserve">Укупна резервација је забележила </w:t>
      </w:r>
      <w:r w:rsidRPr="00196439">
        <w:rPr>
          <w:rFonts w:cs="Arial"/>
          <w:bCs/>
          <w:color w:val="17365D" w:themeColor="text2" w:themeShade="BF"/>
          <w:sz w:val="22"/>
          <w:szCs w:val="22"/>
          <w:lang w:val="sr-Cyrl-RS"/>
        </w:rPr>
        <w:t>повећање</w:t>
      </w:r>
      <w:r w:rsidRPr="00196439">
        <w:rPr>
          <w:rFonts w:cs="Arial"/>
          <w:bCs/>
          <w:color w:val="17365D" w:themeColor="text2" w:themeShade="BF"/>
          <w:sz w:val="22"/>
          <w:szCs w:val="22"/>
        </w:rPr>
        <w:t xml:space="preserve"> у односу на </w:t>
      </w:r>
      <w:r w:rsidRPr="00196439">
        <w:rPr>
          <w:rFonts w:cs="Arial"/>
          <w:bCs/>
          <w:color w:val="17365D" w:themeColor="text2" w:themeShade="BF"/>
          <w:sz w:val="22"/>
          <w:szCs w:val="22"/>
          <w:lang w:val="sr-Cyrl-RS"/>
        </w:rPr>
        <w:t>претходну годину</w:t>
      </w:r>
      <w:r w:rsidRPr="00196439">
        <w:rPr>
          <w:rFonts w:cs="Arial"/>
          <w:bCs/>
          <w:color w:val="17365D" w:themeColor="text2" w:themeShade="BF"/>
          <w:sz w:val="22"/>
          <w:szCs w:val="22"/>
        </w:rPr>
        <w:t xml:space="preserve"> од </w:t>
      </w:r>
      <w:r w:rsidRPr="00196439">
        <w:rPr>
          <w:rFonts w:cs="Arial"/>
          <w:bCs/>
          <w:color w:val="17365D" w:themeColor="text2" w:themeShade="BF"/>
          <w:sz w:val="22"/>
          <w:szCs w:val="22"/>
          <w:lang w:val="sr-Cyrl-RS"/>
        </w:rPr>
        <w:t>252.060.407 динара (14,56%)</w:t>
      </w:r>
      <w:r w:rsidRPr="00196439">
        <w:rPr>
          <w:rFonts w:cs="Arial"/>
          <w:bCs/>
          <w:color w:val="17365D" w:themeColor="text2" w:themeShade="BF"/>
          <w:sz w:val="22"/>
          <w:szCs w:val="22"/>
        </w:rPr>
        <w:t xml:space="preserve">. </w:t>
      </w:r>
    </w:p>
    <w:p w:rsidR="006D19E9" w:rsidRPr="00196439" w:rsidRDefault="006D19E9" w:rsidP="006D19E9">
      <w:pPr>
        <w:spacing w:line="276" w:lineRule="auto"/>
        <w:rPr>
          <w:rFonts w:cs="Arial"/>
          <w:color w:val="17365D" w:themeColor="text2" w:themeShade="BF"/>
          <w:sz w:val="22"/>
          <w:szCs w:val="22"/>
        </w:rPr>
      </w:pPr>
    </w:p>
    <w:p w:rsidR="006D19E9" w:rsidRPr="00196439" w:rsidRDefault="006D19E9" w:rsidP="006D19E9">
      <w:pPr>
        <w:spacing w:line="276" w:lineRule="auto"/>
        <w:rPr>
          <w:rFonts w:cs="Arial"/>
          <w:color w:val="17365D" w:themeColor="text2" w:themeShade="BF"/>
          <w:sz w:val="22"/>
          <w:szCs w:val="22"/>
        </w:rPr>
      </w:pPr>
      <w:r w:rsidRPr="00196439">
        <w:rPr>
          <w:rFonts w:cs="Arial"/>
          <w:color w:val="17365D" w:themeColor="text2" w:themeShade="BF"/>
          <w:sz w:val="22"/>
          <w:szCs w:val="22"/>
        </w:rPr>
        <w:t xml:space="preserve">Друштво није имало </w:t>
      </w:r>
      <w:r w:rsidRPr="00196439">
        <w:rPr>
          <w:rFonts w:cs="Arial"/>
          <w:color w:val="17365D" w:themeColor="text2" w:themeShade="BF"/>
          <w:sz w:val="22"/>
          <w:szCs w:val="22"/>
          <w:lang w:val="sr-Cyrl-RS"/>
        </w:rPr>
        <w:t>рентних штета</w:t>
      </w:r>
      <w:r w:rsidRPr="00196439">
        <w:rPr>
          <w:rFonts w:cs="Arial"/>
          <w:color w:val="17365D" w:themeColor="text2" w:themeShade="BF"/>
          <w:sz w:val="22"/>
          <w:szCs w:val="22"/>
        </w:rPr>
        <w:t xml:space="preserve">. </w:t>
      </w:r>
    </w:p>
    <w:p w:rsidR="006D19E9" w:rsidRPr="00196439" w:rsidRDefault="006D19E9" w:rsidP="006D19E9">
      <w:pPr>
        <w:spacing w:line="276" w:lineRule="auto"/>
        <w:rPr>
          <w:rFonts w:cs="Arial"/>
          <w:color w:val="17365D" w:themeColor="text2" w:themeShade="BF"/>
          <w:sz w:val="22"/>
          <w:szCs w:val="22"/>
        </w:rPr>
      </w:pPr>
    </w:p>
    <w:p w:rsidR="006D19E9" w:rsidRPr="00196439" w:rsidRDefault="006D19E9" w:rsidP="006D19E9">
      <w:pPr>
        <w:spacing w:line="276" w:lineRule="auto"/>
        <w:rPr>
          <w:rFonts w:cs="Arial"/>
          <w:color w:val="17365D" w:themeColor="text2" w:themeShade="BF"/>
          <w:sz w:val="22"/>
          <w:szCs w:val="22"/>
        </w:rPr>
      </w:pPr>
      <w:r w:rsidRPr="00196439">
        <w:rPr>
          <w:rFonts w:cs="Arial"/>
          <w:color w:val="17365D" w:themeColor="text2" w:themeShade="BF"/>
          <w:sz w:val="22"/>
          <w:szCs w:val="22"/>
        </w:rPr>
        <w:t>Наплаћена регресна потраживања нису</w:t>
      </w:r>
      <w:r w:rsidRPr="00196439">
        <w:rPr>
          <w:rFonts w:cs="Arial"/>
          <w:color w:val="17365D" w:themeColor="text2" w:themeShade="BF"/>
          <w:sz w:val="22"/>
          <w:szCs w:val="22"/>
          <w:lang w:val="sr-Cyrl-RS"/>
        </w:rPr>
        <w:t xml:space="preserve"> узимана у обзир приликом обрачуна резервисаних штета, па нису</w:t>
      </w:r>
      <w:r w:rsidRPr="00196439">
        <w:rPr>
          <w:rFonts w:cs="Arial"/>
          <w:color w:val="17365D" w:themeColor="text2" w:themeShade="BF"/>
          <w:sz w:val="22"/>
          <w:szCs w:val="22"/>
        </w:rPr>
        <w:t xml:space="preserve"> имала утицај</w:t>
      </w:r>
      <w:r w:rsidRPr="00196439">
        <w:rPr>
          <w:rFonts w:cs="Arial"/>
          <w:color w:val="17365D" w:themeColor="text2" w:themeShade="BF"/>
          <w:sz w:val="22"/>
          <w:szCs w:val="22"/>
          <w:lang w:val="sr-Cyrl-RS"/>
        </w:rPr>
        <w:t xml:space="preserve"> на износ резервације</w:t>
      </w:r>
      <w:r w:rsidRPr="00196439">
        <w:rPr>
          <w:rFonts w:cs="Arial"/>
          <w:color w:val="17365D" w:themeColor="text2" w:themeShade="BF"/>
          <w:sz w:val="22"/>
          <w:szCs w:val="22"/>
        </w:rPr>
        <w:t xml:space="preserve">. Такође </w:t>
      </w:r>
      <w:r w:rsidRPr="00196439">
        <w:rPr>
          <w:rFonts w:cs="Arial"/>
          <w:color w:val="17365D" w:themeColor="text2" w:themeShade="BF"/>
          <w:sz w:val="22"/>
          <w:szCs w:val="22"/>
          <w:lang w:val="sr-Cyrl-RS"/>
        </w:rPr>
        <w:t xml:space="preserve">није вршено </w:t>
      </w:r>
      <w:r w:rsidRPr="00196439">
        <w:rPr>
          <w:rFonts w:cs="Arial"/>
          <w:color w:val="17365D" w:themeColor="text2" w:themeShade="BF"/>
          <w:sz w:val="22"/>
          <w:szCs w:val="22"/>
        </w:rPr>
        <w:t>дисконтовање</w:t>
      </w:r>
      <w:r w:rsidRPr="00196439">
        <w:rPr>
          <w:rFonts w:cs="Arial"/>
          <w:color w:val="17365D" w:themeColor="text2" w:themeShade="BF"/>
          <w:sz w:val="22"/>
          <w:szCs w:val="22"/>
          <w:lang w:val="sr-Cyrl-RS"/>
        </w:rPr>
        <w:t xml:space="preserve"> приликом обрачуна резервисаних штета</w:t>
      </w:r>
      <w:r w:rsidRPr="00196439">
        <w:rPr>
          <w:rFonts w:cs="Arial"/>
          <w:color w:val="17365D" w:themeColor="text2" w:themeShade="BF"/>
          <w:sz w:val="22"/>
          <w:szCs w:val="22"/>
        </w:rPr>
        <w:t>.</w:t>
      </w:r>
    </w:p>
    <w:p w:rsidR="006D19E9" w:rsidRPr="00196439" w:rsidRDefault="006D19E9" w:rsidP="00990413">
      <w:pPr>
        <w:spacing w:line="276" w:lineRule="auto"/>
        <w:rPr>
          <w:rFonts w:cs="Arial"/>
          <w:color w:val="17365D" w:themeColor="text2" w:themeShade="BF"/>
          <w:sz w:val="22"/>
          <w:szCs w:val="22"/>
          <w:lang w:val="sr-Cyrl-RS"/>
        </w:rPr>
      </w:pPr>
    </w:p>
    <w:p w:rsidR="00990413" w:rsidRPr="00196439" w:rsidRDefault="00990413" w:rsidP="00990413">
      <w:pPr>
        <w:spacing w:line="276" w:lineRule="auto"/>
        <w:rPr>
          <w:rFonts w:cs="Arial"/>
          <w:i/>
          <w:color w:val="17365D" w:themeColor="text2" w:themeShade="BF"/>
          <w:sz w:val="22"/>
          <w:szCs w:val="22"/>
        </w:rPr>
      </w:pPr>
    </w:p>
    <w:p w:rsidR="00990413" w:rsidRDefault="00990413" w:rsidP="00990413">
      <w:pPr>
        <w:spacing w:line="276" w:lineRule="auto"/>
        <w:rPr>
          <w:rFonts w:cs="Arial"/>
          <w:b/>
          <w:color w:val="17365D" w:themeColor="text2" w:themeShade="BF"/>
          <w:sz w:val="22"/>
          <w:szCs w:val="22"/>
        </w:rPr>
      </w:pPr>
      <w:r w:rsidRPr="00196439">
        <w:rPr>
          <w:rFonts w:cs="Arial"/>
          <w:b/>
          <w:color w:val="17365D" w:themeColor="text2" w:themeShade="BF"/>
          <w:sz w:val="22"/>
          <w:szCs w:val="22"/>
          <w:lang w:val="sr-Latn-CS"/>
        </w:rPr>
        <w:t xml:space="preserve">Резервација штета извршена је у складу са </w:t>
      </w:r>
      <w:r w:rsidRPr="00196439">
        <w:rPr>
          <w:rFonts w:cs="Arial"/>
          <w:b/>
          <w:color w:val="17365D" w:themeColor="text2" w:themeShade="BF"/>
          <w:sz w:val="22"/>
          <w:szCs w:val="22"/>
        </w:rPr>
        <w:t xml:space="preserve">актуарском струком, </w:t>
      </w:r>
      <w:r w:rsidRPr="00196439">
        <w:rPr>
          <w:rFonts w:cs="Arial"/>
          <w:b/>
          <w:color w:val="17365D" w:themeColor="text2" w:themeShade="BF"/>
          <w:sz w:val="22"/>
          <w:szCs w:val="22"/>
          <w:lang w:val="sr-Latn-CS"/>
        </w:rPr>
        <w:t xml:space="preserve">Правилником </w:t>
      </w:r>
      <w:r w:rsidRPr="00196439">
        <w:rPr>
          <w:rFonts w:cs="Arial"/>
          <w:b/>
          <w:color w:val="17365D" w:themeColor="text2" w:themeShade="BF"/>
          <w:sz w:val="22"/>
          <w:szCs w:val="22"/>
        </w:rPr>
        <w:t xml:space="preserve">о образовању резервисаних штета </w:t>
      </w:r>
      <w:r w:rsidRPr="00196439">
        <w:rPr>
          <w:rFonts w:cs="Arial"/>
          <w:b/>
          <w:color w:val="17365D" w:themeColor="text2" w:themeShade="BF"/>
          <w:sz w:val="22"/>
          <w:szCs w:val="22"/>
          <w:lang w:val="sr-Latn-CS"/>
        </w:rPr>
        <w:t>Друштва</w:t>
      </w:r>
      <w:r w:rsidRPr="00196439">
        <w:rPr>
          <w:rFonts w:cs="Arial"/>
          <w:b/>
          <w:color w:val="17365D" w:themeColor="text2" w:themeShade="BF"/>
          <w:sz w:val="22"/>
          <w:szCs w:val="22"/>
        </w:rPr>
        <w:t>, Одлуком о техничким резервама  и законским прописима.</w:t>
      </w:r>
    </w:p>
    <w:p w:rsidR="00CA503B" w:rsidRDefault="00CA503B" w:rsidP="00990413">
      <w:pPr>
        <w:spacing w:line="276" w:lineRule="auto"/>
        <w:rPr>
          <w:rFonts w:cs="Arial"/>
          <w:b/>
          <w:color w:val="17365D" w:themeColor="text2" w:themeShade="BF"/>
          <w:sz w:val="22"/>
          <w:szCs w:val="22"/>
        </w:rPr>
      </w:pPr>
    </w:p>
    <w:p w:rsidR="00CA503B" w:rsidRPr="00196439" w:rsidRDefault="00CA503B" w:rsidP="00990413">
      <w:pPr>
        <w:spacing w:line="276" w:lineRule="auto"/>
        <w:rPr>
          <w:rFonts w:cs="Arial"/>
          <w:b/>
          <w:color w:val="17365D" w:themeColor="text2" w:themeShade="BF"/>
          <w:sz w:val="22"/>
          <w:szCs w:val="22"/>
        </w:rPr>
      </w:pPr>
    </w:p>
    <w:p w:rsidR="00990413" w:rsidRPr="00196439" w:rsidRDefault="0082781D" w:rsidP="0082781D">
      <w:pPr>
        <w:keepNext/>
        <w:spacing w:line="276" w:lineRule="auto"/>
        <w:ind w:firstLine="720"/>
        <w:rPr>
          <w:rFonts w:cs="Arial"/>
          <w:b/>
          <w:bCs/>
          <w:i/>
          <w:color w:val="17365D" w:themeColor="text2" w:themeShade="BF"/>
          <w:sz w:val="22"/>
          <w:szCs w:val="22"/>
          <w:lang w:val="sr-Latn-CS"/>
        </w:rPr>
      </w:pPr>
      <w:r w:rsidRPr="00196439">
        <w:rPr>
          <w:rFonts w:cs="Arial"/>
          <w:b/>
          <w:bCs/>
          <w:i/>
          <w:color w:val="17365D" w:themeColor="text2" w:themeShade="BF"/>
          <w:sz w:val="22"/>
          <w:szCs w:val="22"/>
          <w:lang w:val="sr-Cyrl-RS"/>
        </w:rPr>
        <w:t>2.</w:t>
      </w:r>
      <w:r w:rsidR="00990413" w:rsidRPr="00196439">
        <w:rPr>
          <w:rFonts w:cs="Arial"/>
          <w:b/>
          <w:bCs/>
          <w:i/>
          <w:color w:val="17365D" w:themeColor="text2" w:themeShade="BF"/>
          <w:sz w:val="22"/>
          <w:szCs w:val="22"/>
          <w:lang w:val="sr-Cyrl-RS"/>
        </w:rPr>
        <w:t>4</w:t>
      </w:r>
      <w:r w:rsidR="00990413" w:rsidRPr="00196439">
        <w:rPr>
          <w:rFonts w:cs="Arial"/>
          <w:b/>
          <w:bCs/>
          <w:i/>
          <w:color w:val="17365D" w:themeColor="text2" w:themeShade="BF"/>
          <w:sz w:val="22"/>
          <w:szCs w:val="22"/>
          <w:lang w:val="sr-Latn-CS"/>
        </w:rPr>
        <w:t>. РЕЗЕРВ</w:t>
      </w:r>
      <w:r w:rsidR="00990413" w:rsidRPr="00196439">
        <w:rPr>
          <w:rFonts w:cs="Arial"/>
          <w:b/>
          <w:bCs/>
          <w:i/>
          <w:color w:val="17365D" w:themeColor="text2" w:themeShade="BF"/>
          <w:sz w:val="22"/>
          <w:szCs w:val="22"/>
          <w:lang w:val="sr-Cyrl-RS"/>
        </w:rPr>
        <w:t>Е ЗА НЕИСТЕКЛЕ РИЗИКЕ</w:t>
      </w:r>
      <w:r w:rsidR="00990413" w:rsidRPr="00196439">
        <w:rPr>
          <w:rFonts w:cs="Arial"/>
          <w:b/>
          <w:bCs/>
          <w:i/>
          <w:color w:val="17365D" w:themeColor="text2" w:themeShade="BF"/>
          <w:sz w:val="22"/>
          <w:szCs w:val="22"/>
          <w:lang w:val="sr-Latn-CS"/>
        </w:rPr>
        <w:t xml:space="preserve"> </w:t>
      </w:r>
    </w:p>
    <w:p w:rsidR="00990413" w:rsidRPr="00196439" w:rsidRDefault="00990413" w:rsidP="00990413">
      <w:pPr>
        <w:keepNext/>
        <w:spacing w:line="276" w:lineRule="auto"/>
        <w:rPr>
          <w:rFonts w:cs="Arial"/>
          <w:b/>
          <w:color w:val="17365D" w:themeColor="text2" w:themeShade="BF"/>
          <w:sz w:val="22"/>
          <w:szCs w:val="22"/>
        </w:rPr>
      </w:pPr>
    </w:p>
    <w:p w:rsidR="00CF138D" w:rsidRPr="00196439" w:rsidRDefault="00CF138D" w:rsidP="00CF138D">
      <w:pPr>
        <w:spacing w:line="276" w:lineRule="auto"/>
        <w:rPr>
          <w:rFonts w:cs="Arial"/>
          <w:b/>
          <w:bCs/>
          <w:color w:val="17365D" w:themeColor="text2" w:themeShade="BF"/>
          <w:sz w:val="22"/>
          <w:szCs w:val="22"/>
          <w:lang w:val="sr-Cyrl-ME"/>
        </w:rPr>
      </w:pPr>
      <w:r w:rsidRPr="00196439">
        <w:rPr>
          <w:rFonts w:cs="Arial"/>
          <w:b/>
          <w:bCs/>
          <w:color w:val="17365D" w:themeColor="text2" w:themeShade="BF"/>
          <w:sz w:val="22"/>
          <w:szCs w:val="22"/>
          <w:lang w:val="sr-Cyrl-ME"/>
        </w:rPr>
        <w:t>Р</w:t>
      </w:r>
      <w:r w:rsidRPr="00196439">
        <w:rPr>
          <w:rFonts w:cs="Arial"/>
          <w:b/>
          <w:bCs/>
          <w:color w:val="17365D" w:themeColor="text2" w:themeShade="BF"/>
          <w:sz w:val="22"/>
          <w:szCs w:val="22"/>
          <w:lang w:val="en-US"/>
        </w:rPr>
        <w:t>езерв</w:t>
      </w:r>
      <w:r w:rsidRPr="00196439">
        <w:rPr>
          <w:rFonts w:cs="Arial"/>
          <w:b/>
          <w:bCs/>
          <w:color w:val="17365D" w:themeColor="text2" w:themeShade="BF"/>
          <w:sz w:val="22"/>
          <w:szCs w:val="22"/>
          <w:lang w:val="sr-Cyrl-ME"/>
        </w:rPr>
        <w:t>е</w:t>
      </w:r>
      <w:r w:rsidRPr="00196439">
        <w:rPr>
          <w:rFonts w:cs="Arial"/>
          <w:b/>
          <w:bCs/>
          <w:color w:val="17365D" w:themeColor="text2" w:themeShade="BF"/>
          <w:sz w:val="22"/>
          <w:szCs w:val="22"/>
          <w:lang w:val="en-US"/>
        </w:rPr>
        <w:t xml:space="preserve"> за неистекле ризике 3</w:t>
      </w:r>
      <w:r w:rsidRPr="00196439">
        <w:rPr>
          <w:rFonts w:cs="Arial"/>
          <w:b/>
          <w:bCs/>
          <w:color w:val="17365D" w:themeColor="text2" w:themeShade="BF"/>
          <w:sz w:val="22"/>
          <w:szCs w:val="22"/>
          <w:lang w:val="sr-Cyrl-RS"/>
        </w:rPr>
        <w:t>1</w:t>
      </w:r>
      <w:r w:rsidRPr="00196439">
        <w:rPr>
          <w:rFonts w:cs="Arial"/>
          <w:b/>
          <w:bCs/>
          <w:color w:val="17365D" w:themeColor="text2" w:themeShade="BF"/>
          <w:sz w:val="22"/>
          <w:szCs w:val="22"/>
          <w:lang w:val="en-US"/>
        </w:rPr>
        <w:t>.</w:t>
      </w:r>
      <w:r w:rsidRPr="00196439">
        <w:rPr>
          <w:rFonts w:cs="Arial"/>
          <w:b/>
          <w:bCs/>
          <w:color w:val="17365D" w:themeColor="text2" w:themeShade="BF"/>
          <w:sz w:val="22"/>
          <w:szCs w:val="22"/>
          <w:lang w:val="sr-Cyrl-RS"/>
        </w:rPr>
        <w:t>12</w:t>
      </w:r>
      <w:r w:rsidRPr="00196439">
        <w:rPr>
          <w:rFonts w:cs="Arial"/>
          <w:b/>
          <w:bCs/>
          <w:color w:val="17365D" w:themeColor="text2" w:themeShade="BF"/>
          <w:sz w:val="22"/>
          <w:szCs w:val="22"/>
          <w:lang w:val="en-US"/>
        </w:rPr>
        <w:t xml:space="preserve">.2019. </w:t>
      </w:r>
      <w:r w:rsidRPr="00196439">
        <w:rPr>
          <w:rFonts w:cs="Arial"/>
          <w:b/>
          <w:bCs/>
          <w:color w:val="17365D" w:themeColor="text2" w:themeShade="BF"/>
          <w:sz w:val="22"/>
          <w:szCs w:val="22"/>
          <w:lang w:val="sr-Cyrl-ME"/>
        </w:rPr>
        <w:t>износе 4.073.513</w:t>
      </w:r>
      <w:r w:rsidRPr="00196439">
        <w:rPr>
          <w:rFonts w:cs="Arial"/>
          <w:b/>
          <w:bCs/>
          <w:color w:val="17365D" w:themeColor="text2" w:themeShade="BF"/>
          <w:sz w:val="22"/>
          <w:szCs w:val="22"/>
        </w:rPr>
        <w:t xml:space="preserve"> динар</w:t>
      </w:r>
      <w:r w:rsidRPr="00196439">
        <w:rPr>
          <w:rFonts w:cs="Arial"/>
          <w:b/>
          <w:bCs/>
          <w:color w:val="17365D" w:themeColor="text2" w:themeShade="BF"/>
          <w:sz w:val="22"/>
          <w:szCs w:val="22"/>
          <w:lang w:val="sr-Cyrl-RS"/>
        </w:rPr>
        <w:t>а</w:t>
      </w:r>
      <w:r w:rsidRPr="00196439">
        <w:rPr>
          <w:rFonts w:cs="Arial"/>
          <w:b/>
          <w:bCs/>
          <w:color w:val="17365D" w:themeColor="text2" w:themeShade="BF"/>
          <w:sz w:val="22"/>
          <w:szCs w:val="22"/>
          <w:lang w:val="sr-Cyrl-ME"/>
        </w:rPr>
        <w:t>.</w:t>
      </w:r>
    </w:p>
    <w:p w:rsidR="00CF138D" w:rsidRPr="00196439" w:rsidRDefault="00CF138D" w:rsidP="00CF138D">
      <w:pPr>
        <w:spacing w:line="276" w:lineRule="auto"/>
        <w:rPr>
          <w:rFonts w:cs="Arial"/>
          <w:b/>
          <w:bCs/>
          <w:color w:val="17365D" w:themeColor="text2" w:themeShade="BF"/>
          <w:sz w:val="22"/>
          <w:szCs w:val="22"/>
          <w:lang w:val="sr-Cyrl-ME"/>
        </w:rPr>
      </w:pPr>
    </w:p>
    <w:p w:rsidR="00CF138D" w:rsidRPr="00196439" w:rsidRDefault="00CF138D" w:rsidP="00CF138D">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t>Износ резерви за неистекле ризике 3</w:t>
      </w:r>
      <w:r w:rsidRPr="00196439">
        <w:rPr>
          <w:rFonts w:cs="Arial"/>
          <w:b/>
          <w:color w:val="17365D" w:themeColor="text2" w:themeShade="BF"/>
          <w:sz w:val="22"/>
          <w:szCs w:val="22"/>
          <w:lang w:val="sr-Latn-RS"/>
        </w:rPr>
        <w:t>1</w:t>
      </w:r>
      <w:r w:rsidRPr="00196439">
        <w:rPr>
          <w:rFonts w:cs="Arial"/>
          <w:b/>
          <w:color w:val="17365D" w:themeColor="text2" w:themeShade="BF"/>
          <w:sz w:val="22"/>
          <w:szCs w:val="22"/>
          <w:lang w:val="sr-Cyrl-RS"/>
        </w:rPr>
        <w:t>.</w:t>
      </w:r>
      <w:r w:rsidRPr="00196439">
        <w:rPr>
          <w:rFonts w:cs="Arial"/>
          <w:b/>
          <w:color w:val="17365D" w:themeColor="text2" w:themeShade="BF"/>
          <w:sz w:val="22"/>
          <w:szCs w:val="22"/>
          <w:lang w:val="sr-Latn-RS"/>
        </w:rPr>
        <w:t>12</w:t>
      </w:r>
      <w:r w:rsidRPr="00196439">
        <w:rPr>
          <w:rFonts w:cs="Arial"/>
          <w:b/>
          <w:color w:val="17365D" w:themeColor="text2" w:themeShade="BF"/>
          <w:sz w:val="22"/>
          <w:szCs w:val="22"/>
          <w:lang w:val="sr-Cyrl-RS"/>
        </w:rPr>
        <w:t>.2019. и промене у односу на</w:t>
      </w:r>
      <w:r w:rsidRPr="00196439">
        <w:rPr>
          <w:rFonts w:cs="Arial"/>
          <w:b/>
          <w:color w:val="17365D" w:themeColor="text2" w:themeShade="BF"/>
          <w:sz w:val="22"/>
          <w:szCs w:val="22"/>
          <w:lang w:val="sr-Latn-RS"/>
        </w:rPr>
        <w:t xml:space="preserve"> </w:t>
      </w:r>
      <w:r w:rsidRPr="00196439">
        <w:rPr>
          <w:rFonts w:cs="Arial"/>
          <w:b/>
          <w:color w:val="17365D" w:themeColor="text2" w:themeShade="BF"/>
          <w:sz w:val="22"/>
          <w:szCs w:val="22"/>
          <w:lang w:val="sr-Cyrl-RS"/>
        </w:rPr>
        <w:t xml:space="preserve">31.12.2018. </w:t>
      </w:r>
    </w:p>
    <w:p w:rsidR="00CF138D" w:rsidRPr="00196439" w:rsidRDefault="00CF138D" w:rsidP="00CF138D">
      <w:pPr>
        <w:spacing w:after="120" w:line="276" w:lineRule="auto"/>
        <w:jc w:val="center"/>
        <w:rPr>
          <w:noProof/>
          <w:color w:val="17365D" w:themeColor="text2" w:themeShade="BF"/>
          <w:lang w:val="en-US"/>
        </w:rPr>
      </w:pPr>
      <w:r w:rsidRPr="00196439">
        <w:rPr>
          <w:noProof/>
          <w:color w:val="17365D" w:themeColor="text2" w:themeShade="BF"/>
          <w:lang w:val="en-US"/>
        </w:rPr>
        <w:drawing>
          <wp:inline distT="0" distB="0" distL="0" distR="0" wp14:anchorId="3DDE43EF" wp14:editId="12E107BC">
            <wp:extent cx="4572000" cy="3534693"/>
            <wp:effectExtent l="0" t="0" r="0" b="889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72000" cy="3534693"/>
                    </a:xfrm>
                    <a:prstGeom prst="rect">
                      <a:avLst/>
                    </a:prstGeom>
                    <a:noFill/>
                    <a:ln>
                      <a:noFill/>
                    </a:ln>
                  </pic:spPr>
                </pic:pic>
              </a:graphicData>
            </a:graphic>
          </wp:inline>
        </w:drawing>
      </w:r>
    </w:p>
    <w:p w:rsidR="00CA503B" w:rsidRDefault="00CA503B" w:rsidP="00CF138D">
      <w:pPr>
        <w:spacing w:line="276" w:lineRule="auto"/>
        <w:rPr>
          <w:rFonts w:cs="Arial"/>
          <w:bCs/>
          <w:color w:val="17365D" w:themeColor="text2" w:themeShade="BF"/>
          <w:sz w:val="22"/>
          <w:szCs w:val="22"/>
          <w:lang w:val="sr-Latn-CS"/>
        </w:rPr>
      </w:pPr>
    </w:p>
    <w:p w:rsidR="00CF138D" w:rsidRPr="00196439" w:rsidRDefault="00CF138D" w:rsidP="00CF138D">
      <w:pPr>
        <w:spacing w:line="276" w:lineRule="auto"/>
        <w:rPr>
          <w:rFonts w:cs="Arial"/>
          <w:bCs/>
          <w:color w:val="17365D" w:themeColor="text2" w:themeShade="BF"/>
          <w:sz w:val="22"/>
          <w:szCs w:val="22"/>
          <w:lang w:val="sr-Latn-CS"/>
        </w:rPr>
      </w:pPr>
      <w:r w:rsidRPr="00196439">
        <w:rPr>
          <w:rFonts w:cs="Arial"/>
          <w:bCs/>
          <w:color w:val="17365D" w:themeColor="text2" w:themeShade="BF"/>
          <w:sz w:val="22"/>
          <w:szCs w:val="22"/>
          <w:lang w:val="sr-Latn-CS"/>
        </w:rPr>
        <w:t xml:space="preserve">Према Правилнику о образовању резерви за неистекле ризике Друштво образује ове резерве у износу изнад резерви за преносне премије за покриће обавеза из осигурања које настају у наредном периоду по активним уговорима. </w:t>
      </w:r>
    </w:p>
    <w:p w:rsidR="00CF138D" w:rsidRPr="00196439" w:rsidRDefault="00CF138D" w:rsidP="00CF138D">
      <w:pPr>
        <w:spacing w:line="276" w:lineRule="auto"/>
        <w:rPr>
          <w:rFonts w:cs="Arial"/>
          <w:bCs/>
          <w:color w:val="17365D" w:themeColor="text2" w:themeShade="BF"/>
          <w:sz w:val="22"/>
          <w:szCs w:val="22"/>
          <w:lang w:val="sr-Latn-CS"/>
        </w:rPr>
      </w:pPr>
    </w:p>
    <w:p w:rsidR="00CF138D" w:rsidRPr="00196439" w:rsidRDefault="00CF138D" w:rsidP="00CF138D">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lang w:val="sr-Cyrl-RS"/>
        </w:rPr>
        <w:lastRenderedPageBreak/>
        <w:t>Очекивани износи штета и трошкова по врстама осигурања</w:t>
      </w:r>
    </w:p>
    <w:p w:rsidR="00CF138D" w:rsidRPr="00196439" w:rsidRDefault="00CF138D" w:rsidP="00CF138D">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5DF27DF4" wp14:editId="3AD6DE7F">
            <wp:extent cx="5256000" cy="3484823"/>
            <wp:effectExtent l="0" t="0" r="190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56000" cy="3484823"/>
                    </a:xfrm>
                    <a:prstGeom prst="rect">
                      <a:avLst/>
                    </a:prstGeom>
                    <a:noFill/>
                    <a:ln>
                      <a:noFill/>
                    </a:ln>
                  </pic:spPr>
                </pic:pic>
              </a:graphicData>
            </a:graphic>
          </wp:inline>
        </w:drawing>
      </w:r>
    </w:p>
    <w:p w:rsidR="00CA503B" w:rsidRDefault="00CA503B" w:rsidP="00CF138D">
      <w:pPr>
        <w:spacing w:line="276" w:lineRule="auto"/>
        <w:rPr>
          <w:rFonts w:cs="Arial"/>
          <w:bCs/>
          <w:color w:val="17365D" w:themeColor="text2" w:themeShade="BF"/>
          <w:sz w:val="22"/>
          <w:szCs w:val="22"/>
          <w:lang w:val="sr-Latn-CS"/>
        </w:rPr>
      </w:pPr>
    </w:p>
    <w:p w:rsidR="00CF138D" w:rsidRPr="00196439" w:rsidRDefault="00CF138D" w:rsidP="00CF138D">
      <w:pPr>
        <w:spacing w:line="276" w:lineRule="auto"/>
        <w:rPr>
          <w:rFonts w:cs="Arial"/>
          <w:bCs/>
          <w:color w:val="17365D" w:themeColor="text2" w:themeShade="BF"/>
          <w:sz w:val="22"/>
          <w:szCs w:val="22"/>
          <w:lang w:val="sr-Latn-CS"/>
        </w:rPr>
      </w:pPr>
      <w:r w:rsidRPr="00196439">
        <w:rPr>
          <w:rFonts w:cs="Arial"/>
          <w:bCs/>
          <w:color w:val="17365D" w:themeColor="text2" w:themeShade="BF"/>
          <w:sz w:val="22"/>
          <w:szCs w:val="22"/>
          <w:lang w:val="sr-Latn-CS"/>
        </w:rPr>
        <w:t>Друштво образује резерве за неистекле ризике ако утврди да је очекивани износ штета и трошкова у наредном периоду по активним уговорима виши од износа резерви за преносне премије и евентуалних потраживања за премију по уговорима из текућег периода.</w:t>
      </w:r>
    </w:p>
    <w:p w:rsidR="00CF138D" w:rsidRPr="00196439" w:rsidRDefault="00CF138D" w:rsidP="00CF138D">
      <w:pPr>
        <w:spacing w:line="276" w:lineRule="auto"/>
        <w:rPr>
          <w:rFonts w:cs="Arial"/>
          <w:bCs/>
          <w:color w:val="17365D" w:themeColor="text2" w:themeShade="BF"/>
          <w:sz w:val="22"/>
          <w:szCs w:val="22"/>
          <w:lang w:val="sr-Latn-CS"/>
        </w:rPr>
      </w:pPr>
    </w:p>
    <w:p w:rsidR="00CF138D" w:rsidRPr="00196439" w:rsidRDefault="00CF138D" w:rsidP="00CF138D">
      <w:pPr>
        <w:spacing w:line="276" w:lineRule="auto"/>
        <w:rPr>
          <w:rFonts w:cs="Arial"/>
          <w:bCs/>
          <w:color w:val="17365D" w:themeColor="text2" w:themeShade="BF"/>
          <w:sz w:val="22"/>
          <w:szCs w:val="22"/>
          <w:lang w:val="sr-Latn-CS"/>
        </w:rPr>
      </w:pPr>
      <w:r w:rsidRPr="00196439">
        <w:rPr>
          <w:rFonts w:cs="Arial"/>
          <w:bCs/>
          <w:color w:val="17365D" w:themeColor="text2" w:themeShade="BF"/>
          <w:sz w:val="22"/>
          <w:szCs w:val="22"/>
          <w:lang w:val="sr-Latn-CS"/>
        </w:rPr>
        <w:t>Очекивани износ штета се утврђује као производ преносне премије и рациа штета добијеног као однос просечних меродавних штета и просечне меродавне премије у последње три године.</w:t>
      </w:r>
    </w:p>
    <w:p w:rsidR="00CF138D" w:rsidRPr="00196439" w:rsidRDefault="00CF138D" w:rsidP="00CF138D">
      <w:pPr>
        <w:spacing w:line="276" w:lineRule="auto"/>
        <w:rPr>
          <w:rFonts w:cs="Arial"/>
          <w:bCs/>
          <w:color w:val="17365D" w:themeColor="text2" w:themeShade="BF"/>
          <w:sz w:val="22"/>
          <w:szCs w:val="22"/>
          <w:lang w:val="sr-Latn-CS"/>
        </w:rPr>
      </w:pPr>
    </w:p>
    <w:p w:rsidR="00CF138D" w:rsidRPr="00196439" w:rsidRDefault="00CF138D" w:rsidP="00CF138D">
      <w:pPr>
        <w:spacing w:line="276" w:lineRule="auto"/>
        <w:rPr>
          <w:rFonts w:cs="Arial"/>
          <w:bCs/>
          <w:color w:val="17365D" w:themeColor="text2" w:themeShade="BF"/>
          <w:sz w:val="22"/>
          <w:szCs w:val="22"/>
          <w:lang w:val="sr-Latn-CS"/>
        </w:rPr>
      </w:pPr>
      <w:r w:rsidRPr="00196439">
        <w:rPr>
          <w:rFonts w:cs="Arial"/>
          <w:bCs/>
          <w:color w:val="17365D" w:themeColor="text2" w:themeShade="BF"/>
          <w:sz w:val="22"/>
          <w:szCs w:val="22"/>
          <w:lang w:val="sr-Latn-CS"/>
        </w:rPr>
        <w:t xml:space="preserve">Очекивани износ трошкова добијен је као производ преносне премије и рациа трошкова </w:t>
      </w:r>
      <w:r w:rsidRPr="00196439">
        <w:rPr>
          <w:rFonts w:cs="Arial"/>
          <w:bCs/>
          <w:color w:val="17365D" w:themeColor="text2" w:themeShade="BF"/>
          <w:sz w:val="22"/>
          <w:szCs w:val="22"/>
          <w:lang w:val="sr-Cyrl-RS"/>
        </w:rPr>
        <w:t>обрачунатог</w:t>
      </w:r>
      <w:r w:rsidRPr="00196439">
        <w:rPr>
          <w:rFonts w:cs="Arial"/>
          <w:bCs/>
          <w:color w:val="17365D" w:themeColor="text2" w:themeShade="BF"/>
          <w:sz w:val="22"/>
          <w:szCs w:val="22"/>
          <w:lang w:val="sr-Latn-CS"/>
        </w:rPr>
        <w:t xml:space="preserve"> као однос трошкова управе и меродавне премије у 2019. годин</w:t>
      </w:r>
      <w:r w:rsidRPr="00196439">
        <w:rPr>
          <w:rFonts w:cs="Arial"/>
          <w:bCs/>
          <w:color w:val="17365D" w:themeColor="text2" w:themeShade="BF"/>
          <w:sz w:val="22"/>
          <w:szCs w:val="22"/>
          <w:lang w:val="sr-Cyrl-RS"/>
        </w:rPr>
        <w:t>и</w:t>
      </w:r>
      <w:r w:rsidRPr="00196439">
        <w:rPr>
          <w:rFonts w:cs="Arial"/>
          <w:bCs/>
          <w:color w:val="17365D" w:themeColor="text2" w:themeShade="BF"/>
          <w:sz w:val="22"/>
          <w:szCs w:val="22"/>
          <w:lang w:val="sr-Latn-CS"/>
        </w:rPr>
        <w:t xml:space="preserve">. </w:t>
      </w:r>
    </w:p>
    <w:p w:rsidR="00CF138D" w:rsidRPr="00196439" w:rsidRDefault="00CF138D" w:rsidP="00CF138D">
      <w:pPr>
        <w:spacing w:line="276" w:lineRule="auto"/>
        <w:rPr>
          <w:rFonts w:cs="Arial"/>
          <w:bCs/>
          <w:color w:val="17365D" w:themeColor="text2" w:themeShade="BF"/>
          <w:sz w:val="22"/>
          <w:szCs w:val="22"/>
          <w:lang w:val="sr-Latn-CS"/>
        </w:rPr>
      </w:pPr>
    </w:p>
    <w:p w:rsidR="00CF138D" w:rsidRPr="00196439" w:rsidRDefault="00CF138D" w:rsidP="00CF138D">
      <w:pPr>
        <w:spacing w:line="276" w:lineRule="auto"/>
        <w:rPr>
          <w:rFonts w:cs="Arial"/>
          <w:color w:val="17365D" w:themeColor="text2" w:themeShade="BF"/>
          <w:sz w:val="22"/>
          <w:szCs w:val="22"/>
        </w:rPr>
      </w:pPr>
      <w:r w:rsidRPr="00196439">
        <w:rPr>
          <w:rFonts w:cs="Arial"/>
          <w:color w:val="17365D" w:themeColor="text2" w:themeShade="BF"/>
          <w:sz w:val="22"/>
          <w:szCs w:val="22"/>
        </w:rPr>
        <w:t xml:space="preserve">Друштво не ради временско разграничење трошкове прибаве тако да је </w:t>
      </w:r>
      <w:r w:rsidRPr="00196439">
        <w:rPr>
          <w:rFonts w:cs="Arial"/>
          <w:i/>
          <w:noProof/>
          <w:color w:val="17365D" w:themeColor="text2" w:themeShade="BF"/>
          <w:sz w:val="22"/>
          <w:szCs w:val="22"/>
        </w:rPr>
        <w:t>DAC</w:t>
      </w:r>
      <w:r w:rsidRPr="00196439">
        <w:rPr>
          <w:rFonts w:cs="Arial"/>
          <w:noProof/>
          <w:color w:val="17365D" w:themeColor="text2" w:themeShade="BF"/>
          <w:sz w:val="22"/>
          <w:szCs w:val="22"/>
        </w:rPr>
        <w:t xml:space="preserve"> = 0</w:t>
      </w:r>
    </w:p>
    <w:p w:rsidR="00CF138D" w:rsidRPr="00196439" w:rsidRDefault="00CF138D" w:rsidP="00CF138D">
      <w:pPr>
        <w:spacing w:line="276" w:lineRule="auto"/>
        <w:rPr>
          <w:rFonts w:cs="Arial"/>
          <w:bCs/>
          <w:color w:val="17365D" w:themeColor="text2" w:themeShade="BF"/>
          <w:sz w:val="22"/>
          <w:szCs w:val="22"/>
          <w:lang w:val="sr-Latn-CS"/>
        </w:rPr>
      </w:pPr>
    </w:p>
    <w:p w:rsidR="00CF138D" w:rsidRPr="00196439" w:rsidRDefault="00CF138D" w:rsidP="00CF138D">
      <w:pPr>
        <w:spacing w:line="276" w:lineRule="auto"/>
        <w:rPr>
          <w:rFonts w:cs="Arial"/>
          <w:color w:val="17365D" w:themeColor="text2" w:themeShade="BF"/>
          <w:sz w:val="22"/>
          <w:szCs w:val="22"/>
          <w:lang w:val="sr-Latn-CS"/>
        </w:rPr>
      </w:pPr>
      <w:r w:rsidRPr="00196439">
        <w:rPr>
          <w:rFonts w:cs="Arial"/>
          <w:color w:val="17365D" w:themeColor="text2" w:themeShade="BF"/>
          <w:sz w:val="22"/>
          <w:szCs w:val="22"/>
          <w:lang w:val="sr-Latn-CS"/>
        </w:rPr>
        <w:t>На дан 3</w:t>
      </w:r>
      <w:r w:rsidRPr="00196439">
        <w:rPr>
          <w:rFonts w:cs="Arial"/>
          <w:color w:val="17365D" w:themeColor="text2" w:themeShade="BF"/>
          <w:sz w:val="22"/>
          <w:szCs w:val="22"/>
          <w:lang w:val="sr-Cyrl-RS"/>
        </w:rPr>
        <w:t>1</w:t>
      </w:r>
      <w:r w:rsidRPr="00196439">
        <w:rPr>
          <w:rFonts w:cs="Arial"/>
          <w:color w:val="17365D" w:themeColor="text2" w:themeShade="BF"/>
          <w:sz w:val="22"/>
          <w:szCs w:val="22"/>
          <w:lang w:val="sr-Latn-CS"/>
        </w:rPr>
        <w:t>.</w:t>
      </w:r>
      <w:r w:rsidRPr="00196439">
        <w:rPr>
          <w:rFonts w:cs="Arial"/>
          <w:color w:val="17365D" w:themeColor="text2" w:themeShade="BF"/>
          <w:sz w:val="22"/>
          <w:szCs w:val="22"/>
          <w:lang w:val="sr-Cyrl-RS"/>
        </w:rPr>
        <w:t>12</w:t>
      </w:r>
      <w:r w:rsidRPr="00196439">
        <w:rPr>
          <w:rFonts w:cs="Arial"/>
          <w:color w:val="17365D" w:themeColor="text2" w:themeShade="BF"/>
          <w:sz w:val="22"/>
          <w:szCs w:val="22"/>
          <w:lang w:val="sr-Latn-CS"/>
        </w:rPr>
        <w:t xml:space="preserve">.2019. утврђено је да се предметне резерве требају образовати код </w:t>
      </w:r>
      <w:r w:rsidRPr="00196439">
        <w:rPr>
          <w:rFonts w:cs="Arial"/>
          <w:color w:val="17365D" w:themeColor="text2" w:themeShade="BF"/>
          <w:sz w:val="22"/>
          <w:szCs w:val="22"/>
          <w:lang w:val="sr-Cyrl-RS"/>
        </w:rPr>
        <w:t>О</w:t>
      </w:r>
      <w:r w:rsidRPr="00196439">
        <w:rPr>
          <w:rFonts w:cs="Arial"/>
          <w:color w:val="17365D" w:themeColor="text2" w:themeShade="BF"/>
          <w:sz w:val="22"/>
          <w:szCs w:val="22"/>
          <w:lang w:val="sr-Latn-CS"/>
        </w:rPr>
        <w:t xml:space="preserve">сигурања </w:t>
      </w:r>
      <w:r w:rsidRPr="00196439">
        <w:rPr>
          <w:rFonts w:cs="Arial"/>
          <w:color w:val="17365D" w:themeColor="text2" w:themeShade="BF"/>
          <w:sz w:val="22"/>
          <w:szCs w:val="22"/>
          <w:lang w:val="sr-Cyrl-ME"/>
        </w:rPr>
        <w:t>робе у превозу и Осигурања јемства.</w:t>
      </w:r>
      <w:r w:rsidRPr="00196439">
        <w:rPr>
          <w:rFonts w:cs="Arial"/>
          <w:color w:val="17365D" w:themeColor="text2" w:themeShade="BF"/>
          <w:sz w:val="22"/>
          <w:szCs w:val="22"/>
          <w:lang w:val="sr-Latn-CS"/>
        </w:rPr>
        <w:t xml:space="preserve"> </w:t>
      </w:r>
    </w:p>
    <w:p w:rsidR="00CF138D" w:rsidRPr="00196439" w:rsidRDefault="00CF138D" w:rsidP="00CF138D">
      <w:pPr>
        <w:spacing w:line="276" w:lineRule="auto"/>
        <w:rPr>
          <w:rFonts w:cs="Arial"/>
          <w:color w:val="17365D" w:themeColor="text2" w:themeShade="BF"/>
          <w:sz w:val="22"/>
          <w:szCs w:val="22"/>
          <w:lang w:val="sr-Cyrl-ME"/>
        </w:rPr>
      </w:pPr>
    </w:p>
    <w:p w:rsidR="00CF138D" w:rsidRPr="00196439" w:rsidRDefault="00CF138D" w:rsidP="00CF138D">
      <w:pPr>
        <w:spacing w:line="276" w:lineRule="auto"/>
        <w:rPr>
          <w:rFonts w:cs="Arial"/>
          <w:bCs/>
          <w:color w:val="17365D" w:themeColor="text2" w:themeShade="BF"/>
          <w:sz w:val="22"/>
          <w:szCs w:val="22"/>
          <w:lang w:val="sr-Latn-CS"/>
        </w:rPr>
      </w:pPr>
      <w:r w:rsidRPr="00196439">
        <w:rPr>
          <w:rFonts w:cs="Arial"/>
          <w:bCs/>
          <w:color w:val="17365D" w:themeColor="text2" w:themeShade="BF"/>
          <w:sz w:val="22"/>
          <w:szCs w:val="22"/>
          <w:lang w:val="en-US"/>
        </w:rPr>
        <w:t>У</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осталим</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врстама</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sr-Cyrl-RS"/>
        </w:rPr>
        <w:t>очекивани</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комбиновaни</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рацио</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је</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испод</w:t>
      </w:r>
      <w:r w:rsidRPr="00196439">
        <w:rPr>
          <w:rFonts w:cs="Arial"/>
          <w:bCs/>
          <w:color w:val="17365D" w:themeColor="text2" w:themeShade="BF"/>
          <w:sz w:val="22"/>
          <w:szCs w:val="22"/>
          <w:lang w:val="sr-Latn-CS"/>
        </w:rPr>
        <w:t xml:space="preserve"> 1</w:t>
      </w:r>
      <w:r w:rsidRPr="00196439">
        <w:rPr>
          <w:rFonts w:cs="Arial"/>
          <w:bCs/>
          <w:color w:val="17365D" w:themeColor="text2" w:themeShade="BF"/>
          <w:sz w:val="22"/>
          <w:szCs w:val="22"/>
          <w:lang w:val="sr-Cyrl-ME"/>
        </w:rPr>
        <w:t>00%</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тако</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да</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у</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тим</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врстама</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нема</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потребе</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за</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en-US"/>
        </w:rPr>
        <w:t>формирањем</w:t>
      </w:r>
      <w:r w:rsidRPr="00196439">
        <w:rPr>
          <w:rFonts w:cs="Arial"/>
          <w:bCs/>
          <w:color w:val="17365D" w:themeColor="text2" w:themeShade="BF"/>
          <w:sz w:val="22"/>
          <w:szCs w:val="22"/>
          <w:lang w:val="sr-Latn-CS"/>
        </w:rPr>
        <w:t xml:space="preserve"> </w:t>
      </w:r>
      <w:r w:rsidRPr="00196439">
        <w:rPr>
          <w:rFonts w:cs="Arial"/>
          <w:bCs/>
          <w:color w:val="17365D" w:themeColor="text2" w:themeShade="BF"/>
          <w:sz w:val="22"/>
          <w:szCs w:val="22"/>
          <w:lang w:val="sr-Cyrl-ME"/>
        </w:rPr>
        <w:t xml:space="preserve">ове </w:t>
      </w:r>
      <w:r w:rsidRPr="00196439">
        <w:rPr>
          <w:rFonts w:cs="Arial"/>
          <w:bCs/>
          <w:color w:val="17365D" w:themeColor="text2" w:themeShade="BF"/>
          <w:sz w:val="22"/>
          <w:szCs w:val="22"/>
          <w:lang w:val="en-US"/>
        </w:rPr>
        <w:t>резерве</w:t>
      </w:r>
      <w:r w:rsidRPr="00196439">
        <w:rPr>
          <w:rFonts w:cs="Arial"/>
          <w:bCs/>
          <w:color w:val="17365D" w:themeColor="text2" w:themeShade="BF"/>
          <w:sz w:val="22"/>
          <w:szCs w:val="22"/>
          <w:lang w:val="sr-Latn-CS"/>
        </w:rPr>
        <w:t xml:space="preserve">. </w:t>
      </w:r>
    </w:p>
    <w:p w:rsidR="00CF138D" w:rsidRPr="00196439" w:rsidRDefault="00CF138D" w:rsidP="00CF138D">
      <w:pPr>
        <w:spacing w:line="276" w:lineRule="auto"/>
        <w:rPr>
          <w:rFonts w:cs="Arial"/>
          <w:color w:val="17365D" w:themeColor="text2" w:themeShade="BF"/>
          <w:sz w:val="22"/>
          <w:szCs w:val="22"/>
          <w:lang w:val="sr-Latn-CS"/>
        </w:rPr>
      </w:pPr>
    </w:p>
    <w:p w:rsidR="00CF138D" w:rsidRPr="00196439" w:rsidRDefault="00CF138D" w:rsidP="00CF138D">
      <w:pPr>
        <w:spacing w:line="276" w:lineRule="auto"/>
        <w:rPr>
          <w:rFonts w:cs="Arial"/>
          <w:bCs/>
          <w:color w:val="17365D" w:themeColor="text2" w:themeShade="BF"/>
          <w:sz w:val="22"/>
          <w:szCs w:val="22"/>
          <w:lang w:val="sr-Cyrl-ME"/>
        </w:rPr>
      </w:pPr>
      <w:r w:rsidRPr="00196439">
        <w:rPr>
          <w:rFonts w:cs="Arial"/>
          <w:bCs/>
          <w:color w:val="17365D" w:themeColor="text2" w:themeShade="BF"/>
          <w:sz w:val="22"/>
          <w:szCs w:val="22"/>
          <w:lang w:val="sr-Latn-CS"/>
        </w:rPr>
        <w:t xml:space="preserve">У извештајном периоду бележи се повећање ове резерве у односу на </w:t>
      </w:r>
      <w:r w:rsidRPr="00196439">
        <w:rPr>
          <w:rFonts w:cs="Arial"/>
          <w:bCs/>
          <w:color w:val="17365D" w:themeColor="text2" w:themeShade="BF"/>
          <w:sz w:val="22"/>
          <w:szCs w:val="22"/>
          <w:lang w:val="sr-Cyrl-RS"/>
        </w:rPr>
        <w:t>31.12.2019.</w:t>
      </w:r>
      <w:r w:rsidRPr="00196439">
        <w:rPr>
          <w:rFonts w:cs="Arial"/>
          <w:bCs/>
          <w:color w:val="17365D" w:themeColor="text2" w:themeShade="BF"/>
          <w:sz w:val="22"/>
          <w:szCs w:val="22"/>
          <w:lang w:val="sr-Latn-CS"/>
        </w:rPr>
        <w:t xml:space="preserve"> за </w:t>
      </w:r>
      <w:r w:rsidRPr="00196439">
        <w:rPr>
          <w:rFonts w:cs="Arial"/>
          <w:bCs/>
          <w:color w:val="17365D" w:themeColor="text2" w:themeShade="BF"/>
          <w:sz w:val="22"/>
          <w:szCs w:val="22"/>
          <w:lang w:val="sr-Cyrl-RS"/>
        </w:rPr>
        <w:t>2.581.321</w:t>
      </w:r>
      <w:r w:rsidRPr="00196439">
        <w:rPr>
          <w:rFonts w:cs="Arial"/>
          <w:bCs/>
          <w:color w:val="17365D" w:themeColor="text2" w:themeShade="BF"/>
          <w:sz w:val="22"/>
          <w:szCs w:val="22"/>
          <w:lang w:val="sr-Cyrl-ME"/>
        </w:rPr>
        <w:t xml:space="preserve"> динар, као последица значајног раста очекиваног рациа штета на врсти 07 Осигурање робе у превозу. Такође, на крају 2019. године формирана је резерва за неистекле ризике на врсти осигурања 15 Осигурање јемства која није постојала 31.12.2018.</w:t>
      </w:r>
    </w:p>
    <w:p w:rsidR="00CF138D" w:rsidRPr="00196439" w:rsidRDefault="00CF138D" w:rsidP="00953D3E">
      <w:pPr>
        <w:spacing w:line="276" w:lineRule="auto"/>
        <w:rPr>
          <w:rFonts w:cs="Arial"/>
          <w:b/>
          <w:bCs/>
          <w:color w:val="17365D" w:themeColor="text2" w:themeShade="BF"/>
          <w:sz w:val="22"/>
          <w:szCs w:val="22"/>
          <w:highlight w:val="yellow"/>
          <w:lang w:val="sr-Cyrl-ME"/>
        </w:rPr>
      </w:pPr>
    </w:p>
    <w:p w:rsidR="00953D3E" w:rsidRPr="00196439" w:rsidRDefault="00953D3E" w:rsidP="00990413">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 xml:space="preserve">Резерве за неистекле ризике уједно служе и за процену довољности преносне премије (тест адекватности преносне премије). Уколико је збир очекиваних штета и трошкова већи од преносне премије на нивоу врсте осигурања онда се на тим врстама формирају </w:t>
      </w:r>
      <w:r w:rsidR="00400476" w:rsidRPr="00196439">
        <w:rPr>
          <w:rFonts w:cs="Arial"/>
          <w:color w:val="17365D" w:themeColor="text2" w:themeShade="BF"/>
          <w:sz w:val="22"/>
          <w:szCs w:val="22"/>
          <w:lang w:val="sr-Cyrl-RS"/>
        </w:rPr>
        <w:t>резерве за неистекле ризике</w:t>
      </w:r>
      <w:r w:rsidRPr="00196439">
        <w:rPr>
          <w:rFonts w:cs="Arial"/>
          <w:color w:val="17365D" w:themeColor="text2" w:themeShade="BF"/>
          <w:sz w:val="22"/>
          <w:szCs w:val="22"/>
          <w:lang w:val="sr-Cyrl-RS"/>
        </w:rPr>
        <w:t>.</w:t>
      </w:r>
    </w:p>
    <w:p w:rsidR="00953D3E" w:rsidRPr="00196439" w:rsidRDefault="00953D3E" w:rsidP="00990413">
      <w:pPr>
        <w:spacing w:line="276" w:lineRule="auto"/>
        <w:rPr>
          <w:rFonts w:cs="Arial"/>
          <w:color w:val="17365D" w:themeColor="text2" w:themeShade="BF"/>
          <w:sz w:val="22"/>
          <w:szCs w:val="22"/>
          <w:lang w:val="sr-Latn-CS"/>
        </w:rPr>
      </w:pPr>
    </w:p>
    <w:p w:rsidR="00990413" w:rsidRPr="00196439" w:rsidRDefault="00990413" w:rsidP="00990413">
      <w:pPr>
        <w:spacing w:line="276" w:lineRule="auto"/>
        <w:rPr>
          <w:rFonts w:cs="Arial"/>
          <w:color w:val="17365D" w:themeColor="text2" w:themeShade="BF"/>
          <w:sz w:val="22"/>
          <w:szCs w:val="22"/>
          <w:lang w:val="sr-Latn-CS"/>
        </w:rPr>
      </w:pPr>
      <w:r w:rsidRPr="00196439">
        <w:rPr>
          <w:rFonts w:cs="Arial"/>
          <w:color w:val="17365D" w:themeColor="text2" w:themeShade="BF"/>
          <w:sz w:val="22"/>
          <w:szCs w:val="22"/>
          <w:lang w:val="sr-Latn-CS"/>
        </w:rPr>
        <w:t>Приликом обрачуна резерв</w:t>
      </w:r>
      <w:r w:rsidRPr="00196439">
        <w:rPr>
          <w:rFonts w:cs="Arial"/>
          <w:color w:val="17365D" w:themeColor="text2" w:themeShade="BF"/>
          <w:sz w:val="22"/>
          <w:szCs w:val="22"/>
          <w:lang w:val="sr-Cyrl-RS"/>
        </w:rPr>
        <w:t>и за неистекле ризике</w:t>
      </w:r>
      <w:r w:rsidRPr="00196439">
        <w:rPr>
          <w:rFonts w:cs="Arial"/>
          <w:color w:val="17365D" w:themeColor="text2" w:themeShade="BF"/>
          <w:sz w:val="22"/>
          <w:szCs w:val="22"/>
          <w:lang w:val="sr-Latn-CS"/>
        </w:rPr>
        <w:t xml:space="preserve"> примењене су адекватне методе које су у складу са актуарском струком, струком осигурања и законским прописима.</w:t>
      </w:r>
    </w:p>
    <w:p w:rsidR="00990413" w:rsidRPr="00196439" w:rsidRDefault="00990413" w:rsidP="00990413">
      <w:pPr>
        <w:spacing w:line="276" w:lineRule="auto"/>
        <w:rPr>
          <w:rFonts w:cs="Arial"/>
          <w:color w:val="17365D" w:themeColor="text2" w:themeShade="BF"/>
          <w:sz w:val="22"/>
          <w:szCs w:val="22"/>
          <w:lang w:val="sr-Latn-CS"/>
        </w:rPr>
      </w:pPr>
    </w:p>
    <w:p w:rsidR="00990413" w:rsidRPr="00196439" w:rsidRDefault="00990413" w:rsidP="00990413">
      <w:pPr>
        <w:spacing w:line="276" w:lineRule="auto"/>
        <w:rPr>
          <w:rFonts w:cs="Arial"/>
          <w:b/>
          <w:color w:val="17365D" w:themeColor="text2" w:themeShade="BF"/>
          <w:sz w:val="22"/>
          <w:szCs w:val="22"/>
          <w:lang w:val="sr-Cyrl-ME"/>
        </w:rPr>
      </w:pPr>
      <w:r w:rsidRPr="00196439">
        <w:rPr>
          <w:rFonts w:cs="Arial"/>
          <w:b/>
          <w:color w:val="17365D" w:themeColor="text2" w:themeShade="BF"/>
          <w:sz w:val="22"/>
          <w:szCs w:val="22"/>
          <w:lang w:val="sr-Cyrl-RS"/>
        </w:rPr>
        <w:t xml:space="preserve">Резерве за неистекле ризике формиране су </w:t>
      </w:r>
      <w:r w:rsidRPr="00196439">
        <w:rPr>
          <w:rFonts w:cs="Arial"/>
          <w:b/>
          <w:color w:val="17365D" w:themeColor="text2" w:themeShade="BF"/>
          <w:sz w:val="22"/>
          <w:szCs w:val="22"/>
          <w:lang w:val="sr-Latn-CS"/>
        </w:rPr>
        <w:t xml:space="preserve">у складу са Правилником о </w:t>
      </w:r>
      <w:r w:rsidRPr="00196439">
        <w:rPr>
          <w:rFonts w:cs="Arial"/>
          <w:b/>
          <w:bCs/>
          <w:color w:val="17365D" w:themeColor="text2" w:themeShade="BF"/>
          <w:sz w:val="22"/>
          <w:szCs w:val="22"/>
          <w:lang w:val="sr-Latn-CS"/>
        </w:rPr>
        <w:t>образовању резерви за неистекле ризике</w:t>
      </w:r>
      <w:r w:rsidRPr="00196439">
        <w:rPr>
          <w:rFonts w:cs="Arial"/>
          <w:b/>
          <w:color w:val="17365D" w:themeColor="text2" w:themeShade="BF"/>
          <w:sz w:val="22"/>
          <w:szCs w:val="22"/>
          <w:lang w:val="sr-Latn-CS"/>
        </w:rPr>
        <w:t xml:space="preserve">, </w:t>
      </w:r>
      <w:r w:rsidRPr="00196439">
        <w:rPr>
          <w:rFonts w:cs="Arial"/>
          <w:b/>
          <w:color w:val="17365D" w:themeColor="text2" w:themeShade="BF"/>
          <w:sz w:val="22"/>
          <w:szCs w:val="22"/>
        </w:rPr>
        <w:t>Одлуком</w:t>
      </w:r>
      <w:r w:rsidRPr="00196439">
        <w:rPr>
          <w:rFonts w:cs="Arial"/>
          <w:b/>
          <w:color w:val="17365D" w:themeColor="text2" w:themeShade="BF"/>
          <w:sz w:val="22"/>
          <w:szCs w:val="22"/>
          <w:lang w:val="sr-Latn-CS"/>
        </w:rPr>
        <w:t xml:space="preserve"> </w:t>
      </w:r>
      <w:r w:rsidRPr="00196439">
        <w:rPr>
          <w:rFonts w:cs="Arial"/>
          <w:b/>
          <w:color w:val="17365D" w:themeColor="text2" w:themeShade="BF"/>
          <w:sz w:val="22"/>
          <w:szCs w:val="22"/>
        </w:rPr>
        <w:t>о</w:t>
      </w:r>
      <w:r w:rsidRPr="00196439">
        <w:rPr>
          <w:rFonts w:cs="Arial"/>
          <w:b/>
          <w:color w:val="17365D" w:themeColor="text2" w:themeShade="BF"/>
          <w:sz w:val="22"/>
          <w:szCs w:val="22"/>
          <w:lang w:val="sr-Latn-CS"/>
        </w:rPr>
        <w:t xml:space="preserve"> техничким резерв</w:t>
      </w:r>
      <w:r w:rsidRPr="00196439">
        <w:rPr>
          <w:rFonts w:cs="Arial"/>
          <w:b/>
          <w:color w:val="17365D" w:themeColor="text2" w:themeShade="BF"/>
          <w:sz w:val="22"/>
          <w:szCs w:val="22"/>
          <w:lang w:val="sr-Cyrl-ME"/>
        </w:rPr>
        <w:t>а</w:t>
      </w:r>
      <w:r w:rsidRPr="00196439">
        <w:rPr>
          <w:rFonts w:cs="Arial"/>
          <w:b/>
          <w:color w:val="17365D" w:themeColor="text2" w:themeShade="BF"/>
          <w:sz w:val="22"/>
          <w:szCs w:val="22"/>
          <w:lang w:val="sr-Latn-CS"/>
        </w:rPr>
        <w:t xml:space="preserve">ма </w:t>
      </w:r>
      <w:r w:rsidRPr="00196439">
        <w:rPr>
          <w:rFonts w:cs="Arial"/>
          <w:b/>
          <w:color w:val="17365D" w:themeColor="text2" w:themeShade="BF"/>
          <w:sz w:val="22"/>
          <w:szCs w:val="22"/>
        </w:rPr>
        <w:t>и</w:t>
      </w:r>
      <w:r w:rsidRPr="00196439">
        <w:rPr>
          <w:rFonts w:cs="Arial"/>
          <w:b/>
          <w:color w:val="17365D" w:themeColor="text2" w:themeShade="BF"/>
          <w:sz w:val="22"/>
          <w:szCs w:val="22"/>
          <w:lang w:val="sr-Latn-CS"/>
        </w:rPr>
        <w:t xml:space="preserve"> другим законским прописима</w:t>
      </w:r>
      <w:r w:rsidRPr="00196439">
        <w:rPr>
          <w:rFonts w:cs="Arial"/>
          <w:b/>
          <w:color w:val="17365D" w:themeColor="text2" w:themeShade="BF"/>
          <w:sz w:val="22"/>
          <w:szCs w:val="22"/>
          <w:lang w:val="sr-Cyrl-ME"/>
        </w:rPr>
        <w:t>.</w:t>
      </w:r>
    </w:p>
    <w:p w:rsidR="00990413" w:rsidRPr="00196439" w:rsidRDefault="00990413" w:rsidP="00990413">
      <w:pPr>
        <w:spacing w:line="276" w:lineRule="auto"/>
        <w:rPr>
          <w:rFonts w:ascii="Times New Roman" w:hAnsi="Times New Roman"/>
          <w:b/>
          <w:color w:val="17365D" w:themeColor="text2" w:themeShade="BF"/>
          <w:sz w:val="24"/>
          <w:lang w:val="sr-Latn-CS"/>
        </w:rPr>
      </w:pPr>
    </w:p>
    <w:p w:rsidR="00990413" w:rsidRPr="00196439" w:rsidRDefault="00990413" w:rsidP="00990413">
      <w:pPr>
        <w:spacing w:line="276" w:lineRule="auto"/>
        <w:rPr>
          <w:rFonts w:ascii="Times New Roman" w:hAnsi="Times New Roman"/>
          <w:b/>
          <w:color w:val="17365D" w:themeColor="text2" w:themeShade="BF"/>
          <w:sz w:val="24"/>
          <w:lang w:val="sr-Latn-CS"/>
        </w:rPr>
      </w:pPr>
    </w:p>
    <w:p w:rsidR="00990413" w:rsidRPr="00196439" w:rsidRDefault="002048AB" w:rsidP="002048AB">
      <w:pPr>
        <w:spacing w:line="276" w:lineRule="auto"/>
        <w:ind w:firstLine="720"/>
        <w:rPr>
          <w:rFonts w:cs="Arial"/>
          <w:b/>
          <w:i/>
          <w:color w:val="17365D" w:themeColor="text2" w:themeShade="BF"/>
          <w:sz w:val="22"/>
          <w:szCs w:val="22"/>
          <w:lang w:val="sr-Latn-CS"/>
        </w:rPr>
      </w:pPr>
      <w:r w:rsidRPr="00196439">
        <w:rPr>
          <w:rFonts w:cs="Arial"/>
          <w:b/>
          <w:i/>
          <w:color w:val="17365D" w:themeColor="text2" w:themeShade="BF"/>
          <w:sz w:val="22"/>
          <w:szCs w:val="22"/>
          <w:lang w:val="sr-Cyrl-RS"/>
        </w:rPr>
        <w:t>2.</w:t>
      </w:r>
      <w:r w:rsidR="00990413" w:rsidRPr="00196439">
        <w:rPr>
          <w:rFonts w:cs="Arial"/>
          <w:b/>
          <w:i/>
          <w:color w:val="17365D" w:themeColor="text2" w:themeShade="BF"/>
          <w:sz w:val="22"/>
          <w:szCs w:val="22"/>
        </w:rPr>
        <w:t>5</w:t>
      </w:r>
      <w:r w:rsidR="00990413" w:rsidRPr="00196439">
        <w:rPr>
          <w:rFonts w:cs="Arial"/>
          <w:b/>
          <w:i/>
          <w:color w:val="17365D" w:themeColor="text2" w:themeShade="BF"/>
          <w:sz w:val="22"/>
          <w:szCs w:val="22"/>
          <w:lang w:val="sr-Latn-CS"/>
        </w:rPr>
        <w:t>. РЕЗЕРВЕ ЗА ИЗРАВНАВАЊЕ РИЗИКА</w:t>
      </w:r>
    </w:p>
    <w:p w:rsidR="00990413" w:rsidRPr="00196439" w:rsidRDefault="00990413" w:rsidP="00F86A0C">
      <w:pPr>
        <w:rPr>
          <w:rFonts w:cs="Arial"/>
          <w:color w:val="17365D" w:themeColor="text2" w:themeShade="BF"/>
          <w:sz w:val="22"/>
          <w:szCs w:val="22"/>
          <w:lang w:val="sr-Latn-CS"/>
        </w:rPr>
      </w:pPr>
    </w:p>
    <w:p w:rsidR="0065747B" w:rsidRPr="00196439" w:rsidRDefault="0065747B" w:rsidP="0065747B">
      <w:pPr>
        <w:spacing w:line="276" w:lineRule="auto"/>
        <w:rPr>
          <w:rFonts w:cs="Arial"/>
          <w:color w:val="17365D" w:themeColor="text2" w:themeShade="BF"/>
          <w:sz w:val="22"/>
          <w:szCs w:val="22"/>
        </w:rPr>
      </w:pPr>
      <w:r w:rsidRPr="00196439">
        <w:rPr>
          <w:rFonts w:cs="Arial"/>
          <w:color w:val="17365D" w:themeColor="text2" w:themeShade="BF"/>
          <w:sz w:val="22"/>
          <w:szCs w:val="22"/>
        </w:rPr>
        <w:t xml:space="preserve">На дан 31.12.2019. према Правилнику о образовању резерви за изравнавање ризика, а у складу са Одлуком о техничким резервама НБС и законским прописима, </w:t>
      </w:r>
      <w:r w:rsidRPr="00196439">
        <w:rPr>
          <w:rFonts w:cs="Arial"/>
          <w:b/>
          <w:color w:val="17365D" w:themeColor="text2" w:themeShade="BF"/>
          <w:sz w:val="22"/>
          <w:szCs w:val="22"/>
        </w:rPr>
        <w:t>Друштво је обрачунало резерве за изравнавање ризика само у врсти осигурања</w:t>
      </w:r>
      <w:r w:rsidRPr="00196439">
        <w:rPr>
          <w:rFonts w:cs="Arial"/>
          <w:b/>
          <w:color w:val="17365D" w:themeColor="text2" w:themeShade="BF"/>
          <w:sz w:val="22"/>
          <w:szCs w:val="22"/>
          <w:lang w:val="sr-Cyrl-RS"/>
        </w:rPr>
        <w:t xml:space="preserve"> 14 Осигурање</w:t>
      </w:r>
      <w:r w:rsidRPr="00196439">
        <w:rPr>
          <w:rFonts w:cs="Arial"/>
          <w:b/>
          <w:color w:val="17365D" w:themeColor="text2" w:themeShade="BF"/>
          <w:sz w:val="22"/>
          <w:szCs w:val="22"/>
        </w:rPr>
        <w:t xml:space="preserve"> кредита у износу од </w:t>
      </w:r>
      <w:r w:rsidRPr="00196439">
        <w:rPr>
          <w:rFonts w:cs="Arial"/>
          <w:b/>
          <w:color w:val="17365D" w:themeColor="text2" w:themeShade="BF"/>
          <w:sz w:val="22"/>
          <w:szCs w:val="22"/>
          <w:lang w:val="sr-Cyrl-RS"/>
        </w:rPr>
        <w:t>1.2</w:t>
      </w:r>
      <w:r w:rsidRPr="00196439">
        <w:rPr>
          <w:rFonts w:cs="Arial"/>
          <w:b/>
          <w:color w:val="17365D" w:themeColor="text2" w:themeShade="BF"/>
          <w:sz w:val="22"/>
          <w:szCs w:val="22"/>
          <w:lang w:val="sr-Latn-RS"/>
        </w:rPr>
        <w:t>53</w:t>
      </w:r>
      <w:r w:rsidRPr="00196439">
        <w:rPr>
          <w:rFonts w:cs="Arial"/>
          <w:b/>
          <w:color w:val="17365D" w:themeColor="text2" w:themeShade="BF"/>
          <w:sz w:val="22"/>
          <w:szCs w:val="22"/>
          <w:lang w:val="sr-Cyrl-RS"/>
        </w:rPr>
        <w:t>.</w:t>
      </w:r>
      <w:r w:rsidRPr="00196439">
        <w:rPr>
          <w:rFonts w:cs="Arial"/>
          <w:b/>
          <w:color w:val="17365D" w:themeColor="text2" w:themeShade="BF"/>
          <w:sz w:val="22"/>
          <w:szCs w:val="22"/>
          <w:lang w:val="sr-Latn-RS"/>
        </w:rPr>
        <w:t>472</w:t>
      </w:r>
      <w:r w:rsidRPr="00196439">
        <w:rPr>
          <w:rFonts w:cs="Arial"/>
          <w:b/>
          <w:color w:val="17365D" w:themeColor="text2" w:themeShade="BF"/>
          <w:sz w:val="22"/>
          <w:szCs w:val="22"/>
        </w:rPr>
        <w:t xml:space="preserve"> динара</w:t>
      </w:r>
      <w:r w:rsidRPr="00196439">
        <w:rPr>
          <w:rFonts w:cs="Arial"/>
          <w:color w:val="17365D" w:themeColor="text2" w:themeShade="BF"/>
          <w:sz w:val="22"/>
          <w:szCs w:val="22"/>
        </w:rPr>
        <w:t xml:space="preserve">. </w:t>
      </w:r>
    </w:p>
    <w:p w:rsidR="0065747B" w:rsidRPr="00196439" w:rsidRDefault="0065747B" w:rsidP="0065747B">
      <w:pPr>
        <w:spacing w:line="276" w:lineRule="auto"/>
        <w:rPr>
          <w:rFonts w:cs="Arial"/>
          <w:color w:val="17365D" w:themeColor="text2" w:themeShade="BF"/>
          <w:sz w:val="22"/>
          <w:szCs w:val="22"/>
        </w:rPr>
      </w:pPr>
    </w:p>
    <w:p w:rsidR="0065747B" w:rsidRPr="00196439" w:rsidRDefault="0065747B" w:rsidP="0065747B">
      <w:pPr>
        <w:keepNext/>
        <w:spacing w:after="120" w:line="276" w:lineRule="auto"/>
        <w:jc w:val="center"/>
        <w:rPr>
          <w:rFonts w:cs="Arial"/>
          <w:b/>
          <w:color w:val="17365D" w:themeColor="text2" w:themeShade="BF"/>
          <w:sz w:val="22"/>
          <w:szCs w:val="22"/>
          <w:lang w:val="sr-Cyrl-RS"/>
        </w:rPr>
      </w:pPr>
      <w:r w:rsidRPr="00196439">
        <w:rPr>
          <w:rFonts w:cs="Arial"/>
          <w:b/>
          <w:color w:val="17365D" w:themeColor="text2" w:themeShade="BF"/>
          <w:sz w:val="22"/>
          <w:szCs w:val="22"/>
        </w:rPr>
        <w:t>С</w:t>
      </w:r>
      <w:r w:rsidRPr="00196439">
        <w:rPr>
          <w:rFonts w:cs="Arial"/>
          <w:b/>
          <w:color w:val="17365D" w:themeColor="text2" w:themeShade="BF"/>
          <w:sz w:val="22"/>
          <w:szCs w:val="22"/>
          <w:lang w:val="sr-Cyrl-RS"/>
        </w:rPr>
        <w:t>тање и међугодишња промена резерви за изравнање ризика</w:t>
      </w:r>
    </w:p>
    <w:p w:rsidR="0065747B" w:rsidRPr="00196439" w:rsidRDefault="0065747B" w:rsidP="0065747B">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60227458" wp14:editId="24D63561">
            <wp:extent cx="4284000" cy="680355"/>
            <wp:effectExtent l="0" t="0" r="2540"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284000" cy="680355"/>
                    </a:xfrm>
                    <a:prstGeom prst="rect">
                      <a:avLst/>
                    </a:prstGeom>
                    <a:noFill/>
                    <a:ln>
                      <a:noFill/>
                    </a:ln>
                  </pic:spPr>
                </pic:pic>
              </a:graphicData>
            </a:graphic>
          </wp:inline>
        </w:drawing>
      </w:r>
    </w:p>
    <w:p w:rsidR="0065747B" w:rsidRPr="00196439" w:rsidRDefault="0065747B" w:rsidP="0065747B">
      <w:pPr>
        <w:spacing w:line="276" w:lineRule="auto"/>
        <w:rPr>
          <w:rFonts w:cs="Arial"/>
          <w:color w:val="17365D" w:themeColor="text2" w:themeShade="BF"/>
          <w:sz w:val="22"/>
          <w:szCs w:val="22"/>
          <w:lang w:val="sr-Cyrl-ME"/>
        </w:rPr>
      </w:pPr>
    </w:p>
    <w:p w:rsidR="0065747B" w:rsidRPr="00196439" w:rsidRDefault="0065747B" w:rsidP="0065747B">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Приликом обрачуна 31.12.2019. резерве за изравнавање ризика код осигурања кредита увећане су у односу на претходну годину за 1</w:t>
      </w:r>
      <w:r w:rsidRPr="00196439">
        <w:rPr>
          <w:rFonts w:cs="Arial"/>
          <w:color w:val="17365D" w:themeColor="text2" w:themeShade="BF"/>
          <w:sz w:val="22"/>
          <w:szCs w:val="22"/>
          <w:lang w:val="sr-Latn-RS"/>
        </w:rPr>
        <w:t>36</w:t>
      </w:r>
      <w:r w:rsidRPr="00196439">
        <w:rPr>
          <w:rFonts w:cs="Arial"/>
          <w:color w:val="17365D" w:themeColor="text2" w:themeShade="BF"/>
          <w:sz w:val="22"/>
          <w:szCs w:val="22"/>
          <w:lang w:val="sr-Cyrl-ME"/>
        </w:rPr>
        <w:t>.</w:t>
      </w:r>
      <w:r w:rsidRPr="00196439">
        <w:rPr>
          <w:rFonts w:cs="Arial"/>
          <w:color w:val="17365D" w:themeColor="text2" w:themeShade="BF"/>
          <w:sz w:val="22"/>
          <w:szCs w:val="22"/>
          <w:lang w:val="sr-Latn-RS"/>
        </w:rPr>
        <w:t>288</w:t>
      </w:r>
      <w:r w:rsidRPr="00196439">
        <w:rPr>
          <w:rFonts w:cs="Arial"/>
          <w:color w:val="17365D" w:themeColor="text2" w:themeShade="BF"/>
          <w:sz w:val="22"/>
          <w:szCs w:val="22"/>
          <w:lang w:val="sr-Cyrl-ME"/>
        </w:rPr>
        <w:t xml:space="preserve"> динара (12% од премије у самопридржају). Ово представља повећање од </w:t>
      </w:r>
      <w:r w:rsidRPr="00196439">
        <w:rPr>
          <w:rFonts w:cs="Arial"/>
          <w:color w:val="17365D" w:themeColor="text2" w:themeShade="BF"/>
          <w:sz w:val="22"/>
          <w:szCs w:val="22"/>
          <w:lang w:val="sr-Latn-RS"/>
        </w:rPr>
        <w:t>12</w:t>
      </w:r>
      <w:r w:rsidRPr="00196439">
        <w:rPr>
          <w:rFonts w:cs="Arial"/>
          <w:color w:val="17365D" w:themeColor="text2" w:themeShade="BF"/>
          <w:sz w:val="22"/>
          <w:szCs w:val="22"/>
          <w:lang w:val="sr-Cyrl-ME"/>
        </w:rPr>
        <w:t>,</w:t>
      </w:r>
      <w:r w:rsidRPr="00196439">
        <w:rPr>
          <w:rFonts w:cs="Arial"/>
          <w:color w:val="17365D" w:themeColor="text2" w:themeShade="BF"/>
          <w:sz w:val="22"/>
          <w:szCs w:val="22"/>
          <w:lang w:val="sr-Latn-RS"/>
        </w:rPr>
        <w:t>20</w:t>
      </w:r>
      <w:r w:rsidRPr="00196439">
        <w:rPr>
          <w:rFonts w:cs="Arial"/>
          <w:color w:val="17365D" w:themeColor="text2" w:themeShade="BF"/>
          <w:sz w:val="22"/>
          <w:szCs w:val="22"/>
          <w:lang w:val="sr-Cyrl-ME"/>
        </w:rPr>
        <w:t>% у односу на обрачун 31.12.2018.</w:t>
      </w:r>
      <w:r w:rsidR="006B45DF" w:rsidRPr="00196439">
        <w:rPr>
          <w:rFonts w:cs="Arial"/>
          <w:color w:val="17365D" w:themeColor="text2" w:themeShade="BF"/>
          <w:sz w:val="22"/>
          <w:szCs w:val="22"/>
          <w:lang w:val="sr-Cyrl-ME"/>
        </w:rPr>
        <w:t xml:space="preserve"> Утврђена горња граница резерви за изравнавање ризика у овој врсти осигурања (150% највише годишње премије у самопридржају остварене у последњих пет година) износи 5.882.027 динара</w:t>
      </w:r>
      <w:r w:rsidR="00DF4BB9">
        <w:rPr>
          <w:rFonts w:cs="Arial"/>
          <w:color w:val="17365D" w:themeColor="text2" w:themeShade="BF"/>
          <w:sz w:val="22"/>
          <w:szCs w:val="22"/>
          <w:lang w:val="sr-Cyrl-ME"/>
        </w:rPr>
        <w:t>.</w:t>
      </w:r>
    </w:p>
    <w:p w:rsidR="0065747B" w:rsidRPr="00196439" w:rsidRDefault="0065747B" w:rsidP="00990413">
      <w:pPr>
        <w:spacing w:line="276" w:lineRule="auto"/>
        <w:rPr>
          <w:rFonts w:cs="Arial"/>
          <w:color w:val="17365D" w:themeColor="text2" w:themeShade="BF"/>
          <w:sz w:val="22"/>
          <w:szCs w:val="22"/>
          <w:lang w:val="sr-Latn-CS"/>
        </w:rPr>
      </w:pPr>
    </w:p>
    <w:p w:rsidR="001E0AE7" w:rsidRPr="00196439" w:rsidRDefault="001E0AE7" w:rsidP="00990413">
      <w:pPr>
        <w:spacing w:line="276" w:lineRule="auto"/>
        <w:rPr>
          <w:rFonts w:cs="Arial"/>
          <w:color w:val="17365D" w:themeColor="text2" w:themeShade="BF"/>
          <w:sz w:val="22"/>
          <w:szCs w:val="22"/>
          <w:lang w:val="sr-Latn-CS"/>
        </w:rPr>
      </w:pPr>
    </w:p>
    <w:p w:rsidR="00990413" w:rsidRPr="00196439" w:rsidRDefault="005D0C66" w:rsidP="005D0C66">
      <w:pPr>
        <w:spacing w:line="276" w:lineRule="auto"/>
        <w:ind w:firstLine="720"/>
        <w:rPr>
          <w:rFonts w:cs="Arial"/>
          <w:b/>
          <w:i/>
          <w:color w:val="17365D" w:themeColor="text2" w:themeShade="BF"/>
          <w:sz w:val="22"/>
          <w:szCs w:val="22"/>
        </w:rPr>
      </w:pPr>
      <w:r w:rsidRPr="00196439">
        <w:rPr>
          <w:rFonts w:cs="Arial"/>
          <w:b/>
          <w:i/>
          <w:color w:val="17365D" w:themeColor="text2" w:themeShade="BF"/>
          <w:sz w:val="22"/>
          <w:szCs w:val="22"/>
          <w:lang w:val="sr-Cyrl-RS"/>
        </w:rPr>
        <w:t>2.</w:t>
      </w:r>
      <w:r w:rsidR="00990413" w:rsidRPr="00196439">
        <w:rPr>
          <w:rFonts w:cs="Arial"/>
          <w:b/>
          <w:i/>
          <w:color w:val="17365D" w:themeColor="text2" w:themeShade="BF"/>
          <w:sz w:val="22"/>
          <w:szCs w:val="22"/>
        </w:rPr>
        <w:t>6. РЕЗЕРВЕ ЗА БОНУСЕ И ПОПУСТЕ</w:t>
      </w:r>
    </w:p>
    <w:p w:rsidR="00990413" w:rsidRPr="00196439" w:rsidRDefault="00990413" w:rsidP="00F86A0C">
      <w:pPr>
        <w:rPr>
          <w:rFonts w:cs="Arial"/>
          <w:color w:val="17365D" w:themeColor="text2" w:themeShade="BF"/>
          <w:sz w:val="22"/>
          <w:szCs w:val="22"/>
        </w:rPr>
      </w:pPr>
    </w:p>
    <w:p w:rsidR="00F10449" w:rsidRPr="00196439" w:rsidRDefault="00F10449" w:rsidP="00F10449">
      <w:pPr>
        <w:autoSpaceDE w:val="0"/>
        <w:autoSpaceDN w:val="0"/>
        <w:adjustRightInd w:val="0"/>
        <w:spacing w:line="276" w:lineRule="auto"/>
        <w:rPr>
          <w:rFonts w:cs="Arial"/>
          <w:color w:val="17365D" w:themeColor="text2" w:themeShade="BF"/>
          <w:sz w:val="22"/>
          <w:szCs w:val="22"/>
          <w:lang w:val="sr-Latn-CS"/>
        </w:rPr>
      </w:pPr>
      <w:r w:rsidRPr="00196439">
        <w:rPr>
          <w:rFonts w:cs="Arial"/>
          <w:color w:val="17365D" w:themeColor="text2" w:themeShade="BF"/>
          <w:sz w:val="22"/>
          <w:szCs w:val="22"/>
          <w:lang w:val="sr-Latn-CS"/>
        </w:rPr>
        <w:t xml:space="preserve">Друштвo у прeтхoдним пoслoвним гoдинaмa ниje имaлo снижeњe прeмиje пo рaниje зaкључeним угoвoримa, нити пoврaт дeлa прeмиja у oбрaчунскoм пeриoду зa нeпoтрoшeнo врeмe трajaњa oсигурaњa збoг прeврeмeнoг прeстaнкa oсигурaњa a кojи нису сaдржaни у рeзeрвaмa зa прeнoснe прeмиje. Taкoђe, ни jeдним угoвoрoм ниje прeдвиђeнa oбaвeзa Друштвa дa oбрaчунaвa и исплaћуje дoбит, тaкo дa </w:t>
      </w:r>
      <w:r w:rsidRPr="00196439">
        <w:rPr>
          <w:rFonts w:cs="Arial"/>
          <w:color w:val="17365D" w:themeColor="text2" w:themeShade="BF"/>
          <w:sz w:val="22"/>
          <w:szCs w:val="22"/>
        </w:rPr>
        <w:t>су нa дaн 3</w:t>
      </w:r>
      <w:r w:rsidRPr="00196439">
        <w:rPr>
          <w:rFonts w:cs="Arial"/>
          <w:color w:val="17365D" w:themeColor="text2" w:themeShade="BF"/>
          <w:sz w:val="22"/>
          <w:szCs w:val="22"/>
          <w:lang w:val="sr-Cyrl-RS"/>
        </w:rPr>
        <w:t>1</w:t>
      </w:r>
      <w:r w:rsidRPr="00196439">
        <w:rPr>
          <w:rFonts w:cs="Arial"/>
          <w:color w:val="17365D" w:themeColor="text2" w:themeShade="BF"/>
          <w:sz w:val="22"/>
          <w:szCs w:val="22"/>
        </w:rPr>
        <w:t>.</w:t>
      </w:r>
      <w:r w:rsidRPr="00196439">
        <w:rPr>
          <w:rFonts w:cs="Arial"/>
          <w:color w:val="17365D" w:themeColor="text2" w:themeShade="BF"/>
          <w:sz w:val="22"/>
          <w:szCs w:val="22"/>
          <w:lang w:val="sr-Cyrl-RS"/>
        </w:rPr>
        <w:t>12</w:t>
      </w:r>
      <w:r w:rsidRPr="00196439">
        <w:rPr>
          <w:rFonts w:cs="Arial"/>
          <w:color w:val="17365D" w:themeColor="text2" w:themeShade="BF"/>
          <w:sz w:val="22"/>
          <w:szCs w:val="22"/>
        </w:rPr>
        <w:t>.</w:t>
      </w:r>
      <w:r w:rsidRPr="00196439">
        <w:rPr>
          <w:rFonts w:cs="Arial"/>
          <w:color w:val="17365D" w:themeColor="text2" w:themeShade="BF"/>
          <w:sz w:val="22"/>
          <w:szCs w:val="22"/>
          <w:lang w:val="sr-Latn-CS"/>
        </w:rPr>
        <w:t>201</w:t>
      </w:r>
      <w:r w:rsidRPr="00196439">
        <w:rPr>
          <w:rFonts w:cs="Arial"/>
          <w:color w:val="17365D" w:themeColor="text2" w:themeShade="BF"/>
          <w:sz w:val="22"/>
          <w:szCs w:val="22"/>
        </w:rPr>
        <w:t>9</w:t>
      </w:r>
      <w:r w:rsidRPr="00196439">
        <w:rPr>
          <w:rFonts w:cs="Arial"/>
          <w:color w:val="17365D" w:themeColor="text2" w:themeShade="BF"/>
          <w:sz w:val="22"/>
          <w:szCs w:val="22"/>
          <w:lang w:val="sr-Latn-CS"/>
        </w:rPr>
        <w:t>. рeзeрв</w:t>
      </w:r>
      <w:r w:rsidRPr="00196439">
        <w:rPr>
          <w:rFonts w:cs="Arial"/>
          <w:color w:val="17365D" w:themeColor="text2" w:themeShade="BF"/>
          <w:sz w:val="22"/>
          <w:szCs w:val="22"/>
        </w:rPr>
        <w:t>e</w:t>
      </w:r>
      <w:r w:rsidRPr="00196439">
        <w:rPr>
          <w:rFonts w:cs="Arial"/>
          <w:color w:val="17365D" w:themeColor="text2" w:themeShade="BF"/>
          <w:sz w:val="22"/>
          <w:szCs w:val="22"/>
          <w:lang w:val="sr-Latn-CS"/>
        </w:rPr>
        <w:t xml:space="preserve"> зa бoнусe и </w:t>
      </w:r>
      <w:r w:rsidRPr="009B2161">
        <w:rPr>
          <w:rFonts w:cs="Arial"/>
          <w:color w:val="17365D" w:themeColor="text2" w:themeShade="BF"/>
          <w:sz w:val="22"/>
          <w:szCs w:val="22"/>
          <w:lang w:val="sr-Latn-CS"/>
        </w:rPr>
        <w:t>пoпустe</w:t>
      </w:r>
      <w:r w:rsidRPr="009B2161">
        <w:rPr>
          <w:rFonts w:cs="Arial"/>
          <w:color w:val="17365D" w:themeColor="text2" w:themeShade="BF"/>
          <w:sz w:val="22"/>
          <w:szCs w:val="22"/>
        </w:rPr>
        <w:t xml:space="preserve"> jeднaкe 0</w:t>
      </w:r>
      <w:r w:rsidRPr="009B2161">
        <w:rPr>
          <w:rFonts w:cs="Arial"/>
          <w:color w:val="17365D" w:themeColor="text2" w:themeShade="BF"/>
          <w:sz w:val="22"/>
          <w:szCs w:val="22"/>
          <w:lang w:val="sr-Cyrl-RS"/>
        </w:rPr>
        <w:t>,</w:t>
      </w:r>
      <w:r w:rsidRPr="009B2161">
        <w:rPr>
          <w:rFonts w:cs="Arial"/>
          <w:color w:val="17365D" w:themeColor="text2" w:themeShade="BF"/>
          <w:sz w:val="22"/>
          <w:szCs w:val="22"/>
        </w:rPr>
        <w:t xml:space="preserve"> кoликo су изнoсилe и </w:t>
      </w:r>
      <w:r w:rsidR="00F54F3C" w:rsidRPr="009B2161">
        <w:rPr>
          <w:rFonts w:cs="Arial"/>
          <w:color w:val="17365D" w:themeColor="text2" w:themeShade="BF"/>
          <w:sz w:val="22"/>
          <w:szCs w:val="22"/>
          <w:lang w:val="sr-Cyrl-RS"/>
        </w:rPr>
        <w:t>31.12.</w:t>
      </w:r>
      <w:r w:rsidRPr="009B2161">
        <w:rPr>
          <w:rFonts w:cs="Arial"/>
          <w:color w:val="17365D" w:themeColor="text2" w:themeShade="BF"/>
          <w:sz w:val="22"/>
          <w:szCs w:val="22"/>
        </w:rPr>
        <w:t>2018</w:t>
      </w:r>
      <w:r w:rsidRPr="009B2161">
        <w:rPr>
          <w:rFonts w:cs="Arial"/>
          <w:color w:val="17365D" w:themeColor="text2" w:themeShade="BF"/>
          <w:sz w:val="22"/>
          <w:szCs w:val="22"/>
          <w:lang w:val="sr-Cyrl-RS"/>
        </w:rPr>
        <w:t>.</w:t>
      </w:r>
      <w:r w:rsidRPr="00196439">
        <w:rPr>
          <w:rFonts w:cs="Arial"/>
          <w:color w:val="17365D" w:themeColor="text2" w:themeShade="BF"/>
          <w:sz w:val="22"/>
          <w:szCs w:val="22"/>
          <w:lang w:val="sr-Latn-CS"/>
        </w:rPr>
        <w:t xml:space="preserve"> </w:t>
      </w:r>
    </w:p>
    <w:p w:rsidR="00F10449" w:rsidRPr="00196439" w:rsidRDefault="00F10449" w:rsidP="00F10449">
      <w:pPr>
        <w:autoSpaceDE w:val="0"/>
        <w:autoSpaceDN w:val="0"/>
        <w:adjustRightInd w:val="0"/>
        <w:spacing w:line="276" w:lineRule="auto"/>
        <w:rPr>
          <w:rFonts w:cs="Arial"/>
          <w:color w:val="17365D" w:themeColor="text2" w:themeShade="BF"/>
          <w:sz w:val="22"/>
          <w:szCs w:val="22"/>
        </w:rPr>
      </w:pPr>
    </w:p>
    <w:p w:rsidR="00F10449" w:rsidRPr="00196439" w:rsidRDefault="00F10449" w:rsidP="00F10449">
      <w:pPr>
        <w:autoSpaceDE w:val="0"/>
        <w:autoSpaceDN w:val="0"/>
        <w:adjustRightInd w:val="0"/>
        <w:spacing w:line="276" w:lineRule="auto"/>
        <w:rPr>
          <w:rFonts w:cs="Arial"/>
          <w:color w:val="17365D" w:themeColor="text2" w:themeShade="BF"/>
          <w:sz w:val="22"/>
          <w:szCs w:val="22"/>
          <w:lang w:val="sr-Latn-CS"/>
        </w:rPr>
      </w:pPr>
      <w:r w:rsidRPr="00196439">
        <w:rPr>
          <w:rFonts w:cs="Arial"/>
          <w:color w:val="17365D" w:themeColor="text2" w:themeShade="BF"/>
          <w:sz w:val="22"/>
          <w:szCs w:val="22"/>
          <w:lang w:val="sr-Latn-CS"/>
        </w:rPr>
        <w:t>Приликoм утврђивaњa рeзeрвaциje Друштвo je п</w:t>
      </w:r>
      <w:r w:rsidRPr="00196439">
        <w:rPr>
          <w:rFonts w:cs="Arial"/>
          <w:color w:val="17365D" w:themeColor="text2" w:themeShade="BF"/>
          <w:sz w:val="22"/>
          <w:szCs w:val="22"/>
        </w:rPr>
        <w:t>оштовало</w:t>
      </w:r>
      <w:r w:rsidRPr="00196439">
        <w:rPr>
          <w:rFonts w:cs="Arial"/>
          <w:color w:val="17365D" w:themeColor="text2" w:themeShade="BF"/>
          <w:sz w:val="22"/>
          <w:szCs w:val="22"/>
          <w:lang w:val="sr-Latn-CS"/>
        </w:rPr>
        <w:t xml:space="preserve"> Прaвилник o oбрaзoвaњу рeзeрви зa бoнусe и пoпустe и Oдлуку o тeхничким рeзeрвaмa и зaкoнску рeгулaтиву.</w:t>
      </w:r>
    </w:p>
    <w:p w:rsidR="00F10449" w:rsidRPr="00196439" w:rsidRDefault="00F10449" w:rsidP="00990413">
      <w:pPr>
        <w:autoSpaceDE w:val="0"/>
        <w:autoSpaceDN w:val="0"/>
        <w:adjustRightInd w:val="0"/>
        <w:spacing w:line="276" w:lineRule="auto"/>
        <w:rPr>
          <w:rFonts w:cs="Arial"/>
          <w:color w:val="17365D" w:themeColor="text2" w:themeShade="BF"/>
          <w:sz w:val="22"/>
          <w:szCs w:val="22"/>
          <w:lang w:val="sr-Latn-CS"/>
        </w:rPr>
      </w:pPr>
    </w:p>
    <w:p w:rsidR="00990413" w:rsidRPr="00196439" w:rsidRDefault="00990413" w:rsidP="00990413">
      <w:pPr>
        <w:spacing w:line="276" w:lineRule="auto"/>
        <w:rPr>
          <w:rFonts w:cs="Arial"/>
          <w:b/>
          <w:i/>
          <w:color w:val="17365D" w:themeColor="text2" w:themeShade="BF"/>
          <w:sz w:val="22"/>
          <w:szCs w:val="22"/>
        </w:rPr>
      </w:pPr>
      <w:r w:rsidRPr="00196439">
        <w:rPr>
          <w:rFonts w:cs="Arial"/>
          <w:b/>
          <w:i/>
          <w:color w:val="17365D" w:themeColor="text2" w:themeShade="BF"/>
          <w:sz w:val="22"/>
          <w:szCs w:val="22"/>
        </w:rPr>
        <w:t>Друштво не формира друге техничке резерве, као ни резерве за тонтине и осигурања код којих су осигураници прихватили да учествују у инвестиционом ризику пошто цеденти Друштва не спроводе ове врсте осигурања.</w:t>
      </w:r>
    </w:p>
    <w:p w:rsidR="00FA4E30" w:rsidRDefault="00FA4E30" w:rsidP="00D143AD">
      <w:pPr>
        <w:spacing w:line="276" w:lineRule="auto"/>
        <w:rPr>
          <w:rFonts w:cs="Arial"/>
          <w:b/>
          <w:bCs/>
          <w:i/>
          <w:color w:val="17365D" w:themeColor="text2" w:themeShade="BF"/>
          <w:sz w:val="22"/>
          <w:szCs w:val="22"/>
        </w:rPr>
      </w:pPr>
    </w:p>
    <w:p w:rsidR="00F86A0C" w:rsidRDefault="00F86A0C" w:rsidP="00D143AD">
      <w:pPr>
        <w:spacing w:line="276" w:lineRule="auto"/>
        <w:rPr>
          <w:rFonts w:cs="Arial"/>
          <w:b/>
          <w:bCs/>
          <w:i/>
          <w:color w:val="17365D" w:themeColor="text2" w:themeShade="BF"/>
          <w:sz w:val="22"/>
          <w:szCs w:val="22"/>
        </w:rPr>
      </w:pPr>
    </w:p>
    <w:p w:rsidR="00F86A0C" w:rsidRDefault="00F86A0C" w:rsidP="00D143AD">
      <w:pPr>
        <w:spacing w:line="276" w:lineRule="auto"/>
        <w:rPr>
          <w:rFonts w:cs="Arial"/>
          <w:b/>
          <w:bCs/>
          <w:i/>
          <w:color w:val="17365D" w:themeColor="text2" w:themeShade="BF"/>
          <w:sz w:val="22"/>
          <w:szCs w:val="22"/>
        </w:rPr>
      </w:pPr>
    </w:p>
    <w:p w:rsidR="00F86A0C" w:rsidRPr="00196439" w:rsidRDefault="00F86A0C" w:rsidP="00D143AD">
      <w:pPr>
        <w:spacing w:line="276" w:lineRule="auto"/>
        <w:rPr>
          <w:rFonts w:cs="Arial"/>
          <w:b/>
          <w:bCs/>
          <w:i/>
          <w:color w:val="17365D" w:themeColor="text2" w:themeShade="BF"/>
          <w:sz w:val="22"/>
          <w:szCs w:val="22"/>
        </w:rPr>
      </w:pPr>
    </w:p>
    <w:p w:rsidR="002B0F63" w:rsidRPr="00196439" w:rsidRDefault="002B0F63" w:rsidP="003F51D4">
      <w:pPr>
        <w:spacing w:line="276" w:lineRule="auto"/>
        <w:rPr>
          <w:rFonts w:cs="Arial"/>
          <w:i/>
          <w:color w:val="17365D" w:themeColor="text2" w:themeShade="BF"/>
          <w:sz w:val="22"/>
          <w:szCs w:val="22"/>
        </w:rPr>
      </w:pPr>
    </w:p>
    <w:p w:rsidR="000A5157" w:rsidRPr="00196439" w:rsidRDefault="002A0274" w:rsidP="00CA503B">
      <w:pPr>
        <w:keepNext/>
        <w:tabs>
          <w:tab w:val="left" w:pos="540"/>
        </w:tabs>
        <w:spacing w:line="276" w:lineRule="auto"/>
        <w:ind w:right="57"/>
        <w:rPr>
          <w:rFonts w:cs="Arial"/>
          <w:b/>
          <w:i/>
          <w:color w:val="17365D" w:themeColor="text2" w:themeShade="BF"/>
          <w:sz w:val="22"/>
          <w:szCs w:val="22"/>
        </w:rPr>
      </w:pPr>
      <w:r w:rsidRPr="00196439">
        <w:rPr>
          <w:rFonts w:cs="Arial"/>
          <w:b/>
          <w:i/>
          <w:color w:val="17365D" w:themeColor="text2" w:themeShade="BF"/>
          <w:sz w:val="22"/>
          <w:szCs w:val="22"/>
        </w:rPr>
        <w:tab/>
      </w:r>
      <w:r w:rsidR="00184AB1" w:rsidRPr="00196439">
        <w:rPr>
          <w:rFonts w:cs="Arial"/>
          <w:b/>
          <w:i/>
          <w:color w:val="17365D" w:themeColor="text2" w:themeShade="BF"/>
          <w:sz w:val="22"/>
          <w:szCs w:val="22"/>
        </w:rPr>
        <w:t xml:space="preserve">2.7. </w:t>
      </w:r>
      <w:r w:rsidR="00037CA2" w:rsidRPr="00196439">
        <w:rPr>
          <w:rFonts w:cs="Arial"/>
          <w:b/>
          <w:i/>
          <w:color w:val="17365D" w:themeColor="text2" w:themeShade="BF"/>
          <w:sz w:val="22"/>
          <w:szCs w:val="22"/>
        </w:rPr>
        <w:t>РЕЗУЛТАТИ ПОРЕЂЕЊА ТЕХНИЧКИХ РЕЗЕРВИ СА ИСКУСТВОМ</w:t>
      </w:r>
    </w:p>
    <w:p w:rsidR="00037CA2" w:rsidRPr="00196439" w:rsidRDefault="00037CA2" w:rsidP="00CA503B">
      <w:pPr>
        <w:keepNext/>
        <w:tabs>
          <w:tab w:val="left" w:pos="540"/>
        </w:tabs>
        <w:spacing w:line="276" w:lineRule="auto"/>
        <w:ind w:right="57"/>
        <w:rPr>
          <w:rFonts w:cs="Arial"/>
          <w:b/>
          <w:i/>
          <w:color w:val="17365D" w:themeColor="text2" w:themeShade="BF"/>
          <w:sz w:val="22"/>
          <w:szCs w:val="22"/>
        </w:rPr>
      </w:pPr>
    </w:p>
    <w:p w:rsidR="00037CA2" w:rsidRPr="00196439" w:rsidRDefault="00037CA2" w:rsidP="003F51D4">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Друштво је на</w:t>
      </w:r>
      <w:r w:rsidR="00D61CDF" w:rsidRPr="00196439">
        <w:rPr>
          <w:rFonts w:cs="Arial"/>
          <w:color w:val="17365D" w:themeColor="text2" w:themeShade="BF"/>
          <w:sz w:val="22"/>
          <w:szCs w:val="22"/>
          <w:lang w:val="sr-Cyrl-ME"/>
        </w:rPr>
        <w:t xml:space="preserve"> </w:t>
      </w:r>
      <w:r w:rsidRPr="00196439">
        <w:rPr>
          <w:rFonts w:cs="Arial"/>
          <w:color w:val="17365D" w:themeColor="text2" w:themeShade="BF"/>
          <w:sz w:val="22"/>
          <w:szCs w:val="22"/>
          <w:lang w:val="sr-Cyrl-ME"/>
        </w:rPr>
        <w:t>дан 31.12.201</w:t>
      </w:r>
      <w:r w:rsidR="000A654B" w:rsidRPr="00196439">
        <w:rPr>
          <w:rFonts w:cs="Arial"/>
          <w:color w:val="17365D" w:themeColor="text2" w:themeShade="BF"/>
          <w:sz w:val="22"/>
          <w:szCs w:val="22"/>
          <w:lang w:val="sr-Cyrl-ME"/>
        </w:rPr>
        <w:t>9</w:t>
      </w:r>
      <w:r w:rsidRPr="00196439">
        <w:rPr>
          <w:rFonts w:cs="Arial"/>
          <w:color w:val="17365D" w:themeColor="text2" w:themeShade="BF"/>
          <w:sz w:val="22"/>
          <w:szCs w:val="22"/>
          <w:lang w:val="sr-Cyrl-ME"/>
        </w:rPr>
        <w:t>. у складу са Упутством за поређење</w:t>
      </w:r>
      <w:r w:rsidR="00E36E6F">
        <w:rPr>
          <w:rFonts w:cs="Arial"/>
          <w:color w:val="17365D" w:themeColor="text2" w:themeShade="BF"/>
          <w:sz w:val="22"/>
          <w:szCs w:val="22"/>
          <w:lang w:val="sr-Cyrl-ME"/>
        </w:rPr>
        <w:t xml:space="preserve"> техничких резерви са искуством</w:t>
      </w:r>
      <w:r w:rsidRPr="00196439">
        <w:rPr>
          <w:rFonts w:cs="Arial"/>
          <w:color w:val="17365D" w:themeColor="text2" w:themeShade="BF"/>
          <w:sz w:val="22"/>
          <w:szCs w:val="22"/>
          <w:lang w:val="sr-Cyrl-ME"/>
        </w:rPr>
        <w:t>, извршило поређење утврђеног износа техничких резерви</w:t>
      </w:r>
      <w:r w:rsidR="000E76F4" w:rsidRPr="00196439">
        <w:rPr>
          <w:rFonts w:cs="Arial"/>
          <w:color w:val="17365D" w:themeColor="text2" w:themeShade="BF"/>
          <w:sz w:val="22"/>
          <w:szCs w:val="22"/>
          <w:lang w:val="sr-Cyrl-ME"/>
        </w:rPr>
        <w:t xml:space="preserve"> 31.12.</w:t>
      </w:r>
      <w:r w:rsidRPr="00196439">
        <w:rPr>
          <w:rFonts w:cs="Arial"/>
          <w:color w:val="17365D" w:themeColor="text2" w:themeShade="BF"/>
          <w:sz w:val="22"/>
          <w:szCs w:val="22"/>
          <w:lang w:val="sr-Cyrl-ME"/>
        </w:rPr>
        <w:t>201</w:t>
      </w:r>
      <w:r w:rsidR="000A654B" w:rsidRPr="00196439">
        <w:rPr>
          <w:rFonts w:cs="Arial"/>
          <w:color w:val="17365D" w:themeColor="text2" w:themeShade="BF"/>
          <w:sz w:val="22"/>
          <w:szCs w:val="22"/>
          <w:lang w:val="sr-Cyrl-ME"/>
        </w:rPr>
        <w:t>8</w:t>
      </w:r>
      <w:r w:rsidRPr="00196439">
        <w:rPr>
          <w:rFonts w:cs="Arial"/>
          <w:color w:val="17365D" w:themeColor="text2" w:themeShade="BF"/>
          <w:sz w:val="22"/>
          <w:szCs w:val="22"/>
          <w:lang w:val="sr-Cyrl-ME"/>
        </w:rPr>
        <w:t>. и коришћених претпоставки са искуством. Поређење са искуством извршено је за сваку техничку резерву која чини више од 5% укупних техничких резерви, при чему укупан износ техничких резерви који се пореди са искуством не може бити мањи од 90% укупних техничких резерви. На основу задатог критеријума извршено је поређење 9</w:t>
      </w:r>
      <w:r w:rsidR="00017D7B" w:rsidRPr="00196439">
        <w:rPr>
          <w:rFonts w:cs="Arial"/>
          <w:color w:val="17365D" w:themeColor="text2" w:themeShade="BF"/>
          <w:sz w:val="22"/>
          <w:szCs w:val="22"/>
          <w:lang w:val="sr-Cyrl-ME"/>
        </w:rPr>
        <w:t>9</w:t>
      </w:r>
      <w:r w:rsidRPr="00196439">
        <w:rPr>
          <w:rFonts w:cs="Arial"/>
          <w:color w:val="17365D" w:themeColor="text2" w:themeShade="BF"/>
          <w:sz w:val="22"/>
          <w:szCs w:val="22"/>
          <w:lang w:val="sr-Cyrl-ME"/>
        </w:rPr>
        <w:t>,</w:t>
      </w:r>
      <w:r w:rsidR="00017D7B" w:rsidRPr="00196439">
        <w:rPr>
          <w:rFonts w:cs="Arial"/>
          <w:color w:val="17365D" w:themeColor="text2" w:themeShade="BF"/>
          <w:sz w:val="22"/>
          <w:szCs w:val="22"/>
          <w:lang w:val="sr-Cyrl-ME"/>
        </w:rPr>
        <w:t>09</w:t>
      </w:r>
      <w:r w:rsidRPr="00196439">
        <w:rPr>
          <w:rFonts w:cs="Arial"/>
          <w:color w:val="17365D" w:themeColor="text2" w:themeShade="BF"/>
          <w:sz w:val="22"/>
          <w:szCs w:val="22"/>
          <w:lang w:val="sr-Cyrl-ME"/>
        </w:rPr>
        <w:t>% техничких резерви утврђених на дан 31.12.201</w:t>
      </w:r>
      <w:r w:rsidR="000A654B" w:rsidRPr="00196439">
        <w:rPr>
          <w:rFonts w:cs="Arial"/>
          <w:color w:val="17365D" w:themeColor="text2" w:themeShade="BF"/>
          <w:sz w:val="22"/>
          <w:szCs w:val="22"/>
          <w:lang w:val="sr-Cyrl-ME"/>
        </w:rPr>
        <w:t>8</w:t>
      </w:r>
      <w:r w:rsidRPr="00196439">
        <w:rPr>
          <w:rFonts w:cs="Arial"/>
          <w:color w:val="17365D" w:themeColor="text2" w:themeShade="BF"/>
          <w:sz w:val="22"/>
          <w:szCs w:val="22"/>
          <w:lang w:val="sr-Cyrl-ME"/>
        </w:rPr>
        <w:t xml:space="preserve">. </w:t>
      </w:r>
      <w:r w:rsidR="003C0A2D" w:rsidRPr="00196439">
        <w:rPr>
          <w:rFonts w:cs="Arial"/>
          <w:color w:val="17365D" w:themeColor="text2" w:themeShade="BF"/>
          <w:sz w:val="22"/>
          <w:szCs w:val="22"/>
          <w:lang w:val="sr-Cyrl-ME"/>
        </w:rPr>
        <w:t xml:space="preserve">Поређене су са искуством </w:t>
      </w:r>
      <w:r w:rsidRPr="00196439">
        <w:rPr>
          <w:rFonts w:cs="Arial"/>
          <w:color w:val="17365D" w:themeColor="text2" w:themeShade="BF"/>
          <w:sz w:val="22"/>
          <w:szCs w:val="22"/>
          <w:lang w:val="sr-Cyrl-ME"/>
        </w:rPr>
        <w:t>резерве за преносну премију и резерв</w:t>
      </w:r>
      <w:r w:rsidR="003C0A2D" w:rsidRPr="00196439">
        <w:rPr>
          <w:rFonts w:cs="Arial"/>
          <w:color w:val="17365D" w:themeColor="text2" w:themeShade="BF"/>
          <w:sz w:val="22"/>
          <w:szCs w:val="22"/>
          <w:lang w:val="sr-Cyrl-ME"/>
        </w:rPr>
        <w:t>е за</w:t>
      </w:r>
      <w:r w:rsidRPr="00196439">
        <w:rPr>
          <w:rFonts w:cs="Arial"/>
          <w:color w:val="17365D" w:themeColor="text2" w:themeShade="BF"/>
          <w:sz w:val="22"/>
          <w:szCs w:val="22"/>
          <w:lang w:val="sr-Cyrl-ME"/>
        </w:rPr>
        <w:t xml:space="preserve"> штет</w:t>
      </w:r>
      <w:r w:rsidR="000B2D0B" w:rsidRPr="00196439">
        <w:rPr>
          <w:rFonts w:cs="Arial"/>
          <w:color w:val="17365D" w:themeColor="text2" w:themeShade="BF"/>
          <w:sz w:val="22"/>
          <w:szCs w:val="22"/>
          <w:lang w:val="sr-Cyrl-ME"/>
        </w:rPr>
        <w:t>е</w:t>
      </w:r>
      <w:r w:rsidRPr="00196439">
        <w:rPr>
          <w:rFonts w:cs="Arial"/>
          <w:color w:val="17365D" w:themeColor="text2" w:themeShade="BF"/>
          <w:sz w:val="22"/>
          <w:szCs w:val="22"/>
          <w:lang w:val="sr-Cyrl-ME"/>
        </w:rPr>
        <w:t xml:space="preserve">, по врстама осигурања и укупно. </w:t>
      </w:r>
    </w:p>
    <w:p w:rsidR="00037CA2" w:rsidRPr="00196439" w:rsidRDefault="00037CA2" w:rsidP="003F51D4">
      <w:pPr>
        <w:spacing w:line="276" w:lineRule="auto"/>
        <w:rPr>
          <w:rFonts w:cs="Arial"/>
          <w:color w:val="17365D" w:themeColor="text2" w:themeShade="BF"/>
          <w:sz w:val="22"/>
          <w:szCs w:val="22"/>
          <w:lang w:val="sr-Cyrl-ME"/>
        </w:rPr>
      </w:pPr>
    </w:p>
    <w:p w:rsidR="00037CA2" w:rsidRPr="00196439" w:rsidRDefault="00037CA2" w:rsidP="00F86A0C">
      <w:pPr>
        <w:keepNext/>
        <w:spacing w:line="240" w:lineRule="auto"/>
        <w:jc w:val="center"/>
        <w:rPr>
          <w:rFonts w:cs="Arial"/>
          <w:i/>
          <w:color w:val="17365D" w:themeColor="text2" w:themeShade="BF"/>
          <w:sz w:val="22"/>
          <w:szCs w:val="22"/>
          <w:lang w:val="sr-Cyrl-ME"/>
        </w:rPr>
      </w:pPr>
      <w:r w:rsidRPr="00196439">
        <w:rPr>
          <w:rFonts w:cs="Arial"/>
          <w:i/>
          <w:color w:val="17365D" w:themeColor="text2" w:themeShade="BF"/>
          <w:sz w:val="22"/>
          <w:szCs w:val="22"/>
          <w:lang w:val="sr-Cyrl-ME"/>
        </w:rPr>
        <w:t>Техничке резерве на дан 31.12.201</w:t>
      </w:r>
      <w:r w:rsidR="000A654B" w:rsidRPr="00196439">
        <w:rPr>
          <w:rFonts w:cs="Arial"/>
          <w:i/>
          <w:color w:val="17365D" w:themeColor="text2" w:themeShade="BF"/>
          <w:sz w:val="22"/>
          <w:szCs w:val="22"/>
          <w:lang w:val="sr-Cyrl-ME"/>
        </w:rPr>
        <w:t>8</w:t>
      </w:r>
      <w:r w:rsidRPr="00196439">
        <w:rPr>
          <w:rFonts w:cs="Arial"/>
          <w:i/>
          <w:color w:val="17365D" w:themeColor="text2" w:themeShade="BF"/>
          <w:sz w:val="22"/>
          <w:szCs w:val="22"/>
          <w:lang w:val="sr-Cyrl-ME"/>
        </w:rPr>
        <w:t>. које се пореде са искуством</w:t>
      </w:r>
    </w:p>
    <w:p w:rsidR="00037CA2" w:rsidRPr="00196439" w:rsidRDefault="00037CA2" w:rsidP="00F86A0C">
      <w:pPr>
        <w:keepNext/>
        <w:spacing w:line="240" w:lineRule="auto"/>
        <w:jc w:val="center"/>
        <w:rPr>
          <w:rFonts w:cs="Arial"/>
          <w:i/>
          <w:color w:val="17365D" w:themeColor="text2" w:themeShade="BF"/>
          <w:sz w:val="22"/>
          <w:szCs w:val="22"/>
          <w:lang w:val="sr-Cyrl-ME"/>
        </w:rPr>
      </w:pPr>
    </w:p>
    <w:tbl>
      <w:tblPr>
        <w:tblW w:w="878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right w:w="170" w:type="dxa"/>
        </w:tblCellMar>
        <w:tblLook w:val="04A0" w:firstRow="1" w:lastRow="0" w:firstColumn="1" w:lastColumn="0" w:noHBand="0" w:noVBand="1"/>
      </w:tblPr>
      <w:tblGrid>
        <w:gridCol w:w="1253"/>
        <w:gridCol w:w="3544"/>
        <w:gridCol w:w="1843"/>
        <w:gridCol w:w="2149"/>
      </w:tblGrid>
      <w:tr w:rsidR="002F6240" w:rsidRPr="00196439" w:rsidTr="00284D84">
        <w:trPr>
          <w:trHeight w:val="369"/>
          <w:jc w:val="center"/>
        </w:trPr>
        <w:tc>
          <w:tcPr>
            <w:tcW w:w="1253" w:type="dxa"/>
            <w:shd w:val="clear" w:color="auto" w:fill="D9D9D9" w:themeFill="background1" w:themeFillShade="D9"/>
            <w:vAlign w:val="center"/>
            <w:hideMark/>
          </w:tcPr>
          <w:p w:rsidR="00037CA2" w:rsidRPr="00196439" w:rsidRDefault="00037CA2" w:rsidP="00037CA2">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Ред.бр.</w:t>
            </w:r>
          </w:p>
        </w:tc>
        <w:tc>
          <w:tcPr>
            <w:tcW w:w="3544" w:type="dxa"/>
            <w:shd w:val="clear" w:color="auto" w:fill="D9D9D9" w:themeFill="background1" w:themeFillShade="D9"/>
            <w:vAlign w:val="center"/>
            <w:hideMark/>
          </w:tcPr>
          <w:p w:rsidR="00037CA2" w:rsidRPr="00196439" w:rsidRDefault="00037CA2" w:rsidP="00037CA2">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Врста техничких резерви</w:t>
            </w:r>
          </w:p>
        </w:tc>
        <w:tc>
          <w:tcPr>
            <w:tcW w:w="1843" w:type="dxa"/>
            <w:shd w:val="clear" w:color="auto" w:fill="D9D9D9" w:themeFill="background1" w:themeFillShade="D9"/>
            <w:vAlign w:val="center"/>
            <w:hideMark/>
          </w:tcPr>
          <w:p w:rsidR="00037CA2" w:rsidRPr="00196439" w:rsidRDefault="00037CA2" w:rsidP="00037CA2">
            <w:pPr>
              <w:spacing w:line="240" w:lineRule="auto"/>
              <w:jc w:val="center"/>
              <w:rPr>
                <w:rFonts w:cs="Arial"/>
                <w:color w:val="17365D" w:themeColor="text2" w:themeShade="BF"/>
                <w:sz w:val="18"/>
                <w:szCs w:val="18"/>
              </w:rPr>
            </w:pPr>
            <w:r w:rsidRPr="00196439">
              <w:rPr>
                <w:rFonts w:cs="Arial"/>
                <w:color w:val="17365D" w:themeColor="text2" w:themeShade="BF"/>
                <w:sz w:val="18"/>
                <w:szCs w:val="18"/>
                <w:lang w:val="sr-Cyrl-ME"/>
              </w:rPr>
              <w:t>Износ</w:t>
            </w:r>
          </w:p>
        </w:tc>
        <w:tc>
          <w:tcPr>
            <w:tcW w:w="2149" w:type="dxa"/>
            <w:shd w:val="clear" w:color="auto" w:fill="D9D9D9" w:themeFill="background1" w:themeFillShade="D9"/>
            <w:vAlign w:val="center"/>
          </w:tcPr>
          <w:p w:rsidR="00037CA2" w:rsidRPr="00196439" w:rsidRDefault="003153FF" w:rsidP="003153FF">
            <w:pPr>
              <w:spacing w:line="240" w:lineRule="auto"/>
              <w:jc w:val="center"/>
              <w:rPr>
                <w:rFonts w:cs="Arial"/>
                <w:color w:val="17365D" w:themeColor="text2" w:themeShade="BF"/>
                <w:sz w:val="18"/>
                <w:szCs w:val="18"/>
                <w:lang w:val="sr-Cyrl-ME"/>
              </w:rPr>
            </w:pPr>
            <w:r w:rsidRPr="00196439">
              <w:rPr>
                <w:rFonts w:cs="Arial"/>
                <w:color w:val="17365D" w:themeColor="text2" w:themeShade="BF"/>
                <w:sz w:val="18"/>
                <w:szCs w:val="18"/>
                <w:lang w:val="sr-Cyrl-ME"/>
              </w:rPr>
              <w:t>Учешће у укупним ТР</w:t>
            </w:r>
          </w:p>
        </w:tc>
      </w:tr>
      <w:tr w:rsidR="00C511AA" w:rsidRPr="00196439" w:rsidTr="00284D84">
        <w:trPr>
          <w:trHeight w:val="369"/>
          <w:jc w:val="center"/>
        </w:trPr>
        <w:tc>
          <w:tcPr>
            <w:tcW w:w="1253" w:type="dxa"/>
            <w:shd w:val="clear" w:color="auto" w:fill="auto"/>
            <w:vAlign w:val="center"/>
            <w:hideMark/>
          </w:tcPr>
          <w:p w:rsidR="00C511AA" w:rsidRPr="00196439" w:rsidRDefault="00C511AA" w:rsidP="00C511AA">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1.</w:t>
            </w:r>
          </w:p>
        </w:tc>
        <w:tc>
          <w:tcPr>
            <w:tcW w:w="3544" w:type="dxa"/>
            <w:shd w:val="clear" w:color="auto" w:fill="auto"/>
            <w:vAlign w:val="center"/>
            <w:hideMark/>
          </w:tcPr>
          <w:p w:rsidR="00C511AA" w:rsidRPr="00196439" w:rsidRDefault="00C511AA" w:rsidP="00C511AA">
            <w:pPr>
              <w:spacing w:line="240" w:lineRule="auto"/>
              <w:rPr>
                <w:rFonts w:cs="Arial"/>
                <w:color w:val="17365D" w:themeColor="text2" w:themeShade="BF"/>
                <w:sz w:val="18"/>
                <w:szCs w:val="18"/>
              </w:rPr>
            </w:pPr>
            <w:r w:rsidRPr="00196439">
              <w:rPr>
                <w:rFonts w:cs="Arial"/>
                <w:color w:val="17365D" w:themeColor="text2" w:themeShade="BF"/>
                <w:sz w:val="18"/>
                <w:szCs w:val="18"/>
              </w:rPr>
              <w:t xml:space="preserve">Преносна премија </w:t>
            </w:r>
          </w:p>
        </w:tc>
        <w:tc>
          <w:tcPr>
            <w:tcW w:w="1843" w:type="dxa"/>
            <w:tcBorders>
              <w:top w:val="nil"/>
              <w:left w:val="nil"/>
              <w:bottom w:val="single" w:sz="8" w:space="0" w:color="auto"/>
              <w:right w:val="single" w:sz="8" w:space="0" w:color="auto"/>
            </w:tcBorders>
            <w:shd w:val="clear" w:color="auto" w:fill="auto"/>
            <w:noWrap/>
            <w:vAlign w:val="center"/>
            <w:hideMark/>
          </w:tcPr>
          <w:p w:rsidR="00C511AA" w:rsidRPr="00196439" w:rsidRDefault="00C511AA" w:rsidP="00C511AA">
            <w:pPr>
              <w:spacing w:line="240" w:lineRule="auto"/>
              <w:jc w:val="right"/>
              <w:rPr>
                <w:rFonts w:cs="Arial"/>
                <w:color w:val="17365D" w:themeColor="text2" w:themeShade="BF"/>
                <w:sz w:val="18"/>
                <w:szCs w:val="18"/>
                <w:lang w:val="en-US"/>
              </w:rPr>
            </w:pPr>
            <w:r w:rsidRPr="00196439">
              <w:rPr>
                <w:rFonts w:cs="Arial"/>
                <w:color w:val="17365D" w:themeColor="text2" w:themeShade="BF"/>
                <w:sz w:val="18"/>
                <w:szCs w:val="18"/>
              </w:rPr>
              <w:t>645.837.253</w:t>
            </w:r>
          </w:p>
        </w:tc>
        <w:tc>
          <w:tcPr>
            <w:tcW w:w="2149" w:type="dxa"/>
            <w:shd w:val="clear" w:color="auto" w:fill="auto"/>
            <w:vAlign w:val="center"/>
          </w:tcPr>
          <w:p w:rsidR="00C511AA" w:rsidRPr="00196439" w:rsidRDefault="00C511AA" w:rsidP="00C511AA">
            <w:pPr>
              <w:spacing w:line="240" w:lineRule="auto"/>
              <w:jc w:val="right"/>
              <w:rPr>
                <w:color w:val="17365D" w:themeColor="text2" w:themeShade="BF"/>
                <w:sz w:val="18"/>
                <w:szCs w:val="18"/>
              </w:rPr>
            </w:pPr>
            <w:r w:rsidRPr="00196439">
              <w:rPr>
                <w:color w:val="17365D" w:themeColor="text2" w:themeShade="BF"/>
                <w:sz w:val="18"/>
                <w:szCs w:val="18"/>
              </w:rPr>
              <w:t>26,92%</w:t>
            </w:r>
          </w:p>
        </w:tc>
      </w:tr>
      <w:tr w:rsidR="00C511AA" w:rsidRPr="00196439" w:rsidTr="00284D84">
        <w:trPr>
          <w:trHeight w:val="369"/>
          <w:jc w:val="center"/>
        </w:trPr>
        <w:tc>
          <w:tcPr>
            <w:tcW w:w="1253" w:type="dxa"/>
            <w:shd w:val="clear" w:color="auto" w:fill="auto"/>
            <w:vAlign w:val="center"/>
            <w:hideMark/>
          </w:tcPr>
          <w:p w:rsidR="00C511AA" w:rsidRPr="00196439" w:rsidRDefault="00C511AA" w:rsidP="00C511AA">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2.</w:t>
            </w:r>
          </w:p>
        </w:tc>
        <w:tc>
          <w:tcPr>
            <w:tcW w:w="3544" w:type="dxa"/>
            <w:shd w:val="clear" w:color="auto" w:fill="auto"/>
            <w:vAlign w:val="center"/>
            <w:hideMark/>
          </w:tcPr>
          <w:p w:rsidR="00C511AA" w:rsidRPr="00196439" w:rsidRDefault="00C511AA" w:rsidP="00C511AA">
            <w:pPr>
              <w:spacing w:line="240" w:lineRule="auto"/>
              <w:rPr>
                <w:rFonts w:cs="Arial"/>
                <w:color w:val="17365D" w:themeColor="text2" w:themeShade="BF"/>
                <w:sz w:val="18"/>
                <w:szCs w:val="18"/>
              </w:rPr>
            </w:pPr>
            <w:r w:rsidRPr="00196439">
              <w:rPr>
                <w:rFonts w:cs="Arial"/>
                <w:color w:val="17365D" w:themeColor="text2" w:themeShade="BF"/>
                <w:sz w:val="18"/>
                <w:szCs w:val="18"/>
              </w:rPr>
              <w:t>Укупно резервисане штете</w:t>
            </w:r>
          </w:p>
        </w:tc>
        <w:tc>
          <w:tcPr>
            <w:tcW w:w="1843" w:type="dxa"/>
            <w:tcBorders>
              <w:top w:val="nil"/>
              <w:left w:val="nil"/>
              <w:bottom w:val="single" w:sz="8" w:space="0" w:color="auto"/>
              <w:right w:val="single" w:sz="8" w:space="0" w:color="auto"/>
            </w:tcBorders>
            <w:shd w:val="clear" w:color="auto" w:fill="auto"/>
            <w:noWrap/>
            <w:vAlign w:val="center"/>
            <w:hideMark/>
          </w:tcPr>
          <w:p w:rsidR="00C511AA" w:rsidRPr="00196439" w:rsidRDefault="00C511AA" w:rsidP="00C511AA">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1.731.559.565</w:t>
            </w:r>
          </w:p>
        </w:tc>
        <w:tc>
          <w:tcPr>
            <w:tcW w:w="2149" w:type="dxa"/>
            <w:shd w:val="clear" w:color="auto" w:fill="auto"/>
            <w:vAlign w:val="center"/>
          </w:tcPr>
          <w:p w:rsidR="00C511AA" w:rsidRPr="00196439" w:rsidRDefault="00C511AA" w:rsidP="00C511AA">
            <w:pPr>
              <w:spacing w:line="240" w:lineRule="auto"/>
              <w:jc w:val="right"/>
              <w:rPr>
                <w:color w:val="17365D" w:themeColor="text2" w:themeShade="BF"/>
                <w:sz w:val="18"/>
                <w:szCs w:val="18"/>
              </w:rPr>
            </w:pPr>
            <w:r w:rsidRPr="00196439">
              <w:rPr>
                <w:color w:val="17365D" w:themeColor="text2" w:themeShade="BF"/>
                <w:sz w:val="18"/>
                <w:szCs w:val="18"/>
              </w:rPr>
              <w:t>72,17%</w:t>
            </w:r>
          </w:p>
        </w:tc>
      </w:tr>
      <w:tr w:rsidR="00C511AA" w:rsidRPr="00196439" w:rsidTr="00284D84">
        <w:trPr>
          <w:trHeight w:val="369"/>
          <w:jc w:val="center"/>
        </w:trPr>
        <w:tc>
          <w:tcPr>
            <w:tcW w:w="1253" w:type="dxa"/>
            <w:shd w:val="clear" w:color="auto" w:fill="auto"/>
            <w:vAlign w:val="center"/>
            <w:hideMark/>
          </w:tcPr>
          <w:p w:rsidR="00C511AA" w:rsidRPr="00196439" w:rsidRDefault="00C511AA" w:rsidP="00C511AA">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3.</w:t>
            </w:r>
          </w:p>
        </w:tc>
        <w:tc>
          <w:tcPr>
            <w:tcW w:w="3544" w:type="dxa"/>
            <w:shd w:val="clear" w:color="auto" w:fill="auto"/>
            <w:vAlign w:val="center"/>
            <w:hideMark/>
          </w:tcPr>
          <w:p w:rsidR="00C511AA" w:rsidRPr="00196439" w:rsidRDefault="00C511AA" w:rsidP="00C511AA">
            <w:pPr>
              <w:spacing w:line="240" w:lineRule="auto"/>
              <w:rPr>
                <w:rFonts w:cs="Arial"/>
                <w:color w:val="17365D" w:themeColor="text2" w:themeShade="BF"/>
                <w:sz w:val="18"/>
                <w:szCs w:val="18"/>
              </w:rPr>
            </w:pPr>
            <w:r w:rsidRPr="00196439">
              <w:rPr>
                <w:rFonts w:cs="Arial"/>
                <w:color w:val="17365D" w:themeColor="text2" w:themeShade="BF"/>
                <w:sz w:val="18"/>
                <w:szCs w:val="18"/>
              </w:rPr>
              <w:t>Математичка резерва</w:t>
            </w:r>
          </w:p>
        </w:tc>
        <w:tc>
          <w:tcPr>
            <w:tcW w:w="1843" w:type="dxa"/>
            <w:tcBorders>
              <w:top w:val="nil"/>
              <w:left w:val="nil"/>
              <w:bottom w:val="single" w:sz="8" w:space="0" w:color="auto"/>
              <w:right w:val="single" w:sz="8" w:space="0" w:color="auto"/>
            </w:tcBorders>
            <w:shd w:val="clear" w:color="auto" w:fill="auto"/>
            <w:noWrap/>
            <w:vAlign w:val="center"/>
            <w:hideMark/>
          </w:tcPr>
          <w:p w:rsidR="00C511AA" w:rsidRPr="00196439" w:rsidRDefault="00C511AA" w:rsidP="00C511AA">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19.211.212</w:t>
            </w:r>
          </w:p>
        </w:tc>
        <w:tc>
          <w:tcPr>
            <w:tcW w:w="2149" w:type="dxa"/>
            <w:shd w:val="clear" w:color="auto" w:fill="auto"/>
            <w:noWrap/>
            <w:vAlign w:val="center"/>
          </w:tcPr>
          <w:p w:rsidR="00C511AA" w:rsidRPr="00196439" w:rsidRDefault="00C511AA" w:rsidP="00C511AA">
            <w:pPr>
              <w:spacing w:line="240" w:lineRule="auto"/>
              <w:jc w:val="right"/>
              <w:rPr>
                <w:color w:val="17365D" w:themeColor="text2" w:themeShade="BF"/>
                <w:sz w:val="18"/>
                <w:szCs w:val="18"/>
              </w:rPr>
            </w:pPr>
            <w:r w:rsidRPr="00196439">
              <w:rPr>
                <w:color w:val="17365D" w:themeColor="text2" w:themeShade="BF"/>
                <w:sz w:val="18"/>
                <w:szCs w:val="18"/>
              </w:rPr>
              <w:t>0,80%</w:t>
            </w:r>
          </w:p>
        </w:tc>
      </w:tr>
      <w:tr w:rsidR="00C511AA" w:rsidRPr="00196439" w:rsidTr="00284D84">
        <w:trPr>
          <w:trHeight w:val="369"/>
          <w:jc w:val="center"/>
        </w:trPr>
        <w:tc>
          <w:tcPr>
            <w:tcW w:w="1253" w:type="dxa"/>
            <w:shd w:val="clear" w:color="auto" w:fill="auto"/>
            <w:vAlign w:val="center"/>
            <w:hideMark/>
          </w:tcPr>
          <w:p w:rsidR="00C511AA" w:rsidRPr="00196439" w:rsidRDefault="00C511AA" w:rsidP="00C511AA">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4.</w:t>
            </w:r>
          </w:p>
        </w:tc>
        <w:tc>
          <w:tcPr>
            <w:tcW w:w="3544" w:type="dxa"/>
            <w:shd w:val="clear" w:color="auto" w:fill="auto"/>
            <w:vAlign w:val="center"/>
            <w:hideMark/>
          </w:tcPr>
          <w:p w:rsidR="00C511AA" w:rsidRPr="00196439" w:rsidRDefault="00C511AA" w:rsidP="00C511AA">
            <w:pPr>
              <w:spacing w:line="240" w:lineRule="auto"/>
              <w:rPr>
                <w:rFonts w:cs="Arial"/>
                <w:color w:val="17365D" w:themeColor="text2" w:themeShade="BF"/>
                <w:sz w:val="18"/>
                <w:szCs w:val="18"/>
              </w:rPr>
            </w:pPr>
            <w:r w:rsidRPr="00196439">
              <w:rPr>
                <w:rFonts w:cs="Arial"/>
                <w:color w:val="17365D" w:themeColor="text2" w:themeShade="BF"/>
                <w:sz w:val="18"/>
                <w:szCs w:val="18"/>
              </w:rPr>
              <w:t>Резерве за неистекле ризике</w:t>
            </w:r>
          </w:p>
        </w:tc>
        <w:tc>
          <w:tcPr>
            <w:tcW w:w="1843" w:type="dxa"/>
            <w:tcBorders>
              <w:top w:val="nil"/>
              <w:left w:val="nil"/>
              <w:bottom w:val="single" w:sz="8" w:space="0" w:color="auto"/>
              <w:right w:val="single" w:sz="8" w:space="0" w:color="auto"/>
            </w:tcBorders>
            <w:shd w:val="clear" w:color="auto" w:fill="auto"/>
            <w:noWrap/>
            <w:vAlign w:val="center"/>
            <w:hideMark/>
          </w:tcPr>
          <w:p w:rsidR="00C511AA" w:rsidRPr="00196439" w:rsidRDefault="00C511AA" w:rsidP="00C511AA">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1.492.193</w:t>
            </w:r>
          </w:p>
        </w:tc>
        <w:tc>
          <w:tcPr>
            <w:tcW w:w="2149" w:type="dxa"/>
            <w:shd w:val="clear" w:color="auto" w:fill="auto"/>
            <w:noWrap/>
            <w:vAlign w:val="center"/>
          </w:tcPr>
          <w:p w:rsidR="00C511AA" w:rsidRPr="00196439" w:rsidRDefault="00C511AA" w:rsidP="00C511AA">
            <w:pPr>
              <w:spacing w:line="240" w:lineRule="auto"/>
              <w:jc w:val="right"/>
              <w:rPr>
                <w:color w:val="17365D" w:themeColor="text2" w:themeShade="BF"/>
                <w:sz w:val="18"/>
                <w:szCs w:val="18"/>
              </w:rPr>
            </w:pPr>
            <w:r w:rsidRPr="00196439">
              <w:rPr>
                <w:color w:val="17365D" w:themeColor="text2" w:themeShade="BF"/>
                <w:sz w:val="18"/>
                <w:szCs w:val="18"/>
              </w:rPr>
              <w:t>0,06%</w:t>
            </w:r>
          </w:p>
        </w:tc>
      </w:tr>
      <w:tr w:rsidR="00C511AA" w:rsidRPr="00196439" w:rsidTr="00284D84">
        <w:trPr>
          <w:trHeight w:val="369"/>
          <w:jc w:val="center"/>
        </w:trPr>
        <w:tc>
          <w:tcPr>
            <w:tcW w:w="1253" w:type="dxa"/>
            <w:shd w:val="clear" w:color="auto" w:fill="auto"/>
            <w:vAlign w:val="center"/>
            <w:hideMark/>
          </w:tcPr>
          <w:p w:rsidR="00C511AA" w:rsidRPr="00196439" w:rsidRDefault="00C511AA" w:rsidP="00C511AA">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5.</w:t>
            </w:r>
          </w:p>
        </w:tc>
        <w:tc>
          <w:tcPr>
            <w:tcW w:w="3544" w:type="dxa"/>
            <w:shd w:val="clear" w:color="auto" w:fill="auto"/>
            <w:vAlign w:val="center"/>
            <w:hideMark/>
          </w:tcPr>
          <w:p w:rsidR="00C511AA" w:rsidRPr="00196439" w:rsidRDefault="00C511AA" w:rsidP="00C511AA">
            <w:pPr>
              <w:spacing w:line="240" w:lineRule="auto"/>
              <w:rPr>
                <w:rFonts w:cs="Arial"/>
                <w:color w:val="17365D" w:themeColor="text2" w:themeShade="BF"/>
                <w:sz w:val="18"/>
                <w:szCs w:val="18"/>
              </w:rPr>
            </w:pPr>
            <w:r w:rsidRPr="00196439">
              <w:rPr>
                <w:rFonts w:cs="Arial"/>
                <w:color w:val="17365D" w:themeColor="text2" w:themeShade="BF"/>
                <w:sz w:val="18"/>
                <w:szCs w:val="18"/>
              </w:rPr>
              <w:t>РЗИР</w:t>
            </w:r>
          </w:p>
        </w:tc>
        <w:tc>
          <w:tcPr>
            <w:tcW w:w="1843" w:type="dxa"/>
            <w:tcBorders>
              <w:top w:val="nil"/>
              <w:left w:val="nil"/>
              <w:bottom w:val="single" w:sz="8" w:space="0" w:color="auto"/>
              <w:right w:val="single" w:sz="8" w:space="0" w:color="auto"/>
            </w:tcBorders>
            <w:shd w:val="clear" w:color="auto" w:fill="auto"/>
            <w:noWrap/>
            <w:vAlign w:val="center"/>
            <w:hideMark/>
          </w:tcPr>
          <w:p w:rsidR="00C511AA" w:rsidRPr="00196439" w:rsidRDefault="00C511AA" w:rsidP="00C511AA">
            <w:pPr>
              <w:spacing w:line="240" w:lineRule="auto"/>
              <w:jc w:val="right"/>
              <w:rPr>
                <w:rFonts w:cs="Arial"/>
                <w:color w:val="17365D" w:themeColor="text2" w:themeShade="BF"/>
                <w:sz w:val="18"/>
                <w:szCs w:val="18"/>
              </w:rPr>
            </w:pPr>
            <w:r w:rsidRPr="00196439">
              <w:rPr>
                <w:rFonts w:cs="Arial"/>
                <w:color w:val="17365D" w:themeColor="text2" w:themeShade="BF"/>
                <w:sz w:val="18"/>
                <w:szCs w:val="18"/>
              </w:rPr>
              <w:t>1.117.184</w:t>
            </w:r>
          </w:p>
        </w:tc>
        <w:tc>
          <w:tcPr>
            <w:tcW w:w="2149" w:type="dxa"/>
            <w:shd w:val="clear" w:color="auto" w:fill="auto"/>
            <w:noWrap/>
            <w:vAlign w:val="center"/>
          </w:tcPr>
          <w:p w:rsidR="00C511AA" w:rsidRPr="00196439" w:rsidRDefault="00C511AA" w:rsidP="00C511AA">
            <w:pPr>
              <w:spacing w:line="240" w:lineRule="auto"/>
              <w:jc w:val="right"/>
              <w:rPr>
                <w:color w:val="17365D" w:themeColor="text2" w:themeShade="BF"/>
                <w:sz w:val="18"/>
                <w:szCs w:val="18"/>
              </w:rPr>
            </w:pPr>
            <w:r w:rsidRPr="00196439">
              <w:rPr>
                <w:color w:val="17365D" w:themeColor="text2" w:themeShade="BF"/>
                <w:sz w:val="18"/>
                <w:szCs w:val="18"/>
              </w:rPr>
              <w:t>0,05%</w:t>
            </w:r>
          </w:p>
        </w:tc>
      </w:tr>
      <w:tr w:rsidR="002F6240" w:rsidRPr="00196439" w:rsidTr="00284D84">
        <w:trPr>
          <w:trHeight w:val="369"/>
          <w:jc w:val="center"/>
        </w:trPr>
        <w:tc>
          <w:tcPr>
            <w:tcW w:w="4797" w:type="dxa"/>
            <w:gridSpan w:val="2"/>
            <w:shd w:val="clear" w:color="auto" w:fill="D9D9D9" w:themeFill="background1" w:themeFillShade="D9"/>
            <w:vAlign w:val="center"/>
            <w:hideMark/>
          </w:tcPr>
          <w:p w:rsidR="00037CA2" w:rsidRPr="00196439" w:rsidRDefault="00037CA2" w:rsidP="00037CA2">
            <w:pPr>
              <w:spacing w:line="240" w:lineRule="auto"/>
              <w:jc w:val="center"/>
              <w:rPr>
                <w:rFonts w:cs="Arial"/>
                <w:color w:val="17365D" w:themeColor="text2" w:themeShade="BF"/>
                <w:sz w:val="18"/>
                <w:szCs w:val="18"/>
              </w:rPr>
            </w:pPr>
            <w:r w:rsidRPr="00196439">
              <w:rPr>
                <w:rFonts w:cs="Arial"/>
                <w:color w:val="17365D" w:themeColor="text2" w:themeShade="BF"/>
                <w:sz w:val="18"/>
                <w:szCs w:val="18"/>
              </w:rPr>
              <w:t>УКУПНО:</w:t>
            </w:r>
          </w:p>
        </w:tc>
        <w:tc>
          <w:tcPr>
            <w:tcW w:w="1843" w:type="dxa"/>
            <w:shd w:val="clear" w:color="auto" w:fill="D9D9D9" w:themeFill="background1" w:themeFillShade="D9"/>
            <w:noWrap/>
            <w:vAlign w:val="center"/>
            <w:hideMark/>
          </w:tcPr>
          <w:p w:rsidR="00037CA2" w:rsidRPr="00196439" w:rsidRDefault="0044546A" w:rsidP="009C28D6">
            <w:pPr>
              <w:spacing w:line="240" w:lineRule="auto"/>
              <w:jc w:val="right"/>
              <w:rPr>
                <w:rFonts w:cs="Arial"/>
                <w:color w:val="17365D" w:themeColor="text2" w:themeShade="BF"/>
                <w:sz w:val="18"/>
                <w:szCs w:val="18"/>
                <w:lang w:val="sr-Cyrl-RS"/>
              </w:rPr>
            </w:pPr>
            <w:r w:rsidRPr="00196439">
              <w:rPr>
                <w:rFonts w:cs="Arial"/>
                <w:color w:val="17365D" w:themeColor="text2" w:themeShade="BF"/>
                <w:sz w:val="18"/>
                <w:szCs w:val="18"/>
              </w:rPr>
              <w:t>2.</w:t>
            </w:r>
            <w:r w:rsidR="009C28D6" w:rsidRPr="00196439">
              <w:rPr>
                <w:rFonts w:cs="Arial"/>
                <w:color w:val="17365D" w:themeColor="text2" w:themeShade="BF"/>
                <w:sz w:val="18"/>
                <w:szCs w:val="18"/>
                <w:lang w:val="sr-Cyrl-RS"/>
              </w:rPr>
              <w:t>399</w:t>
            </w:r>
            <w:r w:rsidRPr="00196439">
              <w:rPr>
                <w:rFonts w:cs="Arial"/>
                <w:color w:val="17365D" w:themeColor="text2" w:themeShade="BF"/>
                <w:sz w:val="18"/>
                <w:szCs w:val="18"/>
              </w:rPr>
              <w:t>.</w:t>
            </w:r>
            <w:r w:rsidR="009C28D6" w:rsidRPr="00196439">
              <w:rPr>
                <w:rFonts w:cs="Arial"/>
                <w:color w:val="17365D" w:themeColor="text2" w:themeShade="BF"/>
                <w:sz w:val="18"/>
                <w:szCs w:val="18"/>
                <w:lang w:val="sr-Cyrl-RS"/>
              </w:rPr>
              <w:t>217</w:t>
            </w:r>
            <w:r w:rsidRPr="00196439">
              <w:rPr>
                <w:rFonts w:cs="Arial"/>
                <w:color w:val="17365D" w:themeColor="text2" w:themeShade="BF"/>
                <w:sz w:val="18"/>
                <w:szCs w:val="18"/>
              </w:rPr>
              <w:t>.</w:t>
            </w:r>
            <w:r w:rsidR="009C28D6" w:rsidRPr="00196439">
              <w:rPr>
                <w:rFonts w:cs="Arial"/>
                <w:color w:val="17365D" w:themeColor="text2" w:themeShade="BF"/>
                <w:sz w:val="18"/>
                <w:szCs w:val="18"/>
                <w:lang w:val="sr-Cyrl-RS"/>
              </w:rPr>
              <w:t>407</w:t>
            </w:r>
          </w:p>
        </w:tc>
        <w:tc>
          <w:tcPr>
            <w:tcW w:w="2149" w:type="dxa"/>
            <w:shd w:val="clear" w:color="auto" w:fill="D9D9D9" w:themeFill="background1" w:themeFillShade="D9"/>
            <w:vAlign w:val="center"/>
          </w:tcPr>
          <w:p w:rsidR="00037CA2" w:rsidRPr="00196439" w:rsidRDefault="00037CA2" w:rsidP="00C511AA">
            <w:pPr>
              <w:spacing w:line="240" w:lineRule="auto"/>
              <w:jc w:val="right"/>
              <w:rPr>
                <w:rFonts w:cs="Arial"/>
                <w:color w:val="17365D" w:themeColor="text2" w:themeShade="BF"/>
                <w:sz w:val="18"/>
                <w:szCs w:val="18"/>
                <w:lang w:val="sr-Cyrl-ME"/>
              </w:rPr>
            </w:pPr>
            <w:r w:rsidRPr="00196439">
              <w:rPr>
                <w:rFonts w:cs="Arial"/>
                <w:color w:val="17365D" w:themeColor="text2" w:themeShade="BF"/>
                <w:sz w:val="18"/>
                <w:szCs w:val="18"/>
                <w:lang w:val="sr-Cyrl-ME"/>
              </w:rPr>
              <w:t>100,00%</w:t>
            </w:r>
          </w:p>
        </w:tc>
      </w:tr>
    </w:tbl>
    <w:p w:rsidR="00037CA2" w:rsidRPr="00196439" w:rsidRDefault="00037CA2" w:rsidP="00480D4E">
      <w:pPr>
        <w:spacing w:line="276" w:lineRule="auto"/>
        <w:rPr>
          <w:rFonts w:cs="Arial"/>
          <w:color w:val="17365D" w:themeColor="text2" w:themeShade="BF"/>
          <w:sz w:val="22"/>
          <w:szCs w:val="22"/>
          <w:lang w:val="sr-Cyrl-ME"/>
        </w:rPr>
      </w:pPr>
    </w:p>
    <w:p w:rsidR="00037CA2" w:rsidRPr="00196439" w:rsidRDefault="00037CA2" w:rsidP="00480D4E">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Друштво врши анализу узрока одступања</w:t>
      </w:r>
      <w:r w:rsidR="002E3085" w:rsidRPr="00196439">
        <w:rPr>
          <w:rFonts w:cs="Arial"/>
          <w:color w:val="17365D" w:themeColor="text2" w:themeShade="BF"/>
          <w:sz w:val="22"/>
          <w:szCs w:val="22"/>
          <w:lang w:val="sr-Cyrl-ME"/>
        </w:rPr>
        <w:t xml:space="preserve"> техничких резерви са искуством у циљу утврђивања да ли је дошло до систематског одступања.</w:t>
      </w:r>
      <w:r w:rsidRPr="00196439">
        <w:rPr>
          <w:rFonts w:cs="Arial"/>
          <w:color w:val="17365D" w:themeColor="text2" w:themeShade="BF"/>
          <w:sz w:val="22"/>
          <w:szCs w:val="22"/>
          <w:lang w:val="sr-Cyrl-ME"/>
        </w:rPr>
        <w:t xml:space="preserve"> </w:t>
      </w:r>
    </w:p>
    <w:p w:rsidR="003153FF" w:rsidRPr="00196439" w:rsidRDefault="003153FF" w:rsidP="00480D4E">
      <w:pPr>
        <w:spacing w:line="276" w:lineRule="auto"/>
        <w:rPr>
          <w:rFonts w:cs="Arial"/>
          <w:color w:val="17365D" w:themeColor="text2" w:themeShade="BF"/>
          <w:sz w:val="22"/>
          <w:szCs w:val="22"/>
          <w:highlight w:val="green"/>
          <w:lang w:val="sr-Cyrl-ME"/>
        </w:rPr>
      </w:pPr>
    </w:p>
    <w:p w:rsidR="00037CA2" w:rsidRPr="00196439" w:rsidRDefault="002E3085" w:rsidP="00480D4E">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Укупан р</w:t>
      </w:r>
      <w:r w:rsidR="00037CA2" w:rsidRPr="00196439">
        <w:rPr>
          <w:rFonts w:cs="Arial"/>
          <w:color w:val="17365D" w:themeColor="text2" w:themeShade="BF"/>
          <w:sz w:val="22"/>
          <w:szCs w:val="22"/>
          <w:lang w:val="sr-Cyrl-ME"/>
        </w:rPr>
        <w:t xml:space="preserve">езултат поређења са искуством </w:t>
      </w:r>
      <w:r w:rsidR="002C530E" w:rsidRPr="00196439">
        <w:rPr>
          <w:rFonts w:cs="Arial"/>
          <w:color w:val="17365D" w:themeColor="text2" w:themeShade="BF"/>
          <w:sz w:val="22"/>
          <w:szCs w:val="22"/>
          <w:lang w:val="sr-Cyrl-ME"/>
        </w:rPr>
        <w:t>дефицит од 73.465.417 динара</w:t>
      </w:r>
      <w:r w:rsidRPr="00196439">
        <w:rPr>
          <w:rFonts w:cs="Arial"/>
          <w:color w:val="17365D" w:themeColor="text2" w:themeShade="BF"/>
          <w:sz w:val="22"/>
          <w:szCs w:val="22"/>
          <w:lang w:val="sr-Cyrl-ME"/>
        </w:rPr>
        <w:t xml:space="preserve">: за </w:t>
      </w:r>
      <w:r w:rsidR="00037CA2" w:rsidRPr="00196439">
        <w:rPr>
          <w:rFonts w:cs="Arial"/>
          <w:color w:val="17365D" w:themeColor="text2" w:themeShade="BF"/>
          <w:sz w:val="22"/>
          <w:szCs w:val="22"/>
          <w:lang w:val="sr-Cyrl-ME"/>
        </w:rPr>
        <w:t xml:space="preserve">преносну премију </w:t>
      </w:r>
      <w:r w:rsidR="002C530E" w:rsidRPr="00196439">
        <w:rPr>
          <w:rFonts w:cs="Arial"/>
          <w:color w:val="17365D" w:themeColor="text2" w:themeShade="BF"/>
          <w:sz w:val="22"/>
          <w:szCs w:val="22"/>
          <w:lang w:val="sr-Cyrl-ME"/>
        </w:rPr>
        <w:t>суфицит од</w:t>
      </w:r>
      <w:r w:rsidR="009D1188" w:rsidRPr="00196439">
        <w:rPr>
          <w:rFonts w:cs="Arial"/>
          <w:color w:val="17365D" w:themeColor="text2" w:themeShade="BF"/>
          <w:sz w:val="22"/>
          <w:szCs w:val="22"/>
          <w:lang w:val="sr-Cyrl-ME"/>
        </w:rPr>
        <w:t xml:space="preserve"> </w:t>
      </w:r>
      <w:r w:rsidR="0047636F" w:rsidRPr="00196439">
        <w:rPr>
          <w:rFonts w:cs="Arial"/>
          <w:color w:val="17365D" w:themeColor="text2" w:themeShade="BF"/>
          <w:sz w:val="22"/>
          <w:szCs w:val="22"/>
          <w:lang w:val="sr-Cyrl-ME"/>
        </w:rPr>
        <w:t>0</w:t>
      </w:r>
      <w:r w:rsidR="009D1188" w:rsidRPr="00196439">
        <w:rPr>
          <w:rFonts w:cs="Arial"/>
          <w:color w:val="17365D" w:themeColor="text2" w:themeShade="BF"/>
          <w:sz w:val="22"/>
          <w:szCs w:val="22"/>
          <w:lang w:val="sr-Cyrl-ME"/>
        </w:rPr>
        <w:t>,</w:t>
      </w:r>
      <w:r w:rsidR="002C530E" w:rsidRPr="00196439">
        <w:rPr>
          <w:rFonts w:cs="Arial"/>
          <w:color w:val="17365D" w:themeColor="text2" w:themeShade="BF"/>
          <w:sz w:val="22"/>
          <w:szCs w:val="22"/>
          <w:lang w:val="sr-Cyrl-ME"/>
        </w:rPr>
        <w:t>23</w:t>
      </w:r>
      <w:r w:rsidR="009D1188" w:rsidRPr="00196439">
        <w:rPr>
          <w:rFonts w:cs="Arial"/>
          <w:color w:val="17365D" w:themeColor="text2" w:themeShade="BF"/>
          <w:sz w:val="22"/>
          <w:szCs w:val="22"/>
          <w:lang w:val="sr-Cyrl-ME"/>
        </w:rPr>
        <w:t xml:space="preserve">% односно </w:t>
      </w:r>
      <w:r w:rsidR="002C530E" w:rsidRPr="00196439">
        <w:rPr>
          <w:rFonts w:cs="Arial"/>
          <w:color w:val="17365D" w:themeColor="text2" w:themeShade="BF"/>
          <w:sz w:val="22"/>
          <w:szCs w:val="22"/>
          <w:lang w:val="sr-Cyrl-ME"/>
        </w:rPr>
        <w:t>1</w:t>
      </w:r>
      <w:r w:rsidR="009D1188" w:rsidRPr="00196439">
        <w:rPr>
          <w:rFonts w:cs="Arial"/>
          <w:color w:val="17365D" w:themeColor="text2" w:themeShade="BF"/>
          <w:sz w:val="22"/>
          <w:szCs w:val="22"/>
          <w:lang w:val="sr-Cyrl-ME"/>
        </w:rPr>
        <w:t>.</w:t>
      </w:r>
      <w:r w:rsidR="002C530E" w:rsidRPr="00196439">
        <w:rPr>
          <w:rFonts w:cs="Arial"/>
          <w:color w:val="17365D" w:themeColor="text2" w:themeShade="BF"/>
          <w:sz w:val="22"/>
          <w:szCs w:val="22"/>
          <w:lang w:val="sr-Cyrl-ME"/>
        </w:rPr>
        <w:t>485</w:t>
      </w:r>
      <w:r w:rsidR="009D1188" w:rsidRPr="00196439">
        <w:rPr>
          <w:rFonts w:cs="Arial"/>
          <w:color w:val="17365D" w:themeColor="text2" w:themeShade="BF"/>
          <w:sz w:val="22"/>
          <w:szCs w:val="22"/>
          <w:lang w:val="sr-Cyrl-ME"/>
        </w:rPr>
        <w:t>.</w:t>
      </w:r>
      <w:r w:rsidR="002C530E" w:rsidRPr="00196439">
        <w:rPr>
          <w:rFonts w:cs="Arial"/>
          <w:color w:val="17365D" w:themeColor="text2" w:themeShade="BF"/>
          <w:sz w:val="22"/>
          <w:szCs w:val="22"/>
          <w:lang w:val="sr-Cyrl-ME"/>
        </w:rPr>
        <w:t>352</w:t>
      </w:r>
      <w:r w:rsidR="009D1188" w:rsidRPr="00196439">
        <w:rPr>
          <w:rFonts w:cs="Arial"/>
          <w:color w:val="17365D" w:themeColor="text2" w:themeShade="BF"/>
          <w:sz w:val="22"/>
          <w:szCs w:val="22"/>
          <w:lang w:val="sr-Cyrl-ME"/>
        </w:rPr>
        <w:t xml:space="preserve"> динара</w:t>
      </w:r>
      <w:r w:rsidRPr="00196439">
        <w:rPr>
          <w:rFonts w:cs="Arial"/>
          <w:color w:val="17365D" w:themeColor="text2" w:themeShade="BF"/>
          <w:sz w:val="22"/>
          <w:szCs w:val="22"/>
          <w:lang w:val="sr-Cyrl-ME"/>
        </w:rPr>
        <w:t xml:space="preserve"> а за </w:t>
      </w:r>
      <w:r w:rsidR="00037CA2" w:rsidRPr="00196439">
        <w:rPr>
          <w:rFonts w:cs="Arial"/>
          <w:color w:val="17365D" w:themeColor="text2" w:themeShade="BF"/>
          <w:sz w:val="22"/>
          <w:szCs w:val="22"/>
          <w:lang w:val="sr-Cyrl-ME"/>
        </w:rPr>
        <w:t xml:space="preserve">резервисане штете </w:t>
      </w:r>
      <w:r w:rsidR="002C530E" w:rsidRPr="00196439">
        <w:rPr>
          <w:rFonts w:cs="Arial"/>
          <w:color w:val="17365D" w:themeColor="text2" w:themeShade="BF"/>
          <w:sz w:val="22"/>
          <w:szCs w:val="22"/>
          <w:lang w:val="sr-Cyrl-ME"/>
        </w:rPr>
        <w:t>дефицит од 4</w:t>
      </w:r>
      <w:r w:rsidR="00037CA2" w:rsidRPr="00196439">
        <w:rPr>
          <w:rFonts w:cs="Arial"/>
          <w:color w:val="17365D" w:themeColor="text2" w:themeShade="BF"/>
          <w:sz w:val="22"/>
          <w:szCs w:val="22"/>
          <w:lang w:val="sr-Cyrl-ME"/>
        </w:rPr>
        <w:t>,</w:t>
      </w:r>
      <w:r w:rsidR="002C530E" w:rsidRPr="00196439">
        <w:rPr>
          <w:rFonts w:cs="Arial"/>
          <w:color w:val="17365D" w:themeColor="text2" w:themeShade="BF"/>
          <w:sz w:val="22"/>
          <w:szCs w:val="22"/>
          <w:lang w:val="sr-Cyrl-ME"/>
        </w:rPr>
        <w:t>33</w:t>
      </w:r>
      <w:r w:rsidR="00037CA2" w:rsidRPr="00196439">
        <w:rPr>
          <w:rFonts w:cs="Arial"/>
          <w:color w:val="17365D" w:themeColor="text2" w:themeShade="BF"/>
          <w:sz w:val="22"/>
          <w:szCs w:val="22"/>
          <w:lang w:val="sr-Cyrl-ME"/>
        </w:rPr>
        <w:t xml:space="preserve">%, односно </w:t>
      </w:r>
      <w:r w:rsidR="002C530E" w:rsidRPr="00196439">
        <w:rPr>
          <w:rFonts w:cs="Arial"/>
          <w:color w:val="17365D" w:themeColor="text2" w:themeShade="BF"/>
          <w:sz w:val="22"/>
          <w:szCs w:val="22"/>
          <w:lang w:val="sr-Cyrl-ME"/>
        </w:rPr>
        <w:t>74</w:t>
      </w:r>
      <w:r w:rsidR="00037CA2" w:rsidRPr="00196439">
        <w:rPr>
          <w:rFonts w:cs="Arial"/>
          <w:color w:val="17365D" w:themeColor="text2" w:themeShade="BF"/>
          <w:sz w:val="22"/>
          <w:szCs w:val="22"/>
          <w:lang w:val="sr-Cyrl-ME"/>
        </w:rPr>
        <w:t>.</w:t>
      </w:r>
      <w:r w:rsidR="002C530E" w:rsidRPr="00196439">
        <w:rPr>
          <w:rFonts w:cs="Arial"/>
          <w:color w:val="17365D" w:themeColor="text2" w:themeShade="BF"/>
          <w:sz w:val="22"/>
          <w:szCs w:val="22"/>
          <w:lang w:val="sr-Cyrl-ME"/>
        </w:rPr>
        <w:t>950</w:t>
      </w:r>
      <w:r w:rsidR="00037CA2" w:rsidRPr="00196439">
        <w:rPr>
          <w:rFonts w:cs="Arial"/>
          <w:color w:val="17365D" w:themeColor="text2" w:themeShade="BF"/>
          <w:sz w:val="22"/>
          <w:szCs w:val="22"/>
          <w:lang w:val="sr-Cyrl-ME"/>
        </w:rPr>
        <w:t>.</w:t>
      </w:r>
      <w:r w:rsidR="000779AF" w:rsidRPr="00196439">
        <w:rPr>
          <w:rFonts w:cs="Arial"/>
          <w:color w:val="17365D" w:themeColor="text2" w:themeShade="BF"/>
          <w:sz w:val="22"/>
          <w:szCs w:val="22"/>
          <w:lang w:val="sr-Cyrl-ME"/>
        </w:rPr>
        <w:t>7</w:t>
      </w:r>
      <w:r w:rsidR="002C530E" w:rsidRPr="00196439">
        <w:rPr>
          <w:rFonts w:cs="Arial"/>
          <w:color w:val="17365D" w:themeColor="text2" w:themeShade="BF"/>
          <w:sz w:val="22"/>
          <w:szCs w:val="22"/>
          <w:lang w:val="sr-Cyrl-ME"/>
        </w:rPr>
        <w:t>69</w:t>
      </w:r>
      <w:r w:rsidR="00037CA2" w:rsidRPr="00196439">
        <w:rPr>
          <w:rFonts w:cs="Arial"/>
          <w:color w:val="17365D" w:themeColor="text2" w:themeShade="BF"/>
          <w:sz w:val="22"/>
          <w:szCs w:val="22"/>
          <w:lang w:val="sr-Cyrl-ME"/>
        </w:rPr>
        <w:t xml:space="preserve"> динара.</w:t>
      </w:r>
      <w:r w:rsidR="002C530E" w:rsidRPr="00196439">
        <w:rPr>
          <w:rFonts w:cs="Arial"/>
          <w:color w:val="17365D" w:themeColor="text2" w:themeShade="BF"/>
          <w:sz w:val="22"/>
          <w:szCs w:val="22"/>
          <w:lang w:val="sr-Cyrl-ME"/>
        </w:rPr>
        <w:t xml:space="preserve"> Резултати поређења техничких резерви са искуством </w:t>
      </w:r>
      <w:r w:rsidR="002C361B" w:rsidRPr="00196439">
        <w:rPr>
          <w:rFonts w:cs="Arial"/>
          <w:color w:val="17365D" w:themeColor="text2" w:themeShade="BF"/>
          <w:sz w:val="22"/>
          <w:szCs w:val="22"/>
          <w:lang w:val="sr-Cyrl-ME"/>
        </w:rPr>
        <w:t xml:space="preserve">су у прихватљивим оквирима </w:t>
      </w:r>
      <w:r w:rsidR="002C530E" w:rsidRPr="00196439">
        <w:rPr>
          <w:rFonts w:cs="Arial"/>
          <w:color w:val="17365D" w:themeColor="text2" w:themeShade="BF"/>
          <w:sz w:val="22"/>
          <w:szCs w:val="22"/>
          <w:lang w:val="sr-Cyrl-ME"/>
        </w:rPr>
        <w:t xml:space="preserve">и њихова анализа </w:t>
      </w:r>
      <w:r w:rsidR="002C361B" w:rsidRPr="00196439">
        <w:rPr>
          <w:rFonts w:cs="Arial"/>
          <w:color w:val="17365D" w:themeColor="text2" w:themeShade="BF"/>
          <w:sz w:val="22"/>
          <w:szCs w:val="22"/>
          <w:lang w:val="sr-Cyrl-ME"/>
        </w:rPr>
        <w:t>не указује</w:t>
      </w:r>
      <w:r w:rsidR="002C530E" w:rsidRPr="00196439">
        <w:rPr>
          <w:rFonts w:cs="Arial"/>
          <w:color w:val="17365D" w:themeColor="text2" w:themeShade="BF"/>
          <w:sz w:val="22"/>
          <w:szCs w:val="22"/>
          <w:lang w:val="sr-Cyrl-ME"/>
        </w:rPr>
        <w:t xml:space="preserve"> да је дошло до систематског одступања</w:t>
      </w:r>
      <w:r w:rsidR="002C361B" w:rsidRPr="00196439">
        <w:rPr>
          <w:rFonts w:cs="Arial"/>
          <w:color w:val="17365D" w:themeColor="text2" w:themeShade="BF"/>
          <w:sz w:val="22"/>
          <w:szCs w:val="22"/>
          <w:lang w:val="sr-Cyrl-ME"/>
        </w:rPr>
        <w:t>.</w:t>
      </w:r>
    </w:p>
    <w:p w:rsidR="00480D4E" w:rsidRPr="00196439" w:rsidRDefault="00480D4E" w:rsidP="00480D4E">
      <w:pPr>
        <w:spacing w:line="276" w:lineRule="auto"/>
        <w:rPr>
          <w:rFonts w:cs="Arial"/>
          <w:color w:val="17365D" w:themeColor="text2" w:themeShade="BF"/>
          <w:sz w:val="22"/>
          <w:szCs w:val="22"/>
          <w:highlight w:val="green"/>
          <w:lang w:val="sr-Cyrl-ME"/>
        </w:rPr>
      </w:pPr>
    </w:p>
    <w:p w:rsidR="00B4646A" w:rsidRPr="00196439" w:rsidRDefault="00B4646A" w:rsidP="00480D4E">
      <w:pPr>
        <w:spacing w:line="276" w:lineRule="auto"/>
        <w:rPr>
          <w:rFonts w:cs="Arial"/>
          <w:color w:val="17365D" w:themeColor="text2" w:themeShade="BF"/>
          <w:sz w:val="22"/>
          <w:szCs w:val="22"/>
          <w:highlight w:val="green"/>
          <w:lang w:val="sr-Cyrl-ME"/>
        </w:rPr>
      </w:pPr>
    </w:p>
    <w:p w:rsidR="00037CA2" w:rsidRPr="00196439" w:rsidRDefault="002B0F63" w:rsidP="00480D4E">
      <w:pPr>
        <w:spacing w:line="276" w:lineRule="auto"/>
        <w:rPr>
          <w:rFonts w:cs="Arial"/>
          <w:b/>
          <w:color w:val="17365D" w:themeColor="text2" w:themeShade="BF"/>
          <w:sz w:val="22"/>
          <w:szCs w:val="22"/>
          <w:lang w:val="sr-Cyrl-ME"/>
        </w:rPr>
      </w:pPr>
      <w:r w:rsidRPr="00196439">
        <w:rPr>
          <w:rFonts w:cs="Arial"/>
          <w:b/>
          <w:color w:val="17365D" w:themeColor="text2" w:themeShade="BF"/>
          <w:sz w:val="22"/>
          <w:szCs w:val="22"/>
          <w:lang w:val="sr-Cyrl-ME"/>
        </w:rPr>
        <w:t xml:space="preserve">2.7.1. </w:t>
      </w:r>
      <w:r w:rsidR="00037CA2" w:rsidRPr="00196439">
        <w:rPr>
          <w:rFonts w:cs="Arial"/>
          <w:b/>
          <w:color w:val="17365D" w:themeColor="text2" w:themeShade="BF"/>
          <w:sz w:val="22"/>
          <w:szCs w:val="22"/>
          <w:lang w:val="sr-Cyrl-ME"/>
        </w:rPr>
        <w:t>Преносна премија</w:t>
      </w:r>
    </w:p>
    <w:p w:rsidR="00037CA2" w:rsidRPr="00196439" w:rsidRDefault="00037CA2" w:rsidP="00480D4E">
      <w:pPr>
        <w:spacing w:line="276" w:lineRule="auto"/>
        <w:rPr>
          <w:rFonts w:cs="Arial"/>
          <w:i/>
          <w:color w:val="17365D" w:themeColor="text2" w:themeShade="BF"/>
          <w:sz w:val="22"/>
          <w:szCs w:val="22"/>
          <w:highlight w:val="green"/>
          <w:u w:val="single"/>
          <w:lang w:val="sr-Cyrl-ME"/>
        </w:rPr>
      </w:pPr>
    </w:p>
    <w:p w:rsidR="00037CA2" w:rsidRPr="00196439" w:rsidRDefault="00037CA2" w:rsidP="00480D4E">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 xml:space="preserve">Начин утврђивања очекиваних износа штета и трошкова као претпоставки су објашњене у делу који се односи на обрачун резерви за </w:t>
      </w:r>
      <w:r w:rsidR="00C654F7" w:rsidRPr="00196439">
        <w:rPr>
          <w:rFonts w:cs="Arial"/>
          <w:color w:val="17365D" w:themeColor="text2" w:themeShade="BF"/>
          <w:sz w:val="22"/>
          <w:szCs w:val="22"/>
          <w:lang w:val="sr-Cyrl-ME"/>
        </w:rPr>
        <w:t>неистекле ризике</w:t>
      </w:r>
      <w:r w:rsidRPr="00196439">
        <w:rPr>
          <w:rFonts w:cs="Arial"/>
          <w:color w:val="17365D" w:themeColor="text2" w:themeShade="BF"/>
          <w:sz w:val="22"/>
          <w:szCs w:val="22"/>
          <w:lang w:val="sr-Cyrl-ME"/>
        </w:rPr>
        <w:t xml:space="preserve">. Сада се ове претпоставке и формирана резерва за преносне премије и резерве за </w:t>
      </w:r>
      <w:r w:rsidR="00C654F7" w:rsidRPr="00196439">
        <w:rPr>
          <w:rFonts w:cs="Arial"/>
          <w:color w:val="17365D" w:themeColor="text2" w:themeShade="BF"/>
          <w:sz w:val="22"/>
          <w:szCs w:val="22"/>
          <w:lang w:val="sr-Cyrl-ME"/>
        </w:rPr>
        <w:t>неистекле ризике</w:t>
      </w:r>
      <w:r w:rsidRPr="00196439">
        <w:rPr>
          <w:rFonts w:cs="Arial"/>
          <w:color w:val="17365D" w:themeColor="text2" w:themeShade="BF"/>
          <w:sz w:val="22"/>
          <w:szCs w:val="22"/>
          <w:lang w:val="sr-Cyrl-ME"/>
        </w:rPr>
        <w:t xml:space="preserve"> пореде са искуственим подацима из 201</w:t>
      </w:r>
      <w:r w:rsidR="00E843E2" w:rsidRPr="00196439">
        <w:rPr>
          <w:rFonts w:cs="Arial"/>
          <w:color w:val="17365D" w:themeColor="text2" w:themeShade="BF"/>
          <w:sz w:val="22"/>
          <w:szCs w:val="22"/>
          <w:lang w:val="sr-Cyrl-ME"/>
        </w:rPr>
        <w:t>9</w:t>
      </w:r>
      <w:r w:rsidRPr="00196439">
        <w:rPr>
          <w:rFonts w:cs="Arial"/>
          <w:color w:val="17365D" w:themeColor="text2" w:themeShade="BF"/>
          <w:sz w:val="22"/>
          <w:szCs w:val="22"/>
          <w:lang w:val="sr-Cyrl-ME"/>
        </w:rPr>
        <w:t>. године, односно са оствареним расходима по основу штета и остварени</w:t>
      </w:r>
      <w:r w:rsidR="00B4646A" w:rsidRPr="00196439">
        <w:rPr>
          <w:rFonts w:cs="Arial"/>
          <w:color w:val="17365D" w:themeColor="text2" w:themeShade="BF"/>
          <w:sz w:val="22"/>
          <w:szCs w:val="22"/>
          <w:lang w:val="sr-Cyrl-ME"/>
        </w:rPr>
        <w:t>м</w:t>
      </w:r>
      <w:r w:rsidRPr="00196439">
        <w:rPr>
          <w:rFonts w:cs="Arial"/>
          <w:color w:val="17365D" w:themeColor="text2" w:themeShade="BF"/>
          <w:sz w:val="22"/>
          <w:szCs w:val="22"/>
          <w:lang w:val="sr-Cyrl-ME"/>
        </w:rPr>
        <w:t xml:space="preserve"> трошковима у 201</w:t>
      </w:r>
      <w:r w:rsidR="00E843E2" w:rsidRPr="00196439">
        <w:rPr>
          <w:rFonts w:cs="Arial"/>
          <w:color w:val="17365D" w:themeColor="text2" w:themeShade="BF"/>
          <w:sz w:val="22"/>
          <w:szCs w:val="22"/>
          <w:lang w:val="sr-Cyrl-ME"/>
        </w:rPr>
        <w:t>9</w:t>
      </w:r>
      <w:r w:rsidRPr="00196439">
        <w:rPr>
          <w:rFonts w:cs="Arial"/>
          <w:color w:val="17365D" w:themeColor="text2" w:themeShade="BF"/>
          <w:sz w:val="22"/>
          <w:szCs w:val="22"/>
          <w:lang w:val="sr-Cyrl-ME"/>
        </w:rPr>
        <w:t>. години, по врстама осигурања.</w:t>
      </w:r>
    </w:p>
    <w:p w:rsidR="00807504" w:rsidRPr="00196439" w:rsidRDefault="00807504" w:rsidP="00480D4E">
      <w:pPr>
        <w:spacing w:line="276" w:lineRule="auto"/>
        <w:rPr>
          <w:rFonts w:cs="Arial"/>
          <w:color w:val="17365D" w:themeColor="text2" w:themeShade="BF"/>
          <w:sz w:val="22"/>
          <w:szCs w:val="22"/>
          <w:highlight w:val="green"/>
          <w:lang w:val="sr-Cyrl-ME"/>
        </w:rPr>
      </w:pPr>
    </w:p>
    <w:p w:rsidR="00037CA2" w:rsidRPr="00196439" w:rsidRDefault="00ED28C2" w:rsidP="00480D4E">
      <w:pPr>
        <w:spacing w:line="276" w:lineRule="auto"/>
        <w:rPr>
          <w:rFonts w:eastAsia="Verdana" w:cs="Arial"/>
          <w:color w:val="17365D" w:themeColor="text2" w:themeShade="BF"/>
          <w:sz w:val="22"/>
          <w:szCs w:val="22"/>
          <w:lang w:val="sr-Latn-RS"/>
        </w:rPr>
      </w:pPr>
      <w:r w:rsidRPr="00196439">
        <w:rPr>
          <w:rFonts w:eastAsia="Verdana" w:cs="Arial"/>
          <w:color w:val="17365D" w:themeColor="text2" w:themeShade="BF"/>
          <w:sz w:val="22"/>
          <w:szCs w:val="22"/>
          <w:lang w:val="sr-Cyrl-ME"/>
        </w:rPr>
        <w:t>Сагласно</w:t>
      </w:r>
      <w:r w:rsidR="002A39F2" w:rsidRPr="00196439">
        <w:rPr>
          <w:rFonts w:eastAsia="Verdana" w:cs="Arial"/>
          <w:color w:val="17365D" w:themeColor="text2" w:themeShade="BF"/>
          <w:sz w:val="22"/>
          <w:szCs w:val="22"/>
          <w:lang w:val="sr-Cyrl-ME"/>
        </w:rPr>
        <w:t xml:space="preserve"> Упутств</w:t>
      </w:r>
      <w:r w:rsidRPr="00196439">
        <w:rPr>
          <w:rFonts w:eastAsia="Verdana" w:cs="Arial"/>
          <w:color w:val="17365D" w:themeColor="text2" w:themeShade="BF"/>
          <w:sz w:val="22"/>
          <w:szCs w:val="22"/>
          <w:lang w:val="sr-Cyrl-ME"/>
        </w:rPr>
        <w:t>у</w:t>
      </w:r>
      <w:r w:rsidR="002A39F2" w:rsidRPr="00196439">
        <w:rPr>
          <w:rFonts w:eastAsia="Verdana" w:cs="Arial"/>
          <w:color w:val="17365D" w:themeColor="text2" w:themeShade="BF"/>
          <w:sz w:val="22"/>
          <w:szCs w:val="22"/>
          <w:lang w:val="sr-Cyrl-ME"/>
        </w:rPr>
        <w:t xml:space="preserve"> </w:t>
      </w:r>
      <w:r w:rsidRPr="00196439">
        <w:rPr>
          <w:rFonts w:cs="Arial"/>
          <w:color w:val="17365D" w:themeColor="text2" w:themeShade="BF"/>
          <w:sz w:val="22"/>
          <w:szCs w:val="22"/>
          <w:lang w:val="sr-Cyrl-ME"/>
        </w:rPr>
        <w:t>за поређење техничких резерви са искуством у</w:t>
      </w:r>
      <w:r w:rsidR="00037CA2" w:rsidRPr="00196439">
        <w:rPr>
          <w:rFonts w:eastAsia="Verdana" w:cs="Arial"/>
          <w:color w:val="17365D" w:themeColor="text2" w:themeShade="BF"/>
          <w:sz w:val="22"/>
          <w:szCs w:val="22"/>
          <w:lang w:val="sr-Latn-RS"/>
        </w:rPr>
        <w:t xml:space="preserve"> случају да су резерве прецењене за више од 30% на дан 31.12.</w:t>
      </w:r>
      <w:r w:rsidR="003153FF" w:rsidRPr="00196439">
        <w:rPr>
          <w:rFonts w:eastAsia="Verdana" w:cs="Arial"/>
          <w:color w:val="17365D" w:themeColor="text2" w:themeShade="BF"/>
          <w:sz w:val="22"/>
          <w:szCs w:val="22"/>
          <w:lang w:val="sr-Cyrl-RS"/>
        </w:rPr>
        <w:t>201</w:t>
      </w:r>
      <w:r w:rsidR="00E843E2" w:rsidRPr="00196439">
        <w:rPr>
          <w:rFonts w:eastAsia="Verdana" w:cs="Arial"/>
          <w:color w:val="17365D" w:themeColor="text2" w:themeShade="BF"/>
          <w:sz w:val="22"/>
          <w:szCs w:val="22"/>
          <w:lang w:val="sr-Cyrl-RS"/>
        </w:rPr>
        <w:t>8</w:t>
      </w:r>
      <w:r w:rsidR="00C654F7" w:rsidRPr="00196439">
        <w:rPr>
          <w:rFonts w:eastAsia="Verdana" w:cs="Arial"/>
          <w:color w:val="17365D" w:themeColor="text2" w:themeShade="BF"/>
          <w:sz w:val="22"/>
          <w:szCs w:val="22"/>
          <w:lang w:val="sr-Cyrl-RS"/>
        </w:rPr>
        <w:t>.</w:t>
      </w:r>
      <w:r w:rsidR="00037CA2" w:rsidRPr="00196439">
        <w:rPr>
          <w:rFonts w:eastAsia="Verdana" w:cs="Arial"/>
          <w:color w:val="17365D" w:themeColor="text2" w:themeShade="BF"/>
          <w:sz w:val="22"/>
          <w:szCs w:val="22"/>
          <w:lang w:val="sr-Latn-RS"/>
        </w:rPr>
        <w:t xml:space="preserve"> или у случају да су резерве потцењене за више од 10% код било које врсте, потребно је извршити анализу зашто је до тога дошло и да ли постоји систем</w:t>
      </w:r>
      <w:r w:rsidR="00037CA2" w:rsidRPr="00196439">
        <w:rPr>
          <w:rFonts w:eastAsia="Verdana" w:cs="Arial"/>
          <w:color w:val="17365D" w:themeColor="text2" w:themeShade="BF"/>
          <w:sz w:val="22"/>
          <w:szCs w:val="22"/>
          <w:lang w:val="sr-Cyrl-ME"/>
        </w:rPr>
        <w:t>атско</w:t>
      </w:r>
      <w:r w:rsidR="00037CA2" w:rsidRPr="00196439">
        <w:rPr>
          <w:rFonts w:eastAsia="Verdana" w:cs="Arial"/>
          <w:color w:val="17365D" w:themeColor="text2" w:themeShade="BF"/>
          <w:sz w:val="22"/>
          <w:szCs w:val="22"/>
          <w:lang w:val="sr-Latn-RS"/>
        </w:rPr>
        <w:t xml:space="preserve"> одступање. При томе се по врстама осигурања, осим релативног одступања посматра и апсолутни износ одступања до ± 5% укупне резерве</w:t>
      </w:r>
      <w:r w:rsidR="003D2529" w:rsidRPr="00196439">
        <w:rPr>
          <w:rFonts w:eastAsia="Verdana" w:cs="Arial"/>
          <w:color w:val="17365D" w:themeColor="text2" w:themeShade="BF"/>
          <w:sz w:val="22"/>
          <w:szCs w:val="22"/>
          <w:lang w:val="sr-Cyrl-RS"/>
        </w:rPr>
        <w:t xml:space="preserve"> за преносну премију на 31.12.201</w:t>
      </w:r>
      <w:r w:rsidR="00E843E2" w:rsidRPr="00196439">
        <w:rPr>
          <w:rFonts w:eastAsia="Verdana" w:cs="Arial"/>
          <w:color w:val="17365D" w:themeColor="text2" w:themeShade="BF"/>
          <w:sz w:val="22"/>
          <w:szCs w:val="22"/>
          <w:lang w:val="sr-Cyrl-RS"/>
        </w:rPr>
        <w:t>8</w:t>
      </w:r>
      <w:r w:rsidR="003D2529" w:rsidRPr="00196439">
        <w:rPr>
          <w:rFonts w:eastAsia="Verdana" w:cs="Arial"/>
          <w:color w:val="17365D" w:themeColor="text2" w:themeShade="BF"/>
          <w:sz w:val="22"/>
          <w:szCs w:val="22"/>
          <w:lang w:val="sr-Cyrl-RS"/>
        </w:rPr>
        <w:t>.</w:t>
      </w:r>
      <w:r w:rsidR="00037CA2" w:rsidRPr="00196439">
        <w:rPr>
          <w:rFonts w:eastAsia="Verdana" w:cs="Arial"/>
          <w:color w:val="17365D" w:themeColor="text2" w:themeShade="BF"/>
          <w:sz w:val="22"/>
          <w:szCs w:val="22"/>
          <w:lang w:val="sr-Latn-RS"/>
        </w:rPr>
        <w:t xml:space="preserve"> пошто велика релативна одступања у апсолутном износу не морају представљати значајну вредност. </w:t>
      </w:r>
    </w:p>
    <w:p w:rsidR="00807504" w:rsidRPr="00196439" w:rsidRDefault="00807504" w:rsidP="00480D4E">
      <w:pPr>
        <w:spacing w:line="276" w:lineRule="auto"/>
        <w:rPr>
          <w:rFonts w:eastAsia="Verdana" w:cs="Arial"/>
          <w:color w:val="17365D" w:themeColor="text2" w:themeShade="BF"/>
          <w:sz w:val="22"/>
          <w:szCs w:val="22"/>
          <w:lang w:val="sr-Latn-RS"/>
        </w:rPr>
      </w:pPr>
    </w:p>
    <w:p w:rsidR="00336384" w:rsidRPr="00196439" w:rsidRDefault="00037CA2" w:rsidP="00480D4E">
      <w:pPr>
        <w:spacing w:line="276" w:lineRule="auto"/>
        <w:rPr>
          <w:rFonts w:eastAsia="Verdana" w:cs="Arial"/>
          <w:color w:val="17365D" w:themeColor="text2" w:themeShade="BF"/>
          <w:sz w:val="22"/>
          <w:szCs w:val="22"/>
          <w:lang w:val="sr-Cyrl-ME"/>
        </w:rPr>
      </w:pPr>
      <w:r w:rsidRPr="00196439">
        <w:rPr>
          <w:rFonts w:eastAsia="Verdana" w:cs="Arial"/>
          <w:color w:val="17365D" w:themeColor="text2" w:themeShade="BF"/>
          <w:sz w:val="22"/>
          <w:szCs w:val="22"/>
          <w:lang w:val="sr-Cyrl-ME"/>
        </w:rPr>
        <w:lastRenderedPageBreak/>
        <w:t>Поређење преносне премије са искуством показало се да су укупне резерве за преносне премије</w:t>
      </w:r>
      <w:r w:rsidR="00B16B07" w:rsidRPr="00196439">
        <w:rPr>
          <w:rFonts w:eastAsia="Verdana" w:cs="Arial"/>
          <w:color w:val="17365D" w:themeColor="text2" w:themeShade="BF"/>
          <w:sz w:val="22"/>
          <w:szCs w:val="22"/>
          <w:lang w:val="sr-Cyrl-ME"/>
        </w:rPr>
        <w:t xml:space="preserve"> (збир преносних премија и резерви за неистекле ризике)</w:t>
      </w:r>
      <w:r w:rsidRPr="00196439">
        <w:rPr>
          <w:rFonts w:eastAsia="Verdana" w:cs="Arial"/>
          <w:color w:val="17365D" w:themeColor="text2" w:themeShade="BF"/>
          <w:sz w:val="22"/>
          <w:szCs w:val="22"/>
          <w:lang w:val="sr-Cyrl-ME"/>
        </w:rPr>
        <w:t xml:space="preserve"> на дан 31.12.201</w:t>
      </w:r>
      <w:r w:rsidR="00E843E2" w:rsidRPr="00196439">
        <w:rPr>
          <w:rFonts w:eastAsia="Verdana" w:cs="Arial"/>
          <w:color w:val="17365D" w:themeColor="text2" w:themeShade="BF"/>
          <w:sz w:val="22"/>
          <w:szCs w:val="22"/>
          <w:lang w:val="sr-Cyrl-ME"/>
        </w:rPr>
        <w:t>8</w:t>
      </w:r>
      <w:r w:rsidRPr="00196439">
        <w:rPr>
          <w:rFonts w:eastAsia="Verdana" w:cs="Arial"/>
          <w:color w:val="17365D" w:themeColor="text2" w:themeShade="BF"/>
          <w:sz w:val="22"/>
          <w:szCs w:val="22"/>
          <w:lang w:val="sr-Cyrl-ME"/>
        </w:rPr>
        <w:t>. године биле</w:t>
      </w:r>
      <w:r w:rsidR="004A58A3" w:rsidRPr="00196439">
        <w:rPr>
          <w:rFonts w:eastAsia="Verdana" w:cs="Arial"/>
          <w:color w:val="17365D" w:themeColor="text2" w:themeShade="BF"/>
          <w:sz w:val="22"/>
          <w:szCs w:val="22"/>
          <w:lang w:val="sr-Cyrl-ME"/>
        </w:rPr>
        <w:t xml:space="preserve"> благо</w:t>
      </w:r>
      <w:r w:rsidRPr="00196439">
        <w:rPr>
          <w:rFonts w:eastAsia="Verdana" w:cs="Arial"/>
          <w:color w:val="17365D" w:themeColor="text2" w:themeShade="BF"/>
          <w:sz w:val="22"/>
          <w:szCs w:val="22"/>
          <w:lang w:val="sr-Cyrl-ME"/>
        </w:rPr>
        <w:t xml:space="preserve"> </w:t>
      </w:r>
      <w:r w:rsidR="00492042" w:rsidRPr="00196439">
        <w:rPr>
          <w:rFonts w:eastAsia="Verdana" w:cs="Arial"/>
          <w:color w:val="17365D" w:themeColor="text2" w:themeShade="BF"/>
          <w:sz w:val="22"/>
          <w:szCs w:val="22"/>
          <w:lang w:val="sr-Cyrl-ME"/>
        </w:rPr>
        <w:t>п</w:t>
      </w:r>
      <w:r w:rsidR="0019571C" w:rsidRPr="00196439">
        <w:rPr>
          <w:rFonts w:eastAsia="Verdana" w:cs="Arial"/>
          <w:color w:val="17365D" w:themeColor="text2" w:themeShade="BF"/>
          <w:sz w:val="22"/>
          <w:szCs w:val="22"/>
          <w:lang w:val="sr-Cyrl-ME"/>
        </w:rPr>
        <w:t>рецењене</w:t>
      </w:r>
      <w:r w:rsidR="00492042" w:rsidRPr="00196439">
        <w:rPr>
          <w:rFonts w:eastAsia="Verdana" w:cs="Arial"/>
          <w:color w:val="17365D" w:themeColor="text2" w:themeShade="BF"/>
          <w:sz w:val="22"/>
          <w:szCs w:val="22"/>
          <w:lang w:val="sr-Cyrl-ME"/>
        </w:rPr>
        <w:t xml:space="preserve"> у износу од </w:t>
      </w:r>
      <w:r w:rsidR="007D10EC" w:rsidRPr="00196439">
        <w:rPr>
          <w:rFonts w:eastAsia="Verdana" w:cs="Arial"/>
          <w:color w:val="17365D" w:themeColor="text2" w:themeShade="BF"/>
          <w:sz w:val="22"/>
          <w:szCs w:val="22"/>
          <w:lang w:val="sr-Cyrl-ME"/>
        </w:rPr>
        <w:t>1</w:t>
      </w:r>
      <w:r w:rsidR="00492042" w:rsidRPr="00196439">
        <w:rPr>
          <w:rFonts w:eastAsia="Verdana" w:cs="Arial"/>
          <w:color w:val="17365D" w:themeColor="text2" w:themeShade="BF"/>
          <w:sz w:val="22"/>
          <w:szCs w:val="22"/>
          <w:lang w:val="sr-Cyrl-ME"/>
        </w:rPr>
        <w:t>.</w:t>
      </w:r>
      <w:r w:rsidR="007D10EC" w:rsidRPr="00196439">
        <w:rPr>
          <w:rFonts w:eastAsia="Verdana" w:cs="Arial"/>
          <w:color w:val="17365D" w:themeColor="text2" w:themeShade="BF"/>
          <w:sz w:val="22"/>
          <w:szCs w:val="22"/>
          <w:lang w:val="sr-Cyrl-ME"/>
        </w:rPr>
        <w:t>485</w:t>
      </w:r>
      <w:r w:rsidR="00492042" w:rsidRPr="00196439">
        <w:rPr>
          <w:rFonts w:eastAsia="Verdana" w:cs="Arial"/>
          <w:color w:val="17365D" w:themeColor="text2" w:themeShade="BF"/>
          <w:sz w:val="22"/>
          <w:szCs w:val="22"/>
          <w:lang w:val="sr-Cyrl-ME"/>
        </w:rPr>
        <w:t>.</w:t>
      </w:r>
      <w:r w:rsidR="007D10EC" w:rsidRPr="00196439">
        <w:rPr>
          <w:rFonts w:eastAsia="Verdana" w:cs="Arial"/>
          <w:color w:val="17365D" w:themeColor="text2" w:themeShade="BF"/>
          <w:sz w:val="22"/>
          <w:szCs w:val="22"/>
          <w:lang w:val="sr-Cyrl-ME"/>
        </w:rPr>
        <w:t>352</w:t>
      </w:r>
      <w:r w:rsidR="00492042" w:rsidRPr="00196439">
        <w:rPr>
          <w:rFonts w:eastAsia="Verdana" w:cs="Arial"/>
          <w:color w:val="17365D" w:themeColor="text2" w:themeShade="BF"/>
          <w:sz w:val="22"/>
          <w:szCs w:val="22"/>
          <w:lang w:val="sr-Cyrl-ME"/>
        </w:rPr>
        <w:t xml:space="preserve"> динара односно 0,</w:t>
      </w:r>
      <w:r w:rsidR="007D10EC" w:rsidRPr="00196439">
        <w:rPr>
          <w:rFonts w:eastAsia="Verdana" w:cs="Arial"/>
          <w:color w:val="17365D" w:themeColor="text2" w:themeShade="BF"/>
          <w:sz w:val="22"/>
          <w:szCs w:val="22"/>
          <w:lang w:val="sr-Cyrl-ME"/>
        </w:rPr>
        <w:t>23</w:t>
      </w:r>
      <w:r w:rsidR="00492042" w:rsidRPr="00196439">
        <w:rPr>
          <w:rFonts w:eastAsia="Verdana" w:cs="Arial"/>
          <w:color w:val="17365D" w:themeColor="text2" w:themeShade="BF"/>
          <w:sz w:val="22"/>
          <w:szCs w:val="22"/>
          <w:lang w:val="sr-Cyrl-ME"/>
        </w:rPr>
        <w:t>%</w:t>
      </w:r>
      <w:r w:rsidR="004A58A3" w:rsidRPr="00196439">
        <w:rPr>
          <w:rFonts w:eastAsia="Verdana" w:cs="Arial"/>
          <w:color w:val="17365D" w:themeColor="text2" w:themeShade="BF"/>
          <w:sz w:val="22"/>
          <w:szCs w:val="22"/>
          <w:lang w:val="sr-Cyrl-ME"/>
        </w:rPr>
        <w:t>, па су</w:t>
      </w:r>
      <w:r w:rsidRPr="00196439">
        <w:rPr>
          <w:rFonts w:eastAsia="Verdana" w:cs="Arial"/>
          <w:color w:val="17365D" w:themeColor="text2" w:themeShade="BF"/>
          <w:sz w:val="22"/>
          <w:szCs w:val="22"/>
          <w:lang w:val="sr-Cyrl-ME"/>
        </w:rPr>
        <w:t xml:space="preserve"> претпоставке за обрачун </w:t>
      </w:r>
      <w:r w:rsidR="004A58A3" w:rsidRPr="00196439">
        <w:rPr>
          <w:rFonts w:eastAsia="Verdana" w:cs="Arial"/>
          <w:color w:val="17365D" w:themeColor="text2" w:themeShade="BF"/>
          <w:sz w:val="22"/>
          <w:szCs w:val="22"/>
          <w:lang w:val="sr-Cyrl-ME"/>
        </w:rPr>
        <w:t xml:space="preserve">резерви за преносне премије и </w:t>
      </w:r>
      <w:r w:rsidRPr="00196439">
        <w:rPr>
          <w:rFonts w:eastAsia="Verdana" w:cs="Arial"/>
          <w:color w:val="17365D" w:themeColor="text2" w:themeShade="BF"/>
          <w:sz w:val="22"/>
          <w:szCs w:val="22"/>
          <w:lang w:val="sr-Cyrl-ME"/>
        </w:rPr>
        <w:t xml:space="preserve">резерви за неистекле ризике </w:t>
      </w:r>
      <w:r w:rsidR="004A58A3" w:rsidRPr="00196439">
        <w:rPr>
          <w:rFonts w:eastAsia="Verdana" w:cs="Arial"/>
          <w:color w:val="17365D" w:themeColor="text2" w:themeShade="BF"/>
          <w:sz w:val="22"/>
          <w:szCs w:val="22"/>
          <w:lang w:val="sr-Cyrl-ME"/>
        </w:rPr>
        <w:t xml:space="preserve">биле </w:t>
      </w:r>
      <w:r w:rsidRPr="00196439">
        <w:rPr>
          <w:rFonts w:eastAsia="Verdana" w:cs="Arial"/>
          <w:color w:val="17365D" w:themeColor="text2" w:themeShade="BF"/>
          <w:sz w:val="22"/>
          <w:szCs w:val="22"/>
          <w:lang w:val="sr-Cyrl-ME"/>
        </w:rPr>
        <w:t xml:space="preserve">адекватне. </w:t>
      </w:r>
    </w:p>
    <w:p w:rsidR="00336384" w:rsidRPr="00196439" w:rsidRDefault="00336384" w:rsidP="00480D4E">
      <w:pPr>
        <w:spacing w:line="276" w:lineRule="auto"/>
        <w:rPr>
          <w:rFonts w:eastAsia="Verdana" w:cs="Arial"/>
          <w:color w:val="17365D" w:themeColor="text2" w:themeShade="BF"/>
          <w:sz w:val="22"/>
          <w:szCs w:val="22"/>
          <w:highlight w:val="green"/>
          <w:lang w:val="sr-Cyrl-ME"/>
        </w:rPr>
      </w:pPr>
    </w:p>
    <w:p w:rsidR="00AF2933" w:rsidRPr="00196439" w:rsidRDefault="00037CA2" w:rsidP="00480D4E">
      <w:pPr>
        <w:spacing w:line="276" w:lineRule="auto"/>
        <w:rPr>
          <w:rFonts w:eastAsia="Verdana" w:cs="Arial"/>
          <w:color w:val="17365D" w:themeColor="text2" w:themeShade="BF"/>
          <w:sz w:val="22"/>
          <w:szCs w:val="22"/>
          <w:lang w:val="sr-Cyrl-ME"/>
        </w:rPr>
      </w:pPr>
      <w:r w:rsidRPr="00196439">
        <w:rPr>
          <w:rFonts w:eastAsia="Verdana" w:cs="Arial"/>
          <w:color w:val="17365D" w:themeColor="text2" w:themeShade="BF"/>
          <w:sz w:val="22"/>
          <w:szCs w:val="22"/>
          <w:lang w:val="sr-Cyrl-ME"/>
        </w:rPr>
        <w:t xml:space="preserve">Укупно по свим врстама осигурања установљен је </w:t>
      </w:r>
      <w:r w:rsidR="0019571C" w:rsidRPr="00196439">
        <w:rPr>
          <w:rFonts w:eastAsia="Verdana" w:cs="Arial"/>
          <w:color w:val="17365D" w:themeColor="text2" w:themeShade="BF"/>
          <w:sz w:val="22"/>
          <w:szCs w:val="22"/>
          <w:lang w:val="sr-Cyrl-ME"/>
        </w:rPr>
        <w:t xml:space="preserve">суфицит </w:t>
      </w:r>
      <w:r w:rsidRPr="00196439">
        <w:rPr>
          <w:rFonts w:eastAsia="Verdana" w:cs="Arial"/>
          <w:color w:val="17365D" w:themeColor="text2" w:themeShade="BF"/>
          <w:sz w:val="22"/>
          <w:szCs w:val="22"/>
          <w:lang w:val="sr-Cyrl-ME"/>
        </w:rPr>
        <w:t xml:space="preserve">од </w:t>
      </w:r>
      <w:r w:rsidR="007D10EC" w:rsidRPr="00196439">
        <w:rPr>
          <w:rFonts w:eastAsia="Verdana" w:cs="Arial"/>
          <w:color w:val="17365D" w:themeColor="text2" w:themeShade="BF"/>
          <w:sz w:val="22"/>
          <w:szCs w:val="22"/>
          <w:lang w:val="sr-Cyrl-ME"/>
        </w:rPr>
        <w:t>1.485.352</w:t>
      </w:r>
      <w:r w:rsidR="00B32373" w:rsidRPr="00196439">
        <w:rPr>
          <w:rFonts w:eastAsia="Verdana" w:cs="Arial"/>
          <w:color w:val="17365D" w:themeColor="text2" w:themeShade="BF"/>
          <w:sz w:val="22"/>
          <w:szCs w:val="22"/>
          <w:lang w:val="sr-Cyrl-ME"/>
        </w:rPr>
        <w:t xml:space="preserve"> </w:t>
      </w:r>
      <w:r w:rsidR="00EA09CB" w:rsidRPr="00196439">
        <w:rPr>
          <w:rFonts w:eastAsia="Verdana" w:cs="Arial"/>
          <w:color w:val="17365D" w:themeColor="text2" w:themeShade="BF"/>
          <w:sz w:val="22"/>
          <w:szCs w:val="22"/>
          <w:lang w:val="sr-Cyrl-ME"/>
        </w:rPr>
        <w:t>(</w:t>
      </w:r>
      <w:r w:rsidR="00AF2933" w:rsidRPr="00196439">
        <w:rPr>
          <w:rFonts w:eastAsia="Verdana" w:cs="Arial"/>
          <w:color w:val="17365D" w:themeColor="text2" w:themeShade="BF"/>
          <w:sz w:val="22"/>
          <w:szCs w:val="22"/>
          <w:lang w:val="sr-Cyrl-ME"/>
        </w:rPr>
        <w:t>0</w:t>
      </w:r>
      <w:r w:rsidR="00EA09CB" w:rsidRPr="00196439">
        <w:rPr>
          <w:rFonts w:eastAsia="Verdana" w:cs="Arial"/>
          <w:color w:val="17365D" w:themeColor="text2" w:themeShade="BF"/>
          <w:sz w:val="22"/>
          <w:szCs w:val="22"/>
          <w:lang w:val="sr-Cyrl-ME"/>
        </w:rPr>
        <w:t>,</w:t>
      </w:r>
      <w:r w:rsidR="007D10EC" w:rsidRPr="00196439">
        <w:rPr>
          <w:rFonts w:eastAsia="Verdana" w:cs="Arial"/>
          <w:color w:val="17365D" w:themeColor="text2" w:themeShade="BF"/>
          <w:sz w:val="22"/>
          <w:szCs w:val="22"/>
          <w:lang w:val="sr-Cyrl-ME"/>
        </w:rPr>
        <w:t>23</w:t>
      </w:r>
      <w:r w:rsidR="00EA09CB" w:rsidRPr="00196439">
        <w:rPr>
          <w:rFonts w:eastAsia="Verdana" w:cs="Arial"/>
          <w:color w:val="17365D" w:themeColor="text2" w:themeShade="BF"/>
          <w:sz w:val="22"/>
          <w:szCs w:val="22"/>
          <w:lang w:val="sr-Cyrl-ME"/>
        </w:rPr>
        <w:t>%)</w:t>
      </w:r>
      <w:r w:rsidR="00F60DAB" w:rsidRPr="00196439">
        <w:rPr>
          <w:rFonts w:eastAsia="Verdana" w:cs="Arial"/>
          <w:color w:val="17365D" w:themeColor="text2" w:themeShade="BF"/>
          <w:sz w:val="22"/>
          <w:szCs w:val="22"/>
          <w:lang w:val="sr-Cyrl-ME"/>
        </w:rPr>
        <w:t>, што је у оквирима прихватљивог одступања</w:t>
      </w:r>
      <w:r w:rsidR="001F5903" w:rsidRPr="00196439">
        <w:rPr>
          <w:rFonts w:eastAsia="Verdana" w:cs="Arial"/>
          <w:color w:val="17365D" w:themeColor="text2" w:themeShade="BF"/>
          <w:sz w:val="22"/>
          <w:szCs w:val="22"/>
          <w:lang w:val="sr-Cyrl-ME"/>
        </w:rPr>
        <w:t>.</w:t>
      </w:r>
      <w:r w:rsidR="007D10EC" w:rsidRPr="00196439">
        <w:rPr>
          <w:rFonts w:eastAsia="Verdana" w:cs="Arial"/>
          <w:color w:val="17365D" w:themeColor="text2" w:themeShade="BF"/>
          <w:sz w:val="22"/>
          <w:szCs w:val="22"/>
          <w:lang w:val="sr-Cyrl-ME"/>
        </w:rPr>
        <w:t xml:space="preserve"> На врсти осигурања 06 Осигурање пловних објеката установљен је дефицит од 6.840 динара због неповољног рациа штета узрокованог једном</w:t>
      </w:r>
      <w:r w:rsidR="007B4FA1" w:rsidRPr="00196439">
        <w:rPr>
          <w:rFonts w:eastAsia="Verdana" w:cs="Arial"/>
          <w:color w:val="17365D" w:themeColor="text2" w:themeShade="BF"/>
          <w:sz w:val="22"/>
          <w:szCs w:val="22"/>
          <w:lang w:val="sr-Cyrl-ME"/>
        </w:rPr>
        <w:t xml:space="preserve"> ликвидираном штетом из 2019. године на износ од 3,2 милиона динара, тако да није у питању систематско одступање.</w:t>
      </w:r>
      <w:r w:rsidR="009B5F05" w:rsidRPr="00196439">
        <w:rPr>
          <w:rFonts w:eastAsia="Verdana" w:cs="Arial"/>
          <w:color w:val="17365D" w:themeColor="text2" w:themeShade="BF"/>
          <w:sz w:val="22"/>
          <w:szCs w:val="22"/>
          <w:lang w:val="sr-Cyrl-ME"/>
        </w:rPr>
        <w:t xml:space="preserve"> Износ дефицита на овој врсти је </w:t>
      </w:r>
      <w:r w:rsidR="00B77022" w:rsidRPr="00196439">
        <w:rPr>
          <w:rFonts w:eastAsia="Verdana" w:cs="Arial"/>
          <w:color w:val="17365D" w:themeColor="text2" w:themeShade="BF"/>
          <w:sz w:val="22"/>
          <w:szCs w:val="22"/>
          <w:lang w:val="sr-Cyrl-ME"/>
        </w:rPr>
        <w:t>26,43%</w:t>
      </w:r>
      <w:r w:rsidR="009B5F05" w:rsidRPr="00196439">
        <w:rPr>
          <w:rFonts w:eastAsia="Verdana" w:cs="Arial"/>
          <w:color w:val="17365D" w:themeColor="text2" w:themeShade="BF"/>
          <w:sz w:val="22"/>
          <w:szCs w:val="22"/>
          <w:lang w:val="sr-Cyrl-ME"/>
        </w:rPr>
        <w:t xml:space="preserve"> на нивоу врсте осигурања, међутим када се посматра у односу на целу преносну премију он износи </w:t>
      </w:r>
      <w:r w:rsidR="007B4FA1" w:rsidRPr="00196439">
        <w:rPr>
          <w:rFonts w:eastAsia="Verdana" w:cs="Arial"/>
          <w:color w:val="17365D" w:themeColor="text2" w:themeShade="BF"/>
          <w:sz w:val="22"/>
          <w:szCs w:val="22"/>
          <w:lang w:val="sr-Cyrl-ME"/>
        </w:rPr>
        <w:t>испод 0</w:t>
      </w:r>
      <w:r w:rsidR="009B5F05" w:rsidRPr="00196439">
        <w:rPr>
          <w:rFonts w:eastAsia="Verdana" w:cs="Arial"/>
          <w:color w:val="17365D" w:themeColor="text2" w:themeShade="BF"/>
          <w:sz w:val="22"/>
          <w:szCs w:val="22"/>
          <w:lang w:val="sr-Cyrl-ME"/>
        </w:rPr>
        <w:t>,</w:t>
      </w:r>
      <w:r w:rsidR="007B4FA1" w:rsidRPr="00196439">
        <w:rPr>
          <w:rFonts w:eastAsia="Verdana" w:cs="Arial"/>
          <w:color w:val="17365D" w:themeColor="text2" w:themeShade="BF"/>
          <w:sz w:val="22"/>
          <w:szCs w:val="22"/>
          <w:lang w:val="sr-Cyrl-ME"/>
        </w:rPr>
        <w:t>0</w:t>
      </w:r>
      <w:r w:rsidR="004F0F84" w:rsidRPr="00196439">
        <w:rPr>
          <w:rFonts w:eastAsia="Verdana" w:cs="Arial"/>
          <w:color w:val="17365D" w:themeColor="text2" w:themeShade="BF"/>
          <w:sz w:val="22"/>
          <w:szCs w:val="22"/>
          <w:lang w:val="sr-Cyrl-ME"/>
        </w:rPr>
        <w:t>0</w:t>
      </w:r>
      <w:r w:rsidR="007B4FA1" w:rsidRPr="00196439">
        <w:rPr>
          <w:rFonts w:eastAsia="Verdana" w:cs="Arial"/>
          <w:color w:val="17365D" w:themeColor="text2" w:themeShade="BF"/>
          <w:sz w:val="22"/>
          <w:szCs w:val="22"/>
          <w:lang w:val="sr-Cyrl-ME"/>
        </w:rPr>
        <w:t>1</w:t>
      </w:r>
      <w:r w:rsidR="009B5F05" w:rsidRPr="00196439">
        <w:rPr>
          <w:rFonts w:eastAsia="Verdana" w:cs="Arial"/>
          <w:color w:val="17365D" w:themeColor="text2" w:themeShade="BF"/>
          <w:sz w:val="22"/>
          <w:szCs w:val="22"/>
          <w:lang w:val="sr-Cyrl-ME"/>
        </w:rPr>
        <w:t>% и значајно је испод границе од 5% поставље</w:t>
      </w:r>
      <w:r w:rsidR="004F0F84" w:rsidRPr="00196439">
        <w:rPr>
          <w:rFonts w:eastAsia="Verdana" w:cs="Arial"/>
          <w:color w:val="17365D" w:themeColor="text2" w:themeShade="BF"/>
          <w:sz w:val="22"/>
          <w:szCs w:val="22"/>
          <w:lang w:val="sr-Cyrl-ME"/>
        </w:rPr>
        <w:t>н</w:t>
      </w:r>
      <w:r w:rsidR="009B5F05" w:rsidRPr="00196439">
        <w:rPr>
          <w:rFonts w:eastAsia="Verdana" w:cs="Arial"/>
          <w:color w:val="17365D" w:themeColor="text2" w:themeShade="BF"/>
          <w:sz w:val="22"/>
          <w:szCs w:val="22"/>
          <w:lang w:val="sr-Cyrl-ME"/>
        </w:rPr>
        <w:t>е Упутством за поређење техничких резерви са искуством.</w:t>
      </w:r>
      <w:r w:rsidR="00D300D0" w:rsidRPr="00196439">
        <w:rPr>
          <w:rFonts w:eastAsia="Verdana" w:cs="Arial"/>
          <w:color w:val="17365D" w:themeColor="text2" w:themeShade="BF"/>
          <w:sz w:val="22"/>
          <w:szCs w:val="22"/>
          <w:lang w:val="sr-Cyrl-ME"/>
        </w:rPr>
        <w:t xml:space="preserve"> На осталим врстама осигурања резултати су у прописаним границама, тако да се може закључити да су коришћене реалне претпоставке у прошлогодишњем обрачуну.</w:t>
      </w:r>
    </w:p>
    <w:p w:rsidR="00AF2933" w:rsidRPr="00196439" w:rsidRDefault="00AF2933" w:rsidP="00480D4E">
      <w:pPr>
        <w:spacing w:line="276" w:lineRule="auto"/>
        <w:rPr>
          <w:rFonts w:eastAsia="Verdana" w:cs="Arial"/>
          <w:color w:val="17365D" w:themeColor="text2" w:themeShade="BF"/>
          <w:sz w:val="22"/>
          <w:szCs w:val="22"/>
          <w:highlight w:val="green"/>
          <w:lang w:val="sr-Cyrl-ME"/>
        </w:rPr>
      </w:pPr>
    </w:p>
    <w:p w:rsidR="002B0F63" w:rsidRPr="00196439" w:rsidRDefault="0019571C" w:rsidP="00480D4E">
      <w:pPr>
        <w:spacing w:line="276" w:lineRule="auto"/>
        <w:rPr>
          <w:rFonts w:eastAsia="Verdana" w:cs="Arial"/>
          <w:b/>
          <w:color w:val="17365D" w:themeColor="text2" w:themeShade="BF"/>
          <w:sz w:val="22"/>
          <w:szCs w:val="22"/>
          <w:lang w:val="sr-Cyrl-ME"/>
        </w:rPr>
      </w:pPr>
      <w:r w:rsidRPr="00196439">
        <w:rPr>
          <w:rFonts w:eastAsia="Verdana"/>
          <w:noProof/>
          <w:color w:val="17365D" w:themeColor="text2" w:themeShade="BF"/>
          <w:lang w:val="en-US"/>
        </w:rPr>
        <w:drawing>
          <wp:inline distT="0" distB="0" distL="0" distR="0" wp14:anchorId="48CA82CF" wp14:editId="1C091E5C">
            <wp:extent cx="6120765" cy="3060220"/>
            <wp:effectExtent l="0" t="0" r="0" b="698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3060220"/>
                    </a:xfrm>
                    <a:prstGeom prst="rect">
                      <a:avLst/>
                    </a:prstGeom>
                    <a:noFill/>
                    <a:ln>
                      <a:noFill/>
                    </a:ln>
                  </pic:spPr>
                </pic:pic>
              </a:graphicData>
            </a:graphic>
          </wp:inline>
        </w:drawing>
      </w:r>
    </w:p>
    <w:p w:rsidR="00807504" w:rsidRPr="00196439" w:rsidRDefault="00807504" w:rsidP="00480D4E">
      <w:pPr>
        <w:spacing w:line="276" w:lineRule="auto"/>
        <w:rPr>
          <w:rFonts w:eastAsia="Verdana" w:cs="Arial"/>
          <w:b/>
          <w:color w:val="17365D" w:themeColor="text2" w:themeShade="BF"/>
          <w:sz w:val="22"/>
          <w:szCs w:val="22"/>
          <w:highlight w:val="green"/>
          <w:lang w:val="sr-Cyrl-ME"/>
        </w:rPr>
      </w:pPr>
    </w:p>
    <w:p w:rsidR="00037CA2" w:rsidRPr="00196439" w:rsidRDefault="00037CA2" w:rsidP="00480D4E">
      <w:pPr>
        <w:spacing w:line="276" w:lineRule="auto"/>
        <w:rPr>
          <w:rFonts w:eastAsia="Verdana" w:cs="Arial"/>
          <w:b/>
          <w:color w:val="17365D" w:themeColor="text2" w:themeShade="BF"/>
          <w:sz w:val="22"/>
          <w:szCs w:val="22"/>
          <w:lang w:val="sr-Cyrl-ME"/>
        </w:rPr>
      </w:pPr>
      <w:r w:rsidRPr="00196439">
        <w:rPr>
          <w:rFonts w:eastAsia="Verdana" w:cs="Arial"/>
          <w:b/>
          <w:color w:val="17365D" w:themeColor="text2" w:themeShade="BF"/>
          <w:sz w:val="22"/>
          <w:szCs w:val="22"/>
          <w:lang w:val="sr-Cyrl-ME"/>
        </w:rPr>
        <w:t xml:space="preserve">Резултати поређења износа </w:t>
      </w:r>
      <w:r w:rsidR="00D300D0" w:rsidRPr="00196439">
        <w:rPr>
          <w:rFonts w:eastAsia="Verdana" w:cs="Arial"/>
          <w:b/>
          <w:color w:val="17365D" w:themeColor="text2" w:themeShade="BF"/>
          <w:sz w:val="22"/>
          <w:szCs w:val="22"/>
          <w:lang w:val="sr-Cyrl-ME"/>
        </w:rPr>
        <w:t>преносне премије и резерви за неистекле ризике</w:t>
      </w:r>
      <w:r w:rsidRPr="00196439">
        <w:rPr>
          <w:rFonts w:eastAsia="Verdana" w:cs="Arial"/>
          <w:b/>
          <w:color w:val="17365D" w:themeColor="text2" w:themeShade="BF"/>
          <w:sz w:val="22"/>
          <w:szCs w:val="22"/>
          <w:lang w:val="sr-Cyrl-ME"/>
        </w:rPr>
        <w:t xml:space="preserve"> по врстама осигурања и претпоставки и података коришћених у њиховом обрачуну са искуством су </w:t>
      </w:r>
      <w:r w:rsidR="00083090" w:rsidRPr="00196439">
        <w:rPr>
          <w:rFonts w:eastAsia="Verdana" w:cs="Arial"/>
          <w:b/>
          <w:color w:val="17365D" w:themeColor="text2" w:themeShade="BF"/>
          <w:sz w:val="22"/>
          <w:szCs w:val="22"/>
          <w:lang w:val="sr-Cyrl-ME"/>
        </w:rPr>
        <w:t xml:space="preserve">у оптималним границама и </w:t>
      </w:r>
      <w:r w:rsidRPr="00196439">
        <w:rPr>
          <w:rFonts w:eastAsia="Verdana" w:cs="Arial"/>
          <w:b/>
          <w:color w:val="17365D" w:themeColor="text2" w:themeShade="BF"/>
          <w:sz w:val="22"/>
          <w:szCs w:val="22"/>
          <w:lang w:val="sr-Cyrl-ME"/>
        </w:rPr>
        <w:t xml:space="preserve">није утврђено њихово </w:t>
      </w:r>
      <w:r w:rsidRPr="00196439">
        <w:rPr>
          <w:rFonts w:eastAsia="Verdana" w:cs="Arial"/>
          <w:b/>
          <w:color w:val="17365D" w:themeColor="text2" w:themeShade="BF"/>
          <w:sz w:val="22"/>
          <w:szCs w:val="22"/>
          <w:lang w:val="sr-Latn-RS"/>
        </w:rPr>
        <w:t>значајно одступа</w:t>
      </w:r>
      <w:r w:rsidRPr="00196439">
        <w:rPr>
          <w:rFonts w:eastAsia="Verdana" w:cs="Arial"/>
          <w:b/>
          <w:color w:val="17365D" w:themeColor="text2" w:themeShade="BF"/>
          <w:sz w:val="22"/>
          <w:szCs w:val="22"/>
          <w:lang w:val="sr-Cyrl-ME"/>
        </w:rPr>
        <w:t>њ</w:t>
      </w:r>
      <w:r w:rsidRPr="00196439">
        <w:rPr>
          <w:rFonts w:eastAsia="Verdana" w:cs="Arial"/>
          <w:b/>
          <w:color w:val="17365D" w:themeColor="text2" w:themeShade="BF"/>
          <w:sz w:val="22"/>
          <w:szCs w:val="22"/>
          <w:lang w:val="sr-Latn-RS"/>
        </w:rPr>
        <w:t xml:space="preserve">е у апсолутним износима као ни </w:t>
      </w:r>
      <w:r w:rsidRPr="00196439">
        <w:rPr>
          <w:rFonts w:eastAsia="Verdana" w:cs="Arial"/>
          <w:b/>
          <w:color w:val="17365D" w:themeColor="text2" w:themeShade="BF"/>
          <w:sz w:val="22"/>
          <w:szCs w:val="22"/>
          <w:lang w:val="sr-Cyrl-ME"/>
        </w:rPr>
        <w:t>систематско одступање.</w:t>
      </w:r>
    </w:p>
    <w:p w:rsidR="00D300D0" w:rsidRPr="00196439" w:rsidRDefault="00D300D0" w:rsidP="00F60DAB">
      <w:pPr>
        <w:spacing w:line="276" w:lineRule="auto"/>
        <w:rPr>
          <w:rFonts w:cs="Arial"/>
          <w:b/>
          <w:color w:val="17365D" w:themeColor="text2" w:themeShade="BF"/>
          <w:sz w:val="22"/>
          <w:szCs w:val="22"/>
          <w:highlight w:val="green"/>
          <w:lang w:val="sr-Cyrl-ME"/>
        </w:rPr>
      </w:pPr>
    </w:p>
    <w:p w:rsidR="00D300D0" w:rsidRPr="00196439" w:rsidRDefault="00D300D0" w:rsidP="00F60DAB">
      <w:pPr>
        <w:spacing w:line="276" w:lineRule="auto"/>
        <w:rPr>
          <w:rFonts w:cs="Arial"/>
          <w:b/>
          <w:color w:val="17365D" w:themeColor="text2" w:themeShade="BF"/>
          <w:sz w:val="22"/>
          <w:szCs w:val="22"/>
          <w:highlight w:val="green"/>
          <w:lang w:val="sr-Cyrl-ME"/>
        </w:rPr>
      </w:pPr>
    </w:p>
    <w:p w:rsidR="00037CA2" w:rsidRPr="00196439" w:rsidRDefault="002B0F63" w:rsidP="00F60DAB">
      <w:pPr>
        <w:spacing w:line="276" w:lineRule="auto"/>
        <w:rPr>
          <w:rFonts w:cs="Arial"/>
          <w:b/>
          <w:color w:val="17365D" w:themeColor="text2" w:themeShade="BF"/>
          <w:sz w:val="22"/>
          <w:szCs w:val="22"/>
          <w:lang w:val="sr-Cyrl-ME"/>
        </w:rPr>
      </w:pPr>
      <w:r w:rsidRPr="00196439">
        <w:rPr>
          <w:rFonts w:cs="Arial"/>
          <w:b/>
          <w:color w:val="17365D" w:themeColor="text2" w:themeShade="BF"/>
          <w:sz w:val="22"/>
          <w:szCs w:val="22"/>
          <w:lang w:val="sr-Cyrl-ME"/>
        </w:rPr>
        <w:t xml:space="preserve">2.7.2. </w:t>
      </w:r>
      <w:r w:rsidR="00037CA2" w:rsidRPr="00196439">
        <w:rPr>
          <w:rFonts w:cs="Arial"/>
          <w:b/>
          <w:color w:val="17365D" w:themeColor="text2" w:themeShade="BF"/>
          <w:sz w:val="22"/>
          <w:szCs w:val="22"/>
          <w:lang w:val="sr-Cyrl-ME"/>
        </w:rPr>
        <w:t>Резервација штета</w:t>
      </w:r>
    </w:p>
    <w:p w:rsidR="00037CA2" w:rsidRPr="00196439" w:rsidRDefault="00037CA2" w:rsidP="00F60DAB">
      <w:pPr>
        <w:spacing w:line="276" w:lineRule="auto"/>
        <w:rPr>
          <w:rFonts w:cs="Arial"/>
          <w:i/>
          <w:color w:val="17365D" w:themeColor="text2" w:themeShade="BF"/>
          <w:sz w:val="22"/>
          <w:szCs w:val="22"/>
          <w:u w:val="single"/>
          <w:lang w:val="sr-Cyrl-ME"/>
        </w:rPr>
      </w:pPr>
    </w:p>
    <w:p w:rsidR="00037CA2" w:rsidRPr="00196439" w:rsidRDefault="00037CA2" w:rsidP="00F60DAB">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 xml:space="preserve">Друштво посебно обрачунава и исказује резерве за настале пријављене а нерешене штете, резерве за настале непријављене штете и резерве за трошкове у вези са решавањем штета. Поређење резервисаних штета са искуством извршено је посебно за сваку од наведених категорија </w:t>
      </w:r>
      <w:r w:rsidRPr="00196439">
        <w:rPr>
          <w:rFonts w:cs="Arial"/>
          <w:i/>
          <w:color w:val="17365D" w:themeColor="text2" w:themeShade="BF"/>
          <w:sz w:val="22"/>
          <w:szCs w:val="22"/>
          <w:lang w:val="sr-Cyrl-ME"/>
        </w:rPr>
        <w:t>R</w:t>
      </w:r>
      <w:r w:rsidR="009F1334" w:rsidRPr="00196439">
        <w:rPr>
          <w:rFonts w:cs="Arial"/>
          <w:i/>
          <w:color w:val="17365D" w:themeColor="text2" w:themeShade="BF"/>
          <w:sz w:val="22"/>
          <w:szCs w:val="22"/>
          <w:lang w:val="sr-Latn-RS"/>
        </w:rPr>
        <w:t>un off</w:t>
      </w:r>
      <w:r w:rsidRPr="00196439">
        <w:rPr>
          <w:rFonts w:cs="Arial"/>
          <w:color w:val="17365D" w:themeColor="text2" w:themeShade="BF"/>
          <w:sz w:val="22"/>
          <w:szCs w:val="22"/>
          <w:lang w:val="sr-Cyrl-ME"/>
        </w:rPr>
        <w:t xml:space="preserve"> анализом и укупно.</w:t>
      </w:r>
    </w:p>
    <w:p w:rsidR="002B0F63" w:rsidRPr="00196439" w:rsidRDefault="002B0F63" w:rsidP="00F60DAB">
      <w:pPr>
        <w:spacing w:line="276" w:lineRule="auto"/>
        <w:rPr>
          <w:rFonts w:cs="Arial"/>
          <w:color w:val="17365D" w:themeColor="text2" w:themeShade="BF"/>
          <w:sz w:val="22"/>
          <w:szCs w:val="22"/>
          <w:lang w:val="sr-Cyrl-ME"/>
        </w:rPr>
      </w:pPr>
    </w:p>
    <w:p w:rsidR="00037CA2" w:rsidRPr="00196439" w:rsidRDefault="00037CA2" w:rsidP="00F60DAB">
      <w:pPr>
        <w:spacing w:line="276" w:lineRule="auto"/>
        <w:rPr>
          <w:rFonts w:eastAsia="Verdana" w:cs="Arial"/>
          <w:color w:val="17365D" w:themeColor="text2" w:themeShade="BF"/>
          <w:sz w:val="22"/>
          <w:szCs w:val="22"/>
          <w:lang w:val="sr-Latn-RS"/>
        </w:rPr>
      </w:pPr>
      <w:r w:rsidRPr="00196439">
        <w:rPr>
          <w:rFonts w:eastAsia="Verdana" w:cs="Arial"/>
          <w:color w:val="17365D" w:themeColor="text2" w:themeShade="BF"/>
          <w:sz w:val="22"/>
          <w:szCs w:val="22"/>
          <w:lang w:val="sr-Latn-RS"/>
        </w:rPr>
        <w:t xml:space="preserve">У случају да су укупне резерве потцењене за више од 10% </w:t>
      </w:r>
      <w:r w:rsidRPr="00196439">
        <w:rPr>
          <w:rFonts w:eastAsia="Verdana" w:cs="Arial"/>
          <w:color w:val="17365D" w:themeColor="text2" w:themeShade="BF"/>
          <w:sz w:val="22"/>
          <w:szCs w:val="22"/>
          <w:lang w:val="sr-Cyrl-ME"/>
        </w:rPr>
        <w:t>Друштво врши</w:t>
      </w:r>
      <w:r w:rsidRPr="00196439">
        <w:rPr>
          <w:rFonts w:eastAsia="Verdana" w:cs="Arial"/>
          <w:color w:val="17365D" w:themeColor="text2" w:themeShade="BF"/>
          <w:sz w:val="22"/>
          <w:szCs w:val="22"/>
          <w:lang w:val="sr-Latn-RS"/>
        </w:rPr>
        <w:t xml:space="preserve"> анализу зашто је до тога дошло и да ли постоји систем</w:t>
      </w:r>
      <w:r w:rsidRPr="00196439">
        <w:rPr>
          <w:rFonts w:eastAsia="Verdana" w:cs="Arial"/>
          <w:color w:val="17365D" w:themeColor="text2" w:themeShade="BF"/>
          <w:sz w:val="22"/>
          <w:szCs w:val="22"/>
          <w:lang w:val="sr-Cyrl-ME"/>
        </w:rPr>
        <w:t xml:space="preserve">атско </w:t>
      </w:r>
      <w:r w:rsidRPr="00196439">
        <w:rPr>
          <w:rFonts w:eastAsia="Verdana" w:cs="Arial"/>
          <w:color w:val="17365D" w:themeColor="text2" w:themeShade="BF"/>
          <w:sz w:val="22"/>
          <w:szCs w:val="22"/>
          <w:lang w:val="sr-Latn-RS"/>
        </w:rPr>
        <w:t xml:space="preserve">одступање. </w:t>
      </w:r>
    </w:p>
    <w:p w:rsidR="002B0F63" w:rsidRPr="00196439" w:rsidRDefault="002B0F63" w:rsidP="00F60DAB">
      <w:pPr>
        <w:spacing w:line="276" w:lineRule="auto"/>
        <w:rPr>
          <w:rFonts w:eastAsia="Verdana" w:cs="Arial"/>
          <w:color w:val="17365D" w:themeColor="text2" w:themeShade="BF"/>
          <w:sz w:val="22"/>
          <w:szCs w:val="22"/>
          <w:highlight w:val="green"/>
          <w:lang w:val="sr-Latn-RS"/>
        </w:rPr>
      </w:pPr>
    </w:p>
    <w:p w:rsidR="00F86A0C" w:rsidRDefault="00F86A0C" w:rsidP="00F60DAB">
      <w:pPr>
        <w:spacing w:line="276" w:lineRule="auto"/>
        <w:rPr>
          <w:rFonts w:cs="Arial"/>
          <w:b/>
          <w:color w:val="17365D" w:themeColor="text2" w:themeShade="BF"/>
          <w:sz w:val="22"/>
          <w:szCs w:val="22"/>
          <w:lang w:val="sr-Cyrl-ME"/>
        </w:rPr>
      </w:pPr>
    </w:p>
    <w:p w:rsidR="00F86A0C" w:rsidRDefault="00F86A0C" w:rsidP="00F60DAB">
      <w:pPr>
        <w:spacing w:line="276" w:lineRule="auto"/>
        <w:rPr>
          <w:rFonts w:cs="Arial"/>
          <w:b/>
          <w:color w:val="17365D" w:themeColor="text2" w:themeShade="BF"/>
          <w:sz w:val="22"/>
          <w:szCs w:val="22"/>
          <w:lang w:val="sr-Cyrl-ME"/>
        </w:rPr>
      </w:pPr>
    </w:p>
    <w:p w:rsidR="00037CA2" w:rsidRPr="00196439" w:rsidRDefault="00037CA2" w:rsidP="00F60DAB">
      <w:pPr>
        <w:spacing w:line="276" w:lineRule="auto"/>
        <w:rPr>
          <w:rFonts w:cs="Arial"/>
          <w:b/>
          <w:color w:val="17365D" w:themeColor="text2" w:themeShade="BF"/>
          <w:sz w:val="22"/>
          <w:szCs w:val="22"/>
          <w:lang w:val="sr-Cyrl-ME"/>
        </w:rPr>
      </w:pPr>
      <w:r w:rsidRPr="00196439">
        <w:rPr>
          <w:rFonts w:cs="Arial"/>
          <w:b/>
          <w:color w:val="17365D" w:themeColor="text2" w:themeShade="BF"/>
          <w:sz w:val="22"/>
          <w:szCs w:val="22"/>
          <w:lang w:val="sr-Cyrl-ME"/>
        </w:rPr>
        <w:t xml:space="preserve">Поређење резервисаних штета са искуством је показало </w:t>
      </w:r>
      <w:r w:rsidR="007D55F4" w:rsidRPr="00196439">
        <w:rPr>
          <w:rFonts w:cs="Arial"/>
          <w:b/>
          <w:color w:val="17365D" w:themeColor="text2" w:themeShade="BF"/>
          <w:sz w:val="22"/>
          <w:szCs w:val="22"/>
          <w:lang w:val="sr-Cyrl-ME"/>
        </w:rPr>
        <w:t>дефицит</w:t>
      </w:r>
      <w:r w:rsidRPr="00196439">
        <w:rPr>
          <w:rFonts w:cs="Arial"/>
          <w:b/>
          <w:color w:val="17365D" w:themeColor="text2" w:themeShade="BF"/>
          <w:sz w:val="22"/>
          <w:szCs w:val="22"/>
          <w:lang w:val="sr-Cyrl-ME"/>
        </w:rPr>
        <w:t xml:space="preserve"> укупних резервисаних штета од </w:t>
      </w:r>
      <w:r w:rsidR="007D55F4" w:rsidRPr="00196439">
        <w:rPr>
          <w:rFonts w:cs="Arial"/>
          <w:b/>
          <w:color w:val="17365D" w:themeColor="text2" w:themeShade="BF"/>
          <w:sz w:val="22"/>
          <w:szCs w:val="22"/>
          <w:lang w:val="sr-Cyrl-ME"/>
        </w:rPr>
        <w:t>4</w:t>
      </w:r>
      <w:r w:rsidRPr="00196439">
        <w:rPr>
          <w:rFonts w:cs="Arial"/>
          <w:b/>
          <w:color w:val="17365D" w:themeColor="text2" w:themeShade="BF"/>
          <w:sz w:val="22"/>
          <w:szCs w:val="22"/>
          <w:lang w:val="sr-Cyrl-ME"/>
        </w:rPr>
        <w:t>,</w:t>
      </w:r>
      <w:r w:rsidR="007D55F4" w:rsidRPr="00196439">
        <w:rPr>
          <w:rFonts w:cs="Arial"/>
          <w:b/>
          <w:color w:val="17365D" w:themeColor="text2" w:themeShade="BF"/>
          <w:sz w:val="22"/>
          <w:szCs w:val="22"/>
          <w:lang w:val="sr-Cyrl-ME"/>
        </w:rPr>
        <w:t>33</w:t>
      </w:r>
      <w:r w:rsidRPr="00196439">
        <w:rPr>
          <w:rFonts w:cs="Arial"/>
          <w:b/>
          <w:color w:val="17365D" w:themeColor="text2" w:themeShade="BF"/>
          <w:sz w:val="22"/>
          <w:szCs w:val="22"/>
          <w:lang w:val="sr-Cyrl-ME"/>
        </w:rPr>
        <w:t xml:space="preserve">%, односно </w:t>
      </w:r>
      <w:r w:rsidR="007D55F4" w:rsidRPr="00196439">
        <w:rPr>
          <w:rFonts w:cs="Arial"/>
          <w:b/>
          <w:color w:val="17365D" w:themeColor="text2" w:themeShade="BF"/>
          <w:sz w:val="22"/>
          <w:szCs w:val="22"/>
          <w:lang w:val="sr-Cyrl-ME"/>
        </w:rPr>
        <w:t>74</w:t>
      </w:r>
      <w:r w:rsidR="003824FD" w:rsidRPr="00196439">
        <w:rPr>
          <w:rFonts w:cs="Arial"/>
          <w:b/>
          <w:color w:val="17365D" w:themeColor="text2" w:themeShade="BF"/>
          <w:sz w:val="22"/>
          <w:szCs w:val="22"/>
          <w:lang w:val="sr-Latn-RS"/>
        </w:rPr>
        <w:t>.</w:t>
      </w:r>
      <w:r w:rsidR="007D55F4" w:rsidRPr="00196439">
        <w:rPr>
          <w:rFonts w:cs="Arial"/>
          <w:b/>
          <w:color w:val="17365D" w:themeColor="text2" w:themeShade="BF"/>
          <w:sz w:val="22"/>
          <w:szCs w:val="22"/>
          <w:lang w:val="sr-Cyrl-RS"/>
        </w:rPr>
        <w:t>950</w:t>
      </w:r>
      <w:r w:rsidR="003824FD" w:rsidRPr="00196439">
        <w:rPr>
          <w:rFonts w:cs="Arial"/>
          <w:b/>
          <w:color w:val="17365D" w:themeColor="text2" w:themeShade="BF"/>
          <w:sz w:val="22"/>
          <w:szCs w:val="22"/>
          <w:lang w:val="sr-Latn-RS"/>
        </w:rPr>
        <w:t>.7</w:t>
      </w:r>
      <w:r w:rsidR="007D55F4" w:rsidRPr="00196439">
        <w:rPr>
          <w:rFonts w:cs="Arial"/>
          <w:b/>
          <w:color w:val="17365D" w:themeColor="text2" w:themeShade="BF"/>
          <w:sz w:val="22"/>
          <w:szCs w:val="22"/>
          <w:lang w:val="sr-Cyrl-RS"/>
        </w:rPr>
        <w:t>69</w:t>
      </w:r>
      <w:r w:rsidRPr="00196439">
        <w:rPr>
          <w:rFonts w:cs="Arial"/>
          <w:b/>
          <w:color w:val="17365D" w:themeColor="text2" w:themeShade="BF"/>
          <w:sz w:val="22"/>
          <w:szCs w:val="22"/>
          <w:lang w:val="sr-Cyrl-ME"/>
        </w:rPr>
        <w:t xml:space="preserve"> динар</w:t>
      </w:r>
      <w:r w:rsidR="007D55F4" w:rsidRPr="00196439">
        <w:rPr>
          <w:rFonts w:cs="Arial"/>
          <w:b/>
          <w:color w:val="17365D" w:themeColor="text2" w:themeShade="BF"/>
          <w:sz w:val="22"/>
          <w:szCs w:val="22"/>
          <w:lang w:val="sr-Cyrl-ME"/>
        </w:rPr>
        <w:t>а</w:t>
      </w:r>
      <w:r w:rsidRPr="00196439">
        <w:rPr>
          <w:rFonts w:cs="Arial"/>
          <w:b/>
          <w:color w:val="17365D" w:themeColor="text2" w:themeShade="BF"/>
          <w:sz w:val="22"/>
          <w:szCs w:val="22"/>
          <w:lang w:val="sr-Cyrl-ME"/>
        </w:rPr>
        <w:t xml:space="preserve">. </w:t>
      </w:r>
    </w:p>
    <w:p w:rsidR="002B0F63" w:rsidRPr="00196439" w:rsidRDefault="002B0F63" w:rsidP="00F60DAB">
      <w:pPr>
        <w:spacing w:line="276" w:lineRule="auto"/>
        <w:rPr>
          <w:rFonts w:cs="Arial"/>
          <w:b/>
          <w:color w:val="17365D" w:themeColor="text2" w:themeShade="BF"/>
          <w:sz w:val="22"/>
          <w:szCs w:val="22"/>
          <w:lang w:val="sr-Cyrl-ME"/>
        </w:rPr>
      </w:pPr>
    </w:p>
    <w:p w:rsidR="00037CA2" w:rsidRPr="00196439" w:rsidRDefault="00ED28C2" w:rsidP="00F60DAB">
      <w:pPr>
        <w:spacing w:line="276" w:lineRule="auto"/>
        <w:rPr>
          <w:rFonts w:eastAsia="Verdana" w:cs="Arial"/>
          <w:color w:val="17365D" w:themeColor="text2" w:themeShade="BF"/>
          <w:sz w:val="22"/>
          <w:szCs w:val="22"/>
          <w:lang w:val="sr-Cyrl-ME"/>
        </w:rPr>
      </w:pPr>
      <w:r w:rsidRPr="00196439">
        <w:rPr>
          <w:rFonts w:eastAsia="Verdana" w:cs="Arial"/>
          <w:color w:val="17365D" w:themeColor="text2" w:themeShade="BF"/>
          <w:sz w:val="22"/>
          <w:szCs w:val="22"/>
          <w:lang w:val="sr-Cyrl-ME"/>
        </w:rPr>
        <w:t xml:space="preserve">Сагласно Упутству </w:t>
      </w:r>
      <w:r w:rsidRPr="00196439">
        <w:rPr>
          <w:rFonts w:cs="Arial"/>
          <w:color w:val="17365D" w:themeColor="text2" w:themeShade="BF"/>
          <w:sz w:val="22"/>
          <w:szCs w:val="22"/>
          <w:lang w:val="sr-Cyrl-ME"/>
        </w:rPr>
        <w:t>за поређење техничких резерви са искуством у</w:t>
      </w:r>
      <w:r w:rsidR="00037CA2" w:rsidRPr="00196439">
        <w:rPr>
          <w:rFonts w:eastAsia="Verdana" w:cs="Arial"/>
          <w:color w:val="17365D" w:themeColor="text2" w:themeShade="BF"/>
          <w:sz w:val="22"/>
          <w:szCs w:val="22"/>
          <w:lang w:val="sr-Latn-RS"/>
        </w:rPr>
        <w:t xml:space="preserve"> случају да постоји потцењеност резервеције више од 20% у </w:t>
      </w:r>
      <w:r w:rsidR="00036FEA" w:rsidRPr="00196439">
        <w:rPr>
          <w:rFonts w:eastAsia="Verdana" w:cs="Arial"/>
          <w:color w:val="17365D" w:themeColor="text2" w:themeShade="BF"/>
          <w:sz w:val="22"/>
          <w:szCs w:val="22"/>
          <w:lang w:val="sr-Cyrl-RS"/>
        </w:rPr>
        <w:t>некој</w:t>
      </w:r>
      <w:r w:rsidR="00037CA2" w:rsidRPr="00196439">
        <w:rPr>
          <w:rFonts w:eastAsia="Verdana" w:cs="Arial"/>
          <w:color w:val="17365D" w:themeColor="text2" w:themeShade="BF"/>
          <w:sz w:val="22"/>
          <w:szCs w:val="22"/>
          <w:lang w:val="sr-Latn-RS"/>
        </w:rPr>
        <w:t xml:space="preserve"> врсти осигурања</w:t>
      </w:r>
      <w:r w:rsidR="00036FEA" w:rsidRPr="00196439">
        <w:rPr>
          <w:rFonts w:eastAsia="Verdana" w:cs="Arial"/>
          <w:color w:val="17365D" w:themeColor="text2" w:themeShade="BF"/>
          <w:sz w:val="22"/>
          <w:szCs w:val="22"/>
          <w:lang w:val="sr-Cyrl-RS"/>
        </w:rPr>
        <w:t xml:space="preserve"> која има учешће преко</w:t>
      </w:r>
      <w:r w:rsidR="00037CA2" w:rsidRPr="00196439">
        <w:rPr>
          <w:rFonts w:eastAsia="Verdana" w:cs="Arial"/>
          <w:color w:val="17365D" w:themeColor="text2" w:themeShade="BF"/>
          <w:sz w:val="22"/>
          <w:szCs w:val="22"/>
          <w:lang w:val="sr-Latn-RS"/>
        </w:rPr>
        <w:t xml:space="preserve"> 5%</w:t>
      </w:r>
      <w:r w:rsidR="00755E82" w:rsidRPr="00196439">
        <w:rPr>
          <w:rStyle w:val="FootnoteReference"/>
          <w:rFonts w:eastAsia="Verdana" w:cs="Arial"/>
          <w:color w:val="17365D" w:themeColor="text2" w:themeShade="BF"/>
          <w:sz w:val="22"/>
          <w:szCs w:val="22"/>
          <w:lang w:val="sr-Latn-RS"/>
        </w:rPr>
        <w:footnoteReference w:id="3"/>
      </w:r>
      <w:r w:rsidR="00037CA2" w:rsidRPr="00196439">
        <w:rPr>
          <w:rFonts w:eastAsia="Verdana" w:cs="Arial"/>
          <w:color w:val="17365D" w:themeColor="text2" w:themeShade="BF"/>
          <w:sz w:val="22"/>
          <w:szCs w:val="22"/>
          <w:lang w:val="sr-Latn-RS"/>
        </w:rPr>
        <w:t xml:space="preserve"> од укупне резервације штета која се пореди са искуством (</w:t>
      </w:r>
      <w:r w:rsidR="00B4646A" w:rsidRPr="00196439">
        <w:rPr>
          <w:rFonts w:eastAsia="Verdana" w:cs="Arial"/>
          <w:color w:val="17365D" w:themeColor="text2" w:themeShade="BF"/>
          <w:sz w:val="22"/>
          <w:szCs w:val="22"/>
          <w:lang w:val="sr-Cyrl-RS"/>
        </w:rPr>
        <w:t>стање на дан 31.12.</w:t>
      </w:r>
      <w:r w:rsidR="00037CA2" w:rsidRPr="00196439">
        <w:rPr>
          <w:rFonts w:eastAsia="Verdana" w:cs="Arial"/>
          <w:color w:val="17365D" w:themeColor="text2" w:themeShade="BF"/>
          <w:sz w:val="22"/>
          <w:szCs w:val="22"/>
          <w:lang w:val="sr-Latn-RS"/>
        </w:rPr>
        <w:t>201</w:t>
      </w:r>
      <w:r w:rsidR="008D400E" w:rsidRPr="00196439">
        <w:rPr>
          <w:rFonts w:eastAsia="Verdana" w:cs="Arial"/>
          <w:color w:val="17365D" w:themeColor="text2" w:themeShade="BF"/>
          <w:sz w:val="22"/>
          <w:szCs w:val="22"/>
          <w:lang w:val="sr-Cyrl-RS"/>
        </w:rPr>
        <w:t>8</w:t>
      </w:r>
      <w:r w:rsidR="00037CA2" w:rsidRPr="00196439">
        <w:rPr>
          <w:rFonts w:eastAsia="Verdana" w:cs="Arial"/>
          <w:color w:val="17365D" w:themeColor="text2" w:themeShade="BF"/>
          <w:sz w:val="22"/>
          <w:szCs w:val="22"/>
          <w:lang w:val="sr-Latn-RS"/>
        </w:rPr>
        <w:t>), потребно је извршити анализу зашто је до тога дошло и да ли постоји систем</w:t>
      </w:r>
      <w:r w:rsidR="00037CA2" w:rsidRPr="00196439">
        <w:rPr>
          <w:rFonts w:eastAsia="Verdana" w:cs="Arial"/>
          <w:color w:val="17365D" w:themeColor="text2" w:themeShade="BF"/>
          <w:sz w:val="22"/>
          <w:szCs w:val="22"/>
          <w:lang w:val="sr-Cyrl-ME"/>
        </w:rPr>
        <w:t xml:space="preserve">атско </w:t>
      </w:r>
      <w:r w:rsidR="00037CA2" w:rsidRPr="00196439">
        <w:rPr>
          <w:rFonts w:eastAsia="Verdana" w:cs="Arial"/>
          <w:color w:val="17365D" w:themeColor="text2" w:themeShade="BF"/>
          <w:sz w:val="22"/>
          <w:szCs w:val="22"/>
          <w:lang w:val="sr-Latn-RS"/>
        </w:rPr>
        <w:t xml:space="preserve">одступање. </w:t>
      </w:r>
    </w:p>
    <w:p w:rsidR="00037CA2" w:rsidRPr="00196439" w:rsidRDefault="00037CA2" w:rsidP="00F60DAB">
      <w:pPr>
        <w:spacing w:line="276" w:lineRule="auto"/>
        <w:rPr>
          <w:rFonts w:cs="Arial"/>
          <w:color w:val="17365D" w:themeColor="text2" w:themeShade="BF"/>
          <w:sz w:val="22"/>
          <w:szCs w:val="22"/>
          <w:highlight w:val="green"/>
          <w:lang w:val="sr-Cyrl-ME"/>
        </w:rPr>
      </w:pPr>
    </w:p>
    <w:p w:rsidR="00037CA2" w:rsidRPr="00196439" w:rsidRDefault="00037CA2" w:rsidP="00F60DAB">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 xml:space="preserve">Резултати поређења са искуством по врстама осигурања и укупно дати су у </w:t>
      </w:r>
      <w:r w:rsidR="00115C84" w:rsidRPr="00196439">
        <w:rPr>
          <w:rFonts w:cs="Arial"/>
          <w:color w:val="17365D" w:themeColor="text2" w:themeShade="BF"/>
          <w:sz w:val="22"/>
          <w:szCs w:val="22"/>
          <w:lang w:val="sr-Cyrl-ME"/>
        </w:rPr>
        <w:t>наставку.</w:t>
      </w:r>
    </w:p>
    <w:p w:rsidR="00115C84" w:rsidRPr="00196439" w:rsidRDefault="00115C84" w:rsidP="00F60DAB">
      <w:pPr>
        <w:spacing w:line="276" w:lineRule="auto"/>
        <w:rPr>
          <w:rFonts w:cs="Arial"/>
          <w:color w:val="17365D" w:themeColor="text2" w:themeShade="BF"/>
          <w:sz w:val="22"/>
          <w:szCs w:val="22"/>
          <w:highlight w:val="green"/>
          <w:lang w:val="sr-Cyrl-ME"/>
        </w:rPr>
      </w:pPr>
    </w:p>
    <w:p w:rsidR="00037CA2" w:rsidRPr="00196439" w:rsidRDefault="00037CA2" w:rsidP="000B1A81">
      <w:pPr>
        <w:keepNext/>
        <w:spacing w:after="180" w:line="240" w:lineRule="auto"/>
        <w:jc w:val="center"/>
        <w:rPr>
          <w:rFonts w:cs="Arial"/>
          <w:color w:val="17365D" w:themeColor="text2" w:themeShade="BF"/>
          <w:sz w:val="22"/>
          <w:szCs w:val="22"/>
          <w:lang w:val="sr-Cyrl-ME"/>
        </w:rPr>
      </w:pPr>
      <w:r w:rsidRPr="00196439">
        <w:rPr>
          <w:rFonts w:cs="Arial"/>
          <w:color w:val="17365D" w:themeColor="text2" w:themeShade="BF"/>
          <w:sz w:val="22"/>
          <w:szCs w:val="22"/>
          <w:lang w:val="sr-Cyrl-ME"/>
        </w:rPr>
        <w:t>ПОРЕЂЕЊЕ УКУПНИХ РЕЗЕРВИСАНИХ ШТЕТА СА ИСКУСТВОМ</w:t>
      </w:r>
      <w:r w:rsidRPr="00196439">
        <w:rPr>
          <w:rStyle w:val="FootnoteReference"/>
          <w:rFonts w:cs="Arial"/>
          <w:color w:val="17365D" w:themeColor="text2" w:themeShade="BF"/>
          <w:sz w:val="22"/>
          <w:szCs w:val="22"/>
          <w:lang w:val="sr-Cyrl-ME"/>
        </w:rPr>
        <w:footnoteReference w:id="4"/>
      </w:r>
    </w:p>
    <w:p w:rsidR="00B51A8D" w:rsidRPr="00196439" w:rsidRDefault="00B51A8D" w:rsidP="00B26F2D">
      <w:pPr>
        <w:spacing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24DE7D20" wp14:editId="0672F5F7">
            <wp:extent cx="6120765" cy="413426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4134260"/>
                    </a:xfrm>
                    <a:prstGeom prst="rect">
                      <a:avLst/>
                    </a:prstGeom>
                    <a:noFill/>
                    <a:ln>
                      <a:noFill/>
                    </a:ln>
                  </pic:spPr>
                </pic:pic>
              </a:graphicData>
            </a:graphic>
          </wp:inline>
        </w:drawing>
      </w:r>
    </w:p>
    <w:p w:rsidR="00121058" w:rsidRPr="00196439" w:rsidRDefault="00121058" w:rsidP="00B26F2D">
      <w:pPr>
        <w:spacing w:line="240" w:lineRule="auto"/>
        <w:jc w:val="center"/>
        <w:rPr>
          <w:rFonts w:cs="Arial"/>
          <w:color w:val="17365D" w:themeColor="text2" w:themeShade="BF"/>
          <w:sz w:val="22"/>
          <w:szCs w:val="22"/>
          <w:lang w:val="sr-Cyrl-ME"/>
        </w:rPr>
      </w:pPr>
    </w:p>
    <w:p w:rsidR="00037CA2" w:rsidRPr="00196439" w:rsidRDefault="00037CA2" w:rsidP="000B1A81">
      <w:pPr>
        <w:keepNext/>
        <w:spacing w:after="180" w:line="240" w:lineRule="auto"/>
        <w:jc w:val="center"/>
        <w:rPr>
          <w:rFonts w:cs="Arial"/>
          <w:color w:val="17365D" w:themeColor="text2" w:themeShade="BF"/>
          <w:sz w:val="22"/>
          <w:szCs w:val="22"/>
          <w:lang w:val="sr-Cyrl-ME"/>
        </w:rPr>
      </w:pPr>
      <w:r w:rsidRPr="00196439">
        <w:rPr>
          <w:rFonts w:cs="Arial"/>
          <w:color w:val="17365D" w:themeColor="text2" w:themeShade="BF"/>
          <w:sz w:val="22"/>
          <w:szCs w:val="22"/>
          <w:lang w:val="sr-Cyrl-ME"/>
        </w:rPr>
        <w:lastRenderedPageBreak/>
        <w:t xml:space="preserve">ПОРЕЂЕЊЕ </w:t>
      </w:r>
      <w:r w:rsidR="00115C84" w:rsidRPr="00196439">
        <w:rPr>
          <w:rFonts w:cs="Arial"/>
          <w:color w:val="17365D" w:themeColor="text2" w:themeShade="BF"/>
          <w:sz w:val="22"/>
          <w:szCs w:val="22"/>
          <w:lang w:val="sr-Latn-RS"/>
        </w:rPr>
        <w:t xml:space="preserve">RBNS </w:t>
      </w:r>
      <w:r w:rsidRPr="00196439">
        <w:rPr>
          <w:rFonts w:cs="Arial"/>
          <w:color w:val="17365D" w:themeColor="text2" w:themeShade="BF"/>
          <w:sz w:val="22"/>
          <w:szCs w:val="22"/>
          <w:lang w:val="sr-Cyrl-ME"/>
        </w:rPr>
        <w:t>ШТЕТА СА ИСКУСТВОМ</w:t>
      </w:r>
    </w:p>
    <w:p w:rsidR="00121058" w:rsidRDefault="00FA55A9" w:rsidP="00B26F2D">
      <w:pPr>
        <w:spacing w:line="240" w:lineRule="auto"/>
        <w:jc w:val="center"/>
        <w:rPr>
          <w:rFonts w:cs="Arial"/>
          <w:color w:val="17365D" w:themeColor="text2" w:themeShade="BF"/>
          <w:sz w:val="22"/>
          <w:szCs w:val="22"/>
          <w:lang w:val="sr-Cyrl-ME"/>
        </w:rPr>
      </w:pPr>
      <w:r w:rsidRPr="00196439">
        <w:rPr>
          <w:noProof/>
          <w:color w:val="17365D" w:themeColor="text2" w:themeShade="BF"/>
          <w:lang w:val="en-US"/>
        </w:rPr>
        <w:drawing>
          <wp:inline distT="0" distB="0" distL="0" distR="0" wp14:anchorId="0352C732" wp14:editId="19B08110">
            <wp:extent cx="6120765" cy="3968059"/>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3968059"/>
                    </a:xfrm>
                    <a:prstGeom prst="rect">
                      <a:avLst/>
                    </a:prstGeom>
                    <a:noFill/>
                    <a:ln>
                      <a:noFill/>
                    </a:ln>
                  </pic:spPr>
                </pic:pic>
              </a:graphicData>
            </a:graphic>
          </wp:inline>
        </w:drawing>
      </w:r>
    </w:p>
    <w:p w:rsidR="00F86A0C" w:rsidRPr="00196439" w:rsidRDefault="00F86A0C" w:rsidP="00B26F2D">
      <w:pPr>
        <w:spacing w:line="240" w:lineRule="auto"/>
        <w:jc w:val="center"/>
        <w:rPr>
          <w:rFonts w:cs="Arial"/>
          <w:color w:val="17365D" w:themeColor="text2" w:themeShade="BF"/>
          <w:sz w:val="22"/>
          <w:szCs w:val="22"/>
          <w:lang w:val="sr-Cyrl-ME"/>
        </w:rPr>
      </w:pPr>
    </w:p>
    <w:p w:rsidR="00037CA2" w:rsidRPr="00196439" w:rsidRDefault="00037CA2" w:rsidP="000B1A81">
      <w:pPr>
        <w:keepNext/>
        <w:spacing w:after="120" w:line="240" w:lineRule="auto"/>
        <w:jc w:val="center"/>
        <w:rPr>
          <w:rFonts w:cs="Arial"/>
          <w:color w:val="17365D" w:themeColor="text2" w:themeShade="BF"/>
          <w:sz w:val="22"/>
          <w:szCs w:val="22"/>
          <w:lang w:val="sr-Cyrl-ME"/>
        </w:rPr>
      </w:pPr>
      <w:r w:rsidRPr="00196439">
        <w:rPr>
          <w:rFonts w:cs="Arial"/>
          <w:color w:val="17365D" w:themeColor="text2" w:themeShade="BF"/>
          <w:sz w:val="22"/>
          <w:szCs w:val="22"/>
          <w:lang w:val="sr-Cyrl-ME"/>
        </w:rPr>
        <w:t xml:space="preserve">ПОРЕЂЕЊЕ </w:t>
      </w:r>
      <w:r w:rsidR="00115C84" w:rsidRPr="00196439">
        <w:rPr>
          <w:rFonts w:cs="Arial"/>
          <w:color w:val="17365D" w:themeColor="text2" w:themeShade="BF"/>
          <w:sz w:val="22"/>
          <w:szCs w:val="22"/>
          <w:lang w:val="sr-Latn-RS"/>
        </w:rPr>
        <w:t>IBNR</w:t>
      </w:r>
      <w:r w:rsidRPr="00196439">
        <w:rPr>
          <w:rFonts w:cs="Arial"/>
          <w:color w:val="17365D" w:themeColor="text2" w:themeShade="BF"/>
          <w:sz w:val="22"/>
          <w:szCs w:val="22"/>
          <w:lang w:val="sr-Latn-RS"/>
        </w:rPr>
        <w:t xml:space="preserve"> </w:t>
      </w:r>
      <w:r w:rsidRPr="00196439">
        <w:rPr>
          <w:rFonts w:cs="Arial"/>
          <w:color w:val="17365D" w:themeColor="text2" w:themeShade="BF"/>
          <w:sz w:val="22"/>
          <w:szCs w:val="22"/>
          <w:lang w:val="sr-Cyrl-ME"/>
        </w:rPr>
        <w:t>ШТЕТА СА ИСКУСТВОМ</w:t>
      </w:r>
    </w:p>
    <w:p w:rsidR="00B61B57" w:rsidRPr="00196439" w:rsidRDefault="00FA55A9" w:rsidP="00115C84">
      <w:pPr>
        <w:spacing w:after="120"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235409A0" wp14:editId="6A01FC30">
            <wp:extent cx="6120765" cy="3406309"/>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3406309"/>
                    </a:xfrm>
                    <a:prstGeom prst="rect">
                      <a:avLst/>
                    </a:prstGeom>
                    <a:noFill/>
                    <a:ln>
                      <a:noFill/>
                    </a:ln>
                  </pic:spPr>
                </pic:pic>
              </a:graphicData>
            </a:graphic>
          </wp:inline>
        </w:drawing>
      </w:r>
    </w:p>
    <w:p w:rsidR="00B26F2D" w:rsidRPr="00196439" w:rsidRDefault="00B26F2D" w:rsidP="00CB43CB">
      <w:pPr>
        <w:spacing w:after="120" w:line="240" w:lineRule="auto"/>
        <w:jc w:val="center"/>
        <w:rPr>
          <w:rFonts w:cs="Arial"/>
          <w:color w:val="17365D" w:themeColor="text2" w:themeShade="BF"/>
          <w:sz w:val="22"/>
          <w:szCs w:val="22"/>
          <w:lang w:val="sr-Cyrl-ME"/>
        </w:rPr>
      </w:pPr>
    </w:p>
    <w:p w:rsidR="00037CA2" w:rsidRPr="00196439" w:rsidRDefault="00037CA2" w:rsidP="00F86A0C">
      <w:pPr>
        <w:keepNext/>
        <w:spacing w:after="120" w:line="276" w:lineRule="auto"/>
        <w:jc w:val="center"/>
        <w:rPr>
          <w:rFonts w:cs="Arial"/>
          <w:color w:val="17365D" w:themeColor="text2" w:themeShade="BF"/>
          <w:sz w:val="22"/>
          <w:szCs w:val="22"/>
          <w:lang w:val="sr-Cyrl-ME"/>
        </w:rPr>
      </w:pPr>
      <w:r w:rsidRPr="00196439">
        <w:rPr>
          <w:rFonts w:cs="Arial"/>
          <w:color w:val="17365D" w:themeColor="text2" w:themeShade="BF"/>
          <w:sz w:val="22"/>
          <w:szCs w:val="22"/>
          <w:lang w:val="sr-Cyrl-ME"/>
        </w:rPr>
        <w:lastRenderedPageBreak/>
        <w:t>ПОРЕЂЕЊЕ РЕЗЕРВ</w:t>
      </w:r>
      <w:r w:rsidR="008B62A3" w:rsidRPr="00196439">
        <w:rPr>
          <w:rFonts w:cs="Arial"/>
          <w:color w:val="17365D" w:themeColor="text2" w:themeShade="BF"/>
          <w:sz w:val="22"/>
          <w:szCs w:val="22"/>
          <w:lang w:val="sr-Latn-RS"/>
        </w:rPr>
        <w:t>AЦИ</w:t>
      </w:r>
      <w:r w:rsidRPr="00196439">
        <w:rPr>
          <w:rFonts w:cs="Arial"/>
          <w:color w:val="17365D" w:themeColor="text2" w:themeShade="BF"/>
          <w:sz w:val="22"/>
          <w:szCs w:val="22"/>
          <w:lang w:val="sr-Latn-RS"/>
        </w:rPr>
        <w:t xml:space="preserve">JA </w:t>
      </w:r>
      <w:r w:rsidRPr="00196439">
        <w:rPr>
          <w:rFonts w:cs="Arial"/>
          <w:color w:val="17365D" w:themeColor="text2" w:themeShade="BF"/>
          <w:sz w:val="22"/>
          <w:szCs w:val="22"/>
          <w:lang w:val="sr-Cyrl-ME"/>
        </w:rPr>
        <w:t>ЗА ТРОШКОВЕ РЕШАВАЊЕМ ШТЕТА СА ИСКУСТВОМ</w:t>
      </w:r>
    </w:p>
    <w:p w:rsidR="00B26F2D" w:rsidRPr="00196439" w:rsidRDefault="00FA55A9" w:rsidP="00CB43CB">
      <w:pPr>
        <w:spacing w:after="120" w:line="240" w:lineRule="auto"/>
        <w:jc w:val="center"/>
        <w:rPr>
          <w:rFonts w:cs="Arial"/>
          <w:color w:val="17365D" w:themeColor="text2" w:themeShade="BF"/>
          <w:sz w:val="22"/>
          <w:szCs w:val="22"/>
          <w:lang w:val="sr-Cyrl-ME"/>
        </w:rPr>
      </w:pPr>
      <w:r w:rsidRPr="00196439">
        <w:rPr>
          <w:noProof/>
          <w:color w:val="17365D" w:themeColor="text2" w:themeShade="BF"/>
          <w:lang w:val="en-US"/>
        </w:rPr>
        <w:drawing>
          <wp:inline distT="0" distB="0" distL="0" distR="0" wp14:anchorId="6934BF10" wp14:editId="2792ABCB">
            <wp:extent cx="6120765" cy="3623153"/>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3623153"/>
                    </a:xfrm>
                    <a:prstGeom prst="rect">
                      <a:avLst/>
                    </a:prstGeom>
                    <a:noFill/>
                    <a:ln>
                      <a:noFill/>
                    </a:ln>
                  </pic:spPr>
                </pic:pic>
              </a:graphicData>
            </a:graphic>
          </wp:inline>
        </w:drawing>
      </w:r>
    </w:p>
    <w:p w:rsidR="00037CA2" w:rsidRPr="00196439" w:rsidRDefault="00037CA2" w:rsidP="00037CA2">
      <w:pPr>
        <w:spacing w:line="240" w:lineRule="auto"/>
        <w:rPr>
          <w:rFonts w:cs="Arial"/>
          <w:color w:val="17365D" w:themeColor="text2" w:themeShade="BF"/>
          <w:sz w:val="22"/>
          <w:szCs w:val="22"/>
          <w:highlight w:val="green"/>
          <w:lang w:val="sr-Cyrl-ME"/>
        </w:rPr>
      </w:pPr>
    </w:p>
    <w:p w:rsidR="00596119" w:rsidRPr="00196439" w:rsidRDefault="00037CA2" w:rsidP="005F073A">
      <w:pPr>
        <w:spacing w:line="276" w:lineRule="auto"/>
        <w:rPr>
          <w:rFonts w:cs="Arial"/>
          <w:color w:val="17365D" w:themeColor="text2" w:themeShade="BF"/>
          <w:sz w:val="22"/>
          <w:szCs w:val="22"/>
          <w:lang w:val="sr-Latn-RS"/>
        </w:rPr>
      </w:pPr>
      <w:r w:rsidRPr="00196439">
        <w:rPr>
          <w:rFonts w:cs="Arial"/>
          <w:color w:val="17365D" w:themeColor="text2" w:themeShade="BF"/>
          <w:sz w:val="22"/>
          <w:szCs w:val="22"/>
          <w:lang w:val="sr-Cyrl-ME"/>
        </w:rPr>
        <w:t>Проценом довољности резервације штета утврђена је њена укупна п</w:t>
      </w:r>
      <w:r w:rsidR="00036FEA" w:rsidRPr="00196439">
        <w:rPr>
          <w:rFonts w:cs="Arial"/>
          <w:color w:val="17365D" w:themeColor="text2" w:themeShade="BF"/>
          <w:sz w:val="22"/>
          <w:szCs w:val="22"/>
          <w:lang w:val="sr-Cyrl-ME"/>
        </w:rPr>
        <w:t>отцењеност</w:t>
      </w:r>
      <w:r w:rsidRPr="00196439">
        <w:rPr>
          <w:rFonts w:cs="Arial"/>
          <w:color w:val="17365D" w:themeColor="text2" w:themeShade="BF"/>
          <w:sz w:val="22"/>
          <w:szCs w:val="22"/>
          <w:lang w:val="sr-Cyrl-ME"/>
        </w:rPr>
        <w:t xml:space="preserve"> од </w:t>
      </w:r>
      <w:r w:rsidR="00711207" w:rsidRPr="00196439">
        <w:rPr>
          <w:rFonts w:cs="Arial"/>
          <w:color w:val="17365D" w:themeColor="text2" w:themeShade="BF"/>
          <w:sz w:val="22"/>
          <w:szCs w:val="22"/>
          <w:lang w:val="sr-Cyrl-ME"/>
        </w:rPr>
        <w:t>74</w:t>
      </w:r>
      <w:r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950</w:t>
      </w:r>
      <w:r w:rsidRPr="00196439">
        <w:rPr>
          <w:rFonts w:cs="Arial"/>
          <w:color w:val="17365D" w:themeColor="text2" w:themeShade="BF"/>
          <w:sz w:val="22"/>
          <w:szCs w:val="22"/>
          <w:lang w:val="sr-Cyrl-ME"/>
        </w:rPr>
        <w:t>.</w:t>
      </w:r>
      <w:r w:rsidR="003824FD" w:rsidRPr="00196439">
        <w:rPr>
          <w:rFonts w:cs="Arial"/>
          <w:color w:val="17365D" w:themeColor="text2" w:themeShade="BF"/>
          <w:sz w:val="22"/>
          <w:szCs w:val="22"/>
          <w:lang w:val="sr-Latn-RS"/>
        </w:rPr>
        <w:t>7</w:t>
      </w:r>
      <w:r w:rsidR="00711207" w:rsidRPr="00196439">
        <w:rPr>
          <w:rFonts w:cs="Arial"/>
          <w:color w:val="17365D" w:themeColor="text2" w:themeShade="BF"/>
          <w:sz w:val="22"/>
          <w:szCs w:val="22"/>
          <w:lang w:val="sr-Cyrl-RS"/>
        </w:rPr>
        <w:t>69</w:t>
      </w:r>
      <w:r w:rsidRPr="00196439">
        <w:rPr>
          <w:rFonts w:cs="Arial"/>
          <w:color w:val="17365D" w:themeColor="text2" w:themeShade="BF"/>
          <w:sz w:val="22"/>
          <w:szCs w:val="22"/>
          <w:lang w:val="sr-Cyrl-ME"/>
        </w:rPr>
        <w:t xml:space="preserve"> динара</w:t>
      </w:r>
      <w:r w:rsidR="00643C36" w:rsidRPr="00196439">
        <w:rPr>
          <w:rFonts w:cs="Arial"/>
          <w:color w:val="17365D" w:themeColor="text2" w:themeShade="BF"/>
          <w:sz w:val="22"/>
          <w:szCs w:val="22"/>
          <w:lang w:val="sr-Latn-RS"/>
        </w:rPr>
        <w:t xml:space="preserve"> </w:t>
      </w:r>
      <w:r w:rsidR="00643C36" w:rsidRPr="00196439">
        <w:rPr>
          <w:rFonts w:cs="Arial"/>
          <w:color w:val="17365D" w:themeColor="text2" w:themeShade="BF"/>
          <w:sz w:val="22"/>
          <w:szCs w:val="22"/>
          <w:lang w:val="sr-Cyrl-RS"/>
        </w:rPr>
        <w:t>односно</w:t>
      </w:r>
      <w:r w:rsidR="000A56AB" w:rsidRPr="00196439">
        <w:rPr>
          <w:rFonts w:cs="Arial"/>
          <w:color w:val="17365D" w:themeColor="text2" w:themeShade="BF"/>
          <w:sz w:val="22"/>
          <w:szCs w:val="22"/>
          <w:lang w:val="sr-Cyrl-ME"/>
        </w:rPr>
        <w:t xml:space="preserve"> </w:t>
      </w:r>
      <w:r w:rsidR="00711207" w:rsidRPr="00196439">
        <w:rPr>
          <w:rFonts w:cs="Arial"/>
          <w:color w:val="17365D" w:themeColor="text2" w:themeShade="BF"/>
          <w:sz w:val="22"/>
          <w:szCs w:val="22"/>
          <w:lang w:val="sr-Cyrl-ME"/>
        </w:rPr>
        <w:t>4</w:t>
      </w:r>
      <w:r w:rsidR="000A56AB"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33</w:t>
      </w:r>
      <w:r w:rsidR="000A56AB" w:rsidRPr="00196439">
        <w:rPr>
          <w:rFonts w:cs="Arial"/>
          <w:color w:val="17365D" w:themeColor="text2" w:themeShade="BF"/>
          <w:sz w:val="22"/>
          <w:szCs w:val="22"/>
          <w:lang w:val="sr-Cyrl-ME"/>
        </w:rPr>
        <w:t>%</w:t>
      </w:r>
      <w:r w:rsidR="00643C36" w:rsidRPr="00196439">
        <w:rPr>
          <w:rFonts w:cs="Arial"/>
          <w:color w:val="17365D" w:themeColor="text2" w:themeShade="BF"/>
          <w:sz w:val="22"/>
          <w:szCs w:val="22"/>
          <w:lang w:val="sr-Cyrl-ME"/>
        </w:rPr>
        <w:t xml:space="preserve">. </w:t>
      </w:r>
      <w:r w:rsidRPr="00196439">
        <w:rPr>
          <w:rFonts w:cs="Arial"/>
          <w:color w:val="17365D" w:themeColor="text2" w:themeShade="BF"/>
          <w:sz w:val="22"/>
          <w:szCs w:val="22"/>
          <w:lang w:val="sr-Cyrl-ME"/>
        </w:rPr>
        <w:t>Поређењем појединих компоненти резервисаних штета са искуством установљена је п</w:t>
      </w:r>
      <w:r w:rsidR="00711207" w:rsidRPr="00196439">
        <w:rPr>
          <w:rFonts w:cs="Arial"/>
          <w:color w:val="17365D" w:themeColor="text2" w:themeShade="BF"/>
          <w:sz w:val="22"/>
          <w:szCs w:val="22"/>
          <w:lang w:val="sr-Cyrl-ME"/>
        </w:rPr>
        <w:t>отцењеност</w:t>
      </w:r>
      <w:r w:rsidRPr="00196439">
        <w:rPr>
          <w:rFonts w:cs="Arial"/>
          <w:color w:val="17365D" w:themeColor="text2" w:themeShade="BF"/>
          <w:sz w:val="22"/>
          <w:szCs w:val="22"/>
          <w:lang w:val="sr-Cyrl-ME"/>
        </w:rPr>
        <w:t xml:space="preserve"> резервације за настале пријављене а нерешене штете за 2</w:t>
      </w:r>
      <w:r w:rsidR="00711207" w:rsidRPr="00196439">
        <w:rPr>
          <w:rFonts w:cs="Arial"/>
          <w:color w:val="17365D" w:themeColor="text2" w:themeShade="BF"/>
          <w:sz w:val="22"/>
          <w:szCs w:val="22"/>
          <w:lang w:val="sr-Cyrl-ME"/>
        </w:rPr>
        <w:t>,72</w:t>
      </w:r>
      <w:r w:rsidRPr="00196439">
        <w:rPr>
          <w:rFonts w:cs="Arial"/>
          <w:color w:val="17365D" w:themeColor="text2" w:themeShade="BF"/>
          <w:sz w:val="22"/>
          <w:szCs w:val="22"/>
          <w:lang w:val="sr-Cyrl-ME"/>
        </w:rPr>
        <w:t>%, односно 3</w:t>
      </w:r>
      <w:r w:rsidR="00643C36" w:rsidRPr="00196439">
        <w:rPr>
          <w:rFonts w:cs="Arial"/>
          <w:color w:val="17365D" w:themeColor="text2" w:themeShade="BF"/>
          <w:sz w:val="22"/>
          <w:szCs w:val="22"/>
          <w:lang w:val="sr-Cyrl-ME"/>
        </w:rPr>
        <w:t>6</w:t>
      </w:r>
      <w:r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765</w:t>
      </w:r>
      <w:r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765</w:t>
      </w:r>
      <w:r w:rsidRPr="00196439">
        <w:rPr>
          <w:rFonts w:cs="Arial"/>
          <w:color w:val="17365D" w:themeColor="text2" w:themeShade="BF"/>
          <w:sz w:val="22"/>
          <w:szCs w:val="22"/>
          <w:lang w:val="sr-Cyrl-ME"/>
        </w:rPr>
        <w:t xml:space="preserve"> динара, п</w:t>
      </w:r>
      <w:r w:rsidR="00711207" w:rsidRPr="00196439">
        <w:rPr>
          <w:rFonts w:cs="Arial"/>
          <w:color w:val="17365D" w:themeColor="text2" w:themeShade="BF"/>
          <w:sz w:val="22"/>
          <w:szCs w:val="22"/>
          <w:lang w:val="sr-Cyrl-ME"/>
        </w:rPr>
        <w:t>отцењеност</w:t>
      </w:r>
      <w:r w:rsidRPr="00196439">
        <w:rPr>
          <w:rFonts w:cs="Arial"/>
          <w:color w:val="17365D" w:themeColor="text2" w:themeShade="BF"/>
          <w:sz w:val="22"/>
          <w:szCs w:val="22"/>
          <w:lang w:val="sr-Cyrl-ME"/>
        </w:rPr>
        <w:t xml:space="preserve"> резервације за настале а непријављене штете за </w:t>
      </w:r>
      <w:r w:rsidR="00711207" w:rsidRPr="00196439">
        <w:rPr>
          <w:rFonts w:cs="Arial"/>
          <w:color w:val="17365D" w:themeColor="text2" w:themeShade="BF"/>
          <w:sz w:val="22"/>
          <w:szCs w:val="22"/>
          <w:lang w:val="sr-Cyrl-ME"/>
        </w:rPr>
        <w:t>15</w:t>
      </w:r>
      <w:r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26</w:t>
      </w:r>
      <w:r w:rsidRPr="00196439">
        <w:rPr>
          <w:rFonts w:cs="Arial"/>
          <w:color w:val="17365D" w:themeColor="text2" w:themeShade="BF"/>
          <w:sz w:val="22"/>
          <w:szCs w:val="22"/>
          <w:lang w:val="sr-Cyrl-ME"/>
        </w:rPr>
        <w:t xml:space="preserve">%, односно </w:t>
      </w:r>
      <w:r w:rsidR="00711207" w:rsidRPr="00196439">
        <w:rPr>
          <w:rFonts w:cs="Arial"/>
          <w:color w:val="17365D" w:themeColor="text2" w:themeShade="BF"/>
          <w:sz w:val="22"/>
          <w:szCs w:val="22"/>
          <w:lang w:val="sr-Cyrl-ME"/>
        </w:rPr>
        <w:t>51</w:t>
      </w:r>
      <w:r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171</w:t>
      </w:r>
      <w:r w:rsidRPr="00196439">
        <w:rPr>
          <w:rFonts w:cs="Arial"/>
          <w:color w:val="17365D" w:themeColor="text2" w:themeShade="BF"/>
          <w:sz w:val="22"/>
          <w:szCs w:val="22"/>
          <w:lang w:val="sr-Cyrl-ME"/>
        </w:rPr>
        <w:t>.</w:t>
      </w:r>
      <w:r w:rsidR="00643C36" w:rsidRPr="00196439">
        <w:rPr>
          <w:rFonts w:cs="Arial"/>
          <w:color w:val="17365D" w:themeColor="text2" w:themeShade="BF"/>
          <w:sz w:val="22"/>
          <w:szCs w:val="22"/>
          <w:lang w:val="sr-Cyrl-ME"/>
        </w:rPr>
        <w:t>0</w:t>
      </w:r>
      <w:r w:rsidR="00711207" w:rsidRPr="00196439">
        <w:rPr>
          <w:rFonts w:cs="Arial"/>
          <w:color w:val="17365D" w:themeColor="text2" w:themeShade="BF"/>
          <w:sz w:val="22"/>
          <w:szCs w:val="22"/>
          <w:lang w:val="sr-Cyrl-ME"/>
        </w:rPr>
        <w:t>27 динара</w:t>
      </w:r>
      <w:r w:rsidR="00596119" w:rsidRPr="00196439">
        <w:rPr>
          <w:rFonts w:cs="Arial"/>
          <w:color w:val="17365D" w:themeColor="text2" w:themeShade="BF"/>
          <w:sz w:val="22"/>
          <w:szCs w:val="22"/>
          <w:lang w:val="sr-Cyrl-ME"/>
        </w:rPr>
        <w:t xml:space="preserve"> и прецењеност резервације за трошкове у вези са решавањем штета за </w:t>
      </w:r>
      <w:r w:rsidR="00711207" w:rsidRPr="00196439">
        <w:rPr>
          <w:rFonts w:cs="Arial"/>
          <w:color w:val="17365D" w:themeColor="text2" w:themeShade="BF"/>
          <w:sz w:val="22"/>
          <w:szCs w:val="22"/>
          <w:lang w:val="sr-Cyrl-ME"/>
        </w:rPr>
        <w:t>12</w:t>
      </w:r>
      <w:r w:rsidR="00596119"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986</w:t>
      </w:r>
      <w:r w:rsidR="00596119"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0</w:t>
      </w:r>
      <w:r w:rsidR="00596119" w:rsidRPr="00196439">
        <w:rPr>
          <w:rFonts w:cs="Arial"/>
          <w:color w:val="17365D" w:themeColor="text2" w:themeShade="BF"/>
          <w:sz w:val="22"/>
          <w:szCs w:val="22"/>
          <w:lang w:val="sr-Cyrl-ME"/>
        </w:rPr>
        <w:t>23 односно 3</w:t>
      </w:r>
      <w:r w:rsidR="00711207" w:rsidRPr="00196439">
        <w:rPr>
          <w:rFonts w:cs="Arial"/>
          <w:color w:val="17365D" w:themeColor="text2" w:themeShade="BF"/>
          <w:sz w:val="22"/>
          <w:szCs w:val="22"/>
          <w:lang w:val="sr-Cyrl-ME"/>
        </w:rPr>
        <w:t>0</w:t>
      </w:r>
      <w:r w:rsidR="00596119" w:rsidRPr="00196439">
        <w:rPr>
          <w:rFonts w:cs="Arial"/>
          <w:color w:val="17365D" w:themeColor="text2" w:themeShade="BF"/>
          <w:sz w:val="22"/>
          <w:szCs w:val="22"/>
          <w:lang w:val="sr-Cyrl-ME"/>
        </w:rPr>
        <w:t>,</w:t>
      </w:r>
      <w:r w:rsidR="00711207" w:rsidRPr="00196439">
        <w:rPr>
          <w:rFonts w:cs="Arial"/>
          <w:color w:val="17365D" w:themeColor="text2" w:themeShade="BF"/>
          <w:sz w:val="22"/>
          <w:szCs w:val="22"/>
          <w:lang w:val="sr-Cyrl-ME"/>
        </w:rPr>
        <w:t>87</w:t>
      </w:r>
      <w:r w:rsidR="00596119" w:rsidRPr="00196439">
        <w:rPr>
          <w:rFonts w:cs="Arial"/>
          <w:color w:val="17365D" w:themeColor="text2" w:themeShade="BF"/>
          <w:sz w:val="22"/>
          <w:szCs w:val="22"/>
          <w:lang w:val="sr-Cyrl-ME"/>
        </w:rPr>
        <w:t>%</w:t>
      </w:r>
      <w:r w:rsidRPr="00196439">
        <w:rPr>
          <w:rFonts w:cs="Arial"/>
          <w:color w:val="17365D" w:themeColor="text2" w:themeShade="BF"/>
          <w:sz w:val="22"/>
          <w:szCs w:val="22"/>
          <w:lang w:val="sr-Cyrl-ME"/>
        </w:rPr>
        <w:t>.</w:t>
      </w:r>
      <w:r w:rsidR="009F1334" w:rsidRPr="00196439">
        <w:rPr>
          <w:rFonts w:cs="Arial"/>
          <w:color w:val="17365D" w:themeColor="text2" w:themeShade="BF"/>
          <w:sz w:val="22"/>
          <w:szCs w:val="22"/>
          <w:lang w:val="sr-Latn-RS"/>
        </w:rPr>
        <w:t xml:space="preserve"> </w:t>
      </w:r>
    </w:p>
    <w:p w:rsidR="002C361B" w:rsidRPr="00196439" w:rsidRDefault="002C361B" w:rsidP="000D4968">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Учешће врсте осигурања у укупној резервацији штета 31.12.2018. од преко 5% имају врсте 07 Осигурање робе у превозу</w:t>
      </w:r>
      <w:r w:rsidR="001D22AB" w:rsidRPr="00196439">
        <w:rPr>
          <w:rFonts w:cs="Arial"/>
          <w:color w:val="17365D" w:themeColor="text2" w:themeShade="BF"/>
          <w:sz w:val="22"/>
          <w:szCs w:val="22"/>
          <w:lang w:val="sr-Cyrl-RS"/>
        </w:rPr>
        <w:t xml:space="preserve"> (17,07%)</w:t>
      </w:r>
      <w:r w:rsidRPr="00196439">
        <w:rPr>
          <w:rFonts w:cs="Arial"/>
          <w:color w:val="17365D" w:themeColor="text2" w:themeShade="BF"/>
          <w:sz w:val="22"/>
          <w:szCs w:val="22"/>
          <w:lang w:val="sr-Cyrl-RS"/>
        </w:rPr>
        <w:t>, 08 Осигурање имовине од пожара и других опасности</w:t>
      </w:r>
      <w:r w:rsidR="001D22AB" w:rsidRPr="00196439">
        <w:rPr>
          <w:rFonts w:cs="Arial"/>
          <w:color w:val="17365D" w:themeColor="text2" w:themeShade="BF"/>
          <w:sz w:val="22"/>
          <w:szCs w:val="22"/>
          <w:lang w:val="sr-Cyrl-RS"/>
        </w:rPr>
        <w:t xml:space="preserve"> (32,73%)</w:t>
      </w:r>
      <w:r w:rsidRPr="00196439">
        <w:rPr>
          <w:rFonts w:cs="Arial"/>
          <w:color w:val="17365D" w:themeColor="text2" w:themeShade="BF"/>
          <w:sz w:val="22"/>
          <w:szCs w:val="22"/>
          <w:lang w:val="sr-Cyrl-RS"/>
        </w:rPr>
        <w:t>, 09 Остала осигурања имовине</w:t>
      </w:r>
      <w:r w:rsidR="001D22AB" w:rsidRPr="00196439">
        <w:rPr>
          <w:rFonts w:cs="Arial"/>
          <w:color w:val="17365D" w:themeColor="text2" w:themeShade="BF"/>
          <w:sz w:val="22"/>
          <w:szCs w:val="22"/>
          <w:lang w:val="sr-Cyrl-RS"/>
        </w:rPr>
        <w:t xml:space="preserve"> (7,72%)</w:t>
      </w:r>
      <w:r w:rsidRPr="00196439">
        <w:rPr>
          <w:rFonts w:cs="Arial"/>
          <w:color w:val="17365D" w:themeColor="text2" w:themeShade="BF"/>
          <w:sz w:val="22"/>
          <w:szCs w:val="22"/>
          <w:lang w:val="sr-Cyrl-RS"/>
        </w:rPr>
        <w:t xml:space="preserve"> и 10 Осигурање од одговорности због употребе моторних возила</w:t>
      </w:r>
      <w:r w:rsidR="001D22AB" w:rsidRPr="00196439">
        <w:rPr>
          <w:rFonts w:cs="Arial"/>
          <w:color w:val="17365D" w:themeColor="text2" w:themeShade="BF"/>
          <w:sz w:val="22"/>
          <w:szCs w:val="22"/>
          <w:lang w:val="sr-Cyrl-RS"/>
        </w:rPr>
        <w:t xml:space="preserve"> (30,73)</w:t>
      </w:r>
      <w:r w:rsidRPr="00196439">
        <w:rPr>
          <w:rFonts w:cs="Arial"/>
          <w:color w:val="17365D" w:themeColor="text2" w:themeShade="BF"/>
          <w:sz w:val="22"/>
          <w:szCs w:val="22"/>
          <w:lang w:val="sr-Cyrl-RS"/>
        </w:rPr>
        <w:t>.</w:t>
      </w:r>
      <w:r w:rsidR="00C22C78" w:rsidRPr="00196439">
        <w:rPr>
          <w:rFonts w:cs="Arial"/>
          <w:color w:val="17365D" w:themeColor="text2" w:themeShade="BF"/>
          <w:sz w:val="22"/>
          <w:szCs w:val="22"/>
          <w:lang w:val="sr-Cyrl-RS"/>
        </w:rPr>
        <w:t xml:space="preserve"> Од ове четири врсте осигурања </w:t>
      </w:r>
      <w:r w:rsidR="00C22C78" w:rsidRPr="00196439">
        <w:rPr>
          <w:rFonts w:cs="Arial"/>
          <w:color w:val="17365D" w:themeColor="text2" w:themeShade="BF"/>
          <w:sz w:val="22"/>
          <w:szCs w:val="22"/>
          <w:lang w:val="sr-Latn-RS"/>
        </w:rPr>
        <w:t>run off</w:t>
      </w:r>
      <w:r w:rsidR="00C22C78" w:rsidRPr="00196439">
        <w:rPr>
          <w:rFonts w:cs="Arial"/>
          <w:color w:val="17365D" w:themeColor="text2" w:themeShade="BF"/>
          <w:sz w:val="22"/>
          <w:szCs w:val="22"/>
          <w:lang w:val="sr-Cyrl-RS"/>
        </w:rPr>
        <w:t xml:space="preserve"> тест је показао дефицит на врстама 08 од 4,22% и врсти 10 од 3,06%. </w:t>
      </w:r>
      <w:r w:rsidR="0090158C" w:rsidRPr="00196439">
        <w:rPr>
          <w:rFonts w:cs="Arial"/>
          <w:color w:val="17365D" w:themeColor="text2" w:themeShade="BF"/>
          <w:sz w:val="22"/>
          <w:szCs w:val="22"/>
          <w:lang w:val="sr-Cyrl-RS"/>
        </w:rPr>
        <w:t>Код врсте осигурања 08 узрок дефицита је углавном због повећања резервације једне штете на овој врсти осигурања са 395 на 420 милиона динара. Ова штета је у спору у коме је тужилац Триглав осигурање и Др</w:t>
      </w:r>
      <w:r w:rsidR="00955421" w:rsidRPr="00196439">
        <w:rPr>
          <w:rFonts w:cs="Arial"/>
          <w:color w:val="17365D" w:themeColor="text2" w:themeShade="BF"/>
          <w:sz w:val="22"/>
          <w:szCs w:val="22"/>
          <w:lang w:val="sr-Cyrl-RS"/>
        </w:rPr>
        <w:t xml:space="preserve">уштво је повећало резервацију поступајући </w:t>
      </w:r>
      <w:r w:rsidR="0084675D" w:rsidRPr="00196439">
        <w:rPr>
          <w:rFonts w:cs="Arial"/>
          <w:color w:val="17365D" w:themeColor="text2" w:themeShade="BF"/>
          <w:sz w:val="22"/>
          <w:szCs w:val="22"/>
          <w:lang w:val="sr-Cyrl-RS"/>
        </w:rPr>
        <w:t xml:space="preserve">у складу </w:t>
      </w:r>
      <w:r w:rsidR="00955421" w:rsidRPr="00196439">
        <w:rPr>
          <w:rFonts w:cs="Arial"/>
          <w:color w:val="17365D" w:themeColor="text2" w:themeShade="BF"/>
          <w:sz w:val="22"/>
          <w:szCs w:val="22"/>
          <w:lang w:val="sr-Cyrl-RS"/>
        </w:rPr>
        <w:t>са начелом опрезности.</w:t>
      </w:r>
      <w:r w:rsidR="007666F1" w:rsidRPr="00196439">
        <w:rPr>
          <w:rFonts w:cs="Arial"/>
          <w:color w:val="17365D" w:themeColor="text2" w:themeShade="BF"/>
          <w:sz w:val="22"/>
          <w:szCs w:val="22"/>
          <w:lang w:val="sr-Cyrl-RS"/>
        </w:rPr>
        <w:t xml:space="preserve"> На врсти осигурања 10</w:t>
      </w:r>
      <w:r w:rsidR="007C255C" w:rsidRPr="00196439">
        <w:rPr>
          <w:rFonts w:cs="Arial"/>
          <w:color w:val="17365D" w:themeColor="text2" w:themeShade="BF"/>
          <w:sz w:val="22"/>
          <w:szCs w:val="22"/>
          <w:lang w:val="sr-Cyrl-RS"/>
        </w:rPr>
        <w:t xml:space="preserve"> извршена је акција ликвидације значајнијих штета из ранијих година, због којих је настао овај дефицит.</w:t>
      </w:r>
      <w:r w:rsidR="000D4968" w:rsidRPr="00196439">
        <w:rPr>
          <w:rFonts w:cs="Arial"/>
          <w:color w:val="17365D" w:themeColor="text2" w:themeShade="BF"/>
          <w:sz w:val="22"/>
          <w:szCs w:val="22"/>
          <w:lang w:val="sr-Cyrl-RS"/>
        </w:rPr>
        <w:t xml:space="preserve"> </w:t>
      </w:r>
    </w:p>
    <w:p w:rsidR="004A3E77" w:rsidRPr="00196439" w:rsidRDefault="004A3E77" w:rsidP="000D4968">
      <w:pPr>
        <w:spacing w:line="276" w:lineRule="auto"/>
        <w:rPr>
          <w:rFonts w:cs="Arial"/>
          <w:color w:val="17365D" w:themeColor="text2" w:themeShade="BF"/>
          <w:sz w:val="22"/>
          <w:szCs w:val="22"/>
          <w:lang w:val="sr-Cyrl-RS"/>
        </w:rPr>
      </w:pPr>
    </w:p>
    <w:p w:rsidR="004A3E77" w:rsidRPr="00196439" w:rsidRDefault="004A3E77" w:rsidP="000D4968">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Значајно је што је на врсти 10</w:t>
      </w:r>
      <w:r w:rsidR="005439BE" w:rsidRPr="00196439">
        <w:rPr>
          <w:rFonts w:cs="Arial"/>
          <w:color w:val="17365D" w:themeColor="text2" w:themeShade="BF"/>
          <w:sz w:val="22"/>
          <w:szCs w:val="22"/>
          <w:lang w:val="sr-Cyrl-RS"/>
        </w:rPr>
        <w:t xml:space="preserve"> Осигурање од одговорности због употребе моторних возила,</w:t>
      </w:r>
      <w:r w:rsidRPr="00196439">
        <w:rPr>
          <w:rFonts w:cs="Arial"/>
          <w:color w:val="17365D" w:themeColor="text2" w:themeShade="BF"/>
          <w:sz w:val="22"/>
          <w:szCs w:val="22"/>
          <w:lang w:val="sr-Cyrl-RS"/>
        </w:rPr>
        <w:t xml:space="preserve"> </w:t>
      </w:r>
      <w:r w:rsidRPr="00196439">
        <w:rPr>
          <w:rFonts w:cs="Arial"/>
          <w:color w:val="17365D" w:themeColor="text2" w:themeShade="BF"/>
          <w:sz w:val="22"/>
          <w:szCs w:val="22"/>
          <w:lang w:val="sr-Latn-RS"/>
        </w:rPr>
        <w:t>run off</w:t>
      </w:r>
      <w:r w:rsidRPr="00196439">
        <w:rPr>
          <w:rFonts w:cs="Arial"/>
          <w:color w:val="17365D" w:themeColor="text2" w:themeShade="BF"/>
          <w:sz w:val="22"/>
          <w:szCs w:val="22"/>
          <w:lang w:val="sr-Cyrl-RS"/>
        </w:rPr>
        <w:t xml:space="preserve"> анализа насталих непријављених штета показује суфицит од 20.283.029 динара (14,42%) јер је ово прва година </w:t>
      </w:r>
      <w:r w:rsidR="005439BE" w:rsidRPr="00196439">
        <w:rPr>
          <w:rFonts w:cs="Arial"/>
          <w:color w:val="17365D" w:themeColor="text2" w:themeShade="BF"/>
          <w:sz w:val="22"/>
          <w:szCs w:val="22"/>
          <w:lang w:val="sr-Cyrl-RS"/>
        </w:rPr>
        <w:t>у којој се</w:t>
      </w:r>
      <w:r w:rsidRPr="00196439">
        <w:rPr>
          <w:rFonts w:cs="Arial"/>
          <w:color w:val="17365D" w:themeColor="text2" w:themeShade="BF"/>
          <w:sz w:val="22"/>
          <w:szCs w:val="22"/>
          <w:lang w:val="sr-Cyrl-RS"/>
        </w:rPr>
        <w:t xml:space="preserve"> се могао тестирати ефекат измене Правилника о образовању резервисаних штета</w:t>
      </w:r>
      <w:r w:rsidR="005439BE" w:rsidRPr="00196439">
        <w:rPr>
          <w:rFonts w:cs="Arial"/>
          <w:color w:val="17365D" w:themeColor="text2" w:themeShade="BF"/>
          <w:sz w:val="22"/>
          <w:szCs w:val="22"/>
          <w:lang w:val="sr-Cyrl-RS"/>
        </w:rPr>
        <w:t>, први пут примењен претходне године</w:t>
      </w:r>
      <w:r w:rsidRPr="00196439">
        <w:rPr>
          <w:rFonts w:cs="Arial"/>
          <w:color w:val="17365D" w:themeColor="text2" w:themeShade="BF"/>
          <w:sz w:val="22"/>
          <w:szCs w:val="22"/>
          <w:lang w:val="sr-Cyrl-RS"/>
        </w:rPr>
        <w:t>.</w:t>
      </w:r>
      <w:r w:rsidR="005439BE" w:rsidRPr="00196439">
        <w:rPr>
          <w:rFonts w:cs="Arial"/>
          <w:color w:val="17365D" w:themeColor="text2" w:themeShade="BF"/>
          <w:sz w:val="22"/>
          <w:szCs w:val="22"/>
          <w:lang w:val="sr-Cyrl-RS"/>
        </w:rPr>
        <w:t xml:space="preserve"> </w:t>
      </w:r>
    </w:p>
    <w:p w:rsidR="002C361B" w:rsidRPr="00196439" w:rsidRDefault="002C361B" w:rsidP="005F073A">
      <w:pPr>
        <w:spacing w:line="276" w:lineRule="auto"/>
        <w:rPr>
          <w:rFonts w:cs="Arial"/>
          <w:color w:val="17365D" w:themeColor="text2" w:themeShade="BF"/>
          <w:sz w:val="22"/>
          <w:szCs w:val="22"/>
          <w:lang w:val="sr-Latn-RS"/>
        </w:rPr>
      </w:pPr>
    </w:p>
    <w:p w:rsidR="005439BE" w:rsidRPr="00196439" w:rsidRDefault="005439BE" w:rsidP="005F073A">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 xml:space="preserve">Повољно кретање код </w:t>
      </w:r>
      <w:r w:rsidRPr="00196439">
        <w:rPr>
          <w:rFonts w:cs="Arial"/>
          <w:color w:val="17365D" w:themeColor="text2" w:themeShade="BF"/>
          <w:sz w:val="22"/>
          <w:szCs w:val="22"/>
          <w:lang w:val="sr-Latn-RS"/>
        </w:rPr>
        <w:t>run off</w:t>
      </w:r>
      <w:r w:rsidRPr="00196439">
        <w:rPr>
          <w:rFonts w:cs="Arial"/>
          <w:color w:val="17365D" w:themeColor="text2" w:themeShade="BF"/>
          <w:sz w:val="22"/>
          <w:szCs w:val="22"/>
          <w:lang w:val="sr-Cyrl-RS"/>
        </w:rPr>
        <w:t xml:space="preserve"> анализе је на врсти осигурања 03 Осигурање моторних возила. Наиме ове године је остварен укупан дефицит на овој врсти од 1.861.308 динара (3,09%) док је претходне две године овај дефицит износио око 40 милиона динара</w:t>
      </w:r>
      <w:r w:rsidR="00DF3DE6" w:rsidRPr="00196439">
        <w:rPr>
          <w:rFonts w:cs="Arial"/>
          <w:color w:val="17365D" w:themeColor="text2" w:themeShade="BF"/>
          <w:sz w:val="22"/>
          <w:szCs w:val="22"/>
          <w:lang w:val="sr-Cyrl-RS"/>
        </w:rPr>
        <w:t xml:space="preserve"> и преко 80%</w:t>
      </w:r>
      <w:r w:rsidRPr="00196439">
        <w:rPr>
          <w:rFonts w:cs="Arial"/>
          <w:color w:val="17365D" w:themeColor="text2" w:themeShade="BF"/>
          <w:sz w:val="22"/>
          <w:szCs w:val="22"/>
          <w:lang w:val="sr-Cyrl-RS"/>
        </w:rPr>
        <w:t>.</w:t>
      </w:r>
    </w:p>
    <w:p w:rsidR="00B27EA8" w:rsidRPr="00196439" w:rsidRDefault="00B27EA8" w:rsidP="005F073A">
      <w:pPr>
        <w:spacing w:line="276" w:lineRule="auto"/>
        <w:rPr>
          <w:rFonts w:cs="Arial"/>
          <w:color w:val="17365D" w:themeColor="text2" w:themeShade="BF"/>
          <w:sz w:val="22"/>
          <w:szCs w:val="22"/>
          <w:highlight w:val="green"/>
          <w:lang w:val="sr-Cyrl-ME"/>
        </w:rPr>
      </w:pPr>
    </w:p>
    <w:p w:rsidR="00052FD5" w:rsidRPr="00196439" w:rsidRDefault="00052FD5" w:rsidP="005F073A">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lastRenderedPageBreak/>
        <w:t xml:space="preserve">Резултати поређење резервације са искуством не показују дефиците који би захтевали корекцију у смислу повећања износа резервисаних штета. </w:t>
      </w:r>
    </w:p>
    <w:p w:rsidR="00052FD5" w:rsidRPr="00196439" w:rsidRDefault="00052FD5" w:rsidP="005F073A">
      <w:pPr>
        <w:spacing w:line="276" w:lineRule="auto"/>
        <w:rPr>
          <w:rFonts w:cs="Arial"/>
          <w:color w:val="17365D" w:themeColor="text2" w:themeShade="BF"/>
          <w:sz w:val="22"/>
          <w:szCs w:val="22"/>
          <w:lang w:val="sr-Cyrl-ME"/>
        </w:rPr>
      </w:pPr>
    </w:p>
    <w:p w:rsidR="00920EDD" w:rsidRPr="00196439" w:rsidRDefault="00920EDD" w:rsidP="005F073A">
      <w:pPr>
        <w:spacing w:line="276" w:lineRule="auto"/>
        <w:rPr>
          <w:rFonts w:eastAsia="Verdana" w:cs="Arial"/>
          <w:b/>
          <w:color w:val="17365D" w:themeColor="text2" w:themeShade="BF"/>
          <w:sz w:val="22"/>
          <w:szCs w:val="22"/>
          <w:lang w:val="sr-Cyrl-ME"/>
        </w:rPr>
      </w:pPr>
      <w:r w:rsidRPr="00196439">
        <w:rPr>
          <w:rFonts w:eastAsia="Verdana" w:cs="Arial"/>
          <w:b/>
          <w:color w:val="17365D" w:themeColor="text2" w:themeShade="BF"/>
          <w:sz w:val="22"/>
          <w:szCs w:val="22"/>
          <w:lang w:val="sr-Cyrl-ME"/>
        </w:rPr>
        <w:t>Резултати поређења износа резервисаних штета по врстама осигурања и претпоставки и података коришћених у њиховом обрачуну са искуством</w:t>
      </w:r>
      <w:r w:rsidR="00595F6E" w:rsidRPr="00196439">
        <w:rPr>
          <w:rFonts w:eastAsia="Verdana" w:cs="Arial"/>
          <w:b/>
          <w:color w:val="17365D" w:themeColor="text2" w:themeShade="BF"/>
          <w:sz w:val="22"/>
          <w:szCs w:val="22"/>
          <w:lang w:val="sr-Cyrl-ME"/>
        </w:rPr>
        <w:t xml:space="preserve"> су </w:t>
      </w:r>
      <w:r w:rsidR="00DF3DE6" w:rsidRPr="00196439">
        <w:rPr>
          <w:rFonts w:eastAsia="Verdana" w:cs="Arial"/>
          <w:b/>
          <w:color w:val="17365D" w:themeColor="text2" w:themeShade="BF"/>
          <w:sz w:val="22"/>
          <w:szCs w:val="22"/>
          <w:lang w:val="sr-Cyrl-ME"/>
        </w:rPr>
        <w:t>у прихватљивим оквирима</w:t>
      </w:r>
      <w:r w:rsidR="00595F6E" w:rsidRPr="00196439">
        <w:rPr>
          <w:rFonts w:eastAsia="Verdana" w:cs="Arial"/>
          <w:b/>
          <w:color w:val="17365D" w:themeColor="text2" w:themeShade="BF"/>
          <w:sz w:val="22"/>
          <w:szCs w:val="22"/>
          <w:lang w:val="sr-Cyrl-ME"/>
        </w:rPr>
        <w:t xml:space="preserve"> и</w:t>
      </w:r>
      <w:r w:rsidRPr="00196439">
        <w:rPr>
          <w:rFonts w:eastAsia="Verdana" w:cs="Arial"/>
          <w:b/>
          <w:color w:val="17365D" w:themeColor="text2" w:themeShade="BF"/>
          <w:sz w:val="22"/>
          <w:szCs w:val="22"/>
          <w:lang w:val="sr-Cyrl-ME"/>
        </w:rPr>
        <w:t xml:space="preserve"> </w:t>
      </w:r>
      <w:r w:rsidR="00595F6E" w:rsidRPr="00196439">
        <w:rPr>
          <w:rFonts w:eastAsia="Verdana" w:cs="Arial"/>
          <w:b/>
          <w:color w:val="17365D" w:themeColor="text2" w:themeShade="BF"/>
          <w:sz w:val="22"/>
          <w:szCs w:val="22"/>
          <w:lang w:val="sr-Cyrl-ME"/>
        </w:rPr>
        <w:t xml:space="preserve">не указују на </w:t>
      </w:r>
      <w:r w:rsidRPr="00196439">
        <w:rPr>
          <w:rFonts w:eastAsia="Verdana" w:cs="Arial"/>
          <w:b/>
          <w:color w:val="17365D" w:themeColor="text2" w:themeShade="BF"/>
          <w:sz w:val="22"/>
          <w:szCs w:val="22"/>
          <w:lang w:val="sr-Cyrl-ME"/>
        </w:rPr>
        <w:t>систематско одступање.</w:t>
      </w:r>
    </w:p>
    <w:p w:rsidR="00920EDD" w:rsidRPr="00196439" w:rsidRDefault="00920EDD" w:rsidP="005F073A">
      <w:pPr>
        <w:spacing w:line="276" w:lineRule="auto"/>
        <w:rPr>
          <w:rFonts w:cs="Arial"/>
          <w:b/>
          <w:color w:val="17365D" w:themeColor="text2" w:themeShade="BF"/>
          <w:sz w:val="22"/>
          <w:szCs w:val="22"/>
          <w:highlight w:val="green"/>
          <w:lang w:val="sr-Cyrl-ME"/>
        </w:rPr>
      </w:pPr>
    </w:p>
    <w:p w:rsidR="00D0237A" w:rsidRPr="00196439" w:rsidRDefault="00D0237A" w:rsidP="004E166E">
      <w:pPr>
        <w:spacing w:line="276" w:lineRule="auto"/>
        <w:rPr>
          <w:rFonts w:cs="Arial"/>
          <w:color w:val="17365D" w:themeColor="text2" w:themeShade="BF"/>
          <w:sz w:val="22"/>
          <w:szCs w:val="22"/>
          <w:lang w:val="sr-Cyrl-ME"/>
        </w:rPr>
      </w:pPr>
    </w:p>
    <w:p w:rsidR="00807504" w:rsidRPr="00196439" w:rsidRDefault="00807504" w:rsidP="004E166E">
      <w:pPr>
        <w:tabs>
          <w:tab w:val="left" w:pos="540"/>
        </w:tabs>
        <w:spacing w:line="276" w:lineRule="auto"/>
        <w:ind w:right="58"/>
        <w:rPr>
          <w:rFonts w:cs="Arial"/>
          <w:b/>
          <w:i/>
          <w:color w:val="17365D" w:themeColor="text2" w:themeShade="BF"/>
          <w:sz w:val="22"/>
          <w:szCs w:val="22"/>
        </w:rPr>
      </w:pPr>
      <w:r w:rsidRPr="00196439">
        <w:rPr>
          <w:rFonts w:cs="Arial"/>
          <w:b/>
          <w:i/>
          <w:color w:val="17365D" w:themeColor="text2" w:themeShade="BF"/>
          <w:sz w:val="22"/>
          <w:szCs w:val="22"/>
        </w:rPr>
        <w:t>2.8. РЕЗУЛТАТИ ПРОВЕРЕ ДОВОЉНОСТИ ТЕХНИЧКИХ РЕЗЕРВИ</w:t>
      </w:r>
    </w:p>
    <w:p w:rsidR="00037CA2" w:rsidRPr="00196439" w:rsidRDefault="00037CA2" w:rsidP="004E166E">
      <w:pPr>
        <w:tabs>
          <w:tab w:val="left" w:pos="540"/>
        </w:tabs>
        <w:spacing w:line="276" w:lineRule="auto"/>
        <w:ind w:right="58"/>
        <w:rPr>
          <w:rFonts w:cs="Arial"/>
          <w:b/>
          <w:i/>
          <w:color w:val="17365D" w:themeColor="text2" w:themeShade="BF"/>
          <w:sz w:val="22"/>
          <w:szCs w:val="22"/>
          <w:lang w:val="sr-Cyrl-ME"/>
        </w:rPr>
      </w:pPr>
    </w:p>
    <w:p w:rsidR="00D0237A" w:rsidRPr="00196439" w:rsidRDefault="00D0237A" w:rsidP="004E166E">
      <w:pPr>
        <w:tabs>
          <w:tab w:val="left" w:pos="540"/>
        </w:tabs>
        <w:spacing w:line="276" w:lineRule="auto"/>
        <w:ind w:right="58"/>
        <w:rPr>
          <w:rFonts w:cs="Arial"/>
          <w:b/>
          <w:i/>
          <w:color w:val="17365D" w:themeColor="text2" w:themeShade="BF"/>
          <w:sz w:val="22"/>
          <w:szCs w:val="22"/>
          <w:lang w:val="sr-Cyrl-ME"/>
        </w:rPr>
      </w:pPr>
    </w:p>
    <w:p w:rsidR="00807504" w:rsidRPr="002C0F93" w:rsidRDefault="00807504" w:rsidP="004E166E">
      <w:pPr>
        <w:spacing w:line="276" w:lineRule="auto"/>
        <w:rPr>
          <w:rFonts w:cs="Arial"/>
          <w:color w:val="17365D" w:themeColor="text2" w:themeShade="BF"/>
          <w:sz w:val="22"/>
          <w:szCs w:val="22"/>
          <w:lang w:val="sr-Cyrl-ME"/>
        </w:rPr>
      </w:pPr>
      <w:r w:rsidRPr="002C0F93">
        <w:rPr>
          <w:rFonts w:cs="Arial"/>
          <w:color w:val="17365D" w:themeColor="text2" w:themeShade="BF"/>
          <w:sz w:val="22"/>
          <w:szCs w:val="22"/>
          <w:lang w:val="sr-Cyrl-ME"/>
        </w:rPr>
        <w:t>У складу са Упутством за проверу адекватности техничких резерви Друштво је извршило проверу довољности/адекватности техничких резерви утврђених на дан 31.12.201</w:t>
      </w:r>
      <w:r w:rsidR="002C0F93" w:rsidRPr="002C0F93">
        <w:rPr>
          <w:rFonts w:cs="Arial"/>
          <w:color w:val="17365D" w:themeColor="text2" w:themeShade="BF"/>
          <w:sz w:val="22"/>
          <w:szCs w:val="22"/>
          <w:lang w:val="sr-Latn-RS"/>
        </w:rPr>
        <w:t>9</w:t>
      </w:r>
      <w:r w:rsidRPr="002C0F93">
        <w:rPr>
          <w:rFonts w:cs="Arial"/>
          <w:color w:val="17365D" w:themeColor="text2" w:themeShade="BF"/>
          <w:sz w:val="22"/>
          <w:szCs w:val="22"/>
          <w:lang w:val="sr-Cyrl-ME"/>
        </w:rPr>
        <w:t>. по врстама осигурања, за сваку техничку резерву која чини више од 5% од укупних техничких резерви, при чему укупан износ техничких резерви за које се врши провера адекватности не може бити мањи од 90% укупних техничких резерви. Провера довољности техничких резерви извршена је над резервама за преносне премије и резервацију штета које заједно чине 99,</w:t>
      </w:r>
      <w:r w:rsidR="004A42DD">
        <w:rPr>
          <w:rFonts w:cs="Arial"/>
          <w:color w:val="17365D" w:themeColor="text2" w:themeShade="BF"/>
          <w:sz w:val="22"/>
          <w:szCs w:val="22"/>
          <w:lang w:val="sr-Cyrl-ME"/>
        </w:rPr>
        <w:t>20</w:t>
      </w:r>
      <w:r w:rsidRPr="002C0F93">
        <w:rPr>
          <w:rFonts w:cs="Arial"/>
          <w:color w:val="17365D" w:themeColor="text2" w:themeShade="BF"/>
          <w:sz w:val="22"/>
          <w:szCs w:val="22"/>
          <w:lang w:val="sr-Cyrl-ME"/>
        </w:rPr>
        <w:t>% укупних техничких резерви.</w:t>
      </w:r>
    </w:p>
    <w:p w:rsidR="006816B3" w:rsidRPr="002C0F93" w:rsidRDefault="006816B3" w:rsidP="004E166E">
      <w:pPr>
        <w:spacing w:line="276" w:lineRule="auto"/>
        <w:rPr>
          <w:rFonts w:cs="Arial"/>
          <w:color w:val="17365D" w:themeColor="text2" w:themeShade="BF"/>
          <w:sz w:val="22"/>
          <w:szCs w:val="22"/>
          <w:lang w:val="sr-Cyrl-ME"/>
        </w:rPr>
      </w:pPr>
    </w:p>
    <w:p w:rsidR="00807504" w:rsidRPr="002C0F93" w:rsidRDefault="00807504" w:rsidP="00882A68">
      <w:pPr>
        <w:spacing w:after="120" w:line="276" w:lineRule="auto"/>
        <w:jc w:val="center"/>
        <w:rPr>
          <w:rFonts w:cs="Arial"/>
          <w:i/>
          <w:color w:val="17365D" w:themeColor="text2" w:themeShade="BF"/>
          <w:lang w:val="sr-Cyrl-ME"/>
        </w:rPr>
      </w:pPr>
      <w:r w:rsidRPr="002C0F93">
        <w:rPr>
          <w:rFonts w:cs="Arial"/>
          <w:i/>
          <w:color w:val="17365D" w:themeColor="text2" w:themeShade="BF"/>
          <w:lang w:val="sr-Cyrl-ME"/>
        </w:rPr>
        <w:t>Структура техничких резерви на дан 31.12.201</w:t>
      </w:r>
      <w:r w:rsidR="000750A1">
        <w:rPr>
          <w:rFonts w:cs="Arial"/>
          <w:i/>
          <w:color w:val="17365D" w:themeColor="text2" w:themeShade="BF"/>
          <w:lang w:val="sr-Cyrl-ME"/>
        </w:rPr>
        <w:t>9</w:t>
      </w:r>
      <w:r w:rsidR="00835A37" w:rsidRPr="002C0F93">
        <w:rPr>
          <w:rFonts w:cs="Arial"/>
          <w:i/>
          <w:color w:val="17365D" w:themeColor="text2" w:themeShade="BF"/>
          <w:lang w:val="sr-Cyrl-ME"/>
        </w:rPr>
        <w:t>.</w:t>
      </w:r>
    </w:p>
    <w:tbl>
      <w:tblPr>
        <w:tblW w:w="7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33"/>
        <w:gridCol w:w="1761"/>
        <w:gridCol w:w="1490"/>
      </w:tblGrid>
      <w:tr w:rsidR="00E03768" w:rsidRPr="002C0F93" w:rsidTr="00E03768">
        <w:trPr>
          <w:trHeight w:val="581"/>
          <w:jc w:val="center"/>
        </w:trPr>
        <w:tc>
          <w:tcPr>
            <w:tcW w:w="993" w:type="dxa"/>
            <w:shd w:val="clear" w:color="auto" w:fill="D9D9D9" w:themeFill="background1" w:themeFillShade="D9"/>
            <w:vAlign w:val="center"/>
            <w:hideMark/>
          </w:tcPr>
          <w:p w:rsidR="00807504" w:rsidRPr="002C0F93" w:rsidRDefault="00807504" w:rsidP="00E02840">
            <w:pPr>
              <w:spacing w:line="240" w:lineRule="auto"/>
              <w:jc w:val="center"/>
              <w:rPr>
                <w:rFonts w:cs="Arial"/>
                <w:color w:val="17365D" w:themeColor="text2" w:themeShade="BF"/>
                <w:sz w:val="18"/>
                <w:szCs w:val="18"/>
              </w:rPr>
            </w:pPr>
            <w:r w:rsidRPr="002C0F93">
              <w:rPr>
                <w:rFonts w:cs="Arial"/>
                <w:color w:val="17365D" w:themeColor="text2" w:themeShade="BF"/>
                <w:sz w:val="18"/>
                <w:szCs w:val="18"/>
              </w:rPr>
              <w:t>Ред.бр.</w:t>
            </w:r>
          </w:p>
        </w:tc>
        <w:tc>
          <w:tcPr>
            <w:tcW w:w="3133" w:type="dxa"/>
            <w:shd w:val="clear" w:color="auto" w:fill="D9D9D9" w:themeFill="background1" w:themeFillShade="D9"/>
            <w:vAlign w:val="center"/>
            <w:hideMark/>
          </w:tcPr>
          <w:p w:rsidR="00807504" w:rsidRPr="002C0F93" w:rsidRDefault="00807504" w:rsidP="00E02840">
            <w:pPr>
              <w:spacing w:line="240" w:lineRule="auto"/>
              <w:jc w:val="center"/>
              <w:rPr>
                <w:rFonts w:cs="Arial"/>
                <w:color w:val="17365D" w:themeColor="text2" w:themeShade="BF"/>
                <w:sz w:val="18"/>
                <w:szCs w:val="18"/>
              </w:rPr>
            </w:pPr>
            <w:r w:rsidRPr="002C0F93">
              <w:rPr>
                <w:rFonts w:cs="Arial"/>
                <w:color w:val="17365D" w:themeColor="text2" w:themeShade="BF"/>
                <w:sz w:val="18"/>
                <w:szCs w:val="18"/>
              </w:rPr>
              <w:t>Врста техничких резерви</w:t>
            </w:r>
          </w:p>
        </w:tc>
        <w:tc>
          <w:tcPr>
            <w:tcW w:w="1761" w:type="dxa"/>
            <w:shd w:val="clear" w:color="auto" w:fill="D9D9D9" w:themeFill="background1" w:themeFillShade="D9"/>
            <w:vAlign w:val="center"/>
            <w:hideMark/>
          </w:tcPr>
          <w:p w:rsidR="00807504" w:rsidRPr="002C0F93" w:rsidRDefault="00807504" w:rsidP="00E02840">
            <w:pPr>
              <w:spacing w:line="240" w:lineRule="auto"/>
              <w:jc w:val="center"/>
              <w:rPr>
                <w:rFonts w:cs="Arial"/>
                <w:color w:val="17365D" w:themeColor="text2" w:themeShade="BF"/>
                <w:sz w:val="18"/>
                <w:szCs w:val="18"/>
              </w:rPr>
            </w:pPr>
            <w:r w:rsidRPr="002C0F93">
              <w:rPr>
                <w:rFonts w:cs="Arial"/>
                <w:color w:val="17365D" w:themeColor="text2" w:themeShade="BF"/>
                <w:sz w:val="18"/>
                <w:szCs w:val="18"/>
                <w:lang w:val="sr-Cyrl-ME"/>
              </w:rPr>
              <w:t>Износ</w:t>
            </w:r>
          </w:p>
        </w:tc>
        <w:tc>
          <w:tcPr>
            <w:tcW w:w="1490" w:type="dxa"/>
            <w:shd w:val="clear" w:color="auto" w:fill="D9D9D9" w:themeFill="background1" w:themeFillShade="D9"/>
            <w:vAlign w:val="center"/>
          </w:tcPr>
          <w:p w:rsidR="00807504" w:rsidRPr="002C0F93" w:rsidRDefault="00807504" w:rsidP="000779AF">
            <w:pPr>
              <w:spacing w:line="240" w:lineRule="auto"/>
              <w:jc w:val="center"/>
              <w:rPr>
                <w:rFonts w:cs="Arial"/>
                <w:color w:val="17365D" w:themeColor="text2" w:themeShade="BF"/>
                <w:sz w:val="18"/>
                <w:szCs w:val="18"/>
                <w:lang w:val="sr-Cyrl-ME"/>
              </w:rPr>
            </w:pPr>
            <w:r w:rsidRPr="002C0F93">
              <w:rPr>
                <w:rFonts w:cs="Arial"/>
                <w:color w:val="17365D" w:themeColor="text2" w:themeShade="BF"/>
                <w:sz w:val="18"/>
                <w:szCs w:val="18"/>
                <w:lang w:val="sr-Cyrl-ME"/>
              </w:rPr>
              <w:t>Учешће у укупним ТР</w:t>
            </w:r>
          </w:p>
        </w:tc>
      </w:tr>
      <w:tr w:rsidR="003E6DFC" w:rsidRPr="00527589" w:rsidTr="003E6DFC">
        <w:trPr>
          <w:trHeight w:val="340"/>
          <w:jc w:val="center"/>
        </w:trPr>
        <w:tc>
          <w:tcPr>
            <w:tcW w:w="993" w:type="dxa"/>
            <w:shd w:val="clear" w:color="auto" w:fill="auto"/>
            <w:vAlign w:val="center"/>
            <w:hideMark/>
          </w:tcPr>
          <w:p w:rsidR="003E6DFC" w:rsidRPr="00527589" w:rsidRDefault="003E6DFC" w:rsidP="003E6DFC">
            <w:pPr>
              <w:spacing w:line="240" w:lineRule="auto"/>
              <w:jc w:val="center"/>
              <w:rPr>
                <w:rFonts w:cs="Arial"/>
                <w:color w:val="17365D" w:themeColor="text2" w:themeShade="BF"/>
                <w:sz w:val="18"/>
                <w:szCs w:val="18"/>
              </w:rPr>
            </w:pPr>
            <w:r w:rsidRPr="00527589">
              <w:rPr>
                <w:rFonts w:cs="Arial"/>
                <w:color w:val="17365D" w:themeColor="text2" w:themeShade="BF"/>
                <w:sz w:val="18"/>
                <w:szCs w:val="18"/>
              </w:rPr>
              <w:t>1.</w:t>
            </w:r>
          </w:p>
        </w:tc>
        <w:tc>
          <w:tcPr>
            <w:tcW w:w="3133" w:type="dxa"/>
            <w:shd w:val="clear" w:color="auto" w:fill="auto"/>
            <w:vAlign w:val="center"/>
            <w:hideMark/>
          </w:tcPr>
          <w:p w:rsidR="003E6DFC" w:rsidRPr="00527589" w:rsidRDefault="003E6DFC" w:rsidP="003E6DFC">
            <w:pPr>
              <w:spacing w:line="240" w:lineRule="auto"/>
              <w:jc w:val="left"/>
              <w:rPr>
                <w:rFonts w:cs="Arial"/>
                <w:color w:val="17365D" w:themeColor="text2" w:themeShade="BF"/>
                <w:sz w:val="18"/>
                <w:szCs w:val="18"/>
              </w:rPr>
            </w:pPr>
            <w:r w:rsidRPr="00527589">
              <w:rPr>
                <w:rFonts w:cs="Arial"/>
                <w:color w:val="17365D" w:themeColor="text2" w:themeShade="BF"/>
                <w:sz w:val="18"/>
                <w:szCs w:val="18"/>
              </w:rPr>
              <w:t xml:space="preserve">Преносна премија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6DFC" w:rsidRPr="00527589" w:rsidRDefault="003E6DFC" w:rsidP="003E6DFC">
            <w:pPr>
              <w:spacing w:line="240" w:lineRule="auto"/>
              <w:jc w:val="right"/>
              <w:rPr>
                <w:rFonts w:cs="Arial"/>
                <w:color w:val="0F243E"/>
                <w:sz w:val="18"/>
                <w:szCs w:val="18"/>
                <w:lang w:val="en-US"/>
              </w:rPr>
            </w:pPr>
            <w:r w:rsidRPr="00527589">
              <w:rPr>
                <w:rFonts w:cs="Arial"/>
                <w:color w:val="0F243E"/>
                <w:sz w:val="18"/>
                <w:szCs w:val="18"/>
              </w:rPr>
              <w:t>1.094.588.209</w:t>
            </w:r>
          </w:p>
        </w:tc>
        <w:tc>
          <w:tcPr>
            <w:tcW w:w="1490" w:type="dxa"/>
            <w:shd w:val="clear" w:color="000000" w:fill="FFFFFF"/>
            <w:vAlign w:val="center"/>
          </w:tcPr>
          <w:p w:rsidR="003E6DFC" w:rsidRPr="00527589" w:rsidRDefault="003E6DFC" w:rsidP="001B17E1">
            <w:pPr>
              <w:spacing w:line="240" w:lineRule="auto"/>
              <w:jc w:val="right"/>
              <w:rPr>
                <w:color w:val="244061" w:themeColor="accent1" w:themeShade="80"/>
                <w:sz w:val="18"/>
                <w:szCs w:val="18"/>
              </w:rPr>
            </w:pPr>
            <w:r w:rsidRPr="00527589">
              <w:rPr>
                <w:color w:val="244061" w:themeColor="accent1" w:themeShade="80"/>
                <w:sz w:val="18"/>
                <w:szCs w:val="18"/>
              </w:rPr>
              <w:t>35,2</w:t>
            </w:r>
            <w:r w:rsidR="001B17E1">
              <w:rPr>
                <w:color w:val="244061" w:themeColor="accent1" w:themeShade="80"/>
                <w:sz w:val="18"/>
                <w:szCs w:val="18"/>
              </w:rPr>
              <w:t>7</w:t>
            </w:r>
            <w:r w:rsidRPr="00527589">
              <w:rPr>
                <w:color w:val="244061" w:themeColor="accent1" w:themeShade="80"/>
                <w:sz w:val="18"/>
                <w:szCs w:val="18"/>
              </w:rPr>
              <w:t>%</w:t>
            </w:r>
          </w:p>
        </w:tc>
      </w:tr>
      <w:tr w:rsidR="003E6DFC" w:rsidRPr="00527589" w:rsidTr="003E6DFC">
        <w:trPr>
          <w:trHeight w:val="340"/>
          <w:jc w:val="center"/>
        </w:trPr>
        <w:tc>
          <w:tcPr>
            <w:tcW w:w="993" w:type="dxa"/>
            <w:shd w:val="clear" w:color="auto" w:fill="auto"/>
            <w:vAlign w:val="center"/>
            <w:hideMark/>
          </w:tcPr>
          <w:p w:rsidR="003E6DFC" w:rsidRPr="00527589" w:rsidRDefault="003E6DFC" w:rsidP="003E6DFC">
            <w:pPr>
              <w:spacing w:line="240" w:lineRule="auto"/>
              <w:jc w:val="center"/>
              <w:rPr>
                <w:rFonts w:cs="Arial"/>
                <w:color w:val="17365D" w:themeColor="text2" w:themeShade="BF"/>
                <w:sz w:val="18"/>
                <w:szCs w:val="18"/>
              </w:rPr>
            </w:pPr>
            <w:r w:rsidRPr="00527589">
              <w:rPr>
                <w:rFonts w:cs="Arial"/>
                <w:color w:val="17365D" w:themeColor="text2" w:themeShade="BF"/>
                <w:sz w:val="18"/>
                <w:szCs w:val="18"/>
              </w:rPr>
              <w:t>2.</w:t>
            </w:r>
          </w:p>
        </w:tc>
        <w:tc>
          <w:tcPr>
            <w:tcW w:w="3133" w:type="dxa"/>
            <w:shd w:val="clear" w:color="auto" w:fill="auto"/>
            <w:vAlign w:val="center"/>
            <w:hideMark/>
          </w:tcPr>
          <w:p w:rsidR="003E6DFC" w:rsidRPr="00527589" w:rsidRDefault="003E6DFC" w:rsidP="003E6DFC">
            <w:pPr>
              <w:spacing w:line="240" w:lineRule="auto"/>
              <w:jc w:val="left"/>
              <w:rPr>
                <w:rFonts w:cs="Arial"/>
                <w:color w:val="17365D" w:themeColor="text2" w:themeShade="BF"/>
                <w:sz w:val="18"/>
                <w:szCs w:val="18"/>
              </w:rPr>
            </w:pPr>
            <w:r w:rsidRPr="00527589">
              <w:rPr>
                <w:rFonts w:cs="Arial"/>
                <w:color w:val="17365D" w:themeColor="text2" w:themeShade="BF"/>
                <w:sz w:val="18"/>
                <w:szCs w:val="18"/>
              </w:rPr>
              <w:t>Укупно резервисане штете</w:t>
            </w:r>
          </w:p>
        </w:tc>
        <w:tc>
          <w:tcPr>
            <w:tcW w:w="1761" w:type="dxa"/>
            <w:tcBorders>
              <w:top w:val="nil"/>
              <w:left w:val="single" w:sz="4" w:space="0" w:color="auto"/>
              <w:bottom w:val="single" w:sz="4" w:space="0" w:color="auto"/>
              <w:right w:val="single" w:sz="4" w:space="0" w:color="auto"/>
            </w:tcBorders>
            <w:shd w:val="clear" w:color="auto" w:fill="auto"/>
            <w:noWrap/>
            <w:vAlign w:val="center"/>
          </w:tcPr>
          <w:p w:rsidR="003E6DFC" w:rsidRPr="00527589" w:rsidRDefault="003E6DFC" w:rsidP="003E6DFC">
            <w:pPr>
              <w:spacing w:line="240" w:lineRule="auto"/>
              <w:jc w:val="right"/>
              <w:rPr>
                <w:rFonts w:cs="Arial"/>
                <w:color w:val="0F243E"/>
                <w:sz w:val="18"/>
                <w:szCs w:val="18"/>
              </w:rPr>
            </w:pPr>
            <w:r w:rsidRPr="00527589">
              <w:rPr>
                <w:rFonts w:cs="Arial"/>
                <w:color w:val="0F243E"/>
                <w:sz w:val="18"/>
                <w:szCs w:val="18"/>
              </w:rPr>
              <w:t>1.983.619.974</w:t>
            </w:r>
          </w:p>
        </w:tc>
        <w:tc>
          <w:tcPr>
            <w:tcW w:w="1490" w:type="dxa"/>
            <w:shd w:val="clear" w:color="000000" w:fill="FFFFFF"/>
            <w:vAlign w:val="center"/>
          </w:tcPr>
          <w:p w:rsidR="003E6DFC" w:rsidRPr="00527589" w:rsidRDefault="003E6DFC" w:rsidP="003E6DFC">
            <w:pPr>
              <w:spacing w:line="240" w:lineRule="auto"/>
              <w:jc w:val="right"/>
              <w:rPr>
                <w:color w:val="244061" w:themeColor="accent1" w:themeShade="80"/>
                <w:sz w:val="18"/>
                <w:szCs w:val="18"/>
              </w:rPr>
            </w:pPr>
            <w:r w:rsidRPr="00527589">
              <w:rPr>
                <w:color w:val="244061" w:themeColor="accent1" w:themeShade="80"/>
                <w:sz w:val="18"/>
                <w:szCs w:val="18"/>
              </w:rPr>
              <w:t>63,93%</w:t>
            </w:r>
          </w:p>
        </w:tc>
      </w:tr>
      <w:tr w:rsidR="003E6DFC" w:rsidRPr="00527589" w:rsidTr="003E6DFC">
        <w:trPr>
          <w:trHeight w:val="340"/>
          <w:jc w:val="center"/>
        </w:trPr>
        <w:tc>
          <w:tcPr>
            <w:tcW w:w="993" w:type="dxa"/>
            <w:shd w:val="clear" w:color="auto" w:fill="auto"/>
            <w:vAlign w:val="center"/>
            <w:hideMark/>
          </w:tcPr>
          <w:p w:rsidR="003E6DFC" w:rsidRPr="00527589" w:rsidRDefault="003E6DFC" w:rsidP="003E6DFC">
            <w:pPr>
              <w:spacing w:line="240" w:lineRule="auto"/>
              <w:jc w:val="center"/>
              <w:rPr>
                <w:rFonts w:cs="Arial"/>
                <w:color w:val="17365D" w:themeColor="text2" w:themeShade="BF"/>
                <w:sz w:val="18"/>
                <w:szCs w:val="18"/>
              </w:rPr>
            </w:pPr>
            <w:r w:rsidRPr="00527589">
              <w:rPr>
                <w:rFonts w:cs="Arial"/>
                <w:color w:val="17365D" w:themeColor="text2" w:themeShade="BF"/>
                <w:sz w:val="18"/>
                <w:szCs w:val="18"/>
              </w:rPr>
              <w:t>3.</w:t>
            </w:r>
          </w:p>
        </w:tc>
        <w:tc>
          <w:tcPr>
            <w:tcW w:w="3133" w:type="dxa"/>
            <w:shd w:val="clear" w:color="auto" w:fill="auto"/>
            <w:vAlign w:val="center"/>
            <w:hideMark/>
          </w:tcPr>
          <w:p w:rsidR="003E6DFC" w:rsidRPr="00527589" w:rsidRDefault="003E6DFC" w:rsidP="003E6DFC">
            <w:pPr>
              <w:spacing w:line="240" w:lineRule="auto"/>
              <w:jc w:val="left"/>
              <w:rPr>
                <w:rFonts w:cs="Arial"/>
                <w:color w:val="17365D" w:themeColor="text2" w:themeShade="BF"/>
                <w:sz w:val="18"/>
                <w:szCs w:val="18"/>
              </w:rPr>
            </w:pPr>
            <w:r w:rsidRPr="00527589">
              <w:rPr>
                <w:rFonts w:cs="Arial"/>
                <w:color w:val="17365D" w:themeColor="text2" w:themeShade="BF"/>
                <w:sz w:val="18"/>
                <w:szCs w:val="18"/>
              </w:rPr>
              <w:t>Математичка резерва</w:t>
            </w:r>
          </w:p>
        </w:tc>
        <w:tc>
          <w:tcPr>
            <w:tcW w:w="1761" w:type="dxa"/>
            <w:tcBorders>
              <w:top w:val="nil"/>
              <w:left w:val="single" w:sz="4" w:space="0" w:color="auto"/>
              <w:bottom w:val="single" w:sz="4" w:space="0" w:color="auto"/>
              <w:right w:val="single" w:sz="4" w:space="0" w:color="auto"/>
            </w:tcBorders>
            <w:shd w:val="clear" w:color="auto" w:fill="auto"/>
            <w:noWrap/>
            <w:vAlign w:val="center"/>
          </w:tcPr>
          <w:p w:rsidR="003E6DFC" w:rsidRPr="00527589" w:rsidRDefault="003E6DFC" w:rsidP="003E6DFC">
            <w:pPr>
              <w:spacing w:line="240" w:lineRule="auto"/>
              <w:jc w:val="right"/>
              <w:rPr>
                <w:rFonts w:cs="Arial"/>
                <w:color w:val="0F243E"/>
                <w:sz w:val="18"/>
                <w:szCs w:val="18"/>
              </w:rPr>
            </w:pPr>
            <w:r w:rsidRPr="00527589">
              <w:rPr>
                <w:rFonts w:cs="Arial"/>
                <w:color w:val="0F243E"/>
                <w:sz w:val="18"/>
                <w:szCs w:val="18"/>
              </w:rPr>
              <w:t>19.438.014</w:t>
            </w:r>
          </w:p>
        </w:tc>
        <w:tc>
          <w:tcPr>
            <w:tcW w:w="1490" w:type="dxa"/>
            <w:shd w:val="clear" w:color="000000" w:fill="FFFFFF"/>
            <w:noWrap/>
            <w:vAlign w:val="center"/>
          </w:tcPr>
          <w:p w:rsidR="003E6DFC" w:rsidRPr="00527589" w:rsidRDefault="003E6DFC" w:rsidP="003E6DFC">
            <w:pPr>
              <w:spacing w:line="240" w:lineRule="auto"/>
              <w:jc w:val="right"/>
              <w:rPr>
                <w:color w:val="244061" w:themeColor="accent1" w:themeShade="80"/>
                <w:sz w:val="18"/>
                <w:szCs w:val="18"/>
              </w:rPr>
            </w:pPr>
            <w:r w:rsidRPr="00527589">
              <w:rPr>
                <w:color w:val="244061" w:themeColor="accent1" w:themeShade="80"/>
                <w:sz w:val="18"/>
                <w:szCs w:val="18"/>
              </w:rPr>
              <w:t>0,63%</w:t>
            </w:r>
          </w:p>
        </w:tc>
      </w:tr>
      <w:tr w:rsidR="003E6DFC" w:rsidRPr="00527589" w:rsidTr="003E6DFC">
        <w:trPr>
          <w:trHeight w:val="340"/>
          <w:jc w:val="center"/>
        </w:trPr>
        <w:tc>
          <w:tcPr>
            <w:tcW w:w="993" w:type="dxa"/>
            <w:shd w:val="clear" w:color="auto" w:fill="auto"/>
            <w:vAlign w:val="center"/>
            <w:hideMark/>
          </w:tcPr>
          <w:p w:rsidR="003E6DFC" w:rsidRPr="00527589" w:rsidRDefault="003E6DFC" w:rsidP="003E6DFC">
            <w:pPr>
              <w:spacing w:line="240" w:lineRule="auto"/>
              <w:jc w:val="center"/>
              <w:rPr>
                <w:rFonts w:cs="Arial"/>
                <w:color w:val="17365D" w:themeColor="text2" w:themeShade="BF"/>
                <w:sz w:val="18"/>
                <w:szCs w:val="18"/>
              </w:rPr>
            </w:pPr>
            <w:r w:rsidRPr="00527589">
              <w:rPr>
                <w:rFonts w:cs="Arial"/>
                <w:color w:val="17365D" w:themeColor="text2" w:themeShade="BF"/>
                <w:sz w:val="18"/>
                <w:szCs w:val="18"/>
              </w:rPr>
              <w:t>4.</w:t>
            </w:r>
          </w:p>
        </w:tc>
        <w:tc>
          <w:tcPr>
            <w:tcW w:w="3133" w:type="dxa"/>
            <w:shd w:val="clear" w:color="auto" w:fill="auto"/>
            <w:vAlign w:val="center"/>
            <w:hideMark/>
          </w:tcPr>
          <w:p w:rsidR="003E6DFC" w:rsidRPr="00527589" w:rsidRDefault="003E6DFC" w:rsidP="003E6DFC">
            <w:pPr>
              <w:spacing w:line="240" w:lineRule="auto"/>
              <w:jc w:val="left"/>
              <w:rPr>
                <w:rFonts w:cs="Arial"/>
                <w:color w:val="17365D" w:themeColor="text2" w:themeShade="BF"/>
                <w:sz w:val="18"/>
                <w:szCs w:val="18"/>
              </w:rPr>
            </w:pPr>
            <w:r w:rsidRPr="00527589">
              <w:rPr>
                <w:rFonts w:cs="Arial"/>
                <w:color w:val="17365D" w:themeColor="text2" w:themeShade="BF"/>
                <w:sz w:val="18"/>
                <w:szCs w:val="18"/>
              </w:rPr>
              <w:t>Резерве за неистекле ризике</w:t>
            </w:r>
          </w:p>
        </w:tc>
        <w:tc>
          <w:tcPr>
            <w:tcW w:w="1761" w:type="dxa"/>
            <w:tcBorders>
              <w:top w:val="nil"/>
              <w:left w:val="single" w:sz="4" w:space="0" w:color="auto"/>
              <w:bottom w:val="single" w:sz="4" w:space="0" w:color="auto"/>
              <w:right w:val="single" w:sz="4" w:space="0" w:color="auto"/>
            </w:tcBorders>
            <w:shd w:val="clear" w:color="auto" w:fill="auto"/>
            <w:noWrap/>
            <w:vAlign w:val="center"/>
          </w:tcPr>
          <w:p w:rsidR="003E6DFC" w:rsidRPr="00527589" w:rsidRDefault="003E6DFC" w:rsidP="003E6DFC">
            <w:pPr>
              <w:spacing w:line="240" w:lineRule="auto"/>
              <w:jc w:val="right"/>
              <w:rPr>
                <w:rFonts w:cs="Arial"/>
                <w:color w:val="0F243E"/>
                <w:sz w:val="18"/>
                <w:szCs w:val="18"/>
              </w:rPr>
            </w:pPr>
            <w:r w:rsidRPr="00527589">
              <w:rPr>
                <w:rFonts w:cs="Arial"/>
                <w:color w:val="0F243E"/>
                <w:sz w:val="18"/>
                <w:szCs w:val="18"/>
              </w:rPr>
              <w:t>4.073.513</w:t>
            </w:r>
          </w:p>
        </w:tc>
        <w:tc>
          <w:tcPr>
            <w:tcW w:w="1490" w:type="dxa"/>
            <w:shd w:val="clear" w:color="000000" w:fill="FFFFFF"/>
            <w:noWrap/>
            <w:vAlign w:val="center"/>
          </w:tcPr>
          <w:p w:rsidR="003E6DFC" w:rsidRPr="00527589" w:rsidRDefault="003E6DFC" w:rsidP="003E6DFC">
            <w:pPr>
              <w:spacing w:line="240" w:lineRule="auto"/>
              <w:jc w:val="right"/>
              <w:rPr>
                <w:color w:val="244061" w:themeColor="accent1" w:themeShade="80"/>
                <w:sz w:val="18"/>
                <w:szCs w:val="18"/>
              </w:rPr>
            </w:pPr>
            <w:r w:rsidRPr="00527589">
              <w:rPr>
                <w:color w:val="244061" w:themeColor="accent1" w:themeShade="80"/>
                <w:sz w:val="18"/>
                <w:szCs w:val="18"/>
              </w:rPr>
              <w:t>0,13%</w:t>
            </w:r>
          </w:p>
        </w:tc>
      </w:tr>
      <w:tr w:rsidR="003E6DFC" w:rsidRPr="00527589" w:rsidTr="003E6DFC">
        <w:trPr>
          <w:trHeight w:val="340"/>
          <w:jc w:val="center"/>
        </w:trPr>
        <w:tc>
          <w:tcPr>
            <w:tcW w:w="993" w:type="dxa"/>
            <w:shd w:val="clear" w:color="auto" w:fill="auto"/>
            <w:vAlign w:val="center"/>
            <w:hideMark/>
          </w:tcPr>
          <w:p w:rsidR="003E6DFC" w:rsidRPr="00527589" w:rsidRDefault="003E6DFC" w:rsidP="003E6DFC">
            <w:pPr>
              <w:spacing w:line="240" w:lineRule="auto"/>
              <w:jc w:val="center"/>
              <w:rPr>
                <w:rFonts w:cs="Arial"/>
                <w:color w:val="17365D" w:themeColor="text2" w:themeShade="BF"/>
                <w:sz w:val="18"/>
                <w:szCs w:val="18"/>
              </w:rPr>
            </w:pPr>
            <w:r w:rsidRPr="00527589">
              <w:rPr>
                <w:rFonts w:cs="Arial"/>
                <w:color w:val="17365D" w:themeColor="text2" w:themeShade="BF"/>
                <w:sz w:val="18"/>
                <w:szCs w:val="18"/>
              </w:rPr>
              <w:t>5.</w:t>
            </w:r>
          </w:p>
        </w:tc>
        <w:tc>
          <w:tcPr>
            <w:tcW w:w="3133" w:type="dxa"/>
            <w:shd w:val="clear" w:color="auto" w:fill="auto"/>
            <w:vAlign w:val="center"/>
            <w:hideMark/>
          </w:tcPr>
          <w:p w:rsidR="003E6DFC" w:rsidRPr="00527589" w:rsidRDefault="003E6DFC" w:rsidP="003E6DFC">
            <w:pPr>
              <w:spacing w:line="240" w:lineRule="auto"/>
              <w:jc w:val="left"/>
              <w:rPr>
                <w:rFonts w:cs="Arial"/>
                <w:color w:val="17365D" w:themeColor="text2" w:themeShade="BF"/>
                <w:sz w:val="18"/>
                <w:szCs w:val="18"/>
              </w:rPr>
            </w:pPr>
            <w:r w:rsidRPr="00527589">
              <w:rPr>
                <w:rFonts w:cs="Arial"/>
                <w:color w:val="17365D" w:themeColor="text2" w:themeShade="BF"/>
                <w:sz w:val="18"/>
                <w:szCs w:val="18"/>
              </w:rPr>
              <w:t>РЗИР</w:t>
            </w:r>
          </w:p>
        </w:tc>
        <w:tc>
          <w:tcPr>
            <w:tcW w:w="1761" w:type="dxa"/>
            <w:tcBorders>
              <w:top w:val="nil"/>
              <w:left w:val="single" w:sz="4" w:space="0" w:color="auto"/>
              <w:bottom w:val="single" w:sz="4" w:space="0" w:color="auto"/>
              <w:right w:val="single" w:sz="4" w:space="0" w:color="auto"/>
            </w:tcBorders>
            <w:shd w:val="clear" w:color="auto" w:fill="auto"/>
            <w:noWrap/>
            <w:vAlign w:val="center"/>
          </w:tcPr>
          <w:p w:rsidR="003E6DFC" w:rsidRPr="00527589" w:rsidRDefault="003E6DFC" w:rsidP="003E6DFC">
            <w:pPr>
              <w:spacing w:line="240" w:lineRule="auto"/>
              <w:jc w:val="right"/>
              <w:rPr>
                <w:rFonts w:cs="Arial"/>
                <w:color w:val="0F243E"/>
                <w:sz w:val="18"/>
                <w:szCs w:val="18"/>
              </w:rPr>
            </w:pPr>
            <w:r w:rsidRPr="00527589">
              <w:rPr>
                <w:rFonts w:cs="Arial"/>
                <w:color w:val="0F243E"/>
                <w:sz w:val="18"/>
                <w:szCs w:val="18"/>
              </w:rPr>
              <w:t>1.253.472</w:t>
            </w:r>
          </w:p>
        </w:tc>
        <w:tc>
          <w:tcPr>
            <w:tcW w:w="1490" w:type="dxa"/>
            <w:shd w:val="clear" w:color="000000" w:fill="FFFFFF"/>
            <w:noWrap/>
            <w:vAlign w:val="center"/>
          </w:tcPr>
          <w:p w:rsidR="003E6DFC" w:rsidRPr="00527589" w:rsidRDefault="003E6DFC" w:rsidP="003E6DFC">
            <w:pPr>
              <w:spacing w:line="240" w:lineRule="auto"/>
              <w:jc w:val="right"/>
              <w:rPr>
                <w:color w:val="244061" w:themeColor="accent1" w:themeShade="80"/>
                <w:sz w:val="18"/>
                <w:szCs w:val="18"/>
              </w:rPr>
            </w:pPr>
            <w:r w:rsidRPr="00527589">
              <w:rPr>
                <w:color w:val="244061" w:themeColor="accent1" w:themeShade="80"/>
                <w:sz w:val="18"/>
                <w:szCs w:val="18"/>
              </w:rPr>
              <w:t>0,04%</w:t>
            </w:r>
          </w:p>
        </w:tc>
      </w:tr>
      <w:tr w:rsidR="00E03768" w:rsidRPr="002C0F93" w:rsidTr="00E03768">
        <w:trPr>
          <w:trHeight w:val="340"/>
          <w:jc w:val="center"/>
        </w:trPr>
        <w:tc>
          <w:tcPr>
            <w:tcW w:w="4126" w:type="dxa"/>
            <w:gridSpan w:val="2"/>
            <w:shd w:val="clear" w:color="auto" w:fill="D9D9D9" w:themeFill="background1" w:themeFillShade="D9"/>
            <w:vAlign w:val="center"/>
            <w:hideMark/>
          </w:tcPr>
          <w:p w:rsidR="00807504" w:rsidRPr="00527589" w:rsidRDefault="00480272" w:rsidP="00480272">
            <w:pPr>
              <w:spacing w:line="240" w:lineRule="auto"/>
              <w:jc w:val="center"/>
              <w:rPr>
                <w:rFonts w:cs="Arial"/>
                <w:b/>
                <w:color w:val="17365D" w:themeColor="text2" w:themeShade="BF"/>
                <w:sz w:val="18"/>
                <w:szCs w:val="18"/>
              </w:rPr>
            </w:pPr>
            <w:r w:rsidRPr="00527589">
              <w:rPr>
                <w:rFonts w:cs="Arial"/>
                <w:b/>
                <w:color w:val="17365D" w:themeColor="text2" w:themeShade="BF"/>
                <w:sz w:val="18"/>
                <w:szCs w:val="18"/>
              </w:rPr>
              <w:t>УКУПНО</w:t>
            </w:r>
          </w:p>
        </w:tc>
        <w:tc>
          <w:tcPr>
            <w:tcW w:w="1761" w:type="dxa"/>
            <w:shd w:val="clear" w:color="auto" w:fill="D9D9D9" w:themeFill="background1" w:themeFillShade="D9"/>
            <w:noWrap/>
            <w:vAlign w:val="center"/>
          </w:tcPr>
          <w:p w:rsidR="00807504" w:rsidRPr="00527589" w:rsidRDefault="00527589" w:rsidP="00527589">
            <w:pPr>
              <w:spacing w:line="240" w:lineRule="auto"/>
              <w:jc w:val="right"/>
              <w:rPr>
                <w:rFonts w:cs="Arial"/>
                <w:b/>
                <w:color w:val="17365D" w:themeColor="text2" w:themeShade="BF"/>
                <w:sz w:val="18"/>
                <w:szCs w:val="18"/>
                <w:lang w:val="sr-Cyrl-RS"/>
              </w:rPr>
            </w:pPr>
            <w:r w:rsidRPr="00527589">
              <w:rPr>
                <w:rFonts w:cs="Arial"/>
                <w:b/>
                <w:bCs/>
                <w:noProof/>
                <w:color w:val="17365D" w:themeColor="text2" w:themeShade="BF"/>
                <w:sz w:val="18"/>
                <w:szCs w:val="18"/>
                <w:lang w:val="sr-Cyrl-RS"/>
              </w:rPr>
              <w:t>3</w:t>
            </w:r>
            <w:r w:rsidR="00882A68" w:rsidRPr="00527589">
              <w:rPr>
                <w:rFonts w:cs="Arial"/>
                <w:b/>
                <w:bCs/>
                <w:noProof/>
                <w:color w:val="17365D" w:themeColor="text2" w:themeShade="BF"/>
                <w:sz w:val="18"/>
                <w:szCs w:val="18"/>
              </w:rPr>
              <w:t>.</w:t>
            </w:r>
            <w:r w:rsidRPr="00527589">
              <w:rPr>
                <w:rFonts w:cs="Arial"/>
                <w:b/>
                <w:bCs/>
                <w:noProof/>
                <w:color w:val="17365D" w:themeColor="text2" w:themeShade="BF"/>
                <w:sz w:val="18"/>
                <w:szCs w:val="18"/>
                <w:lang w:val="sr-Cyrl-RS"/>
              </w:rPr>
              <w:t>102</w:t>
            </w:r>
            <w:r w:rsidR="00882A68" w:rsidRPr="00527589">
              <w:rPr>
                <w:rFonts w:cs="Arial"/>
                <w:b/>
                <w:bCs/>
                <w:noProof/>
                <w:color w:val="17365D" w:themeColor="text2" w:themeShade="BF"/>
                <w:sz w:val="18"/>
                <w:szCs w:val="18"/>
              </w:rPr>
              <w:t>.</w:t>
            </w:r>
            <w:r w:rsidRPr="00527589">
              <w:rPr>
                <w:rFonts w:cs="Arial"/>
                <w:b/>
                <w:bCs/>
                <w:noProof/>
                <w:color w:val="17365D" w:themeColor="text2" w:themeShade="BF"/>
                <w:sz w:val="18"/>
                <w:szCs w:val="18"/>
                <w:lang w:val="sr-Cyrl-RS"/>
              </w:rPr>
              <w:t>973</w:t>
            </w:r>
            <w:r w:rsidR="00882A68" w:rsidRPr="00527589">
              <w:rPr>
                <w:rFonts w:cs="Arial"/>
                <w:b/>
                <w:bCs/>
                <w:noProof/>
                <w:color w:val="17365D" w:themeColor="text2" w:themeShade="BF"/>
                <w:sz w:val="18"/>
                <w:szCs w:val="18"/>
              </w:rPr>
              <w:t>.</w:t>
            </w:r>
            <w:r w:rsidRPr="00527589">
              <w:rPr>
                <w:rFonts w:cs="Arial"/>
                <w:b/>
                <w:bCs/>
                <w:noProof/>
                <w:color w:val="17365D" w:themeColor="text2" w:themeShade="BF"/>
                <w:sz w:val="18"/>
                <w:szCs w:val="18"/>
                <w:lang w:val="sr-Cyrl-RS"/>
              </w:rPr>
              <w:t>182</w:t>
            </w:r>
          </w:p>
        </w:tc>
        <w:tc>
          <w:tcPr>
            <w:tcW w:w="1490" w:type="dxa"/>
            <w:shd w:val="clear" w:color="auto" w:fill="D9D9D9" w:themeFill="background1" w:themeFillShade="D9"/>
            <w:vAlign w:val="center"/>
          </w:tcPr>
          <w:p w:rsidR="00807504" w:rsidRPr="002C0F93" w:rsidRDefault="00807504" w:rsidP="00E02840">
            <w:pPr>
              <w:spacing w:line="240" w:lineRule="auto"/>
              <w:jc w:val="right"/>
              <w:rPr>
                <w:rFonts w:cs="Arial"/>
                <w:color w:val="17365D" w:themeColor="text2" w:themeShade="BF"/>
                <w:sz w:val="18"/>
                <w:szCs w:val="18"/>
                <w:lang w:val="sr-Cyrl-ME"/>
              </w:rPr>
            </w:pPr>
            <w:r w:rsidRPr="00527589">
              <w:rPr>
                <w:rFonts w:cs="Arial"/>
                <w:color w:val="17365D" w:themeColor="text2" w:themeShade="BF"/>
                <w:sz w:val="18"/>
                <w:szCs w:val="18"/>
                <w:lang w:val="sr-Cyrl-ME"/>
              </w:rPr>
              <w:fldChar w:fldCharType="begin"/>
            </w:r>
            <w:r w:rsidRPr="00527589">
              <w:rPr>
                <w:rFonts w:cs="Arial"/>
                <w:color w:val="17365D" w:themeColor="text2" w:themeShade="BF"/>
                <w:sz w:val="18"/>
                <w:szCs w:val="18"/>
                <w:lang w:val="sr-Cyrl-ME"/>
              </w:rPr>
              <w:instrText xml:space="preserve"> =SUM(ABOVE)*100 \# "0,00%" </w:instrText>
            </w:r>
            <w:r w:rsidRPr="00527589">
              <w:rPr>
                <w:rFonts w:cs="Arial"/>
                <w:color w:val="17365D" w:themeColor="text2" w:themeShade="BF"/>
                <w:sz w:val="18"/>
                <w:szCs w:val="18"/>
                <w:lang w:val="sr-Cyrl-ME"/>
              </w:rPr>
              <w:fldChar w:fldCharType="separate"/>
            </w:r>
            <w:r w:rsidRPr="00527589">
              <w:rPr>
                <w:rFonts w:cs="Arial"/>
                <w:b/>
                <w:noProof/>
                <w:color w:val="17365D" w:themeColor="text2" w:themeShade="BF"/>
                <w:sz w:val="18"/>
                <w:szCs w:val="18"/>
                <w:lang w:val="sr-Cyrl-ME"/>
              </w:rPr>
              <w:t>100,00</w:t>
            </w:r>
            <w:r w:rsidRPr="00527589">
              <w:rPr>
                <w:rFonts w:cs="Arial"/>
                <w:noProof/>
                <w:color w:val="17365D" w:themeColor="text2" w:themeShade="BF"/>
                <w:sz w:val="18"/>
                <w:szCs w:val="18"/>
                <w:lang w:val="sr-Cyrl-ME"/>
              </w:rPr>
              <w:t>%</w:t>
            </w:r>
            <w:r w:rsidRPr="00527589">
              <w:rPr>
                <w:rFonts w:cs="Arial"/>
                <w:color w:val="17365D" w:themeColor="text2" w:themeShade="BF"/>
                <w:sz w:val="18"/>
                <w:szCs w:val="18"/>
                <w:lang w:val="sr-Cyrl-ME"/>
              </w:rPr>
              <w:fldChar w:fldCharType="end"/>
            </w:r>
          </w:p>
        </w:tc>
      </w:tr>
    </w:tbl>
    <w:p w:rsidR="00624AF9" w:rsidRPr="002C0F93" w:rsidRDefault="00624AF9" w:rsidP="00C56D4A">
      <w:pPr>
        <w:spacing w:line="276" w:lineRule="auto"/>
        <w:jc w:val="center"/>
        <w:rPr>
          <w:rFonts w:cs="Arial"/>
          <w:color w:val="17365D" w:themeColor="text2" w:themeShade="BF"/>
          <w:lang w:val="sr-Cyrl-ME"/>
        </w:rPr>
      </w:pPr>
    </w:p>
    <w:p w:rsidR="009B22C5" w:rsidRPr="002C0F93" w:rsidRDefault="009B22C5" w:rsidP="00C56D4A">
      <w:pPr>
        <w:spacing w:line="276" w:lineRule="auto"/>
        <w:rPr>
          <w:rFonts w:cs="Arial"/>
          <w:color w:val="17365D" w:themeColor="text2" w:themeShade="BF"/>
          <w:lang w:val="sr-Cyrl-ME"/>
        </w:rPr>
      </w:pPr>
    </w:p>
    <w:p w:rsidR="00807504" w:rsidRPr="00B94E78" w:rsidRDefault="00D0237A" w:rsidP="00C56D4A">
      <w:pPr>
        <w:spacing w:line="276" w:lineRule="auto"/>
        <w:rPr>
          <w:rFonts w:cs="Arial"/>
          <w:b/>
          <w:color w:val="17365D" w:themeColor="text2" w:themeShade="BF"/>
          <w:sz w:val="22"/>
          <w:szCs w:val="22"/>
          <w:lang w:val="sr-Cyrl-ME"/>
        </w:rPr>
      </w:pPr>
      <w:r w:rsidRPr="00B94E78">
        <w:rPr>
          <w:rFonts w:cs="Arial"/>
          <w:b/>
          <w:color w:val="17365D" w:themeColor="text2" w:themeShade="BF"/>
          <w:sz w:val="22"/>
          <w:szCs w:val="22"/>
          <w:lang w:val="sr-Cyrl-ME"/>
        </w:rPr>
        <w:t>2.8.1. Преносна премија</w:t>
      </w:r>
    </w:p>
    <w:p w:rsidR="00D0237A" w:rsidRPr="004566FF" w:rsidRDefault="00D0237A" w:rsidP="00C56D4A">
      <w:pPr>
        <w:spacing w:line="276" w:lineRule="auto"/>
        <w:rPr>
          <w:rFonts w:cs="Arial"/>
          <w:i/>
          <w:color w:val="17365D" w:themeColor="text2" w:themeShade="BF"/>
          <w:u w:val="single"/>
          <w:lang w:val="sr-Cyrl-ME"/>
        </w:rPr>
      </w:pPr>
    </w:p>
    <w:p w:rsidR="00807504" w:rsidRPr="004566FF" w:rsidRDefault="00807504" w:rsidP="00C56D4A">
      <w:pPr>
        <w:spacing w:line="276" w:lineRule="auto"/>
        <w:rPr>
          <w:rFonts w:cs="Arial"/>
          <w:color w:val="17365D" w:themeColor="text2" w:themeShade="BF"/>
          <w:sz w:val="22"/>
          <w:szCs w:val="22"/>
          <w:lang w:val="sr-Cyrl-ME"/>
        </w:rPr>
      </w:pPr>
      <w:r w:rsidRPr="004566FF">
        <w:rPr>
          <w:rFonts w:cs="Arial"/>
          <w:color w:val="17365D" w:themeColor="text2" w:themeShade="BF"/>
          <w:sz w:val="22"/>
          <w:szCs w:val="22"/>
          <w:lang w:val="sr-Cyrl-ME"/>
        </w:rPr>
        <w:t>Тест адекватности за преносне премије спроведен је обрачуном резерви за неистекле ризике на дан 31.12.201</w:t>
      </w:r>
      <w:r w:rsidR="00B94E78" w:rsidRPr="004566FF">
        <w:rPr>
          <w:rFonts w:cs="Arial"/>
          <w:color w:val="17365D" w:themeColor="text2" w:themeShade="BF"/>
          <w:sz w:val="22"/>
          <w:szCs w:val="22"/>
          <w:lang w:val="sr-Latn-RS"/>
        </w:rPr>
        <w:t>9</w:t>
      </w:r>
      <w:r w:rsidR="004566FF">
        <w:rPr>
          <w:rFonts w:cs="Arial"/>
          <w:color w:val="17365D" w:themeColor="text2" w:themeShade="BF"/>
          <w:sz w:val="22"/>
          <w:szCs w:val="22"/>
          <w:lang w:val="sr-Cyrl-RS"/>
        </w:rPr>
        <w:t>.</w:t>
      </w:r>
      <w:r w:rsidRPr="004566FF">
        <w:rPr>
          <w:rFonts w:cs="Arial"/>
          <w:color w:val="17365D" w:themeColor="text2" w:themeShade="BF"/>
          <w:sz w:val="22"/>
          <w:szCs w:val="22"/>
          <w:lang w:val="sr-Cyrl-ME"/>
        </w:rPr>
        <w:t xml:space="preserve"> у складу са Правилником Друштва о образовању ове техничке р</w:t>
      </w:r>
      <w:r w:rsidR="00C56D4A" w:rsidRPr="004566FF">
        <w:rPr>
          <w:rFonts w:cs="Arial"/>
          <w:color w:val="17365D" w:themeColor="text2" w:themeShade="BF"/>
          <w:sz w:val="22"/>
          <w:szCs w:val="22"/>
          <w:lang w:val="sr-Cyrl-ME"/>
        </w:rPr>
        <w:t>е</w:t>
      </w:r>
      <w:r w:rsidRPr="004566FF">
        <w:rPr>
          <w:rFonts w:cs="Arial"/>
          <w:color w:val="17365D" w:themeColor="text2" w:themeShade="BF"/>
          <w:sz w:val="22"/>
          <w:szCs w:val="22"/>
          <w:lang w:val="sr-Cyrl-ME"/>
        </w:rPr>
        <w:t xml:space="preserve">зереве. Провером адекватности, по врстама осигурања утврђено је да је резерва за преносне премије адекватна осим код </w:t>
      </w:r>
      <w:r w:rsidR="004566FF" w:rsidRPr="004566FF">
        <w:rPr>
          <w:rFonts w:cs="Arial"/>
          <w:color w:val="17365D" w:themeColor="text2" w:themeShade="BF"/>
          <w:sz w:val="22"/>
          <w:szCs w:val="22"/>
          <w:lang w:val="sr-Cyrl-RS"/>
        </w:rPr>
        <w:t>врста осигурања: 07 О</w:t>
      </w:r>
      <w:r w:rsidR="00C56D4A" w:rsidRPr="004566FF">
        <w:rPr>
          <w:rFonts w:cs="Arial"/>
          <w:color w:val="17365D" w:themeColor="text2" w:themeShade="BF"/>
          <w:sz w:val="22"/>
          <w:szCs w:val="22"/>
          <w:lang w:val="sr-Cyrl-ME"/>
        </w:rPr>
        <w:t>сигурањ</w:t>
      </w:r>
      <w:r w:rsidR="004566FF" w:rsidRPr="004566FF">
        <w:rPr>
          <w:rFonts w:cs="Arial"/>
          <w:color w:val="17365D" w:themeColor="text2" w:themeShade="BF"/>
          <w:sz w:val="22"/>
          <w:szCs w:val="22"/>
          <w:lang w:val="sr-Cyrl-ME"/>
        </w:rPr>
        <w:t>е</w:t>
      </w:r>
      <w:r w:rsidR="00C56D4A" w:rsidRPr="004566FF">
        <w:rPr>
          <w:rFonts w:cs="Arial"/>
          <w:color w:val="17365D" w:themeColor="text2" w:themeShade="BF"/>
          <w:sz w:val="22"/>
          <w:szCs w:val="22"/>
          <w:lang w:val="sr-Cyrl-ME"/>
        </w:rPr>
        <w:t xml:space="preserve"> робе у превозу</w:t>
      </w:r>
      <w:r w:rsidR="004566FF" w:rsidRPr="004566FF">
        <w:rPr>
          <w:rFonts w:cs="Arial"/>
          <w:color w:val="17365D" w:themeColor="text2" w:themeShade="BF"/>
          <w:sz w:val="22"/>
          <w:szCs w:val="22"/>
          <w:lang w:val="sr-Cyrl-ME"/>
        </w:rPr>
        <w:t xml:space="preserve"> и 15 Осигурање јемства</w:t>
      </w:r>
      <w:r w:rsidRPr="004566FF">
        <w:rPr>
          <w:rFonts w:cs="Arial"/>
          <w:color w:val="17365D" w:themeColor="text2" w:themeShade="BF"/>
          <w:sz w:val="22"/>
          <w:szCs w:val="22"/>
          <w:lang w:val="sr-Cyrl-ME"/>
        </w:rPr>
        <w:t>. Друштво је у ов</w:t>
      </w:r>
      <w:r w:rsidR="004566FF" w:rsidRPr="004566FF">
        <w:rPr>
          <w:rFonts w:cs="Arial"/>
          <w:color w:val="17365D" w:themeColor="text2" w:themeShade="BF"/>
          <w:sz w:val="22"/>
          <w:szCs w:val="22"/>
          <w:lang w:val="sr-Cyrl-ME"/>
        </w:rPr>
        <w:t>им</w:t>
      </w:r>
      <w:r w:rsidRPr="004566FF">
        <w:rPr>
          <w:rFonts w:cs="Arial"/>
          <w:color w:val="17365D" w:themeColor="text2" w:themeShade="BF"/>
          <w:sz w:val="22"/>
          <w:szCs w:val="22"/>
          <w:lang w:val="sr-Cyrl-ME"/>
        </w:rPr>
        <w:t xml:space="preserve"> врст</w:t>
      </w:r>
      <w:r w:rsidR="004566FF" w:rsidRPr="004566FF">
        <w:rPr>
          <w:rFonts w:cs="Arial"/>
          <w:color w:val="17365D" w:themeColor="text2" w:themeShade="BF"/>
          <w:sz w:val="22"/>
          <w:szCs w:val="22"/>
          <w:lang w:val="sr-Cyrl-ME"/>
        </w:rPr>
        <w:t>ама</w:t>
      </w:r>
      <w:r w:rsidRPr="004566FF">
        <w:rPr>
          <w:rFonts w:cs="Arial"/>
          <w:color w:val="17365D" w:themeColor="text2" w:themeShade="BF"/>
          <w:sz w:val="22"/>
          <w:szCs w:val="22"/>
          <w:lang w:val="sr-Cyrl-ME"/>
        </w:rPr>
        <w:t xml:space="preserve"> утврдило да је за потребе испуњења захтева довољности преносне премије потребно формирати резерве за неистекле ризике у износу од </w:t>
      </w:r>
      <w:r w:rsidR="004566FF" w:rsidRPr="004566FF">
        <w:rPr>
          <w:rFonts w:cs="Arial"/>
          <w:color w:val="17365D" w:themeColor="text2" w:themeShade="BF"/>
          <w:sz w:val="22"/>
          <w:szCs w:val="22"/>
          <w:lang w:val="sr-Cyrl-ME"/>
        </w:rPr>
        <w:t>4</w:t>
      </w:r>
      <w:r w:rsidRPr="004566FF">
        <w:rPr>
          <w:rFonts w:cs="Arial"/>
          <w:color w:val="17365D" w:themeColor="text2" w:themeShade="BF"/>
          <w:sz w:val="22"/>
          <w:szCs w:val="22"/>
          <w:lang w:val="sr-Cyrl-ME"/>
        </w:rPr>
        <w:t>.</w:t>
      </w:r>
      <w:r w:rsidR="004566FF" w:rsidRPr="004566FF">
        <w:rPr>
          <w:rFonts w:cs="Arial"/>
          <w:color w:val="17365D" w:themeColor="text2" w:themeShade="BF"/>
          <w:sz w:val="22"/>
          <w:szCs w:val="22"/>
          <w:lang w:val="sr-Cyrl-ME"/>
        </w:rPr>
        <w:t>073</w:t>
      </w:r>
      <w:r w:rsidRPr="004566FF">
        <w:rPr>
          <w:rFonts w:cs="Arial"/>
          <w:color w:val="17365D" w:themeColor="text2" w:themeShade="BF"/>
          <w:sz w:val="22"/>
          <w:szCs w:val="22"/>
          <w:lang w:val="sr-Cyrl-ME"/>
        </w:rPr>
        <w:t>.</w:t>
      </w:r>
      <w:r w:rsidR="004566FF" w:rsidRPr="004566FF">
        <w:rPr>
          <w:rFonts w:cs="Arial"/>
          <w:color w:val="17365D" w:themeColor="text2" w:themeShade="BF"/>
          <w:sz w:val="22"/>
          <w:szCs w:val="22"/>
          <w:lang w:val="sr-Cyrl-ME"/>
        </w:rPr>
        <w:t>51</w:t>
      </w:r>
      <w:r w:rsidR="00480272" w:rsidRPr="004566FF">
        <w:rPr>
          <w:rFonts w:cs="Arial"/>
          <w:color w:val="17365D" w:themeColor="text2" w:themeShade="BF"/>
          <w:sz w:val="22"/>
          <w:szCs w:val="22"/>
          <w:lang w:val="sr-Cyrl-ME"/>
        </w:rPr>
        <w:t>3</w:t>
      </w:r>
      <w:r w:rsidRPr="004566FF">
        <w:rPr>
          <w:rFonts w:cs="Arial"/>
          <w:color w:val="17365D" w:themeColor="text2" w:themeShade="BF"/>
          <w:sz w:val="22"/>
          <w:szCs w:val="22"/>
          <w:lang w:val="sr-Cyrl-ME"/>
        </w:rPr>
        <w:t xml:space="preserve"> динара, колико је Друштво и резервисало. Методе и претпоставке теста адекватности преносне премије описани су у делу резерви</w:t>
      </w:r>
      <w:r w:rsidR="00835A37" w:rsidRPr="004566FF">
        <w:rPr>
          <w:rFonts w:cs="Arial"/>
          <w:color w:val="17365D" w:themeColor="text2" w:themeShade="BF"/>
          <w:sz w:val="22"/>
          <w:szCs w:val="22"/>
          <w:lang w:val="sr-Cyrl-ME"/>
        </w:rPr>
        <w:t xml:space="preserve"> за неистекле ризике</w:t>
      </w:r>
      <w:r w:rsidRPr="004566FF">
        <w:rPr>
          <w:rFonts w:cs="Arial"/>
          <w:color w:val="17365D" w:themeColor="text2" w:themeShade="BF"/>
          <w:sz w:val="22"/>
          <w:szCs w:val="22"/>
          <w:lang w:val="sr-Cyrl-ME"/>
        </w:rPr>
        <w:t xml:space="preserve">. </w:t>
      </w:r>
    </w:p>
    <w:p w:rsidR="009B22C5" w:rsidRPr="004566FF" w:rsidRDefault="009B22C5" w:rsidP="00C56D4A">
      <w:pPr>
        <w:spacing w:line="276" w:lineRule="auto"/>
        <w:rPr>
          <w:rFonts w:cs="Arial"/>
          <w:color w:val="17365D" w:themeColor="text2" w:themeShade="BF"/>
          <w:sz w:val="22"/>
          <w:szCs w:val="22"/>
          <w:lang w:val="sr-Cyrl-ME"/>
        </w:rPr>
      </w:pPr>
    </w:p>
    <w:tbl>
      <w:tblPr>
        <w:tblW w:w="7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944"/>
        <w:gridCol w:w="2835"/>
      </w:tblGrid>
      <w:tr w:rsidR="004566FF" w:rsidRPr="004566FF" w:rsidTr="002D24C5">
        <w:trPr>
          <w:trHeight w:val="283"/>
          <w:jc w:val="center"/>
        </w:trPr>
        <w:tc>
          <w:tcPr>
            <w:tcW w:w="853" w:type="dxa"/>
            <w:vMerge w:val="restart"/>
            <w:shd w:val="clear" w:color="000000" w:fill="D9D9D9"/>
            <w:vAlign w:val="center"/>
            <w:hideMark/>
          </w:tcPr>
          <w:p w:rsidR="00807504" w:rsidRPr="004566FF" w:rsidRDefault="00480272" w:rsidP="00E02840">
            <w:pPr>
              <w:spacing w:line="240" w:lineRule="auto"/>
              <w:jc w:val="center"/>
              <w:rPr>
                <w:rFonts w:cs="Arial"/>
                <w:color w:val="17365D" w:themeColor="text2" w:themeShade="BF"/>
                <w:sz w:val="18"/>
                <w:szCs w:val="18"/>
                <w:lang w:val="sr-Cyrl-RS"/>
              </w:rPr>
            </w:pPr>
            <w:r w:rsidRPr="004566FF">
              <w:rPr>
                <w:rFonts w:cs="Arial"/>
                <w:color w:val="17365D" w:themeColor="text2" w:themeShade="BF"/>
                <w:sz w:val="18"/>
                <w:szCs w:val="18"/>
                <w:lang w:val="sr-Cyrl-RS"/>
              </w:rPr>
              <w:t>ВО</w:t>
            </w:r>
          </w:p>
        </w:tc>
        <w:tc>
          <w:tcPr>
            <w:tcW w:w="3944" w:type="dxa"/>
            <w:vMerge w:val="restart"/>
            <w:shd w:val="clear" w:color="000000" w:fill="D9D9D9"/>
            <w:vAlign w:val="center"/>
            <w:hideMark/>
          </w:tcPr>
          <w:p w:rsidR="00807504" w:rsidRPr="004566FF" w:rsidRDefault="00807504" w:rsidP="00E02840">
            <w:pPr>
              <w:spacing w:line="240" w:lineRule="auto"/>
              <w:jc w:val="center"/>
              <w:rPr>
                <w:rFonts w:cs="Arial"/>
                <w:color w:val="17365D" w:themeColor="text2" w:themeShade="BF"/>
                <w:sz w:val="18"/>
                <w:szCs w:val="18"/>
              </w:rPr>
            </w:pPr>
            <w:r w:rsidRPr="004566FF">
              <w:rPr>
                <w:rFonts w:cs="Arial"/>
                <w:color w:val="17365D" w:themeColor="text2" w:themeShade="BF"/>
                <w:sz w:val="18"/>
                <w:szCs w:val="18"/>
              </w:rPr>
              <w:t>Врста осигурања</w:t>
            </w:r>
          </w:p>
        </w:tc>
        <w:tc>
          <w:tcPr>
            <w:tcW w:w="2835" w:type="dxa"/>
            <w:vMerge w:val="restart"/>
            <w:shd w:val="clear" w:color="000000" w:fill="D9D9D9"/>
            <w:vAlign w:val="center"/>
            <w:hideMark/>
          </w:tcPr>
          <w:p w:rsidR="00807504" w:rsidRPr="004566FF" w:rsidRDefault="00807504" w:rsidP="004566FF">
            <w:pPr>
              <w:spacing w:line="240" w:lineRule="auto"/>
              <w:jc w:val="center"/>
              <w:rPr>
                <w:rFonts w:cs="Arial"/>
                <w:color w:val="17365D" w:themeColor="text2" w:themeShade="BF"/>
                <w:sz w:val="18"/>
                <w:szCs w:val="18"/>
                <w:lang w:val="sr-Cyrl-ME"/>
              </w:rPr>
            </w:pPr>
            <w:r w:rsidRPr="004566FF">
              <w:rPr>
                <w:rFonts w:cs="Arial"/>
                <w:color w:val="17365D" w:themeColor="text2" w:themeShade="BF"/>
                <w:sz w:val="18"/>
                <w:szCs w:val="18"/>
              </w:rPr>
              <w:t>URR 31.12.201</w:t>
            </w:r>
            <w:r w:rsidR="004566FF" w:rsidRPr="004566FF">
              <w:rPr>
                <w:rFonts w:cs="Arial"/>
                <w:color w:val="17365D" w:themeColor="text2" w:themeShade="BF"/>
                <w:sz w:val="18"/>
                <w:szCs w:val="18"/>
                <w:lang w:val="sr-Cyrl-RS"/>
              </w:rPr>
              <w:t>9</w:t>
            </w:r>
            <w:r w:rsidR="00835A37" w:rsidRPr="004566FF">
              <w:rPr>
                <w:rFonts w:cs="Arial"/>
                <w:color w:val="17365D" w:themeColor="text2" w:themeShade="BF"/>
                <w:sz w:val="18"/>
                <w:szCs w:val="18"/>
                <w:lang w:val="sr-Cyrl-RS"/>
              </w:rPr>
              <w:t>.</w:t>
            </w:r>
          </w:p>
        </w:tc>
      </w:tr>
      <w:tr w:rsidR="002F6240" w:rsidRPr="004566FF" w:rsidTr="002D24C5">
        <w:trPr>
          <w:trHeight w:val="207"/>
          <w:jc w:val="center"/>
        </w:trPr>
        <w:tc>
          <w:tcPr>
            <w:tcW w:w="853" w:type="dxa"/>
            <w:vMerge/>
            <w:vAlign w:val="center"/>
            <w:hideMark/>
          </w:tcPr>
          <w:p w:rsidR="00807504" w:rsidRPr="004566FF" w:rsidRDefault="00807504" w:rsidP="00E02840">
            <w:pPr>
              <w:spacing w:line="240" w:lineRule="auto"/>
              <w:rPr>
                <w:rFonts w:cs="Arial"/>
                <w:color w:val="17365D" w:themeColor="text2" w:themeShade="BF"/>
                <w:sz w:val="18"/>
                <w:szCs w:val="18"/>
              </w:rPr>
            </w:pPr>
          </w:p>
        </w:tc>
        <w:tc>
          <w:tcPr>
            <w:tcW w:w="3944" w:type="dxa"/>
            <w:vMerge/>
            <w:vAlign w:val="center"/>
            <w:hideMark/>
          </w:tcPr>
          <w:p w:rsidR="00807504" w:rsidRPr="004566FF" w:rsidRDefault="00807504" w:rsidP="00E02840">
            <w:pPr>
              <w:spacing w:line="240" w:lineRule="auto"/>
              <w:rPr>
                <w:rFonts w:cs="Arial"/>
                <w:color w:val="17365D" w:themeColor="text2" w:themeShade="BF"/>
                <w:sz w:val="18"/>
                <w:szCs w:val="18"/>
              </w:rPr>
            </w:pPr>
          </w:p>
        </w:tc>
        <w:tc>
          <w:tcPr>
            <w:tcW w:w="2835" w:type="dxa"/>
            <w:vMerge/>
            <w:vAlign w:val="center"/>
            <w:hideMark/>
          </w:tcPr>
          <w:p w:rsidR="00807504" w:rsidRPr="004566FF" w:rsidRDefault="00807504" w:rsidP="00E02840">
            <w:pPr>
              <w:spacing w:line="240" w:lineRule="auto"/>
              <w:rPr>
                <w:rFonts w:cs="Arial"/>
                <w:color w:val="17365D" w:themeColor="text2" w:themeShade="BF"/>
                <w:sz w:val="18"/>
                <w:szCs w:val="18"/>
              </w:rPr>
            </w:pPr>
          </w:p>
        </w:tc>
      </w:tr>
      <w:tr w:rsidR="004566FF" w:rsidRPr="004566FF" w:rsidTr="00480272">
        <w:trPr>
          <w:trHeight w:val="340"/>
          <w:jc w:val="center"/>
        </w:trPr>
        <w:tc>
          <w:tcPr>
            <w:tcW w:w="853" w:type="dxa"/>
            <w:shd w:val="clear" w:color="auto" w:fill="auto"/>
            <w:noWrap/>
            <w:vAlign w:val="center"/>
            <w:hideMark/>
          </w:tcPr>
          <w:p w:rsidR="00807504" w:rsidRPr="004566FF" w:rsidRDefault="00807504" w:rsidP="007812E8">
            <w:pPr>
              <w:spacing w:line="240" w:lineRule="auto"/>
              <w:jc w:val="center"/>
              <w:rPr>
                <w:rFonts w:cs="Arial"/>
                <w:color w:val="17365D" w:themeColor="text2" w:themeShade="BF"/>
                <w:sz w:val="18"/>
                <w:szCs w:val="18"/>
                <w:lang w:val="sr-Cyrl-RS"/>
              </w:rPr>
            </w:pPr>
            <w:r w:rsidRPr="004566FF">
              <w:rPr>
                <w:rFonts w:cs="Arial"/>
                <w:color w:val="17365D" w:themeColor="text2" w:themeShade="BF"/>
                <w:sz w:val="18"/>
                <w:szCs w:val="18"/>
              </w:rPr>
              <w:t>0</w:t>
            </w:r>
            <w:r w:rsidR="007812E8" w:rsidRPr="004566FF">
              <w:rPr>
                <w:rFonts w:cs="Arial"/>
                <w:color w:val="17365D" w:themeColor="text2" w:themeShade="BF"/>
                <w:sz w:val="18"/>
                <w:szCs w:val="18"/>
                <w:lang w:val="sr-Cyrl-RS"/>
              </w:rPr>
              <w:t>7</w:t>
            </w:r>
          </w:p>
        </w:tc>
        <w:tc>
          <w:tcPr>
            <w:tcW w:w="3944" w:type="dxa"/>
            <w:shd w:val="clear" w:color="auto" w:fill="auto"/>
            <w:vAlign w:val="center"/>
            <w:hideMark/>
          </w:tcPr>
          <w:p w:rsidR="00807504" w:rsidRPr="004566FF" w:rsidRDefault="00807504" w:rsidP="007812E8">
            <w:pPr>
              <w:spacing w:line="240" w:lineRule="auto"/>
              <w:jc w:val="left"/>
              <w:rPr>
                <w:rFonts w:cs="Arial"/>
                <w:color w:val="17365D" w:themeColor="text2" w:themeShade="BF"/>
                <w:sz w:val="18"/>
                <w:szCs w:val="18"/>
              </w:rPr>
            </w:pPr>
            <w:r w:rsidRPr="004566FF">
              <w:rPr>
                <w:rFonts w:cs="Arial"/>
                <w:color w:val="17365D" w:themeColor="text2" w:themeShade="BF"/>
                <w:sz w:val="18"/>
                <w:szCs w:val="18"/>
              </w:rPr>
              <w:t xml:space="preserve">Осигурање </w:t>
            </w:r>
            <w:r w:rsidR="007812E8" w:rsidRPr="004566FF">
              <w:rPr>
                <w:rFonts w:cs="Arial"/>
                <w:color w:val="17365D" w:themeColor="text2" w:themeShade="BF"/>
                <w:sz w:val="18"/>
                <w:szCs w:val="18"/>
                <w:lang w:val="sr-Cyrl-RS"/>
              </w:rPr>
              <w:t>робе у превозу</w:t>
            </w:r>
          </w:p>
        </w:tc>
        <w:tc>
          <w:tcPr>
            <w:tcW w:w="2835" w:type="dxa"/>
            <w:shd w:val="clear" w:color="000000" w:fill="FFFFFF"/>
            <w:noWrap/>
            <w:vAlign w:val="center"/>
            <w:hideMark/>
          </w:tcPr>
          <w:p w:rsidR="00807504" w:rsidRPr="004566FF" w:rsidRDefault="004566FF" w:rsidP="004566FF">
            <w:pPr>
              <w:spacing w:line="240" w:lineRule="auto"/>
              <w:jc w:val="right"/>
              <w:rPr>
                <w:rFonts w:cs="Arial"/>
                <w:color w:val="17365D" w:themeColor="text2" w:themeShade="BF"/>
                <w:sz w:val="18"/>
                <w:szCs w:val="18"/>
              </w:rPr>
            </w:pPr>
            <w:r w:rsidRPr="004566FF">
              <w:rPr>
                <w:rFonts w:cs="Arial"/>
                <w:color w:val="17365D" w:themeColor="text2" w:themeShade="BF"/>
                <w:sz w:val="18"/>
                <w:szCs w:val="18"/>
                <w:lang w:val="sr-Cyrl-RS"/>
              </w:rPr>
              <w:t>4</w:t>
            </w:r>
            <w:r w:rsidR="00480272" w:rsidRPr="004566FF">
              <w:rPr>
                <w:rFonts w:cs="Arial"/>
                <w:color w:val="17365D" w:themeColor="text2" w:themeShade="BF"/>
                <w:sz w:val="18"/>
                <w:szCs w:val="18"/>
                <w:lang w:val="sr-Cyrl-RS"/>
              </w:rPr>
              <w:t>.</w:t>
            </w:r>
            <w:r w:rsidRPr="004566FF">
              <w:rPr>
                <w:rFonts w:cs="Arial"/>
                <w:color w:val="17365D" w:themeColor="text2" w:themeShade="BF"/>
                <w:sz w:val="18"/>
                <w:szCs w:val="18"/>
                <w:lang w:val="sr-Cyrl-RS"/>
              </w:rPr>
              <w:t>010</w:t>
            </w:r>
            <w:r w:rsidR="001A5B4E" w:rsidRPr="004566FF">
              <w:rPr>
                <w:rFonts w:cs="Arial"/>
                <w:color w:val="17365D" w:themeColor="text2" w:themeShade="BF"/>
                <w:sz w:val="18"/>
                <w:szCs w:val="18"/>
                <w:lang w:val="sr-Cyrl-RS"/>
              </w:rPr>
              <w:t>.</w:t>
            </w:r>
            <w:r w:rsidRPr="004566FF">
              <w:rPr>
                <w:rFonts w:cs="Arial"/>
                <w:color w:val="17365D" w:themeColor="text2" w:themeShade="BF"/>
                <w:sz w:val="18"/>
                <w:szCs w:val="18"/>
                <w:lang w:val="sr-Cyrl-RS"/>
              </w:rPr>
              <w:t>092</w:t>
            </w:r>
          </w:p>
        </w:tc>
      </w:tr>
      <w:tr w:rsidR="004566FF" w:rsidRPr="004566FF" w:rsidTr="00480272">
        <w:trPr>
          <w:trHeight w:val="340"/>
          <w:jc w:val="center"/>
        </w:trPr>
        <w:tc>
          <w:tcPr>
            <w:tcW w:w="853" w:type="dxa"/>
            <w:shd w:val="clear" w:color="auto" w:fill="auto"/>
            <w:noWrap/>
            <w:vAlign w:val="center"/>
          </w:tcPr>
          <w:p w:rsidR="004566FF" w:rsidRPr="004566FF" w:rsidRDefault="004566FF" w:rsidP="007812E8">
            <w:pPr>
              <w:spacing w:line="240" w:lineRule="auto"/>
              <w:jc w:val="center"/>
              <w:rPr>
                <w:rFonts w:cs="Arial"/>
                <w:color w:val="17365D" w:themeColor="text2" w:themeShade="BF"/>
                <w:sz w:val="18"/>
                <w:szCs w:val="18"/>
                <w:lang w:val="sr-Cyrl-RS"/>
              </w:rPr>
            </w:pPr>
            <w:r w:rsidRPr="004566FF">
              <w:rPr>
                <w:rFonts w:cs="Arial"/>
                <w:color w:val="17365D" w:themeColor="text2" w:themeShade="BF"/>
                <w:sz w:val="18"/>
                <w:szCs w:val="18"/>
                <w:lang w:val="sr-Cyrl-RS"/>
              </w:rPr>
              <w:t>15</w:t>
            </w:r>
          </w:p>
        </w:tc>
        <w:tc>
          <w:tcPr>
            <w:tcW w:w="3944" w:type="dxa"/>
            <w:shd w:val="clear" w:color="auto" w:fill="auto"/>
            <w:vAlign w:val="center"/>
          </w:tcPr>
          <w:p w:rsidR="004566FF" w:rsidRPr="004566FF" w:rsidRDefault="004566FF" w:rsidP="007812E8">
            <w:pPr>
              <w:spacing w:line="240" w:lineRule="auto"/>
              <w:jc w:val="left"/>
              <w:rPr>
                <w:rFonts w:cs="Arial"/>
                <w:color w:val="17365D" w:themeColor="text2" w:themeShade="BF"/>
                <w:sz w:val="18"/>
                <w:szCs w:val="18"/>
                <w:lang w:val="sr-Cyrl-RS"/>
              </w:rPr>
            </w:pPr>
            <w:r w:rsidRPr="004566FF">
              <w:rPr>
                <w:rFonts w:cs="Arial"/>
                <w:color w:val="17365D" w:themeColor="text2" w:themeShade="BF"/>
                <w:sz w:val="18"/>
                <w:szCs w:val="18"/>
                <w:lang w:val="sr-Cyrl-RS"/>
              </w:rPr>
              <w:t>Осигурање јемства</w:t>
            </w:r>
          </w:p>
        </w:tc>
        <w:tc>
          <w:tcPr>
            <w:tcW w:w="2835" w:type="dxa"/>
            <w:shd w:val="clear" w:color="000000" w:fill="FFFFFF"/>
            <w:noWrap/>
            <w:vAlign w:val="center"/>
          </w:tcPr>
          <w:p w:rsidR="004566FF" w:rsidRPr="004566FF" w:rsidRDefault="004566FF" w:rsidP="004566FF">
            <w:pPr>
              <w:spacing w:line="240" w:lineRule="auto"/>
              <w:jc w:val="right"/>
              <w:rPr>
                <w:rFonts w:cs="Arial"/>
                <w:color w:val="17365D" w:themeColor="text2" w:themeShade="BF"/>
                <w:sz w:val="18"/>
                <w:szCs w:val="18"/>
                <w:lang w:val="sr-Cyrl-RS"/>
              </w:rPr>
            </w:pPr>
            <w:r w:rsidRPr="004566FF">
              <w:rPr>
                <w:rFonts w:cs="Arial"/>
                <w:color w:val="17365D" w:themeColor="text2" w:themeShade="BF"/>
                <w:sz w:val="18"/>
                <w:szCs w:val="18"/>
                <w:lang w:val="sr-Cyrl-RS"/>
              </w:rPr>
              <w:t>63.421</w:t>
            </w:r>
          </w:p>
        </w:tc>
      </w:tr>
      <w:tr w:rsidR="004566FF" w:rsidRPr="004566FF" w:rsidTr="00480272">
        <w:trPr>
          <w:trHeight w:val="340"/>
          <w:jc w:val="center"/>
        </w:trPr>
        <w:tc>
          <w:tcPr>
            <w:tcW w:w="853" w:type="dxa"/>
            <w:shd w:val="clear" w:color="000000" w:fill="D9D9D9" w:themeFill="background1" w:themeFillShade="D9"/>
            <w:vAlign w:val="center"/>
            <w:hideMark/>
          </w:tcPr>
          <w:p w:rsidR="00807504" w:rsidRPr="004566FF" w:rsidRDefault="00807504" w:rsidP="00E02840">
            <w:pPr>
              <w:spacing w:line="240" w:lineRule="auto"/>
              <w:jc w:val="center"/>
              <w:rPr>
                <w:rFonts w:cs="Arial"/>
                <w:b/>
                <w:bCs/>
                <w:color w:val="17365D" w:themeColor="text2" w:themeShade="BF"/>
                <w:sz w:val="18"/>
                <w:szCs w:val="18"/>
              </w:rPr>
            </w:pPr>
            <w:r w:rsidRPr="004566FF">
              <w:rPr>
                <w:rFonts w:cs="Arial"/>
                <w:b/>
                <w:bCs/>
                <w:color w:val="17365D" w:themeColor="text2" w:themeShade="BF"/>
                <w:sz w:val="18"/>
                <w:szCs w:val="18"/>
              </w:rPr>
              <w:t> </w:t>
            </w:r>
          </w:p>
        </w:tc>
        <w:tc>
          <w:tcPr>
            <w:tcW w:w="3944" w:type="dxa"/>
            <w:shd w:val="clear" w:color="000000" w:fill="D9D9D9" w:themeFill="background1" w:themeFillShade="D9"/>
            <w:vAlign w:val="center"/>
            <w:hideMark/>
          </w:tcPr>
          <w:p w:rsidR="00807504" w:rsidRPr="004566FF" w:rsidRDefault="00807504" w:rsidP="00E02840">
            <w:pPr>
              <w:spacing w:line="240" w:lineRule="auto"/>
              <w:jc w:val="center"/>
              <w:rPr>
                <w:rFonts w:cs="Arial"/>
                <w:b/>
                <w:bCs/>
                <w:color w:val="17365D" w:themeColor="text2" w:themeShade="BF"/>
                <w:sz w:val="18"/>
                <w:szCs w:val="18"/>
              </w:rPr>
            </w:pPr>
            <w:r w:rsidRPr="004566FF">
              <w:rPr>
                <w:rFonts w:cs="Arial"/>
                <w:b/>
                <w:bCs/>
                <w:color w:val="17365D" w:themeColor="text2" w:themeShade="BF"/>
                <w:sz w:val="18"/>
                <w:szCs w:val="18"/>
              </w:rPr>
              <w:t>УКУПНО</w:t>
            </w:r>
          </w:p>
        </w:tc>
        <w:tc>
          <w:tcPr>
            <w:tcW w:w="2835" w:type="dxa"/>
            <w:shd w:val="clear" w:color="000000" w:fill="D9D9D9" w:themeFill="background1" w:themeFillShade="D9"/>
            <w:noWrap/>
            <w:vAlign w:val="center"/>
            <w:hideMark/>
          </w:tcPr>
          <w:p w:rsidR="00807504" w:rsidRPr="004566FF" w:rsidRDefault="004566FF" w:rsidP="004566FF">
            <w:pPr>
              <w:spacing w:line="240" w:lineRule="auto"/>
              <w:jc w:val="right"/>
              <w:rPr>
                <w:rFonts w:cs="Arial"/>
                <w:b/>
                <w:bCs/>
                <w:color w:val="17365D" w:themeColor="text2" w:themeShade="BF"/>
                <w:sz w:val="18"/>
                <w:szCs w:val="18"/>
                <w:lang w:val="sr-Cyrl-RS"/>
              </w:rPr>
            </w:pPr>
            <w:r w:rsidRPr="004566FF">
              <w:rPr>
                <w:rFonts w:cs="Arial"/>
                <w:b/>
                <w:bCs/>
                <w:color w:val="17365D" w:themeColor="text2" w:themeShade="BF"/>
                <w:sz w:val="18"/>
                <w:szCs w:val="18"/>
                <w:lang w:val="sr-Cyrl-RS"/>
              </w:rPr>
              <w:t>4</w:t>
            </w:r>
            <w:r w:rsidR="00807504" w:rsidRPr="004566FF">
              <w:rPr>
                <w:rFonts w:cs="Arial"/>
                <w:b/>
                <w:bCs/>
                <w:color w:val="17365D" w:themeColor="text2" w:themeShade="BF"/>
                <w:sz w:val="18"/>
                <w:szCs w:val="18"/>
              </w:rPr>
              <w:t>.</w:t>
            </w:r>
            <w:r w:rsidRPr="004566FF">
              <w:rPr>
                <w:rFonts w:cs="Arial"/>
                <w:b/>
                <w:bCs/>
                <w:color w:val="17365D" w:themeColor="text2" w:themeShade="BF"/>
                <w:sz w:val="18"/>
                <w:szCs w:val="18"/>
                <w:lang w:val="sr-Cyrl-RS"/>
              </w:rPr>
              <w:t>073</w:t>
            </w:r>
            <w:r w:rsidR="00807504" w:rsidRPr="004566FF">
              <w:rPr>
                <w:rFonts w:cs="Arial"/>
                <w:b/>
                <w:bCs/>
                <w:color w:val="17365D" w:themeColor="text2" w:themeShade="BF"/>
                <w:sz w:val="18"/>
                <w:szCs w:val="18"/>
              </w:rPr>
              <w:t>.</w:t>
            </w:r>
            <w:r w:rsidRPr="004566FF">
              <w:rPr>
                <w:rFonts w:cs="Arial"/>
                <w:b/>
                <w:bCs/>
                <w:color w:val="17365D" w:themeColor="text2" w:themeShade="BF"/>
                <w:sz w:val="18"/>
                <w:szCs w:val="18"/>
                <w:lang w:val="sr-Cyrl-RS"/>
              </w:rPr>
              <w:t>513</w:t>
            </w:r>
          </w:p>
        </w:tc>
      </w:tr>
    </w:tbl>
    <w:p w:rsidR="00807504" w:rsidRPr="004566FF" w:rsidRDefault="00807504" w:rsidP="00405833">
      <w:pPr>
        <w:spacing w:line="240" w:lineRule="auto"/>
        <w:rPr>
          <w:rFonts w:cs="Arial"/>
          <w:color w:val="17365D" w:themeColor="text2" w:themeShade="BF"/>
          <w:lang w:val="sr-Cyrl-ME"/>
        </w:rPr>
      </w:pPr>
    </w:p>
    <w:p w:rsidR="001F36C8" w:rsidRPr="00196439" w:rsidRDefault="001F36C8" w:rsidP="00405833">
      <w:pPr>
        <w:spacing w:line="240" w:lineRule="auto"/>
        <w:rPr>
          <w:rFonts w:cs="Arial"/>
          <w:color w:val="17365D" w:themeColor="text2" w:themeShade="BF"/>
          <w:highlight w:val="yellow"/>
          <w:u w:val="single"/>
          <w:lang w:val="sr-Cyrl-ME"/>
        </w:rPr>
      </w:pPr>
    </w:p>
    <w:p w:rsidR="00807504" w:rsidRPr="004566FF" w:rsidRDefault="00D0237A" w:rsidP="009B22C5">
      <w:pPr>
        <w:spacing w:line="240" w:lineRule="auto"/>
        <w:rPr>
          <w:rFonts w:cs="Arial"/>
          <w:b/>
          <w:color w:val="17365D" w:themeColor="text2" w:themeShade="BF"/>
          <w:sz w:val="22"/>
          <w:szCs w:val="22"/>
          <w:lang w:val="sr-Cyrl-ME"/>
        </w:rPr>
      </w:pPr>
      <w:r w:rsidRPr="004566FF">
        <w:rPr>
          <w:rFonts w:cs="Arial"/>
          <w:b/>
          <w:color w:val="17365D" w:themeColor="text2" w:themeShade="BF"/>
          <w:sz w:val="22"/>
          <w:szCs w:val="22"/>
          <w:lang w:val="sr-Cyrl-ME"/>
        </w:rPr>
        <w:lastRenderedPageBreak/>
        <w:t xml:space="preserve">2.8.2. </w:t>
      </w:r>
      <w:r w:rsidR="00807504" w:rsidRPr="004566FF">
        <w:rPr>
          <w:rFonts w:cs="Arial"/>
          <w:b/>
          <w:color w:val="17365D" w:themeColor="text2" w:themeShade="BF"/>
          <w:sz w:val="22"/>
          <w:szCs w:val="22"/>
          <w:lang w:val="sr-Cyrl-ME"/>
        </w:rPr>
        <w:t>Резервисане штете</w:t>
      </w:r>
    </w:p>
    <w:p w:rsidR="00807504" w:rsidRPr="00094B08" w:rsidRDefault="00807504" w:rsidP="00807504">
      <w:pPr>
        <w:rPr>
          <w:rFonts w:cs="Arial"/>
          <w:color w:val="17365D" w:themeColor="text2" w:themeShade="BF"/>
          <w:lang w:val="sr-Latn-RS"/>
        </w:rPr>
      </w:pPr>
    </w:p>
    <w:p w:rsidR="00934063" w:rsidRPr="00094B08" w:rsidRDefault="00807504" w:rsidP="001A5B4E">
      <w:pPr>
        <w:spacing w:line="276" w:lineRule="auto"/>
        <w:rPr>
          <w:rFonts w:cs="Arial"/>
          <w:color w:val="17365D" w:themeColor="text2" w:themeShade="BF"/>
          <w:sz w:val="22"/>
          <w:szCs w:val="22"/>
          <w:lang w:val="sr-Cyrl-RS"/>
        </w:rPr>
      </w:pPr>
      <w:r w:rsidRPr="00094B08">
        <w:rPr>
          <w:rFonts w:cs="Arial"/>
          <w:color w:val="17365D" w:themeColor="text2" w:themeShade="BF"/>
          <w:sz w:val="22"/>
          <w:szCs w:val="22"/>
          <w:lang w:val="sr-Latn-RS"/>
        </w:rPr>
        <w:t xml:space="preserve">Процена адекватности резервисаних штета врши се по врстама осигурања и то за сваку врсту осигурања за коју резервисане штете чине више од 5% укупних резервисаних штета, при чему укупан износ резервисаних штета за које се врши провера адекватности не може бити мања </w:t>
      </w:r>
      <w:r w:rsidRPr="00094B08">
        <w:rPr>
          <w:rFonts w:cs="Arial"/>
          <w:color w:val="17365D" w:themeColor="text2" w:themeShade="BF"/>
          <w:sz w:val="22"/>
          <w:szCs w:val="22"/>
          <w:lang w:val="sr-Cyrl-ME"/>
        </w:rPr>
        <w:t>од 90% укупних резервисаних штета. Резервисане штете врста осигурања</w:t>
      </w:r>
      <w:r w:rsidR="00FC16DB">
        <w:rPr>
          <w:rFonts w:cs="Arial"/>
          <w:color w:val="17365D" w:themeColor="text2" w:themeShade="BF"/>
          <w:sz w:val="22"/>
          <w:szCs w:val="22"/>
          <w:lang w:val="sr-Cyrl-ME"/>
        </w:rPr>
        <w:t>,</w:t>
      </w:r>
      <w:r w:rsidRPr="00094B08">
        <w:rPr>
          <w:rFonts w:cs="Arial"/>
          <w:color w:val="17365D" w:themeColor="text2" w:themeShade="BF"/>
          <w:sz w:val="22"/>
          <w:szCs w:val="22"/>
          <w:lang w:val="sr-Cyrl-ME"/>
        </w:rPr>
        <w:t xml:space="preserve"> над којима је извршена провера</w:t>
      </w:r>
      <w:r w:rsidR="00FC16DB">
        <w:rPr>
          <w:rFonts w:cs="Arial"/>
          <w:color w:val="17365D" w:themeColor="text2" w:themeShade="BF"/>
          <w:sz w:val="22"/>
          <w:szCs w:val="22"/>
          <w:lang w:val="sr-Cyrl-ME"/>
        </w:rPr>
        <w:t>,</w:t>
      </w:r>
      <w:r w:rsidRPr="00094B08">
        <w:rPr>
          <w:rFonts w:cs="Arial"/>
          <w:color w:val="17365D" w:themeColor="text2" w:themeShade="BF"/>
          <w:sz w:val="22"/>
          <w:szCs w:val="22"/>
          <w:lang w:val="sr-Cyrl-ME"/>
        </w:rPr>
        <w:t xml:space="preserve"> чин</w:t>
      </w:r>
      <w:r w:rsidR="00372C25">
        <w:rPr>
          <w:rFonts w:cs="Arial"/>
          <w:color w:val="17365D" w:themeColor="text2" w:themeShade="BF"/>
          <w:sz w:val="22"/>
          <w:szCs w:val="22"/>
          <w:lang w:val="sr-Cyrl-ME"/>
        </w:rPr>
        <w:t>е</w:t>
      </w:r>
      <w:r w:rsidRPr="00094B08">
        <w:rPr>
          <w:rFonts w:cs="Arial"/>
          <w:color w:val="17365D" w:themeColor="text2" w:themeShade="BF"/>
          <w:sz w:val="22"/>
          <w:szCs w:val="22"/>
          <w:lang w:val="sr-Cyrl-ME"/>
        </w:rPr>
        <w:t xml:space="preserve"> 9</w:t>
      </w:r>
      <w:r w:rsidR="004B55EA" w:rsidRPr="00094B08">
        <w:rPr>
          <w:rFonts w:cs="Arial"/>
          <w:color w:val="17365D" w:themeColor="text2" w:themeShade="BF"/>
          <w:sz w:val="22"/>
          <w:szCs w:val="22"/>
          <w:lang w:val="sr-Latn-RS"/>
        </w:rPr>
        <w:t>0</w:t>
      </w:r>
      <w:r w:rsidRPr="00094B08">
        <w:rPr>
          <w:rFonts w:cs="Arial"/>
          <w:color w:val="17365D" w:themeColor="text2" w:themeShade="BF"/>
          <w:sz w:val="22"/>
          <w:szCs w:val="22"/>
          <w:lang w:val="sr-Cyrl-ME"/>
        </w:rPr>
        <w:t>,</w:t>
      </w:r>
      <w:r w:rsidR="004B55EA" w:rsidRPr="00094B08">
        <w:rPr>
          <w:rFonts w:cs="Arial"/>
          <w:color w:val="17365D" w:themeColor="text2" w:themeShade="BF"/>
          <w:sz w:val="22"/>
          <w:szCs w:val="22"/>
          <w:lang w:val="sr-Latn-RS"/>
        </w:rPr>
        <w:t>29</w:t>
      </w:r>
      <w:r w:rsidRPr="00094B08">
        <w:rPr>
          <w:rFonts w:cs="Arial"/>
          <w:color w:val="17365D" w:themeColor="text2" w:themeShade="BF"/>
          <w:sz w:val="22"/>
          <w:szCs w:val="22"/>
          <w:lang w:val="sr-Cyrl-ME"/>
        </w:rPr>
        <w:t xml:space="preserve">% укупних резервисаних штета. У складу са задатим критеријумима по Упутству тест је извршен за следеће врсте осигурања: </w:t>
      </w:r>
      <w:r w:rsidR="00094B08" w:rsidRPr="00094B08">
        <w:rPr>
          <w:rFonts w:cs="Arial"/>
          <w:color w:val="17365D" w:themeColor="text2" w:themeShade="BF"/>
          <w:sz w:val="22"/>
          <w:szCs w:val="22"/>
          <w:lang w:val="sr-Cyrl-RS"/>
        </w:rPr>
        <w:t xml:space="preserve">осигурање робе у превозу, </w:t>
      </w:r>
      <w:r w:rsidRPr="00094B08">
        <w:rPr>
          <w:rFonts w:cs="Arial"/>
          <w:color w:val="17365D" w:themeColor="text2" w:themeShade="BF"/>
          <w:sz w:val="22"/>
          <w:szCs w:val="22"/>
          <w:lang w:val="sr-Cyrl-ME"/>
        </w:rPr>
        <w:t xml:space="preserve">осигурање имовине од пожара и других опасности, остала осигурања имовине, осигурање </w:t>
      </w:r>
      <w:r w:rsidR="00094B08" w:rsidRPr="00094B08">
        <w:rPr>
          <w:rFonts w:cs="Arial"/>
          <w:color w:val="17365D" w:themeColor="text2" w:themeShade="BF"/>
          <w:sz w:val="22"/>
          <w:szCs w:val="22"/>
          <w:lang w:val="sr-Cyrl-ME"/>
        </w:rPr>
        <w:t>од одговорности због употребе моторних возила</w:t>
      </w:r>
      <w:r w:rsidR="00934063" w:rsidRPr="00094B08">
        <w:rPr>
          <w:rFonts w:cs="Arial"/>
          <w:color w:val="17365D" w:themeColor="text2" w:themeShade="BF"/>
          <w:sz w:val="22"/>
          <w:szCs w:val="22"/>
          <w:lang w:val="sr-Cyrl-ME"/>
        </w:rPr>
        <w:t xml:space="preserve"> </w:t>
      </w:r>
      <w:r w:rsidR="00AB20BB" w:rsidRPr="00094B08">
        <w:rPr>
          <w:rFonts w:cs="Arial"/>
          <w:color w:val="17365D" w:themeColor="text2" w:themeShade="BF"/>
          <w:sz w:val="22"/>
          <w:szCs w:val="22"/>
          <w:lang w:val="sr-Cyrl-ME"/>
        </w:rPr>
        <w:t>и осигурање</w:t>
      </w:r>
      <w:r w:rsidR="00094B08" w:rsidRPr="00094B08">
        <w:rPr>
          <w:rFonts w:cs="Arial"/>
          <w:color w:val="17365D" w:themeColor="text2" w:themeShade="BF"/>
          <w:sz w:val="22"/>
          <w:szCs w:val="22"/>
          <w:lang w:val="sr-Cyrl-ME"/>
        </w:rPr>
        <w:t xml:space="preserve"> од опште одговорности</w:t>
      </w:r>
      <w:r w:rsidR="00AB20BB" w:rsidRPr="00094B08">
        <w:rPr>
          <w:rFonts w:cs="Arial"/>
          <w:color w:val="17365D" w:themeColor="text2" w:themeShade="BF"/>
          <w:sz w:val="22"/>
          <w:szCs w:val="22"/>
          <w:lang w:val="sr-Cyrl-ME"/>
        </w:rPr>
        <w:t xml:space="preserve">. </w:t>
      </w:r>
      <w:r w:rsidR="00934063" w:rsidRPr="00094B08">
        <w:rPr>
          <w:rFonts w:cs="Arial"/>
          <w:color w:val="17365D" w:themeColor="text2" w:themeShade="BF"/>
          <w:sz w:val="22"/>
          <w:szCs w:val="22"/>
          <w:lang w:val="sr-Cyrl-ME"/>
        </w:rPr>
        <w:t xml:space="preserve">Обрачун најбоље процене за ове врсте осигурања урађен је са </w:t>
      </w:r>
      <w:r w:rsidR="00934063" w:rsidRPr="00094B08">
        <w:rPr>
          <w:rFonts w:cs="Arial"/>
          <w:color w:val="17365D" w:themeColor="text2" w:themeShade="BF"/>
          <w:sz w:val="22"/>
          <w:szCs w:val="22"/>
          <w:lang w:val="sr-Latn-RS"/>
        </w:rPr>
        <w:t xml:space="preserve">Chain ladder </w:t>
      </w:r>
      <w:r w:rsidR="00934063" w:rsidRPr="00094B08">
        <w:rPr>
          <w:rFonts w:cs="Arial"/>
          <w:color w:val="17365D" w:themeColor="text2" w:themeShade="BF"/>
          <w:sz w:val="22"/>
          <w:szCs w:val="22"/>
          <w:lang w:val="sr-Cyrl-RS"/>
        </w:rPr>
        <w:t xml:space="preserve">методом </w:t>
      </w:r>
      <w:r w:rsidR="00094B08" w:rsidRPr="00094B08">
        <w:rPr>
          <w:rFonts w:cs="Arial"/>
          <w:color w:val="17365D" w:themeColor="text2" w:themeShade="BF"/>
          <w:sz w:val="22"/>
          <w:szCs w:val="22"/>
          <w:lang w:val="sr-Cyrl-RS"/>
        </w:rPr>
        <w:t>на основу троуглова решених штета</w:t>
      </w:r>
      <w:r w:rsidR="00934063" w:rsidRPr="00094B08">
        <w:rPr>
          <w:rFonts w:cs="Arial"/>
          <w:color w:val="17365D" w:themeColor="text2" w:themeShade="BF"/>
          <w:sz w:val="22"/>
          <w:szCs w:val="22"/>
          <w:lang w:val="sr-Cyrl-RS"/>
        </w:rPr>
        <w:t>.</w:t>
      </w:r>
    </w:p>
    <w:p w:rsidR="00807504" w:rsidRPr="00F31A87" w:rsidRDefault="00807504" w:rsidP="001A5B4E">
      <w:pPr>
        <w:spacing w:line="276" w:lineRule="auto"/>
        <w:rPr>
          <w:rFonts w:cs="Arial"/>
          <w:color w:val="17365D" w:themeColor="text2" w:themeShade="BF"/>
          <w:lang w:val="sr-Cyrl-ME"/>
        </w:rPr>
      </w:pPr>
    </w:p>
    <w:tbl>
      <w:tblPr>
        <w:tblW w:w="9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2503"/>
        <w:gridCol w:w="1240"/>
        <w:gridCol w:w="1204"/>
        <w:gridCol w:w="1291"/>
        <w:gridCol w:w="1106"/>
        <w:gridCol w:w="1059"/>
      </w:tblGrid>
      <w:tr w:rsidR="002F6240" w:rsidRPr="00F31A87" w:rsidTr="005C4530">
        <w:trPr>
          <w:trHeight w:val="349"/>
          <w:jc w:val="center"/>
        </w:trPr>
        <w:tc>
          <w:tcPr>
            <w:tcW w:w="762" w:type="dxa"/>
            <w:vMerge w:val="restart"/>
            <w:shd w:val="clear" w:color="000000" w:fill="D9D9D9"/>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Шифра</w:t>
            </w:r>
          </w:p>
        </w:tc>
        <w:tc>
          <w:tcPr>
            <w:tcW w:w="2503" w:type="dxa"/>
            <w:vMerge w:val="restart"/>
            <w:shd w:val="clear" w:color="000000" w:fill="D9D9D9"/>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Врста осигурања</w:t>
            </w:r>
          </w:p>
        </w:tc>
        <w:tc>
          <w:tcPr>
            <w:tcW w:w="2444" w:type="dxa"/>
            <w:gridSpan w:val="2"/>
            <w:shd w:val="clear" w:color="000000" w:fill="D9D9D9"/>
            <w:vAlign w:val="center"/>
            <w:hideMark/>
          </w:tcPr>
          <w:p w:rsidR="00807504" w:rsidRPr="00F31A87" w:rsidRDefault="00807504" w:rsidP="00F31A87">
            <w:pPr>
              <w:spacing w:line="240" w:lineRule="auto"/>
              <w:jc w:val="center"/>
              <w:rPr>
                <w:rFonts w:cs="Arial"/>
                <w:color w:val="17365D" w:themeColor="text2" w:themeShade="BF"/>
                <w:sz w:val="16"/>
                <w:szCs w:val="16"/>
                <w:lang w:val="sr-Cyrl-RS"/>
              </w:rPr>
            </w:pPr>
            <w:r w:rsidRPr="00F31A87">
              <w:rPr>
                <w:rFonts w:cs="Arial"/>
                <w:color w:val="17365D" w:themeColor="text2" w:themeShade="BF"/>
                <w:sz w:val="16"/>
                <w:szCs w:val="16"/>
              </w:rPr>
              <w:t>Резервација штета 31.12.201</w:t>
            </w:r>
            <w:r w:rsidR="00F31A87" w:rsidRPr="00F31A87">
              <w:rPr>
                <w:rFonts w:cs="Arial"/>
                <w:color w:val="17365D" w:themeColor="text2" w:themeShade="BF"/>
                <w:sz w:val="16"/>
                <w:szCs w:val="16"/>
              </w:rPr>
              <w:t>9.</w:t>
            </w:r>
          </w:p>
        </w:tc>
        <w:tc>
          <w:tcPr>
            <w:tcW w:w="1291" w:type="dxa"/>
            <w:shd w:val="clear" w:color="000000" w:fill="D9D9D9"/>
            <w:vAlign w:val="center"/>
            <w:hideMark/>
          </w:tcPr>
          <w:p w:rsidR="00807504" w:rsidRPr="00F31A87" w:rsidRDefault="00807504" w:rsidP="005C4530">
            <w:pPr>
              <w:spacing w:line="240" w:lineRule="auto"/>
              <w:jc w:val="center"/>
              <w:rPr>
                <w:rFonts w:cs="Arial"/>
                <w:color w:val="17365D" w:themeColor="text2" w:themeShade="BF"/>
                <w:sz w:val="16"/>
                <w:szCs w:val="16"/>
                <w:lang w:val="sr-Cyrl-ME"/>
              </w:rPr>
            </w:pPr>
            <w:r w:rsidRPr="00F31A87">
              <w:rPr>
                <w:rFonts w:cs="Arial"/>
                <w:color w:val="17365D" w:themeColor="text2" w:themeShade="BF"/>
                <w:sz w:val="16"/>
                <w:szCs w:val="16"/>
              </w:rPr>
              <w:t>Најбоља процена</w:t>
            </w:r>
          </w:p>
        </w:tc>
        <w:tc>
          <w:tcPr>
            <w:tcW w:w="2165" w:type="dxa"/>
            <w:gridSpan w:val="2"/>
            <w:shd w:val="clear" w:color="000000" w:fill="D9D9D9"/>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Процењен</w:t>
            </w:r>
            <w:r w:rsidRPr="00F31A87">
              <w:rPr>
                <w:rFonts w:cs="Arial"/>
                <w:color w:val="17365D" w:themeColor="text2" w:themeShade="BF"/>
                <w:sz w:val="16"/>
                <w:szCs w:val="16"/>
                <w:lang w:val="sr-Cyrl-ME"/>
              </w:rPr>
              <w:t>о одступање</w:t>
            </w:r>
          </w:p>
        </w:tc>
      </w:tr>
      <w:tr w:rsidR="002F6240" w:rsidRPr="00F31A87" w:rsidTr="005C4530">
        <w:trPr>
          <w:trHeight w:val="339"/>
          <w:jc w:val="center"/>
        </w:trPr>
        <w:tc>
          <w:tcPr>
            <w:tcW w:w="762" w:type="dxa"/>
            <w:vMerge/>
            <w:vAlign w:val="center"/>
            <w:hideMark/>
          </w:tcPr>
          <w:p w:rsidR="00807504" w:rsidRPr="00F31A87" w:rsidRDefault="00807504" w:rsidP="00E02840">
            <w:pPr>
              <w:spacing w:line="240" w:lineRule="auto"/>
              <w:rPr>
                <w:rFonts w:cs="Arial"/>
                <w:color w:val="17365D" w:themeColor="text2" w:themeShade="BF"/>
                <w:sz w:val="16"/>
                <w:szCs w:val="16"/>
              </w:rPr>
            </w:pPr>
          </w:p>
        </w:tc>
        <w:tc>
          <w:tcPr>
            <w:tcW w:w="2503" w:type="dxa"/>
            <w:vMerge/>
            <w:vAlign w:val="center"/>
            <w:hideMark/>
          </w:tcPr>
          <w:p w:rsidR="00807504" w:rsidRPr="00F31A87" w:rsidRDefault="00807504" w:rsidP="00E02840">
            <w:pPr>
              <w:spacing w:line="240" w:lineRule="auto"/>
              <w:rPr>
                <w:rFonts w:cs="Arial"/>
                <w:color w:val="17365D" w:themeColor="text2" w:themeShade="BF"/>
                <w:sz w:val="16"/>
                <w:szCs w:val="16"/>
              </w:rPr>
            </w:pPr>
          </w:p>
        </w:tc>
        <w:tc>
          <w:tcPr>
            <w:tcW w:w="1240" w:type="dxa"/>
            <w:shd w:val="clear" w:color="000000" w:fill="D9D9D9"/>
            <w:noWrap/>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 xml:space="preserve"> у РСД</w:t>
            </w:r>
          </w:p>
        </w:tc>
        <w:tc>
          <w:tcPr>
            <w:tcW w:w="1204" w:type="dxa"/>
            <w:shd w:val="clear" w:color="000000" w:fill="D9D9D9"/>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 укупне резерве</w:t>
            </w:r>
          </w:p>
        </w:tc>
        <w:tc>
          <w:tcPr>
            <w:tcW w:w="1291" w:type="dxa"/>
            <w:shd w:val="clear" w:color="000000" w:fill="D9D9D9"/>
            <w:noWrap/>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 xml:space="preserve"> у РСД</w:t>
            </w:r>
          </w:p>
        </w:tc>
        <w:tc>
          <w:tcPr>
            <w:tcW w:w="1106" w:type="dxa"/>
            <w:shd w:val="clear" w:color="000000" w:fill="D9D9D9"/>
            <w:noWrap/>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 xml:space="preserve"> у РСД</w:t>
            </w:r>
          </w:p>
        </w:tc>
        <w:tc>
          <w:tcPr>
            <w:tcW w:w="1059" w:type="dxa"/>
            <w:shd w:val="clear" w:color="000000" w:fill="D9D9D9"/>
            <w:noWrap/>
            <w:vAlign w:val="center"/>
            <w:hideMark/>
          </w:tcPr>
          <w:p w:rsidR="00807504" w:rsidRPr="00F31A87" w:rsidRDefault="00807504" w:rsidP="00E0284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01</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од последица незгоде</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lang w:val="en-US"/>
              </w:rPr>
            </w:pPr>
            <w:r w:rsidRPr="00D14171">
              <w:rPr>
                <w:rFonts w:cs="Arial"/>
                <w:color w:val="17365D" w:themeColor="text2" w:themeShade="BF"/>
                <w:sz w:val="16"/>
                <w:szCs w:val="16"/>
              </w:rPr>
              <w:t>2.767.943</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lang w:val="en-US"/>
              </w:rPr>
            </w:pPr>
            <w:r w:rsidRPr="0076478F">
              <w:rPr>
                <w:rFonts w:cs="Arial"/>
                <w:color w:val="17365D" w:themeColor="text2" w:themeShade="BF"/>
                <w:sz w:val="16"/>
                <w:szCs w:val="16"/>
              </w:rPr>
              <w:t>0,14%</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lang w:val="en-US"/>
              </w:rPr>
            </w:pPr>
            <w:r w:rsidRPr="00D14171">
              <w:rPr>
                <w:rFonts w:cs="Arial"/>
                <w:color w:val="17365D" w:themeColor="text2" w:themeShade="BF"/>
                <w:sz w:val="16"/>
                <w:szCs w:val="16"/>
              </w:rPr>
              <w:t>2.767.943</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02</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Добровољно здравствено осигурање</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1.119.000</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0,06%</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1.119.000</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03</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Oсигурање моторних возила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75.024.504</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3,85%</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75.024.504</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04</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Oсигурање шинских возила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1.218.022</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0,06%</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1.218.022</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05</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ваздухоплова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27.644.074</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1,42%</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27.644.074</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06</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пловних објеката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373.019</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0,02%</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373.019</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5C4530" w:rsidRPr="00F31A87" w:rsidTr="005C4530">
        <w:trPr>
          <w:trHeight w:val="262"/>
          <w:jc w:val="center"/>
        </w:trPr>
        <w:tc>
          <w:tcPr>
            <w:tcW w:w="762" w:type="dxa"/>
            <w:shd w:val="clear" w:color="auto" w:fill="auto"/>
            <w:noWrap/>
            <w:vAlign w:val="center"/>
            <w:hideMark/>
          </w:tcPr>
          <w:p w:rsidR="005C4530" w:rsidRPr="00F31A87" w:rsidRDefault="005C4530" w:rsidP="005C453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07</w:t>
            </w:r>
          </w:p>
        </w:tc>
        <w:tc>
          <w:tcPr>
            <w:tcW w:w="2503" w:type="dxa"/>
            <w:shd w:val="clear" w:color="auto" w:fill="auto"/>
            <w:vAlign w:val="center"/>
            <w:hideMark/>
          </w:tcPr>
          <w:p w:rsidR="005C4530" w:rsidRPr="00F31A87" w:rsidRDefault="005C4530" w:rsidP="005C4530">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робе у превозу</w:t>
            </w:r>
          </w:p>
        </w:tc>
        <w:tc>
          <w:tcPr>
            <w:tcW w:w="1240" w:type="dxa"/>
            <w:shd w:val="clear" w:color="auto" w:fill="auto"/>
            <w:noWrap/>
            <w:vAlign w:val="center"/>
            <w:hideMark/>
          </w:tcPr>
          <w:p w:rsidR="005C4530" w:rsidRPr="00D14171" w:rsidRDefault="005C4530" w:rsidP="005C4530">
            <w:pPr>
              <w:spacing w:line="240" w:lineRule="auto"/>
              <w:jc w:val="right"/>
              <w:rPr>
                <w:rFonts w:cs="Arial"/>
                <w:color w:val="17365D" w:themeColor="text2" w:themeShade="BF"/>
                <w:sz w:val="16"/>
                <w:szCs w:val="16"/>
              </w:rPr>
            </w:pPr>
            <w:r w:rsidRPr="00D14171">
              <w:rPr>
                <w:rFonts w:cs="Arial"/>
                <w:color w:val="17365D" w:themeColor="text2" w:themeShade="BF"/>
                <w:sz w:val="16"/>
                <w:szCs w:val="16"/>
              </w:rPr>
              <w:t>333.873.518</w:t>
            </w:r>
          </w:p>
        </w:tc>
        <w:tc>
          <w:tcPr>
            <w:tcW w:w="1204" w:type="dxa"/>
            <w:shd w:val="clear" w:color="auto" w:fill="D9D9D9" w:themeFill="background1" w:themeFillShade="D9"/>
            <w:noWrap/>
            <w:vAlign w:val="center"/>
            <w:hideMark/>
          </w:tcPr>
          <w:p w:rsidR="005C4530" w:rsidRPr="0076478F" w:rsidRDefault="005C4530" w:rsidP="005C4530">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17,11%</w:t>
            </w:r>
          </w:p>
        </w:tc>
        <w:tc>
          <w:tcPr>
            <w:tcW w:w="1291"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lang w:val="en-US"/>
              </w:rPr>
            </w:pPr>
            <w:r w:rsidRPr="005C4530">
              <w:rPr>
                <w:rFonts w:cs="Arial"/>
                <w:color w:val="17365D" w:themeColor="text2" w:themeShade="BF"/>
                <w:sz w:val="16"/>
                <w:szCs w:val="16"/>
              </w:rPr>
              <w:t>281.085.467</w:t>
            </w:r>
          </w:p>
        </w:tc>
        <w:tc>
          <w:tcPr>
            <w:tcW w:w="1106"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52.788.051</w:t>
            </w:r>
          </w:p>
        </w:tc>
        <w:tc>
          <w:tcPr>
            <w:tcW w:w="1059" w:type="dxa"/>
            <w:shd w:val="clear" w:color="auto" w:fill="auto"/>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18,78%</w:t>
            </w:r>
          </w:p>
        </w:tc>
      </w:tr>
      <w:tr w:rsidR="005C4530" w:rsidRPr="00F31A87" w:rsidTr="005C4530">
        <w:trPr>
          <w:trHeight w:val="262"/>
          <w:jc w:val="center"/>
        </w:trPr>
        <w:tc>
          <w:tcPr>
            <w:tcW w:w="762" w:type="dxa"/>
            <w:shd w:val="clear" w:color="000000" w:fill="FFFFFF"/>
            <w:noWrap/>
            <w:vAlign w:val="center"/>
            <w:hideMark/>
          </w:tcPr>
          <w:p w:rsidR="005C4530" w:rsidRPr="00F31A87" w:rsidRDefault="005C4530" w:rsidP="005C453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08</w:t>
            </w:r>
          </w:p>
        </w:tc>
        <w:tc>
          <w:tcPr>
            <w:tcW w:w="2503" w:type="dxa"/>
            <w:shd w:val="clear" w:color="000000" w:fill="FFFFFF"/>
            <w:vAlign w:val="center"/>
            <w:hideMark/>
          </w:tcPr>
          <w:p w:rsidR="005C4530" w:rsidRPr="00F31A87" w:rsidRDefault="005C4530" w:rsidP="005C4530">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имовине од пожара и др опасности</w:t>
            </w:r>
          </w:p>
        </w:tc>
        <w:tc>
          <w:tcPr>
            <w:tcW w:w="1240" w:type="dxa"/>
            <w:shd w:val="clear" w:color="auto" w:fill="auto"/>
            <w:noWrap/>
            <w:vAlign w:val="center"/>
            <w:hideMark/>
          </w:tcPr>
          <w:p w:rsidR="005C4530" w:rsidRPr="00D14171" w:rsidRDefault="005C4530" w:rsidP="005C4530">
            <w:pPr>
              <w:spacing w:line="240" w:lineRule="auto"/>
              <w:jc w:val="right"/>
              <w:rPr>
                <w:rFonts w:cs="Arial"/>
                <w:color w:val="17365D" w:themeColor="text2" w:themeShade="BF"/>
                <w:sz w:val="16"/>
                <w:szCs w:val="16"/>
              </w:rPr>
            </w:pPr>
            <w:r w:rsidRPr="00D14171">
              <w:rPr>
                <w:rFonts w:cs="Arial"/>
                <w:color w:val="17365D" w:themeColor="text2" w:themeShade="BF"/>
                <w:sz w:val="16"/>
                <w:szCs w:val="16"/>
              </w:rPr>
              <w:t>631.000.900</w:t>
            </w:r>
          </w:p>
        </w:tc>
        <w:tc>
          <w:tcPr>
            <w:tcW w:w="1204" w:type="dxa"/>
            <w:shd w:val="clear" w:color="auto" w:fill="D9D9D9" w:themeFill="background1" w:themeFillShade="D9"/>
            <w:noWrap/>
            <w:vAlign w:val="center"/>
            <w:hideMark/>
          </w:tcPr>
          <w:p w:rsidR="005C4530" w:rsidRPr="0076478F" w:rsidRDefault="005C4530" w:rsidP="005C4530">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32,35%</w:t>
            </w:r>
          </w:p>
        </w:tc>
        <w:tc>
          <w:tcPr>
            <w:tcW w:w="1291"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552.214.945</w:t>
            </w:r>
          </w:p>
        </w:tc>
        <w:tc>
          <w:tcPr>
            <w:tcW w:w="1106"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78.785.955</w:t>
            </w:r>
          </w:p>
        </w:tc>
        <w:tc>
          <w:tcPr>
            <w:tcW w:w="1059" w:type="dxa"/>
            <w:shd w:val="clear" w:color="auto" w:fill="auto"/>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14,27%</w:t>
            </w:r>
          </w:p>
        </w:tc>
      </w:tr>
      <w:tr w:rsidR="005C4530" w:rsidRPr="00F31A87" w:rsidTr="005C4530">
        <w:trPr>
          <w:trHeight w:val="262"/>
          <w:jc w:val="center"/>
        </w:trPr>
        <w:tc>
          <w:tcPr>
            <w:tcW w:w="762" w:type="dxa"/>
            <w:shd w:val="clear" w:color="000000" w:fill="FFFFFF"/>
            <w:noWrap/>
            <w:vAlign w:val="center"/>
            <w:hideMark/>
          </w:tcPr>
          <w:p w:rsidR="005C4530" w:rsidRPr="00F31A87" w:rsidRDefault="005C4530" w:rsidP="005C453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09</w:t>
            </w:r>
          </w:p>
        </w:tc>
        <w:tc>
          <w:tcPr>
            <w:tcW w:w="2503" w:type="dxa"/>
            <w:shd w:val="clear" w:color="000000" w:fill="FFFFFF"/>
            <w:vAlign w:val="center"/>
            <w:hideMark/>
          </w:tcPr>
          <w:p w:rsidR="005C4530" w:rsidRPr="00F31A87" w:rsidRDefault="005C4530" w:rsidP="005C4530">
            <w:pPr>
              <w:spacing w:line="240" w:lineRule="auto"/>
              <w:jc w:val="left"/>
              <w:rPr>
                <w:rFonts w:cs="Arial"/>
                <w:color w:val="17365D" w:themeColor="text2" w:themeShade="BF"/>
                <w:sz w:val="16"/>
                <w:szCs w:val="16"/>
              </w:rPr>
            </w:pPr>
            <w:r w:rsidRPr="00F31A87">
              <w:rPr>
                <w:rFonts w:cs="Arial"/>
                <w:color w:val="17365D" w:themeColor="text2" w:themeShade="BF"/>
                <w:sz w:val="16"/>
                <w:szCs w:val="16"/>
              </w:rPr>
              <w:t>Oстала осигурања имовине</w:t>
            </w:r>
          </w:p>
        </w:tc>
        <w:tc>
          <w:tcPr>
            <w:tcW w:w="1240" w:type="dxa"/>
            <w:shd w:val="clear" w:color="auto" w:fill="auto"/>
            <w:noWrap/>
            <w:vAlign w:val="center"/>
            <w:hideMark/>
          </w:tcPr>
          <w:p w:rsidR="005C4530" w:rsidRPr="00D14171" w:rsidRDefault="005C4530" w:rsidP="005C4530">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116.332.098</w:t>
            </w:r>
          </w:p>
        </w:tc>
        <w:tc>
          <w:tcPr>
            <w:tcW w:w="1204" w:type="dxa"/>
            <w:shd w:val="clear" w:color="auto" w:fill="D9D9D9" w:themeFill="background1" w:themeFillShade="D9"/>
            <w:noWrap/>
            <w:vAlign w:val="center"/>
            <w:hideMark/>
          </w:tcPr>
          <w:p w:rsidR="005C4530" w:rsidRPr="0076478F" w:rsidRDefault="005C4530" w:rsidP="005C4530">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5,96%</w:t>
            </w:r>
          </w:p>
        </w:tc>
        <w:tc>
          <w:tcPr>
            <w:tcW w:w="1291"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90.294.473</w:t>
            </w:r>
          </w:p>
        </w:tc>
        <w:tc>
          <w:tcPr>
            <w:tcW w:w="1106"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26.037.625</w:t>
            </w:r>
          </w:p>
        </w:tc>
        <w:tc>
          <w:tcPr>
            <w:tcW w:w="1059" w:type="dxa"/>
            <w:shd w:val="clear" w:color="auto" w:fill="auto"/>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28,84%</w:t>
            </w:r>
          </w:p>
        </w:tc>
      </w:tr>
      <w:tr w:rsidR="005C4530" w:rsidRPr="00F31A87" w:rsidTr="005C4530">
        <w:trPr>
          <w:trHeight w:val="262"/>
          <w:jc w:val="center"/>
        </w:trPr>
        <w:tc>
          <w:tcPr>
            <w:tcW w:w="762" w:type="dxa"/>
            <w:shd w:val="clear" w:color="000000" w:fill="FFFFFF"/>
            <w:noWrap/>
            <w:vAlign w:val="center"/>
            <w:hideMark/>
          </w:tcPr>
          <w:p w:rsidR="005C4530" w:rsidRPr="00F31A87" w:rsidRDefault="005C4530" w:rsidP="005C453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10</w:t>
            </w:r>
          </w:p>
        </w:tc>
        <w:tc>
          <w:tcPr>
            <w:tcW w:w="2503" w:type="dxa"/>
            <w:shd w:val="clear" w:color="000000" w:fill="FFFFFF"/>
            <w:vAlign w:val="center"/>
            <w:hideMark/>
          </w:tcPr>
          <w:p w:rsidR="005C4530" w:rsidRPr="00F31A87" w:rsidRDefault="005C4530" w:rsidP="005C4530">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аутоодговорности</w:t>
            </w:r>
          </w:p>
        </w:tc>
        <w:tc>
          <w:tcPr>
            <w:tcW w:w="1240" w:type="dxa"/>
            <w:shd w:val="clear" w:color="auto" w:fill="auto"/>
            <w:noWrap/>
            <w:vAlign w:val="center"/>
            <w:hideMark/>
          </w:tcPr>
          <w:p w:rsidR="005C4530" w:rsidRPr="00D14171" w:rsidRDefault="005C4530" w:rsidP="005C4530">
            <w:pPr>
              <w:spacing w:line="240" w:lineRule="auto"/>
              <w:jc w:val="right"/>
              <w:rPr>
                <w:rFonts w:cs="Arial"/>
                <w:color w:val="17365D" w:themeColor="text2" w:themeShade="BF"/>
                <w:sz w:val="16"/>
                <w:szCs w:val="16"/>
              </w:rPr>
            </w:pPr>
            <w:r w:rsidRPr="00D14171">
              <w:rPr>
                <w:rFonts w:cs="Arial"/>
                <w:color w:val="17365D" w:themeColor="text2" w:themeShade="BF"/>
                <w:sz w:val="16"/>
                <w:szCs w:val="16"/>
              </w:rPr>
              <w:t>459.922.881</w:t>
            </w:r>
          </w:p>
        </w:tc>
        <w:tc>
          <w:tcPr>
            <w:tcW w:w="1204" w:type="dxa"/>
            <w:shd w:val="clear" w:color="auto" w:fill="D9D9D9" w:themeFill="background1" w:themeFillShade="D9"/>
            <w:noWrap/>
            <w:vAlign w:val="center"/>
            <w:hideMark/>
          </w:tcPr>
          <w:p w:rsidR="005C4530" w:rsidRPr="0076478F" w:rsidRDefault="005C4530" w:rsidP="005C4530">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23,58%</w:t>
            </w:r>
          </w:p>
        </w:tc>
        <w:tc>
          <w:tcPr>
            <w:tcW w:w="1291"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436.063.956</w:t>
            </w:r>
          </w:p>
        </w:tc>
        <w:tc>
          <w:tcPr>
            <w:tcW w:w="1106" w:type="dxa"/>
            <w:shd w:val="clear" w:color="000000" w:fill="FFFFFF"/>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23.858.925</w:t>
            </w:r>
          </w:p>
        </w:tc>
        <w:tc>
          <w:tcPr>
            <w:tcW w:w="1059" w:type="dxa"/>
            <w:shd w:val="clear" w:color="auto" w:fill="auto"/>
            <w:noWrap/>
            <w:vAlign w:val="center"/>
          </w:tcPr>
          <w:p w:rsidR="005C4530" w:rsidRPr="005C4530" w:rsidRDefault="005C4530" w:rsidP="005C4530">
            <w:pPr>
              <w:spacing w:line="240" w:lineRule="auto"/>
              <w:jc w:val="right"/>
              <w:rPr>
                <w:rFonts w:cs="Arial"/>
                <w:color w:val="17365D" w:themeColor="text2" w:themeShade="BF"/>
                <w:sz w:val="16"/>
                <w:szCs w:val="16"/>
              </w:rPr>
            </w:pPr>
            <w:r w:rsidRPr="005C4530">
              <w:rPr>
                <w:rFonts w:cs="Arial"/>
                <w:color w:val="17365D" w:themeColor="text2" w:themeShade="BF"/>
                <w:sz w:val="16"/>
                <w:szCs w:val="16"/>
              </w:rPr>
              <w:t>5,47%</w:t>
            </w:r>
          </w:p>
        </w:tc>
      </w:tr>
      <w:tr w:rsidR="001E3B67" w:rsidRPr="00F31A87" w:rsidTr="005C4530">
        <w:trPr>
          <w:trHeight w:val="262"/>
          <w:jc w:val="center"/>
        </w:trPr>
        <w:tc>
          <w:tcPr>
            <w:tcW w:w="762" w:type="dxa"/>
            <w:shd w:val="clear" w:color="000000" w:fill="FFFFFF"/>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11</w:t>
            </w:r>
          </w:p>
        </w:tc>
        <w:tc>
          <w:tcPr>
            <w:tcW w:w="2503" w:type="dxa"/>
            <w:shd w:val="clear" w:color="000000" w:fill="FFFFFF"/>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одг. због употребе ваздухоплова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1.438.857</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0,07%</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1.438.857</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89"/>
          <w:jc w:val="center"/>
        </w:trPr>
        <w:tc>
          <w:tcPr>
            <w:tcW w:w="762" w:type="dxa"/>
            <w:shd w:val="clear" w:color="000000" w:fill="FFFFFF"/>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12</w:t>
            </w:r>
          </w:p>
        </w:tc>
        <w:tc>
          <w:tcPr>
            <w:tcW w:w="2503" w:type="dxa"/>
            <w:shd w:val="clear" w:color="000000" w:fill="FFFFFF"/>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w:t>
            </w:r>
            <w:r w:rsidRPr="00F31A87">
              <w:rPr>
                <w:rFonts w:cs="Arial"/>
                <w:color w:val="17365D" w:themeColor="text2" w:themeShade="BF"/>
                <w:sz w:val="16"/>
                <w:szCs w:val="16"/>
                <w:lang w:val="sr-Cyrl-ME"/>
              </w:rPr>
              <w:t>.</w:t>
            </w:r>
            <w:r w:rsidRPr="00F31A87">
              <w:rPr>
                <w:rFonts w:cs="Arial"/>
                <w:color w:val="17365D" w:themeColor="text2" w:themeShade="BF"/>
                <w:sz w:val="16"/>
                <w:szCs w:val="16"/>
              </w:rPr>
              <w:t xml:space="preserve">одг. </w:t>
            </w:r>
            <w:r w:rsidRPr="00F31A87">
              <w:rPr>
                <w:rFonts w:cs="Arial"/>
                <w:color w:val="17365D" w:themeColor="text2" w:themeShade="BF"/>
                <w:sz w:val="16"/>
                <w:szCs w:val="16"/>
                <w:lang w:val="sr-Cyrl-ME"/>
              </w:rPr>
              <w:t xml:space="preserve">- </w:t>
            </w:r>
            <w:r w:rsidRPr="00F31A87">
              <w:rPr>
                <w:rFonts w:cs="Arial"/>
                <w:color w:val="17365D" w:themeColor="text2" w:themeShade="BF"/>
                <w:sz w:val="16"/>
                <w:szCs w:val="16"/>
              </w:rPr>
              <w:t xml:space="preserve"> пловнии објекти</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1.807.635</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0,09%</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1.807.635</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5C4530" w:rsidRPr="00F31A87" w:rsidTr="005C4530">
        <w:trPr>
          <w:trHeight w:val="262"/>
          <w:jc w:val="center"/>
        </w:trPr>
        <w:tc>
          <w:tcPr>
            <w:tcW w:w="762" w:type="dxa"/>
            <w:shd w:val="clear" w:color="000000" w:fill="FFFFFF"/>
            <w:noWrap/>
            <w:vAlign w:val="center"/>
            <w:hideMark/>
          </w:tcPr>
          <w:p w:rsidR="005C4530" w:rsidRPr="00F31A87" w:rsidRDefault="005C4530" w:rsidP="005C4530">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13</w:t>
            </w:r>
          </w:p>
        </w:tc>
        <w:tc>
          <w:tcPr>
            <w:tcW w:w="2503" w:type="dxa"/>
            <w:shd w:val="clear" w:color="000000" w:fill="FFFFFF"/>
            <w:vAlign w:val="center"/>
            <w:hideMark/>
          </w:tcPr>
          <w:p w:rsidR="005C4530" w:rsidRPr="00F31A87" w:rsidRDefault="005C4530" w:rsidP="005C4530">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опште одговорности</w:t>
            </w:r>
          </w:p>
        </w:tc>
        <w:tc>
          <w:tcPr>
            <w:tcW w:w="1240" w:type="dxa"/>
            <w:shd w:val="clear" w:color="auto" w:fill="auto"/>
            <w:noWrap/>
            <w:vAlign w:val="center"/>
            <w:hideMark/>
          </w:tcPr>
          <w:p w:rsidR="005C4530" w:rsidRPr="00D14171" w:rsidRDefault="005C4530" w:rsidP="005C4530">
            <w:pPr>
              <w:spacing w:line="240" w:lineRule="auto"/>
              <w:jc w:val="right"/>
              <w:rPr>
                <w:rFonts w:cs="Arial"/>
                <w:color w:val="17365D" w:themeColor="text2" w:themeShade="BF"/>
                <w:sz w:val="16"/>
                <w:szCs w:val="16"/>
              </w:rPr>
            </w:pPr>
            <w:r w:rsidRPr="00D14171">
              <w:rPr>
                <w:rFonts w:cs="Arial"/>
                <w:color w:val="17365D" w:themeColor="text2" w:themeShade="BF"/>
                <w:sz w:val="16"/>
                <w:szCs w:val="16"/>
              </w:rPr>
              <w:t>220.190.829</w:t>
            </w:r>
          </w:p>
        </w:tc>
        <w:tc>
          <w:tcPr>
            <w:tcW w:w="1204" w:type="dxa"/>
            <w:shd w:val="clear" w:color="auto" w:fill="D9D9D9" w:themeFill="background1" w:themeFillShade="D9"/>
            <w:noWrap/>
            <w:vAlign w:val="center"/>
            <w:hideMark/>
          </w:tcPr>
          <w:p w:rsidR="005C4530" w:rsidRPr="0076478F" w:rsidRDefault="005C4530" w:rsidP="005C4530">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11,29%</w:t>
            </w:r>
          </w:p>
        </w:tc>
        <w:tc>
          <w:tcPr>
            <w:tcW w:w="1291" w:type="dxa"/>
            <w:shd w:val="clear" w:color="000000" w:fill="FFFFFF"/>
            <w:noWrap/>
            <w:vAlign w:val="center"/>
            <w:hideMark/>
          </w:tcPr>
          <w:p w:rsidR="005C4530" w:rsidRDefault="005C4530" w:rsidP="005C4530">
            <w:pPr>
              <w:spacing w:line="240" w:lineRule="auto"/>
              <w:jc w:val="right"/>
              <w:rPr>
                <w:rFonts w:cs="Arial"/>
                <w:color w:val="17365D"/>
                <w:sz w:val="16"/>
                <w:szCs w:val="16"/>
                <w:lang w:val="en-US"/>
              </w:rPr>
            </w:pPr>
            <w:r>
              <w:rPr>
                <w:rFonts w:cs="Arial"/>
                <w:color w:val="17365D" w:themeColor="text2" w:themeShade="BF"/>
                <w:sz w:val="16"/>
                <w:szCs w:val="16"/>
              </w:rPr>
              <w:t>208.565.401</w:t>
            </w:r>
          </w:p>
        </w:tc>
        <w:tc>
          <w:tcPr>
            <w:tcW w:w="1106" w:type="dxa"/>
            <w:shd w:val="clear" w:color="000000" w:fill="FFFFFF"/>
            <w:noWrap/>
            <w:vAlign w:val="center"/>
            <w:hideMark/>
          </w:tcPr>
          <w:p w:rsidR="005C4530" w:rsidRDefault="005C4530" w:rsidP="005C4530">
            <w:pPr>
              <w:spacing w:line="240" w:lineRule="auto"/>
              <w:jc w:val="right"/>
              <w:rPr>
                <w:rFonts w:cs="Arial"/>
                <w:color w:val="17365D"/>
                <w:sz w:val="16"/>
                <w:szCs w:val="16"/>
              </w:rPr>
            </w:pPr>
            <w:r>
              <w:rPr>
                <w:rFonts w:cs="Arial"/>
                <w:color w:val="17365D"/>
                <w:sz w:val="16"/>
                <w:szCs w:val="16"/>
              </w:rPr>
              <w:t>11.625.428</w:t>
            </w:r>
          </w:p>
        </w:tc>
        <w:tc>
          <w:tcPr>
            <w:tcW w:w="1059" w:type="dxa"/>
            <w:shd w:val="clear" w:color="auto" w:fill="auto"/>
            <w:noWrap/>
            <w:vAlign w:val="center"/>
            <w:hideMark/>
          </w:tcPr>
          <w:p w:rsidR="005C4530" w:rsidRDefault="005C4530" w:rsidP="005C4530">
            <w:pPr>
              <w:spacing w:line="240" w:lineRule="auto"/>
              <w:jc w:val="right"/>
              <w:rPr>
                <w:rFonts w:cs="Arial"/>
                <w:color w:val="17365D"/>
                <w:sz w:val="16"/>
                <w:szCs w:val="16"/>
              </w:rPr>
            </w:pPr>
            <w:r>
              <w:rPr>
                <w:rFonts w:cs="Arial"/>
                <w:color w:val="17365D" w:themeColor="text2" w:themeShade="BF"/>
                <w:sz w:val="16"/>
                <w:szCs w:val="16"/>
              </w:rPr>
              <w:t>5,57%</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14</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кредита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1.365.373</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0,07%</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1.365.373</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lang w:val="sr-Cyrl-RS"/>
              </w:rPr>
            </w:pPr>
            <w:r w:rsidRPr="00F31A87">
              <w:rPr>
                <w:rFonts w:cs="Arial"/>
                <w:color w:val="17365D" w:themeColor="text2" w:themeShade="BF"/>
                <w:sz w:val="16"/>
                <w:szCs w:val="16"/>
              </w:rPr>
              <w:t>1</w:t>
            </w:r>
            <w:r w:rsidRPr="00F31A87">
              <w:rPr>
                <w:rFonts w:cs="Arial"/>
                <w:color w:val="17365D" w:themeColor="text2" w:themeShade="BF"/>
                <w:sz w:val="16"/>
                <w:szCs w:val="16"/>
                <w:lang w:val="sr-Cyrl-RS"/>
              </w:rPr>
              <w:t>5</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lang w:val="sr-Cyrl-RS"/>
              </w:rPr>
            </w:pPr>
            <w:r w:rsidRPr="00F31A87">
              <w:rPr>
                <w:rFonts w:cs="Arial"/>
                <w:color w:val="17365D" w:themeColor="text2" w:themeShade="BF"/>
                <w:sz w:val="16"/>
                <w:szCs w:val="16"/>
              </w:rPr>
              <w:t xml:space="preserve">Oсигурање </w:t>
            </w:r>
            <w:r w:rsidRPr="00F31A87">
              <w:rPr>
                <w:rFonts w:cs="Arial"/>
                <w:color w:val="17365D" w:themeColor="text2" w:themeShade="BF"/>
                <w:sz w:val="16"/>
                <w:szCs w:val="16"/>
                <w:lang w:val="sr-Cyrl-RS"/>
              </w:rPr>
              <w:t>јемства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48.923.127</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2,47%</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48.923.127</w:t>
            </w:r>
          </w:p>
        </w:tc>
        <w:tc>
          <w:tcPr>
            <w:tcW w:w="1106" w:type="dxa"/>
            <w:shd w:val="clear" w:color="000000" w:fill="FFFFFF"/>
            <w:noWrap/>
            <w:vAlign w:val="center"/>
            <w:hideMark/>
          </w:tcPr>
          <w:p w:rsidR="001E3B67" w:rsidRPr="00F31A87" w:rsidRDefault="001E3B67" w:rsidP="001E3B67">
            <w:pPr>
              <w:spacing w:line="240" w:lineRule="auto"/>
              <w:jc w:val="right"/>
              <w:rPr>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16</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Oсигурање финансијских губитака</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6.699.760</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0,34%</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6.699.760</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auto" w:fill="auto"/>
            <w:noWrap/>
            <w:vAlign w:val="center"/>
            <w:hideMark/>
          </w:tcPr>
          <w:p w:rsidR="001E3B67" w:rsidRPr="00F31A87" w:rsidRDefault="001E3B67" w:rsidP="001E3B67">
            <w:pPr>
              <w:spacing w:line="240" w:lineRule="auto"/>
              <w:jc w:val="center"/>
              <w:rPr>
                <w:rFonts w:cs="Arial"/>
                <w:color w:val="17365D" w:themeColor="text2" w:themeShade="BF"/>
                <w:sz w:val="16"/>
                <w:szCs w:val="16"/>
                <w:lang w:val="sr-Cyrl-RS"/>
              </w:rPr>
            </w:pPr>
            <w:r w:rsidRPr="00F31A87">
              <w:rPr>
                <w:rFonts w:cs="Arial"/>
                <w:color w:val="17365D" w:themeColor="text2" w:themeShade="BF"/>
                <w:sz w:val="16"/>
                <w:szCs w:val="16"/>
              </w:rPr>
              <w:t>1</w:t>
            </w:r>
            <w:r w:rsidRPr="00F31A87">
              <w:rPr>
                <w:rFonts w:cs="Arial"/>
                <w:color w:val="17365D" w:themeColor="text2" w:themeShade="BF"/>
                <w:sz w:val="16"/>
                <w:szCs w:val="16"/>
                <w:lang w:val="sr-Cyrl-RS"/>
              </w:rPr>
              <w:t>8</w:t>
            </w:r>
          </w:p>
        </w:tc>
        <w:tc>
          <w:tcPr>
            <w:tcW w:w="2503" w:type="dxa"/>
            <w:shd w:val="clear" w:color="auto" w:fill="auto"/>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 xml:space="preserve">Oсигурање </w:t>
            </w:r>
            <w:r w:rsidRPr="00F31A87">
              <w:rPr>
                <w:rFonts w:cs="Arial"/>
                <w:color w:val="17365D" w:themeColor="text2" w:themeShade="BF"/>
                <w:sz w:val="16"/>
                <w:szCs w:val="16"/>
                <w:lang w:val="sr-Cyrl-RS"/>
              </w:rPr>
              <w:t>помоћи на путовању</w:t>
            </w:r>
          </w:p>
        </w:tc>
        <w:tc>
          <w:tcPr>
            <w:tcW w:w="1240"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690.318</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0,04%</w:t>
            </w:r>
          </w:p>
        </w:tc>
        <w:tc>
          <w:tcPr>
            <w:tcW w:w="1291" w:type="dxa"/>
            <w:shd w:val="clear" w:color="auto" w:fill="auto"/>
            <w:noWrap/>
            <w:vAlign w:val="center"/>
            <w:hideMark/>
          </w:tcPr>
          <w:p w:rsidR="001E3B67" w:rsidRPr="00D14171" w:rsidRDefault="001E3B67" w:rsidP="001E3B67">
            <w:pPr>
              <w:spacing w:line="240" w:lineRule="auto"/>
              <w:jc w:val="right"/>
              <w:rPr>
                <w:rFonts w:cs="Arial"/>
                <w:color w:val="17365D" w:themeColor="text2" w:themeShade="BF"/>
                <w:sz w:val="16"/>
                <w:szCs w:val="16"/>
              </w:rPr>
            </w:pPr>
            <w:r w:rsidRPr="00D14171">
              <w:rPr>
                <w:rFonts w:cs="Arial"/>
                <w:color w:val="17365D" w:themeColor="text2" w:themeShade="BF"/>
                <w:sz w:val="16"/>
                <w:szCs w:val="16"/>
              </w:rPr>
              <w:t>690.318</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5C4530" w:rsidRPr="00F31A87" w:rsidTr="005C4530">
        <w:trPr>
          <w:trHeight w:val="262"/>
          <w:jc w:val="center"/>
        </w:trPr>
        <w:tc>
          <w:tcPr>
            <w:tcW w:w="762" w:type="dxa"/>
            <w:shd w:val="clear" w:color="000000" w:fill="D9D9D9"/>
            <w:vAlign w:val="center"/>
            <w:hideMark/>
          </w:tcPr>
          <w:p w:rsidR="005C4530" w:rsidRPr="00F31A87" w:rsidRDefault="005C4530" w:rsidP="005C4530">
            <w:pPr>
              <w:spacing w:line="240" w:lineRule="auto"/>
              <w:jc w:val="center"/>
              <w:rPr>
                <w:rFonts w:cs="Arial"/>
                <w:b/>
                <w:bCs/>
                <w:color w:val="17365D" w:themeColor="text2" w:themeShade="BF"/>
                <w:sz w:val="16"/>
                <w:szCs w:val="16"/>
              </w:rPr>
            </w:pPr>
            <w:r w:rsidRPr="00F31A87">
              <w:rPr>
                <w:rFonts w:cs="Arial"/>
                <w:b/>
                <w:bCs/>
                <w:color w:val="17365D" w:themeColor="text2" w:themeShade="BF"/>
                <w:sz w:val="16"/>
                <w:szCs w:val="16"/>
              </w:rPr>
              <w:t> </w:t>
            </w:r>
          </w:p>
        </w:tc>
        <w:tc>
          <w:tcPr>
            <w:tcW w:w="2503" w:type="dxa"/>
            <w:shd w:val="clear" w:color="000000" w:fill="D9D9D9"/>
            <w:vAlign w:val="center"/>
            <w:hideMark/>
          </w:tcPr>
          <w:p w:rsidR="005C4530" w:rsidRPr="00F31A87" w:rsidRDefault="005C4530" w:rsidP="005C4530">
            <w:pPr>
              <w:spacing w:line="240" w:lineRule="auto"/>
              <w:jc w:val="left"/>
              <w:rPr>
                <w:rFonts w:cs="Arial"/>
                <w:b/>
                <w:bCs/>
                <w:color w:val="17365D" w:themeColor="text2" w:themeShade="BF"/>
                <w:sz w:val="16"/>
                <w:szCs w:val="16"/>
              </w:rPr>
            </w:pPr>
            <w:r w:rsidRPr="00F31A87">
              <w:rPr>
                <w:rFonts w:cs="Arial"/>
                <w:b/>
                <w:bCs/>
                <w:color w:val="17365D" w:themeColor="text2" w:themeShade="BF"/>
                <w:sz w:val="16"/>
                <w:szCs w:val="16"/>
              </w:rPr>
              <w:t>НЕЖИВОТНА ОСИГУРАЊА</w:t>
            </w:r>
          </w:p>
        </w:tc>
        <w:tc>
          <w:tcPr>
            <w:tcW w:w="1240" w:type="dxa"/>
            <w:shd w:val="clear" w:color="000000" w:fill="D9D9D9"/>
            <w:noWrap/>
            <w:vAlign w:val="center"/>
            <w:hideMark/>
          </w:tcPr>
          <w:p w:rsidR="005C4530" w:rsidRPr="00F31A87" w:rsidRDefault="005C4530" w:rsidP="005C4530">
            <w:pPr>
              <w:spacing w:line="240" w:lineRule="auto"/>
              <w:jc w:val="right"/>
              <w:rPr>
                <w:rFonts w:cs="Arial"/>
                <w:b/>
                <w:bCs/>
                <w:color w:val="17365D" w:themeColor="text2" w:themeShade="BF"/>
                <w:sz w:val="16"/>
                <w:szCs w:val="16"/>
              </w:rPr>
            </w:pPr>
            <w:r w:rsidRPr="00F31A87">
              <w:rPr>
                <w:b/>
                <w:color w:val="17365D" w:themeColor="text2" w:themeShade="BF"/>
                <w:sz w:val="16"/>
                <w:szCs w:val="16"/>
              </w:rPr>
              <w:t>1.</w:t>
            </w:r>
            <w:r>
              <w:rPr>
                <w:b/>
                <w:color w:val="17365D" w:themeColor="text2" w:themeShade="BF"/>
                <w:sz w:val="16"/>
                <w:szCs w:val="16"/>
              </w:rPr>
              <w:t>930</w:t>
            </w:r>
            <w:r w:rsidRPr="00F31A87">
              <w:rPr>
                <w:b/>
                <w:color w:val="17365D" w:themeColor="text2" w:themeShade="BF"/>
                <w:sz w:val="16"/>
                <w:szCs w:val="16"/>
              </w:rPr>
              <w:t>.</w:t>
            </w:r>
            <w:r>
              <w:rPr>
                <w:b/>
                <w:color w:val="17365D" w:themeColor="text2" w:themeShade="BF"/>
                <w:sz w:val="16"/>
                <w:szCs w:val="16"/>
              </w:rPr>
              <w:t>391</w:t>
            </w:r>
            <w:r w:rsidRPr="00F31A87">
              <w:rPr>
                <w:b/>
                <w:color w:val="17365D" w:themeColor="text2" w:themeShade="BF"/>
                <w:sz w:val="16"/>
                <w:szCs w:val="16"/>
              </w:rPr>
              <w:t>.</w:t>
            </w:r>
            <w:r>
              <w:rPr>
                <w:b/>
                <w:color w:val="17365D" w:themeColor="text2" w:themeShade="BF"/>
                <w:sz w:val="16"/>
                <w:szCs w:val="16"/>
              </w:rPr>
              <w:t>858</w:t>
            </w:r>
          </w:p>
        </w:tc>
        <w:tc>
          <w:tcPr>
            <w:tcW w:w="1204" w:type="dxa"/>
            <w:shd w:val="clear" w:color="000000" w:fill="D9D9D9"/>
            <w:noWrap/>
            <w:vAlign w:val="center"/>
            <w:hideMark/>
          </w:tcPr>
          <w:p w:rsidR="005C4530" w:rsidRPr="0076478F" w:rsidRDefault="005C4530" w:rsidP="005C4530">
            <w:pPr>
              <w:spacing w:line="240" w:lineRule="auto"/>
              <w:jc w:val="center"/>
              <w:rPr>
                <w:rFonts w:cs="Arial"/>
                <w:b/>
                <w:color w:val="17365D" w:themeColor="text2" w:themeShade="BF"/>
                <w:sz w:val="16"/>
                <w:szCs w:val="16"/>
              </w:rPr>
            </w:pPr>
            <w:r w:rsidRPr="0076478F">
              <w:rPr>
                <w:rFonts w:cs="Arial"/>
                <w:b/>
                <w:color w:val="17365D" w:themeColor="text2" w:themeShade="BF"/>
                <w:sz w:val="16"/>
                <w:szCs w:val="16"/>
              </w:rPr>
              <w:t>98,</w:t>
            </w:r>
            <w:r>
              <w:rPr>
                <w:rFonts w:cs="Arial"/>
                <w:b/>
                <w:color w:val="17365D" w:themeColor="text2" w:themeShade="BF"/>
                <w:sz w:val="16"/>
                <w:szCs w:val="16"/>
              </w:rPr>
              <w:t>91</w:t>
            </w:r>
            <w:r w:rsidRPr="0076478F">
              <w:rPr>
                <w:rFonts w:cs="Arial"/>
                <w:b/>
                <w:color w:val="17365D" w:themeColor="text2" w:themeShade="BF"/>
                <w:sz w:val="16"/>
                <w:szCs w:val="16"/>
              </w:rPr>
              <w:t>%</w:t>
            </w:r>
          </w:p>
        </w:tc>
        <w:tc>
          <w:tcPr>
            <w:tcW w:w="1291" w:type="dxa"/>
            <w:shd w:val="clear" w:color="000000" w:fill="D9D9D9"/>
            <w:noWrap/>
            <w:vAlign w:val="center"/>
            <w:hideMark/>
          </w:tcPr>
          <w:p w:rsidR="005C4530" w:rsidRDefault="005C4530" w:rsidP="005C4530">
            <w:pPr>
              <w:spacing w:line="240" w:lineRule="auto"/>
              <w:jc w:val="right"/>
              <w:rPr>
                <w:rFonts w:cs="Arial"/>
                <w:b/>
                <w:bCs/>
                <w:color w:val="17365D"/>
                <w:sz w:val="16"/>
                <w:szCs w:val="16"/>
                <w:lang w:val="en-US"/>
              </w:rPr>
            </w:pPr>
            <w:r>
              <w:rPr>
                <w:rFonts w:cs="Arial"/>
                <w:b/>
                <w:bCs/>
                <w:color w:val="17365D"/>
                <w:sz w:val="16"/>
                <w:szCs w:val="16"/>
              </w:rPr>
              <w:t>1.737.295.875</w:t>
            </w:r>
          </w:p>
        </w:tc>
        <w:tc>
          <w:tcPr>
            <w:tcW w:w="1106" w:type="dxa"/>
            <w:shd w:val="clear" w:color="000000" w:fill="D9D9D9"/>
            <w:noWrap/>
            <w:vAlign w:val="center"/>
            <w:hideMark/>
          </w:tcPr>
          <w:p w:rsidR="005C4530" w:rsidRDefault="005C4530" w:rsidP="005C4530">
            <w:pPr>
              <w:spacing w:line="240" w:lineRule="auto"/>
              <w:jc w:val="right"/>
              <w:rPr>
                <w:rFonts w:cs="Arial"/>
                <w:b/>
                <w:bCs/>
                <w:color w:val="17365D"/>
                <w:sz w:val="16"/>
                <w:szCs w:val="16"/>
              </w:rPr>
            </w:pPr>
            <w:r>
              <w:rPr>
                <w:rFonts w:cs="Arial"/>
                <w:b/>
                <w:bCs/>
                <w:color w:val="17365D"/>
                <w:sz w:val="16"/>
                <w:szCs w:val="16"/>
              </w:rPr>
              <w:t>193.095.983</w:t>
            </w:r>
          </w:p>
        </w:tc>
        <w:tc>
          <w:tcPr>
            <w:tcW w:w="1059" w:type="dxa"/>
            <w:shd w:val="clear" w:color="000000" w:fill="D9D9D9"/>
            <w:noWrap/>
            <w:vAlign w:val="center"/>
            <w:hideMark/>
          </w:tcPr>
          <w:p w:rsidR="005C4530" w:rsidRDefault="005C4530" w:rsidP="005C4530">
            <w:pPr>
              <w:spacing w:line="240" w:lineRule="auto"/>
              <w:jc w:val="right"/>
              <w:rPr>
                <w:rFonts w:cs="Arial"/>
                <w:b/>
                <w:bCs/>
                <w:color w:val="244062"/>
                <w:sz w:val="16"/>
                <w:szCs w:val="16"/>
              </w:rPr>
            </w:pPr>
            <w:r>
              <w:rPr>
                <w:rFonts w:cs="Arial"/>
                <w:b/>
                <w:bCs/>
                <w:color w:val="17365D" w:themeColor="text2" w:themeShade="BF"/>
                <w:sz w:val="16"/>
                <w:szCs w:val="16"/>
              </w:rPr>
              <w:t>11,11%</w:t>
            </w:r>
          </w:p>
        </w:tc>
      </w:tr>
      <w:tr w:rsidR="001E3B67" w:rsidRPr="00F31A87" w:rsidTr="005C4530">
        <w:trPr>
          <w:trHeight w:val="262"/>
          <w:jc w:val="center"/>
        </w:trPr>
        <w:tc>
          <w:tcPr>
            <w:tcW w:w="762" w:type="dxa"/>
            <w:shd w:val="clear" w:color="000000" w:fill="FFFFFF"/>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20</w:t>
            </w:r>
          </w:p>
        </w:tc>
        <w:tc>
          <w:tcPr>
            <w:tcW w:w="2503" w:type="dxa"/>
            <w:shd w:val="clear" w:color="000000" w:fill="FFFFFF"/>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Осигурање живота</w:t>
            </w:r>
          </w:p>
        </w:tc>
        <w:tc>
          <w:tcPr>
            <w:tcW w:w="1240" w:type="dxa"/>
            <w:shd w:val="clear" w:color="auto" w:fill="auto"/>
            <w:noWrap/>
            <w:vAlign w:val="center"/>
            <w:hideMark/>
          </w:tcPr>
          <w:p w:rsidR="001E3B67" w:rsidRPr="001757C6" w:rsidRDefault="001E3B67" w:rsidP="001E3B67">
            <w:pPr>
              <w:spacing w:line="240" w:lineRule="auto"/>
              <w:jc w:val="right"/>
              <w:rPr>
                <w:rFonts w:cs="Arial"/>
                <w:color w:val="17365D" w:themeColor="text2" w:themeShade="BF"/>
                <w:sz w:val="16"/>
                <w:szCs w:val="16"/>
                <w:lang w:val="en-US"/>
              </w:rPr>
            </w:pPr>
            <w:r w:rsidRPr="001757C6">
              <w:rPr>
                <w:rFonts w:cs="Arial"/>
                <w:color w:val="17365D" w:themeColor="text2" w:themeShade="BF"/>
                <w:sz w:val="16"/>
                <w:szCs w:val="16"/>
              </w:rPr>
              <w:t>619.415</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lang w:val="en-US"/>
              </w:rPr>
            </w:pPr>
            <w:r w:rsidRPr="0076478F">
              <w:rPr>
                <w:rFonts w:cs="Arial"/>
                <w:color w:val="17365D" w:themeColor="text2" w:themeShade="BF"/>
                <w:sz w:val="16"/>
                <w:szCs w:val="16"/>
              </w:rPr>
              <w:t>0,03%</w:t>
            </w:r>
          </w:p>
        </w:tc>
        <w:tc>
          <w:tcPr>
            <w:tcW w:w="1291" w:type="dxa"/>
            <w:shd w:val="clear" w:color="auto" w:fill="auto"/>
            <w:noWrap/>
            <w:vAlign w:val="center"/>
            <w:hideMark/>
          </w:tcPr>
          <w:p w:rsidR="001E3B67" w:rsidRPr="001757C6" w:rsidRDefault="001E3B67" w:rsidP="001E3B67">
            <w:pPr>
              <w:spacing w:line="240" w:lineRule="auto"/>
              <w:jc w:val="right"/>
              <w:rPr>
                <w:rFonts w:cs="Arial"/>
                <w:color w:val="17365D" w:themeColor="text2" w:themeShade="BF"/>
                <w:sz w:val="16"/>
                <w:szCs w:val="16"/>
                <w:lang w:val="en-US"/>
              </w:rPr>
            </w:pPr>
            <w:r w:rsidRPr="001757C6">
              <w:rPr>
                <w:rFonts w:cs="Arial"/>
                <w:color w:val="17365D" w:themeColor="text2" w:themeShade="BF"/>
                <w:sz w:val="16"/>
                <w:szCs w:val="16"/>
              </w:rPr>
              <w:t>619.415</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1E3B67" w:rsidRPr="00F31A87" w:rsidTr="005C4530">
        <w:trPr>
          <w:trHeight w:val="262"/>
          <w:jc w:val="center"/>
        </w:trPr>
        <w:tc>
          <w:tcPr>
            <w:tcW w:w="762" w:type="dxa"/>
            <w:shd w:val="clear" w:color="000000" w:fill="FFFFFF"/>
            <w:noWrap/>
            <w:vAlign w:val="center"/>
            <w:hideMark/>
          </w:tcPr>
          <w:p w:rsidR="001E3B67" w:rsidRPr="00F31A87" w:rsidRDefault="001E3B67" w:rsidP="001E3B67">
            <w:pPr>
              <w:spacing w:line="240" w:lineRule="auto"/>
              <w:jc w:val="center"/>
              <w:rPr>
                <w:rFonts w:cs="Arial"/>
                <w:color w:val="17365D" w:themeColor="text2" w:themeShade="BF"/>
                <w:sz w:val="16"/>
                <w:szCs w:val="16"/>
              </w:rPr>
            </w:pPr>
            <w:r w:rsidRPr="00F31A87">
              <w:rPr>
                <w:rFonts w:cs="Arial"/>
                <w:color w:val="17365D" w:themeColor="text2" w:themeShade="BF"/>
                <w:sz w:val="16"/>
                <w:szCs w:val="16"/>
              </w:rPr>
              <w:t>22</w:t>
            </w:r>
          </w:p>
        </w:tc>
        <w:tc>
          <w:tcPr>
            <w:tcW w:w="2503" w:type="dxa"/>
            <w:shd w:val="clear" w:color="000000" w:fill="FFFFFF"/>
            <w:vAlign w:val="center"/>
            <w:hideMark/>
          </w:tcPr>
          <w:p w:rsidR="001E3B67" w:rsidRPr="00F31A87" w:rsidRDefault="001E3B67" w:rsidP="001E3B67">
            <w:pPr>
              <w:spacing w:line="240" w:lineRule="auto"/>
              <w:jc w:val="left"/>
              <w:rPr>
                <w:rFonts w:cs="Arial"/>
                <w:color w:val="17365D" w:themeColor="text2" w:themeShade="BF"/>
                <w:sz w:val="16"/>
                <w:szCs w:val="16"/>
              </w:rPr>
            </w:pPr>
            <w:r w:rsidRPr="00F31A87">
              <w:rPr>
                <w:rFonts w:cs="Arial"/>
                <w:color w:val="17365D" w:themeColor="text2" w:themeShade="BF"/>
                <w:sz w:val="16"/>
                <w:szCs w:val="16"/>
              </w:rPr>
              <w:t>Допунско осигурање уз осиг. живота</w:t>
            </w:r>
          </w:p>
        </w:tc>
        <w:tc>
          <w:tcPr>
            <w:tcW w:w="1240" w:type="dxa"/>
            <w:shd w:val="clear" w:color="auto" w:fill="auto"/>
            <w:noWrap/>
            <w:vAlign w:val="center"/>
            <w:hideMark/>
          </w:tcPr>
          <w:p w:rsidR="001E3B67" w:rsidRPr="001757C6" w:rsidRDefault="001E3B67" w:rsidP="001E3B67">
            <w:pPr>
              <w:spacing w:line="240" w:lineRule="auto"/>
              <w:jc w:val="right"/>
              <w:rPr>
                <w:rFonts w:cs="Arial"/>
                <w:color w:val="17365D" w:themeColor="text2" w:themeShade="BF"/>
                <w:sz w:val="16"/>
                <w:szCs w:val="16"/>
              </w:rPr>
            </w:pPr>
            <w:r w:rsidRPr="001757C6">
              <w:rPr>
                <w:rFonts w:cs="Arial"/>
                <w:color w:val="17365D" w:themeColor="text2" w:themeShade="BF"/>
                <w:sz w:val="16"/>
                <w:szCs w:val="16"/>
              </w:rPr>
              <w:t>20.600.931</w:t>
            </w:r>
          </w:p>
        </w:tc>
        <w:tc>
          <w:tcPr>
            <w:tcW w:w="1204" w:type="dxa"/>
            <w:shd w:val="clear" w:color="auto" w:fill="auto"/>
            <w:noWrap/>
            <w:vAlign w:val="center"/>
            <w:hideMark/>
          </w:tcPr>
          <w:p w:rsidR="001E3B67" w:rsidRPr="0076478F" w:rsidRDefault="001E3B67" w:rsidP="001E3B67">
            <w:pPr>
              <w:spacing w:line="240" w:lineRule="auto"/>
              <w:jc w:val="center"/>
              <w:rPr>
                <w:rFonts w:cs="Arial"/>
                <w:color w:val="17365D" w:themeColor="text2" w:themeShade="BF"/>
                <w:sz w:val="16"/>
                <w:szCs w:val="16"/>
              </w:rPr>
            </w:pPr>
            <w:r w:rsidRPr="0076478F">
              <w:rPr>
                <w:rFonts w:cs="Arial"/>
                <w:color w:val="17365D" w:themeColor="text2" w:themeShade="BF"/>
                <w:sz w:val="16"/>
                <w:szCs w:val="16"/>
              </w:rPr>
              <w:t>1,06%</w:t>
            </w:r>
          </w:p>
        </w:tc>
        <w:tc>
          <w:tcPr>
            <w:tcW w:w="1291" w:type="dxa"/>
            <w:shd w:val="clear" w:color="auto" w:fill="auto"/>
            <w:noWrap/>
            <w:vAlign w:val="center"/>
            <w:hideMark/>
          </w:tcPr>
          <w:p w:rsidR="001E3B67" w:rsidRPr="001757C6" w:rsidRDefault="001E3B67" w:rsidP="001E3B67">
            <w:pPr>
              <w:spacing w:line="240" w:lineRule="auto"/>
              <w:jc w:val="right"/>
              <w:rPr>
                <w:rFonts w:cs="Arial"/>
                <w:color w:val="17365D" w:themeColor="text2" w:themeShade="BF"/>
                <w:sz w:val="16"/>
                <w:szCs w:val="16"/>
              </w:rPr>
            </w:pPr>
            <w:r w:rsidRPr="001757C6">
              <w:rPr>
                <w:rFonts w:cs="Arial"/>
                <w:color w:val="17365D" w:themeColor="text2" w:themeShade="BF"/>
                <w:sz w:val="16"/>
                <w:szCs w:val="16"/>
              </w:rPr>
              <w:t>20.600.931</w:t>
            </w:r>
          </w:p>
        </w:tc>
        <w:tc>
          <w:tcPr>
            <w:tcW w:w="1106" w:type="dxa"/>
            <w:shd w:val="clear" w:color="000000" w:fill="FFFFFF"/>
            <w:noWrap/>
            <w:vAlign w:val="center"/>
            <w:hideMark/>
          </w:tcPr>
          <w:p w:rsidR="001E3B67" w:rsidRPr="00F31A87" w:rsidRDefault="001E3B67" w:rsidP="001E3B67">
            <w:pPr>
              <w:spacing w:line="240" w:lineRule="auto"/>
              <w:jc w:val="right"/>
              <w:rPr>
                <w:rFonts w:cs="Arial"/>
                <w:color w:val="17365D" w:themeColor="text2" w:themeShade="BF"/>
                <w:sz w:val="16"/>
                <w:szCs w:val="16"/>
              </w:rPr>
            </w:pPr>
            <w:r w:rsidRPr="00F31A87">
              <w:rPr>
                <w:color w:val="17365D" w:themeColor="text2" w:themeShade="BF"/>
                <w:sz w:val="16"/>
                <w:szCs w:val="16"/>
              </w:rPr>
              <w:t>0</w:t>
            </w:r>
          </w:p>
        </w:tc>
        <w:tc>
          <w:tcPr>
            <w:tcW w:w="1059" w:type="dxa"/>
            <w:shd w:val="clear" w:color="auto" w:fill="auto"/>
            <w:noWrap/>
            <w:vAlign w:val="center"/>
            <w:hideMark/>
          </w:tcPr>
          <w:p w:rsidR="001E3B67" w:rsidRPr="00F31A87" w:rsidRDefault="001E3B67" w:rsidP="005C4530">
            <w:pPr>
              <w:spacing w:line="240" w:lineRule="auto"/>
              <w:jc w:val="right"/>
              <w:rPr>
                <w:rFonts w:cs="Arial"/>
                <w:color w:val="17365D" w:themeColor="text2" w:themeShade="BF"/>
                <w:sz w:val="16"/>
                <w:szCs w:val="16"/>
              </w:rPr>
            </w:pPr>
            <w:r w:rsidRPr="00F31A87">
              <w:rPr>
                <w:color w:val="17365D" w:themeColor="text2" w:themeShade="BF"/>
                <w:sz w:val="16"/>
                <w:szCs w:val="16"/>
              </w:rPr>
              <w:t>0,00%</w:t>
            </w:r>
          </w:p>
        </w:tc>
      </w:tr>
      <w:tr w:rsidR="005C4530" w:rsidRPr="00F31A87" w:rsidTr="005C4530">
        <w:trPr>
          <w:trHeight w:val="262"/>
          <w:jc w:val="center"/>
        </w:trPr>
        <w:tc>
          <w:tcPr>
            <w:tcW w:w="762" w:type="dxa"/>
            <w:shd w:val="clear" w:color="000000" w:fill="D9D9D9"/>
            <w:noWrap/>
            <w:vAlign w:val="center"/>
            <w:hideMark/>
          </w:tcPr>
          <w:p w:rsidR="005C4530" w:rsidRPr="00F31A87" w:rsidRDefault="005C4530" w:rsidP="005C4530">
            <w:pPr>
              <w:spacing w:line="240" w:lineRule="auto"/>
              <w:jc w:val="center"/>
              <w:rPr>
                <w:rFonts w:cs="Arial"/>
                <w:b/>
                <w:bCs/>
                <w:color w:val="17365D" w:themeColor="text2" w:themeShade="BF"/>
                <w:sz w:val="16"/>
                <w:szCs w:val="16"/>
              </w:rPr>
            </w:pPr>
            <w:r w:rsidRPr="00F31A87">
              <w:rPr>
                <w:rFonts w:cs="Arial"/>
                <w:b/>
                <w:bCs/>
                <w:color w:val="17365D" w:themeColor="text2" w:themeShade="BF"/>
                <w:sz w:val="16"/>
                <w:szCs w:val="16"/>
              </w:rPr>
              <w:t> </w:t>
            </w:r>
          </w:p>
        </w:tc>
        <w:tc>
          <w:tcPr>
            <w:tcW w:w="2503" w:type="dxa"/>
            <w:shd w:val="clear" w:color="000000" w:fill="D9D9D9"/>
            <w:vAlign w:val="center"/>
            <w:hideMark/>
          </w:tcPr>
          <w:p w:rsidR="005C4530" w:rsidRPr="00F31A87" w:rsidRDefault="005C4530" w:rsidP="005C4530">
            <w:pPr>
              <w:spacing w:line="240" w:lineRule="auto"/>
              <w:jc w:val="left"/>
              <w:rPr>
                <w:rFonts w:cs="Arial"/>
                <w:b/>
                <w:bCs/>
                <w:color w:val="17365D" w:themeColor="text2" w:themeShade="BF"/>
                <w:sz w:val="16"/>
                <w:szCs w:val="16"/>
              </w:rPr>
            </w:pPr>
            <w:r w:rsidRPr="00F31A87">
              <w:rPr>
                <w:rFonts w:cs="Arial"/>
                <w:b/>
                <w:bCs/>
                <w:color w:val="17365D" w:themeColor="text2" w:themeShade="BF"/>
                <w:sz w:val="16"/>
                <w:szCs w:val="16"/>
              </w:rPr>
              <w:t>ЖИВОТНА ОСИГУРАЊА</w:t>
            </w:r>
          </w:p>
        </w:tc>
        <w:tc>
          <w:tcPr>
            <w:tcW w:w="1240" w:type="dxa"/>
            <w:shd w:val="clear" w:color="000000" w:fill="D9D9D9"/>
            <w:noWrap/>
            <w:vAlign w:val="center"/>
            <w:hideMark/>
          </w:tcPr>
          <w:p w:rsidR="005C4530" w:rsidRPr="00F31A87" w:rsidRDefault="005C4530" w:rsidP="005C4530">
            <w:pPr>
              <w:spacing w:line="240" w:lineRule="auto"/>
              <w:jc w:val="right"/>
              <w:rPr>
                <w:rFonts w:cs="Arial"/>
                <w:b/>
                <w:bCs/>
                <w:color w:val="17365D" w:themeColor="text2" w:themeShade="BF"/>
                <w:sz w:val="16"/>
                <w:szCs w:val="16"/>
              </w:rPr>
            </w:pPr>
            <w:r w:rsidRPr="00F31A87">
              <w:rPr>
                <w:b/>
                <w:color w:val="17365D" w:themeColor="text2" w:themeShade="BF"/>
                <w:sz w:val="16"/>
                <w:szCs w:val="16"/>
              </w:rPr>
              <w:t>2</w:t>
            </w:r>
            <w:r>
              <w:rPr>
                <w:b/>
                <w:color w:val="17365D" w:themeColor="text2" w:themeShade="BF"/>
                <w:sz w:val="16"/>
                <w:szCs w:val="16"/>
              </w:rPr>
              <w:t>1</w:t>
            </w:r>
            <w:r w:rsidRPr="00F31A87">
              <w:rPr>
                <w:b/>
                <w:color w:val="17365D" w:themeColor="text2" w:themeShade="BF"/>
                <w:sz w:val="16"/>
                <w:szCs w:val="16"/>
              </w:rPr>
              <w:t>.</w:t>
            </w:r>
            <w:r>
              <w:rPr>
                <w:b/>
                <w:color w:val="17365D" w:themeColor="text2" w:themeShade="BF"/>
                <w:sz w:val="16"/>
                <w:szCs w:val="16"/>
              </w:rPr>
              <w:t>220</w:t>
            </w:r>
            <w:r w:rsidRPr="00F31A87">
              <w:rPr>
                <w:b/>
                <w:color w:val="17365D" w:themeColor="text2" w:themeShade="BF"/>
                <w:sz w:val="16"/>
                <w:szCs w:val="16"/>
              </w:rPr>
              <w:t>.</w:t>
            </w:r>
            <w:r>
              <w:rPr>
                <w:b/>
                <w:color w:val="17365D" w:themeColor="text2" w:themeShade="BF"/>
                <w:sz w:val="16"/>
                <w:szCs w:val="16"/>
              </w:rPr>
              <w:t>346</w:t>
            </w:r>
          </w:p>
        </w:tc>
        <w:tc>
          <w:tcPr>
            <w:tcW w:w="1204" w:type="dxa"/>
            <w:shd w:val="clear" w:color="000000" w:fill="D9D9D9"/>
            <w:noWrap/>
            <w:vAlign w:val="center"/>
            <w:hideMark/>
          </w:tcPr>
          <w:p w:rsidR="005C4530" w:rsidRPr="0076478F" w:rsidRDefault="005C4530" w:rsidP="005C4530">
            <w:pPr>
              <w:spacing w:line="240" w:lineRule="auto"/>
              <w:jc w:val="center"/>
              <w:rPr>
                <w:rFonts w:cs="Arial"/>
                <w:b/>
                <w:color w:val="17365D" w:themeColor="text2" w:themeShade="BF"/>
                <w:sz w:val="16"/>
                <w:szCs w:val="16"/>
              </w:rPr>
            </w:pPr>
            <w:r w:rsidRPr="0076478F">
              <w:rPr>
                <w:rFonts w:cs="Arial"/>
                <w:b/>
                <w:color w:val="17365D" w:themeColor="text2" w:themeShade="BF"/>
                <w:sz w:val="16"/>
                <w:szCs w:val="16"/>
              </w:rPr>
              <w:t>1,</w:t>
            </w:r>
            <w:r>
              <w:rPr>
                <w:rFonts w:cs="Arial"/>
                <w:b/>
                <w:color w:val="17365D" w:themeColor="text2" w:themeShade="BF"/>
                <w:sz w:val="16"/>
                <w:szCs w:val="16"/>
              </w:rPr>
              <w:t>09</w:t>
            </w:r>
            <w:r w:rsidRPr="0076478F">
              <w:rPr>
                <w:rFonts w:cs="Arial"/>
                <w:b/>
                <w:color w:val="17365D" w:themeColor="text2" w:themeShade="BF"/>
                <w:sz w:val="16"/>
                <w:szCs w:val="16"/>
              </w:rPr>
              <w:t>%</w:t>
            </w:r>
          </w:p>
        </w:tc>
        <w:tc>
          <w:tcPr>
            <w:tcW w:w="1291" w:type="dxa"/>
            <w:shd w:val="clear" w:color="000000" w:fill="D9D9D9"/>
            <w:noWrap/>
            <w:vAlign w:val="center"/>
            <w:hideMark/>
          </w:tcPr>
          <w:p w:rsidR="005C4530" w:rsidRPr="005C4530" w:rsidRDefault="005C4530" w:rsidP="005C4530">
            <w:pPr>
              <w:spacing w:line="240" w:lineRule="auto"/>
              <w:jc w:val="right"/>
              <w:rPr>
                <w:rFonts w:cs="Arial"/>
                <w:b/>
                <w:bCs/>
                <w:color w:val="17365D" w:themeColor="text2" w:themeShade="BF"/>
                <w:sz w:val="16"/>
                <w:szCs w:val="16"/>
                <w:lang w:val="en-US"/>
              </w:rPr>
            </w:pPr>
            <w:r w:rsidRPr="005C4530">
              <w:rPr>
                <w:rFonts w:cs="Arial"/>
                <w:b/>
                <w:bCs/>
                <w:color w:val="17365D" w:themeColor="text2" w:themeShade="BF"/>
                <w:sz w:val="16"/>
                <w:szCs w:val="16"/>
              </w:rPr>
              <w:t>21.220.346</w:t>
            </w:r>
          </w:p>
        </w:tc>
        <w:tc>
          <w:tcPr>
            <w:tcW w:w="1106" w:type="dxa"/>
            <w:shd w:val="clear" w:color="000000" w:fill="D9D9D9"/>
            <w:noWrap/>
            <w:vAlign w:val="center"/>
            <w:hideMark/>
          </w:tcPr>
          <w:p w:rsidR="005C4530" w:rsidRPr="005C4530" w:rsidRDefault="005C4530" w:rsidP="005C4530">
            <w:pPr>
              <w:spacing w:line="240" w:lineRule="auto"/>
              <w:jc w:val="right"/>
              <w:rPr>
                <w:rFonts w:cs="Arial"/>
                <w:b/>
                <w:bCs/>
                <w:color w:val="17365D" w:themeColor="text2" w:themeShade="BF"/>
                <w:sz w:val="16"/>
                <w:szCs w:val="16"/>
              </w:rPr>
            </w:pPr>
            <w:r w:rsidRPr="005C4530">
              <w:rPr>
                <w:rFonts w:cs="Arial"/>
                <w:b/>
                <w:bCs/>
                <w:color w:val="17365D" w:themeColor="text2" w:themeShade="BF"/>
                <w:sz w:val="16"/>
                <w:szCs w:val="16"/>
              </w:rPr>
              <w:t>0</w:t>
            </w:r>
          </w:p>
        </w:tc>
        <w:tc>
          <w:tcPr>
            <w:tcW w:w="1059" w:type="dxa"/>
            <w:shd w:val="clear" w:color="000000" w:fill="D9D9D9"/>
            <w:noWrap/>
            <w:vAlign w:val="center"/>
            <w:hideMark/>
          </w:tcPr>
          <w:p w:rsidR="005C4530" w:rsidRPr="005C4530" w:rsidRDefault="005C4530" w:rsidP="005C4530">
            <w:pPr>
              <w:spacing w:line="240" w:lineRule="auto"/>
              <w:jc w:val="right"/>
              <w:rPr>
                <w:rFonts w:cs="Arial"/>
                <w:b/>
                <w:bCs/>
                <w:color w:val="17365D" w:themeColor="text2" w:themeShade="BF"/>
                <w:sz w:val="16"/>
                <w:szCs w:val="16"/>
              </w:rPr>
            </w:pPr>
            <w:r w:rsidRPr="005C4530">
              <w:rPr>
                <w:rFonts w:cs="Arial"/>
                <w:b/>
                <w:bCs/>
                <w:color w:val="17365D" w:themeColor="text2" w:themeShade="BF"/>
                <w:sz w:val="16"/>
                <w:szCs w:val="16"/>
              </w:rPr>
              <w:t>0,00%</w:t>
            </w:r>
          </w:p>
        </w:tc>
      </w:tr>
      <w:tr w:rsidR="005C4530" w:rsidRPr="00F31A87" w:rsidTr="005C4530">
        <w:trPr>
          <w:trHeight w:val="262"/>
          <w:jc w:val="center"/>
        </w:trPr>
        <w:tc>
          <w:tcPr>
            <w:tcW w:w="762" w:type="dxa"/>
            <w:shd w:val="clear" w:color="000000" w:fill="BFBFBF"/>
            <w:vAlign w:val="center"/>
            <w:hideMark/>
          </w:tcPr>
          <w:p w:rsidR="005C4530" w:rsidRPr="00F31A87" w:rsidRDefault="005C4530" w:rsidP="005C4530">
            <w:pPr>
              <w:spacing w:line="240" w:lineRule="auto"/>
              <w:jc w:val="center"/>
              <w:rPr>
                <w:rFonts w:cs="Arial"/>
                <w:b/>
                <w:bCs/>
                <w:color w:val="17365D" w:themeColor="text2" w:themeShade="BF"/>
                <w:sz w:val="16"/>
                <w:szCs w:val="16"/>
              </w:rPr>
            </w:pPr>
            <w:r w:rsidRPr="00F31A87">
              <w:rPr>
                <w:rFonts w:cs="Arial"/>
                <w:b/>
                <w:bCs/>
                <w:color w:val="17365D" w:themeColor="text2" w:themeShade="BF"/>
                <w:sz w:val="16"/>
                <w:szCs w:val="16"/>
              </w:rPr>
              <w:t> </w:t>
            </w:r>
          </w:p>
        </w:tc>
        <w:tc>
          <w:tcPr>
            <w:tcW w:w="2503" w:type="dxa"/>
            <w:shd w:val="clear" w:color="000000" w:fill="BFBFBF"/>
            <w:vAlign w:val="center"/>
            <w:hideMark/>
          </w:tcPr>
          <w:p w:rsidR="005C4530" w:rsidRPr="00F31A87" w:rsidRDefault="005C4530" w:rsidP="005C4530">
            <w:pPr>
              <w:spacing w:line="240" w:lineRule="auto"/>
              <w:jc w:val="left"/>
              <w:rPr>
                <w:rFonts w:cs="Arial"/>
                <w:b/>
                <w:bCs/>
                <w:color w:val="17365D" w:themeColor="text2" w:themeShade="BF"/>
                <w:sz w:val="16"/>
                <w:szCs w:val="16"/>
              </w:rPr>
            </w:pPr>
            <w:r w:rsidRPr="00F31A87">
              <w:rPr>
                <w:rFonts w:cs="Arial"/>
                <w:b/>
                <w:bCs/>
                <w:color w:val="17365D" w:themeColor="text2" w:themeShade="BF"/>
                <w:sz w:val="16"/>
                <w:szCs w:val="16"/>
              </w:rPr>
              <w:t>УКУПНО</w:t>
            </w:r>
          </w:p>
        </w:tc>
        <w:tc>
          <w:tcPr>
            <w:tcW w:w="1240" w:type="dxa"/>
            <w:shd w:val="clear" w:color="000000" w:fill="BFBFBF"/>
            <w:noWrap/>
            <w:vAlign w:val="center"/>
            <w:hideMark/>
          </w:tcPr>
          <w:p w:rsidR="005C4530" w:rsidRPr="00F31A87" w:rsidRDefault="005C4530" w:rsidP="005C4530">
            <w:pPr>
              <w:spacing w:line="240" w:lineRule="auto"/>
              <w:jc w:val="right"/>
              <w:rPr>
                <w:rFonts w:cs="Arial"/>
                <w:b/>
                <w:bCs/>
                <w:color w:val="17365D" w:themeColor="text2" w:themeShade="BF"/>
                <w:sz w:val="16"/>
                <w:szCs w:val="16"/>
              </w:rPr>
            </w:pPr>
            <w:r w:rsidRPr="00F31A87">
              <w:rPr>
                <w:b/>
                <w:color w:val="17365D" w:themeColor="text2" w:themeShade="BF"/>
                <w:sz w:val="16"/>
                <w:szCs w:val="16"/>
              </w:rPr>
              <w:t>1.</w:t>
            </w:r>
            <w:r>
              <w:rPr>
                <w:b/>
                <w:color w:val="17365D" w:themeColor="text2" w:themeShade="BF"/>
                <w:sz w:val="16"/>
                <w:szCs w:val="16"/>
              </w:rPr>
              <w:t>951</w:t>
            </w:r>
            <w:r w:rsidRPr="00F31A87">
              <w:rPr>
                <w:b/>
                <w:color w:val="17365D" w:themeColor="text2" w:themeShade="BF"/>
                <w:sz w:val="16"/>
                <w:szCs w:val="16"/>
              </w:rPr>
              <w:t>.</w:t>
            </w:r>
            <w:r>
              <w:rPr>
                <w:b/>
                <w:color w:val="17365D" w:themeColor="text2" w:themeShade="BF"/>
                <w:sz w:val="16"/>
                <w:szCs w:val="16"/>
              </w:rPr>
              <w:t>612</w:t>
            </w:r>
            <w:r w:rsidRPr="00F31A87">
              <w:rPr>
                <w:b/>
                <w:color w:val="17365D" w:themeColor="text2" w:themeShade="BF"/>
                <w:sz w:val="16"/>
                <w:szCs w:val="16"/>
              </w:rPr>
              <w:t>.</w:t>
            </w:r>
            <w:r>
              <w:rPr>
                <w:b/>
                <w:color w:val="17365D" w:themeColor="text2" w:themeShade="BF"/>
                <w:sz w:val="16"/>
                <w:szCs w:val="16"/>
              </w:rPr>
              <w:t>205</w:t>
            </w:r>
          </w:p>
        </w:tc>
        <w:tc>
          <w:tcPr>
            <w:tcW w:w="1204" w:type="dxa"/>
            <w:shd w:val="clear" w:color="000000" w:fill="BFBFBF"/>
            <w:noWrap/>
            <w:vAlign w:val="center"/>
            <w:hideMark/>
          </w:tcPr>
          <w:p w:rsidR="005C4530" w:rsidRPr="0076478F" w:rsidRDefault="005C4530" w:rsidP="005C4530">
            <w:pPr>
              <w:spacing w:line="240" w:lineRule="auto"/>
              <w:jc w:val="center"/>
              <w:rPr>
                <w:rFonts w:cs="Arial"/>
                <w:b/>
                <w:color w:val="17365D" w:themeColor="text2" w:themeShade="BF"/>
                <w:sz w:val="16"/>
                <w:szCs w:val="16"/>
              </w:rPr>
            </w:pPr>
            <w:r w:rsidRPr="0076478F">
              <w:rPr>
                <w:rFonts w:cs="Arial"/>
                <w:b/>
                <w:color w:val="17365D" w:themeColor="text2" w:themeShade="BF"/>
                <w:sz w:val="16"/>
                <w:szCs w:val="16"/>
              </w:rPr>
              <w:t>100,00%</w:t>
            </w:r>
          </w:p>
        </w:tc>
        <w:tc>
          <w:tcPr>
            <w:tcW w:w="1291" w:type="dxa"/>
            <w:shd w:val="clear" w:color="000000" w:fill="BFBFBF"/>
            <w:noWrap/>
            <w:vAlign w:val="center"/>
            <w:hideMark/>
          </w:tcPr>
          <w:p w:rsidR="005C4530" w:rsidRPr="005C4530" w:rsidRDefault="005C4530" w:rsidP="005C4530">
            <w:pPr>
              <w:spacing w:line="240" w:lineRule="auto"/>
              <w:jc w:val="right"/>
              <w:rPr>
                <w:rFonts w:cs="Arial"/>
                <w:b/>
                <w:bCs/>
                <w:color w:val="17365D" w:themeColor="text2" w:themeShade="BF"/>
                <w:sz w:val="16"/>
                <w:szCs w:val="16"/>
              </w:rPr>
            </w:pPr>
            <w:r w:rsidRPr="005C4530">
              <w:rPr>
                <w:rFonts w:cs="Arial"/>
                <w:b/>
                <w:bCs/>
                <w:color w:val="17365D" w:themeColor="text2" w:themeShade="BF"/>
                <w:sz w:val="16"/>
                <w:szCs w:val="16"/>
              </w:rPr>
              <w:t>1.758.516.221</w:t>
            </w:r>
          </w:p>
        </w:tc>
        <w:tc>
          <w:tcPr>
            <w:tcW w:w="1106" w:type="dxa"/>
            <w:shd w:val="clear" w:color="000000" w:fill="BFBFBF"/>
            <w:noWrap/>
            <w:vAlign w:val="center"/>
            <w:hideMark/>
          </w:tcPr>
          <w:p w:rsidR="005C4530" w:rsidRPr="005C4530" w:rsidRDefault="005C4530" w:rsidP="005C4530">
            <w:pPr>
              <w:spacing w:line="240" w:lineRule="auto"/>
              <w:jc w:val="right"/>
              <w:rPr>
                <w:rFonts w:cs="Arial"/>
                <w:b/>
                <w:bCs/>
                <w:color w:val="17365D" w:themeColor="text2" w:themeShade="BF"/>
                <w:sz w:val="16"/>
                <w:szCs w:val="16"/>
              </w:rPr>
            </w:pPr>
            <w:r w:rsidRPr="005C4530">
              <w:rPr>
                <w:rFonts w:cs="Arial"/>
                <w:b/>
                <w:bCs/>
                <w:color w:val="17365D" w:themeColor="text2" w:themeShade="BF"/>
                <w:sz w:val="16"/>
                <w:szCs w:val="16"/>
              </w:rPr>
              <w:t>193.095.983</w:t>
            </w:r>
          </w:p>
        </w:tc>
        <w:tc>
          <w:tcPr>
            <w:tcW w:w="1059" w:type="dxa"/>
            <w:shd w:val="clear" w:color="000000" w:fill="D9D9D9"/>
            <w:noWrap/>
            <w:vAlign w:val="center"/>
            <w:hideMark/>
          </w:tcPr>
          <w:p w:rsidR="005C4530" w:rsidRPr="005C4530" w:rsidRDefault="005C4530" w:rsidP="005C4530">
            <w:pPr>
              <w:spacing w:line="240" w:lineRule="auto"/>
              <w:jc w:val="right"/>
              <w:rPr>
                <w:rFonts w:cs="Arial"/>
                <w:b/>
                <w:bCs/>
                <w:color w:val="17365D" w:themeColor="text2" w:themeShade="BF"/>
                <w:sz w:val="16"/>
                <w:szCs w:val="16"/>
              </w:rPr>
            </w:pPr>
            <w:r w:rsidRPr="005C4530">
              <w:rPr>
                <w:rFonts w:cs="Arial"/>
                <w:b/>
                <w:bCs/>
                <w:color w:val="17365D" w:themeColor="text2" w:themeShade="BF"/>
                <w:sz w:val="16"/>
                <w:szCs w:val="16"/>
              </w:rPr>
              <w:t>10,98%</w:t>
            </w:r>
          </w:p>
        </w:tc>
      </w:tr>
    </w:tbl>
    <w:p w:rsidR="00147681" w:rsidRPr="00196439" w:rsidRDefault="00147681" w:rsidP="00F9061B">
      <w:pPr>
        <w:spacing w:line="276" w:lineRule="auto"/>
        <w:rPr>
          <w:rFonts w:cs="Arial"/>
          <w:color w:val="17365D" w:themeColor="text2" w:themeShade="BF"/>
          <w:sz w:val="22"/>
          <w:szCs w:val="22"/>
          <w:highlight w:val="yellow"/>
          <w:lang w:val="sr-Cyrl-RS"/>
        </w:rPr>
      </w:pPr>
    </w:p>
    <w:p w:rsidR="00807504" w:rsidRPr="00196439" w:rsidRDefault="00807504" w:rsidP="00F9061B">
      <w:pPr>
        <w:spacing w:line="276" w:lineRule="auto"/>
        <w:rPr>
          <w:rFonts w:cs="Arial"/>
          <w:color w:val="17365D" w:themeColor="text2" w:themeShade="BF"/>
          <w:sz w:val="22"/>
          <w:szCs w:val="22"/>
          <w:lang w:val="sr-Latn-RS"/>
        </w:rPr>
      </w:pPr>
      <w:r w:rsidRPr="00094B08">
        <w:rPr>
          <w:rFonts w:cs="Arial"/>
          <w:color w:val="17365D" w:themeColor="text2" w:themeShade="BF"/>
          <w:sz w:val="22"/>
          <w:szCs w:val="22"/>
          <w:lang w:val="sr-Latn-RS"/>
        </w:rPr>
        <w:t>Провером довољности резервисаних штета, у скаладу са Упутством за проверу адекватности техничких резерви, није утвђена њихова недовољност</w:t>
      </w:r>
      <w:r w:rsidR="007766CE" w:rsidRPr="00094B08">
        <w:rPr>
          <w:rFonts w:cs="Arial"/>
          <w:color w:val="17365D" w:themeColor="text2" w:themeShade="BF"/>
          <w:sz w:val="22"/>
          <w:szCs w:val="22"/>
          <w:lang w:val="sr-Cyrl-ME"/>
        </w:rPr>
        <w:t>/неадекватност</w:t>
      </w:r>
      <w:r w:rsidRPr="00094B08">
        <w:rPr>
          <w:rFonts w:cs="Arial"/>
          <w:color w:val="17365D" w:themeColor="text2" w:themeShade="BF"/>
          <w:sz w:val="22"/>
          <w:szCs w:val="22"/>
          <w:lang w:val="sr-Latn-RS"/>
        </w:rPr>
        <w:t xml:space="preserve">, већ позитивно одступање у износу од </w:t>
      </w:r>
      <w:r w:rsidR="00094B08">
        <w:rPr>
          <w:rFonts w:cs="Arial"/>
          <w:color w:val="17365D" w:themeColor="text2" w:themeShade="BF"/>
          <w:sz w:val="22"/>
          <w:szCs w:val="22"/>
          <w:lang w:val="sr-Cyrl-RS"/>
        </w:rPr>
        <w:t>10</w:t>
      </w:r>
      <w:r w:rsidRPr="00094B08">
        <w:rPr>
          <w:rFonts w:cs="Arial"/>
          <w:color w:val="17365D" w:themeColor="text2" w:themeShade="BF"/>
          <w:sz w:val="22"/>
          <w:szCs w:val="22"/>
          <w:lang w:val="sr-Latn-RS"/>
        </w:rPr>
        <w:t>,</w:t>
      </w:r>
      <w:r w:rsidR="00094B08">
        <w:rPr>
          <w:rFonts w:cs="Arial"/>
          <w:color w:val="17365D" w:themeColor="text2" w:themeShade="BF"/>
          <w:sz w:val="22"/>
          <w:szCs w:val="22"/>
          <w:lang w:val="sr-Cyrl-RS"/>
        </w:rPr>
        <w:t>98</w:t>
      </w:r>
      <w:r w:rsidRPr="00094B08">
        <w:rPr>
          <w:rFonts w:cs="Arial"/>
          <w:color w:val="17365D" w:themeColor="text2" w:themeShade="BF"/>
          <w:sz w:val="22"/>
          <w:szCs w:val="22"/>
          <w:lang w:val="sr-Latn-RS"/>
        </w:rPr>
        <w:t>%. У то</w:t>
      </w:r>
      <w:r w:rsidR="00C058B1">
        <w:rPr>
          <w:rFonts w:cs="Arial"/>
          <w:color w:val="17365D" w:themeColor="text2" w:themeShade="BF"/>
          <w:sz w:val="22"/>
          <w:szCs w:val="22"/>
          <w:lang w:val="sr-Latn-RS"/>
        </w:rPr>
        <w:t>м смислу није потребна корекција</w:t>
      </w:r>
      <w:r w:rsidRPr="00094B08">
        <w:rPr>
          <w:rFonts w:cs="Arial"/>
          <w:color w:val="17365D" w:themeColor="text2" w:themeShade="BF"/>
          <w:sz w:val="22"/>
          <w:szCs w:val="22"/>
          <w:lang w:val="sr-Latn-RS"/>
        </w:rPr>
        <w:t xml:space="preserve"> и усклађивање резерви и претпоставки које се користе при обрачуну.</w:t>
      </w:r>
    </w:p>
    <w:p w:rsidR="00405833" w:rsidRPr="00196439" w:rsidRDefault="00405833" w:rsidP="00F9061B">
      <w:pPr>
        <w:tabs>
          <w:tab w:val="left" w:pos="540"/>
        </w:tabs>
        <w:spacing w:line="276" w:lineRule="auto"/>
        <w:ind w:right="58"/>
        <w:rPr>
          <w:rFonts w:cs="Arial"/>
          <w:b/>
          <w:i/>
          <w:color w:val="17365D" w:themeColor="text2" w:themeShade="BF"/>
          <w:sz w:val="22"/>
          <w:szCs w:val="22"/>
        </w:rPr>
      </w:pPr>
    </w:p>
    <w:p w:rsidR="00F86A0C" w:rsidRDefault="00F86A0C">
      <w:pPr>
        <w:spacing w:after="200" w:line="276" w:lineRule="auto"/>
        <w:jc w:val="left"/>
        <w:rPr>
          <w:rFonts w:cs="Arial"/>
          <w:b/>
          <w:i/>
          <w:color w:val="17365D" w:themeColor="text2" w:themeShade="BF"/>
          <w:sz w:val="22"/>
          <w:szCs w:val="22"/>
        </w:rPr>
      </w:pPr>
      <w:r>
        <w:rPr>
          <w:rFonts w:cs="Arial"/>
          <w:b/>
          <w:i/>
          <w:color w:val="17365D" w:themeColor="text2" w:themeShade="BF"/>
          <w:sz w:val="22"/>
          <w:szCs w:val="22"/>
        </w:rPr>
        <w:br w:type="page"/>
      </w:r>
    </w:p>
    <w:p w:rsidR="00AD5129" w:rsidRPr="00196439" w:rsidRDefault="00D636F5" w:rsidP="00F9061B">
      <w:pPr>
        <w:spacing w:line="276" w:lineRule="auto"/>
        <w:rPr>
          <w:rFonts w:cs="Arial"/>
          <w:b/>
          <w:color w:val="17365D" w:themeColor="text2" w:themeShade="BF"/>
          <w:sz w:val="22"/>
          <w:szCs w:val="22"/>
        </w:rPr>
      </w:pPr>
      <w:r w:rsidRPr="00196439">
        <w:rPr>
          <w:rFonts w:cs="Arial"/>
          <w:b/>
          <w:color w:val="17365D" w:themeColor="text2" w:themeShade="BF"/>
          <w:sz w:val="22"/>
          <w:szCs w:val="22"/>
        </w:rPr>
        <w:lastRenderedPageBreak/>
        <w:t xml:space="preserve">3. </w:t>
      </w:r>
      <w:r w:rsidR="000E1833" w:rsidRPr="00196439">
        <w:rPr>
          <w:rFonts w:cs="Arial"/>
          <w:b/>
          <w:color w:val="17365D" w:themeColor="text2" w:themeShade="BF"/>
          <w:sz w:val="22"/>
          <w:szCs w:val="22"/>
        </w:rPr>
        <w:t xml:space="preserve">РЕТРОЦЕСИЈА </w:t>
      </w:r>
    </w:p>
    <w:p w:rsidR="000E1833" w:rsidRPr="00196439" w:rsidRDefault="000E1833" w:rsidP="00F9061B">
      <w:pPr>
        <w:spacing w:line="276" w:lineRule="auto"/>
        <w:rPr>
          <w:rFonts w:cs="Arial"/>
          <w:b/>
          <w:color w:val="17365D" w:themeColor="text2" w:themeShade="BF"/>
          <w:sz w:val="22"/>
          <w:szCs w:val="22"/>
        </w:rPr>
      </w:pPr>
    </w:p>
    <w:p w:rsidR="00145C43" w:rsidRPr="00196439" w:rsidRDefault="000E1833" w:rsidP="00F9061B">
      <w:pPr>
        <w:tabs>
          <w:tab w:val="left" w:pos="540"/>
        </w:tabs>
        <w:spacing w:line="276" w:lineRule="auto"/>
        <w:ind w:right="58"/>
        <w:rPr>
          <w:rFonts w:cs="Arial"/>
          <w:b/>
          <w:i/>
          <w:color w:val="17365D" w:themeColor="text2" w:themeShade="BF"/>
          <w:sz w:val="22"/>
          <w:szCs w:val="22"/>
        </w:rPr>
      </w:pPr>
      <w:r w:rsidRPr="00196439">
        <w:rPr>
          <w:rFonts w:cs="Arial"/>
          <w:b/>
          <w:i/>
          <w:color w:val="17365D" w:themeColor="text2" w:themeShade="BF"/>
          <w:sz w:val="22"/>
          <w:szCs w:val="22"/>
        </w:rPr>
        <w:t>3.1. САМОПРИДРЖАЈ ДРУШТВА</w:t>
      </w:r>
    </w:p>
    <w:p w:rsidR="000E1833" w:rsidRPr="00196439" w:rsidRDefault="000E1833" w:rsidP="00F9061B">
      <w:pPr>
        <w:tabs>
          <w:tab w:val="left" w:pos="540"/>
        </w:tabs>
        <w:spacing w:line="276" w:lineRule="auto"/>
        <w:ind w:right="58"/>
        <w:rPr>
          <w:rFonts w:cs="Arial"/>
          <w:color w:val="17365D" w:themeColor="text2" w:themeShade="BF"/>
          <w:sz w:val="22"/>
          <w:szCs w:val="22"/>
        </w:rPr>
      </w:pPr>
    </w:p>
    <w:p w:rsidR="00CD1D1B" w:rsidRPr="00196439" w:rsidRDefault="00CD1D1B" w:rsidP="00CD1D1B">
      <w:pPr>
        <w:tabs>
          <w:tab w:val="left" w:pos="540"/>
        </w:tabs>
        <w:spacing w:line="276" w:lineRule="auto"/>
        <w:ind w:right="58"/>
        <w:rPr>
          <w:rFonts w:cs="Arial"/>
          <w:color w:val="17365D" w:themeColor="text2" w:themeShade="BF"/>
          <w:sz w:val="22"/>
          <w:szCs w:val="22"/>
        </w:rPr>
      </w:pPr>
      <w:r w:rsidRPr="00196439">
        <w:rPr>
          <w:rFonts w:cs="Arial"/>
          <w:color w:val="17365D" w:themeColor="text2" w:themeShade="BF"/>
          <w:sz w:val="22"/>
          <w:szCs w:val="22"/>
        </w:rPr>
        <w:t>Преузимање ризика у реосигурање и пласмани вишкова ризика у ретроцесију у посматраном периоду врши се према Правилнику о саосигурању и реосигурању и Табели максималног самопридржаја која је са</w:t>
      </w:r>
      <w:r w:rsidRPr="00196439">
        <w:rPr>
          <w:rFonts w:cs="Arial"/>
          <w:color w:val="17365D" w:themeColor="text2" w:themeShade="BF"/>
          <w:sz w:val="22"/>
          <w:szCs w:val="22"/>
          <w:lang w:val="sr-Cyrl-RS"/>
        </w:rPr>
        <w:t>с</w:t>
      </w:r>
      <w:r w:rsidRPr="00196439">
        <w:rPr>
          <w:rFonts w:cs="Arial"/>
          <w:color w:val="17365D" w:themeColor="text2" w:themeShade="BF"/>
          <w:sz w:val="22"/>
          <w:szCs w:val="22"/>
        </w:rPr>
        <w:t>тавни део Одлуке о критеријумима, начину утврђивања и табели максималног самопридржаја Друштва.</w:t>
      </w:r>
    </w:p>
    <w:p w:rsidR="00CD1D1B" w:rsidRPr="00196439" w:rsidRDefault="00CD1D1B" w:rsidP="00CD1D1B">
      <w:pPr>
        <w:tabs>
          <w:tab w:val="left" w:pos="540"/>
        </w:tabs>
        <w:spacing w:line="276" w:lineRule="auto"/>
        <w:ind w:right="58"/>
        <w:rPr>
          <w:rFonts w:cs="Arial"/>
          <w:color w:val="17365D" w:themeColor="text2" w:themeShade="BF"/>
          <w:sz w:val="22"/>
          <w:szCs w:val="22"/>
        </w:rPr>
      </w:pPr>
    </w:p>
    <w:p w:rsidR="00CD1D1B" w:rsidRPr="00196439" w:rsidRDefault="00CD1D1B" w:rsidP="00CD1D1B">
      <w:pPr>
        <w:pStyle w:val="BodyText"/>
        <w:tabs>
          <w:tab w:val="left" w:pos="0"/>
        </w:tabs>
        <w:spacing w:after="0" w:line="276" w:lineRule="auto"/>
        <w:jc w:val="both"/>
        <w:rPr>
          <w:rFonts w:ascii="Arial" w:hAnsi="Arial" w:cs="Arial"/>
          <w:color w:val="17365D" w:themeColor="text2" w:themeShade="BF"/>
          <w:sz w:val="22"/>
          <w:szCs w:val="22"/>
          <w:lang w:val="de-AT"/>
        </w:rPr>
      </w:pPr>
      <w:r w:rsidRPr="00196439">
        <w:rPr>
          <w:rFonts w:ascii="Arial" w:hAnsi="Arial" w:cs="Arial"/>
          <w:color w:val="17365D" w:themeColor="text2" w:themeShade="BF"/>
          <w:sz w:val="22"/>
          <w:szCs w:val="22"/>
          <w:lang w:val="de-AT"/>
        </w:rPr>
        <w:t>Друштво у 2019. години примењ</w:t>
      </w:r>
      <w:r w:rsidRPr="00196439">
        <w:rPr>
          <w:rFonts w:ascii="Arial" w:hAnsi="Arial" w:cs="Arial"/>
          <w:color w:val="17365D" w:themeColor="text2" w:themeShade="BF"/>
          <w:sz w:val="22"/>
          <w:szCs w:val="22"/>
          <w:lang w:val="sr-Cyrl-RS"/>
        </w:rPr>
        <w:t>ивало</w:t>
      </w:r>
      <w:r w:rsidRPr="00196439">
        <w:rPr>
          <w:rFonts w:ascii="Arial" w:hAnsi="Arial" w:cs="Arial"/>
          <w:color w:val="17365D" w:themeColor="text2" w:themeShade="BF"/>
          <w:sz w:val="22"/>
          <w:szCs w:val="22"/>
          <w:lang w:val="de-AT"/>
        </w:rPr>
        <w:t xml:space="preserve"> </w:t>
      </w:r>
      <w:r w:rsidRPr="00196439">
        <w:rPr>
          <w:rFonts w:ascii="Arial" w:hAnsi="Arial" w:cs="Arial"/>
          <w:b/>
          <w:color w:val="17365D" w:themeColor="text2" w:themeShade="BF"/>
          <w:sz w:val="22"/>
          <w:szCs w:val="22"/>
          <w:lang w:val="de-AT"/>
        </w:rPr>
        <w:t>Табелу максималног самопридржаја</w:t>
      </w:r>
      <w:r w:rsidRPr="00196439">
        <w:rPr>
          <w:rFonts w:ascii="Arial" w:hAnsi="Arial" w:cs="Arial"/>
          <w:color w:val="17365D" w:themeColor="text2" w:themeShade="BF"/>
          <w:sz w:val="22"/>
          <w:szCs w:val="22"/>
          <w:lang w:val="de-AT"/>
        </w:rPr>
        <w:t xml:space="preserve"> којом је одређено максимално покриће у самопридржају по врстама осигурања</w:t>
      </w:r>
      <w:r w:rsidRPr="00196439">
        <w:rPr>
          <w:rFonts w:ascii="Arial" w:hAnsi="Arial" w:cs="Arial"/>
          <w:color w:val="17365D" w:themeColor="text2" w:themeShade="BF"/>
          <w:sz w:val="22"/>
          <w:szCs w:val="22"/>
          <w:lang w:val="sr-Cyrl-RS"/>
        </w:rPr>
        <w:t>.</w:t>
      </w:r>
    </w:p>
    <w:p w:rsidR="00CD1D1B" w:rsidRPr="00196439" w:rsidRDefault="00CD1D1B" w:rsidP="00CD1D1B">
      <w:pPr>
        <w:pStyle w:val="BodyText"/>
        <w:tabs>
          <w:tab w:val="left" w:pos="0"/>
        </w:tabs>
        <w:spacing w:after="0" w:line="276" w:lineRule="auto"/>
        <w:jc w:val="both"/>
        <w:rPr>
          <w:rFonts w:ascii="Arial" w:hAnsi="Arial" w:cs="Arial"/>
          <w:color w:val="17365D" w:themeColor="text2" w:themeShade="BF"/>
          <w:sz w:val="22"/>
          <w:szCs w:val="22"/>
          <w:lang w:val="de-AT"/>
        </w:rPr>
      </w:pPr>
    </w:p>
    <w:p w:rsidR="00CD1D1B" w:rsidRPr="00196439" w:rsidRDefault="00CD1D1B" w:rsidP="00CD1D1B">
      <w:pPr>
        <w:pStyle w:val="BodyText"/>
        <w:tabs>
          <w:tab w:val="left" w:pos="0"/>
        </w:tabs>
        <w:spacing w:after="0" w:line="276" w:lineRule="auto"/>
        <w:jc w:val="center"/>
        <w:rPr>
          <w:rFonts w:ascii="Arial" w:hAnsi="Arial" w:cs="Arial"/>
          <w:color w:val="17365D" w:themeColor="text2" w:themeShade="BF"/>
          <w:sz w:val="22"/>
          <w:szCs w:val="22"/>
          <w:lang w:val="de-AT"/>
        </w:rPr>
      </w:pPr>
      <w:r w:rsidRPr="00196439">
        <w:rPr>
          <w:rFonts w:ascii="Arial" w:hAnsi="Arial" w:cs="Arial"/>
          <w:noProof/>
          <w:color w:val="17365D" w:themeColor="text2" w:themeShade="BF"/>
          <w:sz w:val="22"/>
          <w:szCs w:val="22"/>
          <w:lang w:val="en-US"/>
        </w:rPr>
        <w:drawing>
          <wp:inline distT="0" distB="0" distL="0" distR="0" wp14:anchorId="40D56290" wp14:editId="553303A8">
            <wp:extent cx="4761230" cy="4742815"/>
            <wp:effectExtent l="0" t="0" r="1270" b="63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61230" cy="4742815"/>
                    </a:xfrm>
                    <a:prstGeom prst="rect">
                      <a:avLst/>
                    </a:prstGeom>
                    <a:noFill/>
                  </pic:spPr>
                </pic:pic>
              </a:graphicData>
            </a:graphic>
          </wp:inline>
        </w:drawing>
      </w:r>
    </w:p>
    <w:p w:rsidR="00CD1D1B" w:rsidRPr="00196439" w:rsidRDefault="00CD1D1B" w:rsidP="00CD1D1B">
      <w:pPr>
        <w:pStyle w:val="BodyText"/>
        <w:tabs>
          <w:tab w:val="left" w:pos="0"/>
        </w:tabs>
        <w:spacing w:after="0" w:line="276" w:lineRule="auto"/>
        <w:jc w:val="both"/>
        <w:rPr>
          <w:rFonts w:ascii="Arial" w:hAnsi="Arial" w:cs="Arial"/>
          <w:color w:val="17365D" w:themeColor="text2" w:themeShade="BF"/>
          <w:sz w:val="22"/>
          <w:szCs w:val="22"/>
          <w:lang w:val="de-AT"/>
        </w:rPr>
      </w:pPr>
    </w:p>
    <w:p w:rsidR="00CD1D1B" w:rsidRPr="00196439" w:rsidRDefault="00CD1D1B" w:rsidP="00CD1D1B">
      <w:pPr>
        <w:widowControl w:val="0"/>
        <w:spacing w:line="276" w:lineRule="auto"/>
        <w:rPr>
          <w:color w:val="17365D" w:themeColor="text2" w:themeShade="BF"/>
          <w:sz w:val="22"/>
          <w:szCs w:val="22"/>
          <w:lang w:val="sr-Cyrl-ME"/>
        </w:rPr>
      </w:pPr>
      <w:r w:rsidRPr="00196439">
        <w:rPr>
          <w:color w:val="17365D" w:themeColor="text2" w:themeShade="BF"/>
          <w:sz w:val="22"/>
          <w:szCs w:val="22"/>
          <w:lang w:val="sr-Cyrl-ME"/>
        </w:rPr>
        <w:t xml:space="preserve">Самопридржај по врстама осигурања није мењан у односу на </w:t>
      </w:r>
      <w:r w:rsidRPr="00196439">
        <w:rPr>
          <w:color w:val="17365D" w:themeColor="text2" w:themeShade="BF"/>
          <w:sz w:val="22"/>
          <w:szCs w:val="22"/>
          <w:lang w:val="sr-Cyrl-RS"/>
        </w:rPr>
        <w:t xml:space="preserve">претходну </w:t>
      </w:r>
      <w:r w:rsidRPr="00196439">
        <w:rPr>
          <w:color w:val="17365D" w:themeColor="text2" w:themeShade="BF"/>
          <w:sz w:val="22"/>
          <w:szCs w:val="22"/>
          <w:lang w:val="sr-Cyrl-ME"/>
        </w:rPr>
        <w:t>годину.</w:t>
      </w:r>
    </w:p>
    <w:p w:rsidR="00CD1D1B" w:rsidRPr="00196439" w:rsidRDefault="00CD1D1B" w:rsidP="00CD1D1B">
      <w:pPr>
        <w:widowControl w:val="0"/>
        <w:spacing w:line="276" w:lineRule="auto"/>
        <w:rPr>
          <w:color w:val="17365D" w:themeColor="text2" w:themeShade="BF"/>
          <w:sz w:val="22"/>
          <w:szCs w:val="22"/>
          <w:lang w:val="sr-Cyrl-ME"/>
        </w:rPr>
      </w:pPr>
    </w:p>
    <w:p w:rsidR="00CD1D1B" w:rsidRPr="00196439" w:rsidRDefault="00CD1D1B" w:rsidP="00CD1D1B">
      <w:pPr>
        <w:spacing w:line="276" w:lineRule="auto"/>
        <w:rPr>
          <w:rFonts w:cs="Arial"/>
          <w:color w:val="17365D" w:themeColor="text2" w:themeShade="BF"/>
          <w:sz w:val="22"/>
          <w:szCs w:val="22"/>
          <w:lang w:val="sr-Latn-RS"/>
        </w:rPr>
      </w:pPr>
      <w:r w:rsidRPr="00196439">
        <w:rPr>
          <w:rFonts w:cs="Arial"/>
          <w:color w:val="17365D" w:themeColor="text2" w:themeShade="BF"/>
          <w:sz w:val="22"/>
          <w:szCs w:val="22"/>
          <w:lang w:val="sr-Cyrl-ME"/>
        </w:rPr>
        <w:t>Као и претходних година, з</w:t>
      </w:r>
      <w:r w:rsidRPr="00196439">
        <w:rPr>
          <w:rFonts w:cs="Arial"/>
          <w:color w:val="17365D" w:themeColor="text2" w:themeShade="BF"/>
          <w:sz w:val="22"/>
          <w:szCs w:val="22"/>
          <w:lang w:val="sr-Latn-RS"/>
        </w:rPr>
        <w:t xml:space="preserve">а 2019. годину </w:t>
      </w:r>
      <w:r w:rsidRPr="00196439">
        <w:rPr>
          <w:rFonts w:cs="Arial"/>
          <w:color w:val="17365D" w:themeColor="text2" w:themeShade="BF"/>
          <w:sz w:val="22"/>
          <w:szCs w:val="22"/>
          <w:lang w:val="sr-Cyrl-ME"/>
        </w:rPr>
        <w:t>Друштво</w:t>
      </w:r>
      <w:r w:rsidRPr="00196439">
        <w:rPr>
          <w:rFonts w:cs="Arial"/>
          <w:color w:val="17365D" w:themeColor="text2" w:themeShade="BF"/>
          <w:sz w:val="22"/>
          <w:szCs w:val="22"/>
          <w:lang w:val="sr-Latn-RS"/>
        </w:rPr>
        <w:t xml:space="preserve"> је уговори</w:t>
      </w:r>
      <w:r w:rsidRPr="00196439">
        <w:rPr>
          <w:rFonts w:cs="Arial"/>
          <w:color w:val="17365D" w:themeColor="text2" w:themeShade="BF"/>
          <w:sz w:val="22"/>
          <w:szCs w:val="22"/>
          <w:lang w:val="sr-Cyrl-RS"/>
        </w:rPr>
        <w:t>л</w:t>
      </w:r>
      <w:r w:rsidRPr="00196439">
        <w:rPr>
          <w:rFonts w:cs="Arial"/>
          <w:color w:val="17365D" w:themeColor="text2" w:themeShade="BF"/>
          <w:sz w:val="22"/>
          <w:szCs w:val="22"/>
          <w:lang w:val="sr-Latn-RS"/>
        </w:rPr>
        <w:t>о следећа покрића којима штити свој самопридржај по ризику:</w:t>
      </w:r>
    </w:p>
    <w:p w:rsidR="00CD1D1B" w:rsidRPr="00196439" w:rsidRDefault="00CD1D1B" w:rsidP="00CD1D1B">
      <w:pPr>
        <w:spacing w:line="276" w:lineRule="auto"/>
        <w:rPr>
          <w:rFonts w:cs="Arial"/>
          <w:color w:val="17365D" w:themeColor="text2" w:themeShade="BF"/>
          <w:sz w:val="22"/>
          <w:szCs w:val="22"/>
          <w:lang w:val="sr-Latn-RS"/>
        </w:rPr>
      </w:pPr>
      <w:r w:rsidRPr="00196439">
        <w:rPr>
          <w:rFonts w:cs="Arial"/>
          <w:color w:val="17365D" w:themeColor="text2" w:themeShade="BF"/>
          <w:sz w:val="22"/>
          <w:szCs w:val="22"/>
          <w:lang w:val="sr-Latn-RS"/>
        </w:rPr>
        <w:t> </w:t>
      </w:r>
    </w:p>
    <w:p w:rsidR="00CD1D1B" w:rsidRPr="00196439" w:rsidRDefault="00CD1D1B" w:rsidP="00CD1D1B">
      <w:pPr>
        <w:pStyle w:val="ListParagraph"/>
        <w:numPr>
          <w:ilvl w:val="0"/>
          <w:numId w:val="46"/>
        </w:num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Latn-RS"/>
        </w:rPr>
        <w:t xml:space="preserve">Risk XL sublayer </w:t>
      </w:r>
      <w:r w:rsidRPr="00196439">
        <w:rPr>
          <w:rFonts w:cs="Arial"/>
          <w:color w:val="17365D" w:themeColor="text2" w:themeShade="BF"/>
          <w:sz w:val="22"/>
          <w:szCs w:val="22"/>
          <w:lang w:val="sr-Cyrl-ME"/>
        </w:rPr>
        <w:t>са структуром</w:t>
      </w:r>
      <w:r w:rsidRPr="00196439">
        <w:rPr>
          <w:rFonts w:cs="Arial"/>
          <w:color w:val="17365D" w:themeColor="text2" w:themeShade="BF"/>
          <w:sz w:val="22"/>
          <w:szCs w:val="22"/>
          <w:lang w:val="sr-Latn-RS"/>
        </w:rPr>
        <w:t xml:space="preserve"> 250.000 EUR </w:t>
      </w:r>
      <w:r w:rsidRPr="00196439">
        <w:rPr>
          <w:rFonts w:cs="Arial"/>
          <w:color w:val="17365D" w:themeColor="text2" w:themeShade="BF"/>
          <w:sz w:val="22"/>
          <w:szCs w:val="22"/>
          <w:lang w:val="sr-Cyrl-ME"/>
        </w:rPr>
        <w:t>у вишку изнад</w:t>
      </w:r>
      <w:r w:rsidRPr="00196439">
        <w:rPr>
          <w:rFonts w:cs="Arial"/>
          <w:color w:val="17365D" w:themeColor="text2" w:themeShade="BF"/>
          <w:sz w:val="22"/>
          <w:szCs w:val="22"/>
          <w:lang w:val="sr-Latn-RS"/>
        </w:rPr>
        <w:t xml:space="preserve"> 250.000 EUR</w:t>
      </w:r>
      <w:r w:rsidRPr="00196439">
        <w:rPr>
          <w:rFonts w:cs="Arial"/>
          <w:color w:val="17365D" w:themeColor="text2" w:themeShade="BF"/>
          <w:sz w:val="22"/>
          <w:szCs w:val="22"/>
          <w:lang w:val="sr-Cyrl-ME"/>
        </w:rPr>
        <w:t>;</w:t>
      </w:r>
    </w:p>
    <w:p w:rsidR="00CD1D1B" w:rsidRPr="00196439" w:rsidRDefault="00CD1D1B" w:rsidP="00CD1D1B">
      <w:pPr>
        <w:pStyle w:val="ListParagraph"/>
        <w:numPr>
          <w:ilvl w:val="0"/>
          <w:numId w:val="46"/>
        </w:num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Latn-RS"/>
        </w:rPr>
        <w:t xml:space="preserve">Risk XL </w:t>
      </w:r>
      <w:r w:rsidRPr="00196439">
        <w:rPr>
          <w:rFonts w:cs="Arial"/>
          <w:color w:val="17365D" w:themeColor="text2" w:themeShade="BF"/>
          <w:sz w:val="22"/>
          <w:szCs w:val="22"/>
          <w:lang w:val="sr-Cyrl-ME"/>
        </w:rPr>
        <w:t>уговор</w:t>
      </w:r>
      <w:r w:rsidRPr="00196439">
        <w:rPr>
          <w:rFonts w:cs="Arial"/>
          <w:color w:val="17365D" w:themeColor="text2" w:themeShade="BF"/>
          <w:sz w:val="22"/>
          <w:szCs w:val="22"/>
          <w:lang w:val="sr-Latn-RS"/>
        </w:rPr>
        <w:t xml:space="preserve"> </w:t>
      </w:r>
      <w:r w:rsidRPr="00196439">
        <w:rPr>
          <w:rFonts w:cs="Arial"/>
          <w:color w:val="17365D" w:themeColor="text2" w:themeShade="BF"/>
          <w:sz w:val="22"/>
          <w:szCs w:val="22"/>
          <w:lang w:val="sr-Cyrl-ME"/>
        </w:rPr>
        <w:t>са структуром</w:t>
      </w:r>
      <w:r w:rsidRPr="00196439">
        <w:rPr>
          <w:rFonts w:cs="Arial"/>
          <w:color w:val="17365D" w:themeColor="text2" w:themeShade="BF"/>
          <w:sz w:val="22"/>
          <w:szCs w:val="22"/>
          <w:lang w:val="sr-Latn-RS"/>
        </w:rPr>
        <w:t xml:space="preserve"> 2.000.000 EUR </w:t>
      </w:r>
      <w:r w:rsidRPr="00196439">
        <w:rPr>
          <w:rFonts w:cs="Arial"/>
          <w:color w:val="17365D" w:themeColor="text2" w:themeShade="BF"/>
          <w:sz w:val="22"/>
          <w:szCs w:val="22"/>
          <w:lang w:val="sr-Cyrl-ME"/>
        </w:rPr>
        <w:t>у вишку изнад</w:t>
      </w:r>
      <w:r w:rsidRPr="00196439">
        <w:rPr>
          <w:rFonts w:cs="Arial"/>
          <w:color w:val="17365D" w:themeColor="text2" w:themeShade="BF"/>
          <w:sz w:val="22"/>
          <w:szCs w:val="22"/>
          <w:lang w:val="sr-Latn-RS"/>
        </w:rPr>
        <w:t xml:space="preserve"> 500.000 EUR</w:t>
      </w:r>
      <w:r w:rsidRPr="00196439">
        <w:rPr>
          <w:rFonts w:cs="Arial"/>
          <w:color w:val="17365D" w:themeColor="text2" w:themeShade="BF"/>
          <w:sz w:val="22"/>
          <w:szCs w:val="22"/>
          <w:lang w:val="sr-Cyrl-ME"/>
        </w:rPr>
        <w:t>.</w:t>
      </w:r>
    </w:p>
    <w:p w:rsidR="00CD1D1B" w:rsidRPr="00196439" w:rsidRDefault="00CD1D1B" w:rsidP="00CD1D1B">
      <w:pPr>
        <w:spacing w:line="276" w:lineRule="auto"/>
        <w:rPr>
          <w:rFonts w:cs="Arial"/>
          <w:color w:val="17365D" w:themeColor="text2" w:themeShade="BF"/>
          <w:sz w:val="22"/>
          <w:szCs w:val="22"/>
          <w:lang w:val="sr-Latn-RS"/>
        </w:rPr>
      </w:pPr>
    </w:p>
    <w:p w:rsidR="00CD1D1B" w:rsidRPr="00196439" w:rsidRDefault="00CD1D1B" w:rsidP="00CD1D1B">
      <w:pPr>
        <w:spacing w:line="276" w:lineRule="auto"/>
        <w:rPr>
          <w:rFonts w:cs="Arial"/>
          <w:color w:val="17365D" w:themeColor="text2" w:themeShade="BF"/>
          <w:sz w:val="22"/>
          <w:szCs w:val="22"/>
          <w:lang w:val="sr-Latn-RS"/>
        </w:rPr>
      </w:pPr>
      <w:r w:rsidRPr="00196439">
        <w:rPr>
          <w:rFonts w:cs="Arial"/>
          <w:color w:val="17365D" w:themeColor="text2" w:themeShade="BF"/>
          <w:sz w:val="22"/>
          <w:szCs w:val="22"/>
          <w:lang w:val="sr-Cyrl-RS"/>
        </w:rPr>
        <w:t>Такође,</w:t>
      </w:r>
      <w:r w:rsidRPr="00196439">
        <w:rPr>
          <w:rFonts w:cs="Arial"/>
          <w:color w:val="17365D" w:themeColor="text2" w:themeShade="BF"/>
          <w:sz w:val="22"/>
          <w:szCs w:val="22"/>
          <w:lang w:val="sr-Latn-RS"/>
        </w:rPr>
        <w:t xml:space="preserve"> </w:t>
      </w:r>
      <w:r w:rsidRPr="00196439">
        <w:rPr>
          <w:rFonts w:cs="Arial"/>
          <w:color w:val="17365D" w:themeColor="text2" w:themeShade="BF"/>
          <w:sz w:val="22"/>
          <w:szCs w:val="22"/>
          <w:lang w:val="sr-Cyrl-ME"/>
        </w:rPr>
        <w:t>Друштво</w:t>
      </w:r>
      <w:r w:rsidRPr="00196439">
        <w:rPr>
          <w:rFonts w:cs="Arial"/>
          <w:color w:val="17365D" w:themeColor="text2" w:themeShade="BF"/>
          <w:sz w:val="22"/>
          <w:szCs w:val="22"/>
          <w:lang w:val="sr-Latn-RS"/>
        </w:rPr>
        <w:t xml:space="preserve"> је уговори</w:t>
      </w:r>
      <w:r w:rsidRPr="00196439">
        <w:rPr>
          <w:rFonts w:cs="Arial"/>
          <w:color w:val="17365D" w:themeColor="text2" w:themeShade="BF"/>
          <w:sz w:val="22"/>
          <w:szCs w:val="22"/>
          <w:lang w:val="sr-Cyrl-RS"/>
        </w:rPr>
        <w:t>л</w:t>
      </w:r>
      <w:r w:rsidRPr="00196439">
        <w:rPr>
          <w:rFonts w:cs="Arial"/>
          <w:color w:val="17365D" w:themeColor="text2" w:themeShade="BF"/>
          <w:sz w:val="22"/>
          <w:szCs w:val="22"/>
          <w:lang w:val="sr-Latn-RS"/>
        </w:rPr>
        <w:t>о и заштиту по догађају:</w:t>
      </w:r>
    </w:p>
    <w:p w:rsidR="00CD1D1B" w:rsidRPr="00196439" w:rsidRDefault="00CD1D1B" w:rsidP="00CD1D1B">
      <w:pPr>
        <w:spacing w:line="276" w:lineRule="auto"/>
        <w:rPr>
          <w:rFonts w:cs="Arial"/>
          <w:color w:val="17365D" w:themeColor="text2" w:themeShade="BF"/>
          <w:sz w:val="22"/>
          <w:szCs w:val="22"/>
          <w:lang w:val="sr-Latn-RS"/>
        </w:rPr>
      </w:pPr>
    </w:p>
    <w:p w:rsidR="00CD1D1B" w:rsidRPr="00196439" w:rsidRDefault="00CD1D1B" w:rsidP="00CD1D1B">
      <w:pPr>
        <w:pStyle w:val="ListParagraph"/>
        <w:numPr>
          <w:ilvl w:val="0"/>
          <w:numId w:val="48"/>
        </w:num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Latn-RS"/>
        </w:rPr>
        <w:t xml:space="preserve">CAT XL уговор </w:t>
      </w:r>
      <w:r w:rsidRPr="00196439">
        <w:rPr>
          <w:rFonts w:cs="Arial"/>
          <w:color w:val="17365D" w:themeColor="text2" w:themeShade="BF"/>
          <w:sz w:val="22"/>
          <w:szCs w:val="22"/>
          <w:lang w:val="sr-Cyrl-ME"/>
        </w:rPr>
        <w:t>са структуром</w:t>
      </w:r>
      <w:r w:rsidRPr="00196439">
        <w:rPr>
          <w:rFonts w:cs="Arial"/>
          <w:color w:val="17365D" w:themeColor="text2" w:themeShade="BF"/>
          <w:sz w:val="22"/>
          <w:szCs w:val="22"/>
          <w:lang w:val="sr-Latn-RS"/>
        </w:rPr>
        <w:t xml:space="preserve"> </w:t>
      </w:r>
      <w:r w:rsidRPr="00196439">
        <w:rPr>
          <w:rFonts w:cs="Arial"/>
          <w:color w:val="17365D" w:themeColor="text2" w:themeShade="BF"/>
          <w:sz w:val="22"/>
          <w:szCs w:val="22"/>
          <w:lang w:val="sr-Cyrl-RS"/>
        </w:rPr>
        <w:t>8</w:t>
      </w:r>
      <w:r w:rsidRPr="00196439">
        <w:rPr>
          <w:rFonts w:cs="Arial"/>
          <w:color w:val="17365D" w:themeColor="text2" w:themeShade="BF"/>
          <w:sz w:val="22"/>
          <w:szCs w:val="22"/>
          <w:lang w:val="sr-Latn-RS"/>
        </w:rPr>
        <w:t xml:space="preserve">.500.000 EUR </w:t>
      </w:r>
      <w:r w:rsidRPr="00196439">
        <w:rPr>
          <w:rFonts w:cs="Arial"/>
          <w:color w:val="17365D" w:themeColor="text2" w:themeShade="BF"/>
          <w:sz w:val="22"/>
          <w:szCs w:val="22"/>
          <w:lang w:val="sr-Cyrl-ME"/>
        </w:rPr>
        <w:t>у вишку изнад</w:t>
      </w:r>
      <w:r w:rsidRPr="00196439">
        <w:rPr>
          <w:rFonts w:cs="Arial"/>
          <w:color w:val="17365D" w:themeColor="text2" w:themeShade="BF"/>
          <w:sz w:val="22"/>
          <w:szCs w:val="22"/>
          <w:lang w:val="sr-Latn-RS"/>
        </w:rPr>
        <w:t xml:space="preserve"> 1.500.000 EUR</w:t>
      </w:r>
      <w:r w:rsidRPr="00196439">
        <w:rPr>
          <w:rFonts w:cs="Arial"/>
          <w:color w:val="17365D" w:themeColor="text2" w:themeShade="BF"/>
          <w:sz w:val="22"/>
          <w:szCs w:val="22"/>
          <w:lang w:val="sr-Cyrl-ME"/>
        </w:rPr>
        <w:t>.</w:t>
      </w:r>
    </w:p>
    <w:p w:rsidR="00CD1D1B" w:rsidRPr="00196439" w:rsidRDefault="00CD1D1B" w:rsidP="00CD1D1B">
      <w:pPr>
        <w:pStyle w:val="BodyText"/>
        <w:tabs>
          <w:tab w:val="left" w:pos="0"/>
        </w:tabs>
        <w:spacing w:after="0" w:line="276" w:lineRule="auto"/>
        <w:jc w:val="both"/>
        <w:rPr>
          <w:rFonts w:ascii="Arial" w:hAnsi="Arial" w:cs="Arial"/>
          <w:color w:val="17365D" w:themeColor="text2" w:themeShade="BF"/>
          <w:sz w:val="22"/>
          <w:szCs w:val="22"/>
          <w:lang w:val="de-AT"/>
        </w:rPr>
      </w:pPr>
    </w:p>
    <w:p w:rsidR="00CD1D1B" w:rsidRPr="00196439" w:rsidRDefault="00CD1D1B" w:rsidP="00CD1D1B">
      <w:pPr>
        <w:spacing w:line="276" w:lineRule="auto"/>
        <w:rPr>
          <w:rFonts w:cs="Arial"/>
          <w:color w:val="17365D" w:themeColor="text2" w:themeShade="BF"/>
          <w:sz w:val="22"/>
          <w:szCs w:val="22"/>
        </w:rPr>
      </w:pPr>
      <w:r w:rsidRPr="00196439">
        <w:rPr>
          <w:rFonts w:cs="Arial"/>
          <w:color w:val="17365D" w:themeColor="text2" w:themeShade="BF"/>
          <w:sz w:val="22"/>
          <w:szCs w:val="22"/>
          <w:lang w:val="sr-Cyrl-RS"/>
        </w:rPr>
        <w:t>С о</w:t>
      </w:r>
      <w:r w:rsidRPr="00196439">
        <w:rPr>
          <w:rFonts w:cs="Arial"/>
          <w:color w:val="17365D" w:themeColor="text2" w:themeShade="BF"/>
          <w:sz w:val="22"/>
          <w:szCs w:val="22"/>
        </w:rPr>
        <w:t xml:space="preserve">бзиром на висину </w:t>
      </w:r>
      <w:r w:rsidRPr="00196439">
        <w:rPr>
          <w:rFonts w:cs="Arial"/>
          <w:color w:val="17365D" w:themeColor="text2" w:themeShade="BF"/>
          <w:sz w:val="22"/>
          <w:szCs w:val="22"/>
          <w:lang w:val="sr-Cyrl-RS"/>
        </w:rPr>
        <w:t xml:space="preserve">и структуру </w:t>
      </w:r>
      <w:r w:rsidRPr="00196439">
        <w:rPr>
          <w:rFonts w:cs="Arial"/>
          <w:color w:val="17365D" w:themeColor="text2" w:themeShade="BF"/>
          <w:sz w:val="22"/>
          <w:szCs w:val="22"/>
        </w:rPr>
        <w:t>портфеља Друштва, у циљу заштите интереса реосигуравача, осигуравача и осигураника оправдан је утврђени ниво самопридржаја и пренос вишка ризика изнад њега, као и типови уговора о ретроцесији за поједне врсте осигурања</w:t>
      </w:r>
      <w:r w:rsidRPr="00196439">
        <w:rPr>
          <w:rFonts w:cs="Arial"/>
          <w:color w:val="17365D" w:themeColor="text2" w:themeShade="BF"/>
          <w:sz w:val="22"/>
          <w:szCs w:val="22"/>
          <w:lang w:val="sr-Cyrl-ME"/>
        </w:rPr>
        <w:t xml:space="preserve"> и за заштиту портфеља</w:t>
      </w:r>
      <w:r w:rsidRPr="00196439">
        <w:rPr>
          <w:rFonts w:cs="Arial"/>
          <w:color w:val="17365D" w:themeColor="text2" w:themeShade="BF"/>
          <w:sz w:val="22"/>
          <w:szCs w:val="22"/>
        </w:rPr>
        <w:t>.</w:t>
      </w:r>
    </w:p>
    <w:p w:rsidR="00CD1D1B" w:rsidRPr="00196439" w:rsidRDefault="00CD1D1B" w:rsidP="00F9061B">
      <w:pPr>
        <w:tabs>
          <w:tab w:val="left" w:pos="540"/>
        </w:tabs>
        <w:spacing w:line="276" w:lineRule="auto"/>
        <w:ind w:right="58"/>
        <w:rPr>
          <w:rFonts w:cs="Arial"/>
          <w:color w:val="17365D" w:themeColor="text2" w:themeShade="BF"/>
          <w:sz w:val="22"/>
          <w:szCs w:val="22"/>
        </w:rPr>
      </w:pPr>
    </w:p>
    <w:p w:rsidR="00145C43" w:rsidRPr="00196439" w:rsidRDefault="00145C43" w:rsidP="00F9061B">
      <w:pPr>
        <w:pStyle w:val="BodyText"/>
        <w:tabs>
          <w:tab w:val="left" w:pos="0"/>
        </w:tabs>
        <w:spacing w:after="0" w:line="276" w:lineRule="auto"/>
        <w:jc w:val="both"/>
        <w:rPr>
          <w:rFonts w:ascii="Arial" w:hAnsi="Arial" w:cs="Arial"/>
          <w:color w:val="17365D" w:themeColor="text2" w:themeShade="BF"/>
          <w:sz w:val="22"/>
          <w:szCs w:val="22"/>
          <w:lang w:val="de-AT"/>
        </w:rPr>
      </w:pPr>
    </w:p>
    <w:p w:rsidR="00766EA8" w:rsidRPr="00196439" w:rsidRDefault="00766EA8" w:rsidP="00F9061B">
      <w:pPr>
        <w:spacing w:line="276" w:lineRule="auto"/>
        <w:rPr>
          <w:rFonts w:cs="Arial"/>
          <w:b/>
          <w:color w:val="17365D" w:themeColor="text2" w:themeShade="BF"/>
          <w:sz w:val="22"/>
          <w:szCs w:val="22"/>
          <w:lang w:val="sr-Cyrl-ME"/>
        </w:rPr>
      </w:pPr>
      <w:r w:rsidRPr="00196439">
        <w:rPr>
          <w:rFonts w:cs="Arial"/>
          <w:b/>
          <w:color w:val="17365D" w:themeColor="text2" w:themeShade="BF"/>
          <w:sz w:val="22"/>
          <w:szCs w:val="22"/>
        </w:rPr>
        <w:t>Вишак ризика преузетих у реосигурање изнад самопридржаја, Друштво је у потпуности пренело у ретроцесију, под условима и на начин предвиђен Правилником о условима и начину саосигурања и реосигурања и закљученим уговорима о реосигурању. Друштво је примењивало Одлуку о критеријумима, начину утврђивања и т</w:t>
      </w:r>
      <w:r w:rsidR="00E172FA" w:rsidRPr="00196439">
        <w:rPr>
          <w:rFonts w:cs="Arial"/>
          <w:b/>
          <w:color w:val="17365D" w:themeColor="text2" w:themeShade="BF"/>
          <w:sz w:val="22"/>
          <w:szCs w:val="22"/>
          <w:lang w:val="sr-Cyrl-RS"/>
        </w:rPr>
        <w:t>а</w:t>
      </w:r>
      <w:r w:rsidRPr="00196439">
        <w:rPr>
          <w:rFonts w:cs="Arial"/>
          <w:b/>
          <w:color w:val="17365D" w:themeColor="text2" w:themeShade="BF"/>
          <w:sz w:val="22"/>
          <w:szCs w:val="22"/>
        </w:rPr>
        <w:t>бели максималног самопридржаја Друштва</w:t>
      </w:r>
      <w:r w:rsidRPr="00196439">
        <w:rPr>
          <w:rFonts w:cs="Arial"/>
          <w:b/>
          <w:color w:val="17365D" w:themeColor="text2" w:themeShade="BF"/>
          <w:sz w:val="22"/>
          <w:szCs w:val="22"/>
          <w:lang w:val="sr-Cyrl-ME"/>
        </w:rPr>
        <w:t>, важећу за 201</w:t>
      </w:r>
      <w:r w:rsidR="00F86079" w:rsidRPr="00196439">
        <w:rPr>
          <w:rFonts w:cs="Arial"/>
          <w:b/>
          <w:color w:val="17365D" w:themeColor="text2" w:themeShade="BF"/>
          <w:sz w:val="22"/>
          <w:szCs w:val="22"/>
          <w:lang w:val="sr-Cyrl-ME"/>
        </w:rPr>
        <w:t>9</w:t>
      </w:r>
      <w:r w:rsidRPr="00196439">
        <w:rPr>
          <w:rFonts w:cs="Arial"/>
          <w:b/>
          <w:color w:val="17365D" w:themeColor="text2" w:themeShade="BF"/>
          <w:sz w:val="22"/>
          <w:szCs w:val="22"/>
          <w:lang w:val="sr-Cyrl-ME"/>
        </w:rPr>
        <w:t>. годину.</w:t>
      </w:r>
    </w:p>
    <w:p w:rsidR="00766EA8" w:rsidRPr="00196439" w:rsidRDefault="00766EA8" w:rsidP="00DB074D">
      <w:pPr>
        <w:pStyle w:val="BodyText"/>
        <w:tabs>
          <w:tab w:val="left" w:pos="0"/>
        </w:tabs>
        <w:spacing w:after="0" w:line="276" w:lineRule="auto"/>
        <w:jc w:val="both"/>
        <w:rPr>
          <w:rFonts w:ascii="Arial" w:hAnsi="Arial" w:cs="Arial"/>
          <w:color w:val="17365D" w:themeColor="text2" w:themeShade="BF"/>
          <w:sz w:val="22"/>
          <w:szCs w:val="22"/>
          <w:lang w:val="de-AT"/>
        </w:rPr>
      </w:pPr>
    </w:p>
    <w:p w:rsidR="00D546B8" w:rsidRPr="00196439" w:rsidRDefault="00D546B8" w:rsidP="00DB074D">
      <w:pPr>
        <w:pStyle w:val="BodyText"/>
        <w:tabs>
          <w:tab w:val="left" w:pos="0"/>
        </w:tabs>
        <w:spacing w:after="0" w:line="276" w:lineRule="auto"/>
        <w:jc w:val="both"/>
        <w:rPr>
          <w:rFonts w:ascii="Arial" w:hAnsi="Arial" w:cs="Arial"/>
          <w:color w:val="17365D" w:themeColor="text2" w:themeShade="BF"/>
          <w:sz w:val="22"/>
          <w:szCs w:val="22"/>
          <w:lang w:val="de-AT"/>
        </w:rPr>
      </w:pPr>
    </w:p>
    <w:p w:rsidR="00145C43" w:rsidRPr="00196439" w:rsidRDefault="000E1833" w:rsidP="006F7A00">
      <w:pPr>
        <w:spacing w:line="276" w:lineRule="auto"/>
        <w:rPr>
          <w:rFonts w:cs="Arial"/>
          <w:b/>
          <w:i/>
          <w:color w:val="17365D" w:themeColor="text2" w:themeShade="BF"/>
          <w:sz w:val="22"/>
          <w:szCs w:val="22"/>
        </w:rPr>
      </w:pPr>
      <w:r w:rsidRPr="00196439">
        <w:rPr>
          <w:rFonts w:cs="Arial"/>
          <w:b/>
          <w:i/>
          <w:color w:val="17365D" w:themeColor="text2" w:themeShade="BF"/>
          <w:sz w:val="22"/>
          <w:szCs w:val="22"/>
        </w:rPr>
        <w:t>3.</w:t>
      </w:r>
      <w:r w:rsidR="00145C43" w:rsidRPr="00196439">
        <w:rPr>
          <w:rFonts w:cs="Arial"/>
          <w:b/>
          <w:i/>
          <w:color w:val="17365D" w:themeColor="text2" w:themeShade="BF"/>
          <w:sz w:val="22"/>
          <w:szCs w:val="22"/>
        </w:rPr>
        <w:t xml:space="preserve">2. УТИЦАЈ РЕТРОЦЕСИЈЕ НА РАЦИО ШТЕТА И КОМБИНОВАНИ РАЦИО </w:t>
      </w:r>
    </w:p>
    <w:p w:rsidR="00145C43" w:rsidRPr="00196439" w:rsidRDefault="00145C43" w:rsidP="006F7A00">
      <w:pPr>
        <w:spacing w:line="276" w:lineRule="auto"/>
        <w:rPr>
          <w:rFonts w:cs="Arial"/>
          <w:color w:val="17365D" w:themeColor="text2" w:themeShade="BF"/>
          <w:sz w:val="22"/>
          <w:szCs w:val="22"/>
        </w:rPr>
      </w:pPr>
    </w:p>
    <w:p w:rsidR="004628B5" w:rsidRPr="00196439" w:rsidRDefault="004628B5" w:rsidP="004628B5">
      <w:pPr>
        <w:keepNext/>
        <w:spacing w:line="480" w:lineRule="auto"/>
        <w:jc w:val="center"/>
        <w:rPr>
          <w:rFonts w:cs="Arial"/>
          <w:b/>
          <w:color w:val="17365D" w:themeColor="text2" w:themeShade="BF"/>
          <w:sz w:val="22"/>
          <w:szCs w:val="22"/>
          <w:lang w:val="sr-Cyrl-CS"/>
        </w:rPr>
      </w:pPr>
      <w:r w:rsidRPr="00196439">
        <w:rPr>
          <w:rFonts w:cs="Arial"/>
          <w:b/>
          <w:color w:val="17365D" w:themeColor="text2" w:themeShade="BF"/>
          <w:sz w:val="22"/>
          <w:szCs w:val="22"/>
          <w:lang w:val="sr-Cyrl-CS"/>
        </w:rPr>
        <w:t>Рацио штета и комбиновани рацио у 2019. години</w:t>
      </w:r>
      <w:r w:rsidRPr="00196439">
        <w:rPr>
          <w:rFonts w:cs="Arial"/>
          <w:b/>
          <w:color w:val="17365D" w:themeColor="text2" w:themeShade="BF"/>
          <w:sz w:val="22"/>
          <w:szCs w:val="22"/>
          <w:lang w:val="sr-Cyrl-RS"/>
        </w:rPr>
        <w:t xml:space="preserve"> </w:t>
      </w:r>
      <w:r w:rsidRPr="00196439">
        <w:rPr>
          <w:rFonts w:cs="Arial"/>
          <w:b/>
          <w:color w:val="17365D" w:themeColor="text2" w:themeShade="BF"/>
          <w:sz w:val="22"/>
          <w:szCs w:val="22"/>
          <w:lang w:val="sr-Cyrl-CS"/>
        </w:rPr>
        <w:t>укупно и у самопридржају</w:t>
      </w:r>
    </w:p>
    <w:p w:rsidR="004628B5" w:rsidRPr="00196439" w:rsidRDefault="004628B5" w:rsidP="004628B5">
      <w:pPr>
        <w:spacing w:line="240" w:lineRule="auto"/>
        <w:jc w:val="center"/>
        <w:rPr>
          <w:noProof/>
          <w:color w:val="17365D" w:themeColor="text2" w:themeShade="BF"/>
          <w:lang w:val="en-US"/>
        </w:rPr>
      </w:pPr>
      <w:r w:rsidRPr="00196439">
        <w:rPr>
          <w:noProof/>
          <w:color w:val="17365D" w:themeColor="text2" w:themeShade="BF"/>
          <w:lang w:val="en-US"/>
        </w:rPr>
        <w:drawing>
          <wp:inline distT="0" distB="0" distL="0" distR="0" wp14:anchorId="2120199A" wp14:editId="6782ED0E">
            <wp:extent cx="6120765" cy="4010573"/>
            <wp:effectExtent l="0" t="0" r="0"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765" cy="4010573"/>
                    </a:xfrm>
                    <a:prstGeom prst="rect">
                      <a:avLst/>
                    </a:prstGeom>
                    <a:noFill/>
                    <a:ln>
                      <a:noFill/>
                    </a:ln>
                  </pic:spPr>
                </pic:pic>
              </a:graphicData>
            </a:graphic>
          </wp:inline>
        </w:drawing>
      </w:r>
    </w:p>
    <w:p w:rsidR="00FD779A" w:rsidRPr="00196439" w:rsidRDefault="00FD779A" w:rsidP="00FD779A">
      <w:pPr>
        <w:spacing w:line="276" w:lineRule="auto"/>
        <w:rPr>
          <w:rFonts w:cs="Arial"/>
          <w:b/>
          <w:i/>
          <w:color w:val="17365D" w:themeColor="text2" w:themeShade="BF"/>
          <w:sz w:val="22"/>
          <w:szCs w:val="22"/>
        </w:rPr>
      </w:pPr>
    </w:p>
    <w:p w:rsidR="004628B5" w:rsidRPr="00196439" w:rsidRDefault="004628B5" w:rsidP="004628B5">
      <w:pPr>
        <w:spacing w:line="276" w:lineRule="auto"/>
        <w:rPr>
          <w:rFonts w:cs="Arial"/>
          <w:color w:val="17365D" w:themeColor="text2" w:themeShade="BF"/>
          <w:sz w:val="22"/>
          <w:szCs w:val="22"/>
          <w:lang w:val="sr-Cyrl-ME"/>
        </w:rPr>
      </w:pPr>
      <w:r w:rsidRPr="00196439">
        <w:rPr>
          <w:rFonts w:cs="Arial"/>
          <w:color w:val="17365D" w:themeColor="text2" w:themeShade="BF"/>
          <w:sz w:val="22"/>
          <w:szCs w:val="22"/>
          <w:lang w:val="sr-Cyrl-ME"/>
        </w:rPr>
        <w:t xml:space="preserve">По активном послу у 2019. години остварен је повољан </w:t>
      </w:r>
      <w:r w:rsidRPr="00196439">
        <w:rPr>
          <w:rFonts w:cs="Arial"/>
          <w:color w:val="17365D" w:themeColor="text2" w:themeShade="BF"/>
          <w:sz w:val="22"/>
          <w:szCs w:val="22"/>
        </w:rPr>
        <w:t>рацио штета</w:t>
      </w:r>
      <w:r w:rsidRPr="00196439">
        <w:rPr>
          <w:rFonts w:cs="Arial"/>
          <w:color w:val="17365D" w:themeColor="text2" w:themeShade="BF"/>
          <w:sz w:val="22"/>
          <w:szCs w:val="22"/>
          <w:lang w:val="sr-Cyrl-ME"/>
        </w:rPr>
        <w:t xml:space="preserve"> од </w:t>
      </w:r>
      <w:r w:rsidRPr="00196439">
        <w:rPr>
          <w:rFonts w:cs="Arial"/>
          <w:color w:val="17365D" w:themeColor="text2" w:themeShade="BF"/>
          <w:sz w:val="22"/>
          <w:szCs w:val="22"/>
          <w:lang w:val="sr-Cyrl-RS"/>
        </w:rPr>
        <w:t>28,16</w:t>
      </w:r>
      <w:r w:rsidRPr="00196439">
        <w:rPr>
          <w:rFonts w:cs="Arial"/>
          <w:color w:val="17365D" w:themeColor="text2" w:themeShade="BF"/>
          <w:sz w:val="22"/>
          <w:szCs w:val="22"/>
        </w:rPr>
        <w:t>%</w:t>
      </w:r>
      <w:r w:rsidRPr="00196439">
        <w:rPr>
          <w:rFonts w:cs="Arial"/>
          <w:color w:val="17365D" w:themeColor="text2" w:themeShade="BF"/>
          <w:sz w:val="22"/>
          <w:szCs w:val="22"/>
          <w:lang w:val="sr-Cyrl-ME"/>
        </w:rPr>
        <w:t xml:space="preserve"> и</w:t>
      </w:r>
      <w:r w:rsidRPr="00196439">
        <w:rPr>
          <w:rFonts w:cs="Arial"/>
          <w:color w:val="17365D" w:themeColor="text2" w:themeShade="BF"/>
          <w:sz w:val="22"/>
          <w:szCs w:val="22"/>
        </w:rPr>
        <w:t xml:space="preserve"> рацио </w:t>
      </w:r>
      <w:r w:rsidRPr="00621A6F">
        <w:rPr>
          <w:rFonts w:cs="Arial"/>
          <w:color w:val="17365D" w:themeColor="text2" w:themeShade="BF"/>
          <w:sz w:val="22"/>
          <w:szCs w:val="22"/>
        </w:rPr>
        <w:t xml:space="preserve">трошкова </w:t>
      </w:r>
      <w:r w:rsidRPr="00621A6F">
        <w:rPr>
          <w:rFonts w:cs="Arial"/>
          <w:color w:val="17365D" w:themeColor="text2" w:themeShade="BF"/>
          <w:sz w:val="22"/>
          <w:szCs w:val="22"/>
          <w:lang w:val="sr-Cyrl-ME"/>
        </w:rPr>
        <w:t xml:space="preserve">од </w:t>
      </w:r>
      <w:r w:rsidRPr="00621A6F">
        <w:rPr>
          <w:rFonts w:cs="Arial"/>
          <w:color w:val="17365D" w:themeColor="text2" w:themeShade="BF"/>
          <w:sz w:val="22"/>
          <w:szCs w:val="22"/>
          <w:lang w:val="sr-Cyrl-RS"/>
        </w:rPr>
        <w:t>14,83</w:t>
      </w:r>
      <w:r w:rsidRPr="00621A6F">
        <w:rPr>
          <w:rFonts w:cs="Arial"/>
          <w:color w:val="17365D" w:themeColor="text2" w:themeShade="BF"/>
          <w:sz w:val="22"/>
          <w:szCs w:val="22"/>
          <w:lang w:val="sr-Cyrl-ME"/>
        </w:rPr>
        <w:t xml:space="preserve">%, тако да </w:t>
      </w:r>
      <w:r w:rsidRPr="00621A6F">
        <w:rPr>
          <w:rFonts w:cs="Arial"/>
          <w:color w:val="17365D" w:themeColor="text2" w:themeShade="BF"/>
          <w:sz w:val="22"/>
          <w:szCs w:val="22"/>
        </w:rPr>
        <w:t xml:space="preserve">комбиновани рацио </w:t>
      </w:r>
      <w:r w:rsidRPr="00621A6F">
        <w:rPr>
          <w:rFonts w:cs="Arial"/>
          <w:color w:val="17365D" w:themeColor="text2" w:themeShade="BF"/>
          <w:sz w:val="22"/>
          <w:szCs w:val="22"/>
          <w:lang w:val="sr-Cyrl-RS"/>
        </w:rPr>
        <w:t xml:space="preserve">у неживотним осигурањима </w:t>
      </w:r>
      <w:r w:rsidRPr="00621A6F">
        <w:rPr>
          <w:rFonts w:cs="Arial"/>
          <w:color w:val="17365D" w:themeColor="text2" w:themeShade="BF"/>
          <w:sz w:val="22"/>
          <w:szCs w:val="22"/>
          <w:lang w:val="sr-Cyrl-ME"/>
        </w:rPr>
        <w:t>износи свега</w:t>
      </w:r>
      <w:r w:rsidRPr="00196439">
        <w:rPr>
          <w:rFonts w:cs="Arial"/>
          <w:color w:val="17365D" w:themeColor="text2" w:themeShade="BF"/>
          <w:sz w:val="22"/>
          <w:szCs w:val="22"/>
          <w:lang w:val="sr-Cyrl-ME"/>
        </w:rPr>
        <w:t xml:space="preserve"> </w:t>
      </w:r>
      <w:r w:rsidRPr="00196439">
        <w:rPr>
          <w:rFonts w:cs="Arial"/>
          <w:color w:val="17365D" w:themeColor="text2" w:themeShade="BF"/>
          <w:sz w:val="22"/>
          <w:szCs w:val="22"/>
          <w:lang w:val="sr-Cyrl-RS"/>
        </w:rPr>
        <w:t>42,99</w:t>
      </w:r>
      <w:r w:rsidRPr="00196439">
        <w:rPr>
          <w:rFonts w:cs="Arial"/>
          <w:color w:val="17365D" w:themeColor="text2" w:themeShade="BF"/>
          <w:sz w:val="22"/>
          <w:szCs w:val="22"/>
        </w:rPr>
        <w:t>%.</w:t>
      </w:r>
      <w:r w:rsidRPr="00196439">
        <w:rPr>
          <w:rFonts w:cs="Arial"/>
          <w:color w:val="17365D" w:themeColor="text2" w:themeShade="BF"/>
          <w:sz w:val="22"/>
          <w:szCs w:val="22"/>
          <w:lang w:val="sr-Cyrl-ME"/>
        </w:rPr>
        <w:t xml:space="preserve"> Комбиновани рацио је виши за </w:t>
      </w:r>
      <w:r w:rsidRPr="00196439">
        <w:rPr>
          <w:rFonts w:cs="Arial"/>
          <w:color w:val="17365D" w:themeColor="text2" w:themeShade="BF"/>
          <w:sz w:val="22"/>
          <w:szCs w:val="22"/>
          <w:lang w:val="sr-Cyrl-RS"/>
        </w:rPr>
        <w:t>10,31</w:t>
      </w:r>
      <w:r w:rsidRPr="00196439">
        <w:rPr>
          <w:rFonts w:cs="Arial"/>
          <w:color w:val="17365D" w:themeColor="text2" w:themeShade="BF"/>
          <w:sz w:val="22"/>
          <w:szCs w:val="22"/>
          <w:lang w:val="sr-Cyrl-ME"/>
        </w:rPr>
        <w:t>% у односу 2018. годину, углавном као последица изузетно повољних рацио бројева у претходној години.</w:t>
      </w:r>
    </w:p>
    <w:p w:rsidR="004628B5" w:rsidRPr="00196439" w:rsidRDefault="004628B5" w:rsidP="004628B5">
      <w:pPr>
        <w:spacing w:line="276" w:lineRule="auto"/>
        <w:rPr>
          <w:rFonts w:cs="Arial"/>
          <w:color w:val="17365D" w:themeColor="text2" w:themeShade="BF"/>
          <w:sz w:val="22"/>
          <w:szCs w:val="22"/>
          <w:lang w:val="sr-Cyrl-ME"/>
        </w:rPr>
      </w:pPr>
    </w:p>
    <w:p w:rsidR="004628B5" w:rsidRPr="00196439" w:rsidRDefault="004628B5" w:rsidP="004628B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У самопридржају рацио бројеви штета, трошкова и комбиновани рацио респективно су износили 62,48%; 21,91% и 84,39%. У односу на претходну годину комбиновани рацио у самопридржају повећан је за 6,63%.</w:t>
      </w:r>
    </w:p>
    <w:p w:rsidR="004628B5" w:rsidRPr="00196439" w:rsidRDefault="004628B5" w:rsidP="004628B5">
      <w:pPr>
        <w:spacing w:line="276" w:lineRule="auto"/>
        <w:rPr>
          <w:rFonts w:cs="Arial"/>
          <w:color w:val="17365D" w:themeColor="text2" w:themeShade="BF"/>
          <w:sz w:val="22"/>
          <w:szCs w:val="22"/>
          <w:lang w:val="sr-Cyrl-RS"/>
        </w:rPr>
      </w:pPr>
    </w:p>
    <w:p w:rsidR="004628B5" w:rsidRPr="00196439" w:rsidRDefault="004628B5" w:rsidP="004628B5">
      <w:pPr>
        <w:spacing w:line="276" w:lineRule="auto"/>
        <w:rPr>
          <w:rFonts w:cs="Arial"/>
          <w:color w:val="17365D" w:themeColor="text2" w:themeShade="BF"/>
          <w:sz w:val="22"/>
          <w:szCs w:val="22"/>
          <w:lang w:val="sr-Cyrl-CS"/>
        </w:rPr>
      </w:pPr>
      <w:r w:rsidRPr="00196439">
        <w:rPr>
          <w:rFonts w:cs="Arial"/>
          <w:color w:val="17365D" w:themeColor="text2" w:themeShade="BF"/>
          <w:sz w:val="22"/>
          <w:szCs w:val="22"/>
          <w:lang w:val="sr-Cyrl-CS"/>
        </w:rPr>
        <w:lastRenderedPageBreak/>
        <w:t>Релативно више вредности рацио бројева у самопридржају у односу на вредности ових показатеља за активна осигурања 2019. години последица су вођења опрезне, рестриктивне политике пословања и обезбеђеног квалитетног реосигуравајућег покрића у условима мањег учешћа значајнијих штета, које би активирале обезбеђена покрића.</w:t>
      </w:r>
    </w:p>
    <w:p w:rsidR="004628B5" w:rsidRPr="00196439" w:rsidRDefault="004628B5" w:rsidP="004628B5">
      <w:pPr>
        <w:spacing w:line="276" w:lineRule="auto"/>
        <w:rPr>
          <w:rFonts w:cs="Arial"/>
          <w:color w:val="17365D" w:themeColor="text2" w:themeShade="BF"/>
          <w:sz w:val="22"/>
          <w:szCs w:val="22"/>
          <w:lang w:val="sr-Cyrl-CS"/>
        </w:rPr>
      </w:pPr>
    </w:p>
    <w:p w:rsidR="004628B5" w:rsidRPr="00196439" w:rsidRDefault="004628B5" w:rsidP="004628B5">
      <w:pPr>
        <w:spacing w:line="276" w:lineRule="auto"/>
        <w:rPr>
          <w:rFonts w:cs="Arial"/>
          <w:color w:val="17365D" w:themeColor="text2" w:themeShade="BF"/>
          <w:sz w:val="22"/>
          <w:szCs w:val="22"/>
          <w:lang w:val="sr-Cyrl-CS"/>
        </w:rPr>
      </w:pPr>
      <w:r w:rsidRPr="00196439">
        <w:rPr>
          <w:rFonts w:cs="Arial"/>
          <w:color w:val="17365D" w:themeColor="text2" w:themeShade="BF"/>
          <w:sz w:val="22"/>
          <w:szCs w:val="22"/>
          <w:lang w:val="sr-Cyrl-CS"/>
        </w:rPr>
        <w:t>Међутим, посматрано у средњем и дужем временском периоду утицај спроведене политике саосигурања и реосигурања на нивоу Друштва оцењује се као позитиван, а манифестовано кроз умиривање и стабилизацију вредности рацио бројева на појединим врстама осигурања у годинама које су карактерисале високе вредности штета.</w:t>
      </w:r>
    </w:p>
    <w:p w:rsidR="004628B5" w:rsidRPr="00196439" w:rsidRDefault="004628B5" w:rsidP="004628B5">
      <w:pPr>
        <w:spacing w:line="276" w:lineRule="auto"/>
        <w:rPr>
          <w:rFonts w:cs="Arial"/>
          <w:color w:val="17365D" w:themeColor="text2" w:themeShade="BF"/>
          <w:sz w:val="22"/>
          <w:szCs w:val="22"/>
          <w:lang w:val="sr-Cyrl-ME"/>
        </w:rPr>
      </w:pPr>
    </w:p>
    <w:p w:rsidR="004628B5" w:rsidRPr="00196439" w:rsidRDefault="004628B5" w:rsidP="004628B5">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И поред чињенице да су рацио бројеви у самопридржају већи од одговарајућих показатеља за активна осигурања, на нивоу читавог портфеља неживотних осигурања остварен је повољан рацио штета, односно комбиновани рацио у самопридржају. Ово је пре свега резултат оствареног позитивног резултата на значајној врсти осигурања 08 Осигурање имовине од пожара и других опасности, чије је учешће у премији у самопридржају 38,88%.</w:t>
      </w:r>
    </w:p>
    <w:p w:rsidR="004628B5" w:rsidRPr="00196439" w:rsidRDefault="004628B5" w:rsidP="00FD779A">
      <w:pPr>
        <w:spacing w:line="276" w:lineRule="auto"/>
        <w:rPr>
          <w:rFonts w:cs="Arial"/>
          <w:b/>
          <w:i/>
          <w:color w:val="17365D" w:themeColor="text2" w:themeShade="BF"/>
          <w:sz w:val="22"/>
          <w:szCs w:val="22"/>
        </w:rPr>
      </w:pPr>
    </w:p>
    <w:p w:rsidR="0097420F" w:rsidRPr="00196439" w:rsidRDefault="0097420F" w:rsidP="0097420F">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RS"/>
        </w:rPr>
        <w:t>Изузетно низак рацио трошкова укупно за неживотна осигурања допринео је да и комбиновани рацио буде повољан и да Друштво остварује профит из основне делатности. Позитиван комбиновани рацио забележен је на доминантном броју врста осигурања, а нарочито је значајан утицај повољног комбинованог рациа на врсти осигурања 08, са највећим учешћем у портфељу у самопридржају, што се позитивно одражава и на глобални закључак о оправданости и адекватности спроведене политике ретроцесије.</w:t>
      </w:r>
    </w:p>
    <w:p w:rsidR="0097420F" w:rsidRPr="00196439" w:rsidRDefault="0097420F" w:rsidP="0097420F">
      <w:pPr>
        <w:spacing w:line="276" w:lineRule="auto"/>
        <w:rPr>
          <w:rFonts w:cs="Arial"/>
          <w:color w:val="17365D" w:themeColor="text2" w:themeShade="BF"/>
          <w:sz w:val="22"/>
          <w:szCs w:val="22"/>
          <w:lang w:val="sr-Cyrl-ME"/>
        </w:rPr>
      </w:pPr>
    </w:p>
    <w:p w:rsidR="0097420F" w:rsidRPr="00196439" w:rsidRDefault="0097420F" w:rsidP="0097420F">
      <w:pPr>
        <w:spacing w:line="276" w:lineRule="auto"/>
        <w:rPr>
          <w:rFonts w:cs="Arial"/>
          <w:color w:val="17365D" w:themeColor="text2" w:themeShade="BF"/>
          <w:sz w:val="22"/>
          <w:szCs w:val="22"/>
        </w:rPr>
      </w:pPr>
      <w:r w:rsidRPr="00196439">
        <w:rPr>
          <w:rFonts w:cs="Arial"/>
          <w:color w:val="17365D" w:themeColor="text2" w:themeShade="BF"/>
          <w:sz w:val="22"/>
          <w:szCs w:val="22"/>
        </w:rPr>
        <w:t xml:space="preserve">Упоређујући комбиновани рацио у самопридржају са укупним, у </w:t>
      </w:r>
      <w:r w:rsidRPr="00196439">
        <w:rPr>
          <w:rFonts w:cs="Arial"/>
          <w:color w:val="17365D" w:themeColor="text2" w:themeShade="BF"/>
          <w:sz w:val="22"/>
          <w:szCs w:val="22"/>
          <w:lang w:val="sr-Cyrl-RS"/>
        </w:rPr>
        <w:t>2019. години</w:t>
      </w:r>
      <w:r w:rsidRPr="00196439">
        <w:rPr>
          <w:rFonts w:cs="Arial"/>
          <w:color w:val="17365D" w:themeColor="text2" w:themeShade="BF"/>
          <w:sz w:val="22"/>
          <w:szCs w:val="22"/>
        </w:rPr>
        <w:t xml:space="preserve"> забележен</w:t>
      </w:r>
      <w:r w:rsidRPr="00196439">
        <w:rPr>
          <w:rFonts w:cs="Arial"/>
          <w:color w:val="17365D" w:themeColor="text2" w:themeShade="BF"/>
          <w:sz w:val="22"/>
          <w:szCs w:val="22"/>
          <w:lang w:val="sr-Cyrl-ME"/>
        </w:rPr>
        <w:t>и су нешто већи рацији</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ME"/>
        </w:rPr>
        <w:t>али због повољног рациа штета и комбинованог рација у самопридржају</w:t>
      </w:r>
      <w:r w:rsidRPr="00196439">
        <w:rPr>
          <w:rFonts w:cs="Arial"/>
          <w:color w:val="17365D" w:themeColor="text2" w:themeShade="BF"/>
          <w:sz w:val="22"/>
          <w:szCs w:val="22"/>
        </w:rPr>
        <w:t xml:space="preserve"> може се констатовати да</w:t>
      </w:r>
      <w:r w:rsidRPr="00196439">
        <w:rPr>
          <w:rFonts w:cs="Arial"/>
          <w:color w:val="17365D" w:themeColor="text2" w:themeShade="BF"/>
          <w:sz w:val="22"/>
          <w:szCs w:val="22"/>
          <w:lang w:val="sr-Cyrl-ME"/>
        </w:rPr>
        <w:t xml:space="preserve"> су</w:t>
      </w:r>
      <w:r w:rsidRPr="00196439">
        <w:rPr>
          <w:rFonts w:cs="Arial"/>
          <w:color w:val="17365D" w:themeColor="text2" w:themeShade="BF"/>
          <w:sz w:val="22"/>
          <w:szCs w:val="22"/>
        </w:rPr>
        <w:t xml:space="preserve"> вишкови ризика адекватно пренети на </w:t>
      </w:r>
      <w:r w:rsidRPr="00196439">
        <w:rPr>
          <w:rFonts w:cs="Arial"/>
          <w:color w:val="17365D" w:themeColor="text2" w:themeShade="BF"/>
          <w:sz w:val="22"/>
          <w:szCs w:val="22"/>
          <w:lang w:val="sr-Cyrl-RS"/>
        </w:rPr>
        <w:t>ретроцесионаре</w:t>
      </w:r>
      <w:r w:rsidRPr="00196439">
        <w:rPr>
          <w:rFonts w:cs="Arial"/>
          <w:color w:val="17365D" w:themeColor="text2" w:themeShade="BF"/>
          <w:sz w:val="22"/>
          <w:szCs w:val="22"/>
        </w:rPr>
        <w:t>, да Друштво адекватно управља ризицима којима је изложено, чиме се обезбеђује трајно покриће обавеза по закљученим уговорима.</w:t>
      </w:r>
    </w:p>
    <w:p w:rsidR="0097420F" w:rsidRPr="00196439" w:rsidRDefault="0097420F" w:rsidP="00FD779A">
      <w:pPr>
        <w:spacing w:line="276" w:lineRule="auto"/>
        <w:rPr>
          <w:rFonts w:cs="Arial"/>
          <w:b/>
          <w:i/>
          <w:color w:val="17365D" w:themeColor="text2" w:themeShade="BF"/>
          <w:sz w:val="22"/>
          <w:szCs w:val="22"/>
        </w:rPr>
      </w:pPr>
    </w:p>
    <w:p w:rsidR="00145C43" w:rsidRPr="00196439" w:rsidRDefault="00145C43" w:rsidP="00FD779A">
      <w:pPr>
        <w:spacing w:line="276" w:lineRule="auto"/>
        <w:rPr>
          <w:rFonts w:cs="Arial"/>
          <w:color w:val="17365D" w:themeColor="text2" w:themeShade="BF"/>
          <w:sz w:val="22"/>
          <w:szCs w:val="22"/>
        </w:rPr>
      </w:pPr>
    </w:p>
    <w:p w:rsidR="00145C43" w:rsidRPr="00196439" w:rsidRDefault="000E1833" w:rsidP="00FD779A">
      <w:pPr>
        <w:spacing w:line="276" w:lineRule="auto"/>
        <w:rPr>
          <w:rFonts w:cs="Arial"/>
          <w:b/>
          <w:i/>
          <w:color w:val="17365D" w:themeColor="text2" w:themeShade="BF"/>
          <w:sz w:val="22"/>
          <w:szCs w:val="22"/>
        </w:rPr>
      </w:pPr>
      <w:r w:rsidRPr="00196439">
        <w:rPr>
          <w:rFonts w:cs="Arial"/>
          <w:b/>
          <w:i/>
          <w:color w:val="17365D" w:themeColor="text2" w:themeShade="BF"/>
          <w:sz w:val="22"/>
          <w:szCs w:val="22"/>
        </w:rPr>
        <w:t>3.</w:t>
      </w:r>
      <w:r w:rsidR="00145C43" w:rsidRPr="00196439">
        <w:rPr>
          <w:rFonts w:cs="Arial"/>
          <w:b/>
          <w:i/>
          <w:color w:val="17365D" w:themeColor="text2" w:themeShade="BF"/>
          <w:sz w:val="22"/>
          <w:szCs w:val="22"/>
        </w:rPr>
        <w:t xml:space="preserve">3. УГОВОРИ О САРЕОСИГУРАЊУ И РЕОСИГУРАЊУ </w:t>
      </w:r>
    </w:p>
    <w:p w:rsidR="00145C43" w:rsidRPr="00196439" w:rsidRDefault="00145C43" w:rsidP="00FD779A">
      <w:pPr>
        <w:spacing w:line="276" w:lineRule="auto"/>
        <w:rPr>
          <w:rFonts w:cs="Arial"/>
          <w:b/>
          <w:i/>
          <w:color w:val="17365D" w:themeColor="text2" w:themeShade="BF"/>
          <w:sz w:val="22"/>
          <w:szCs w:val="22"/>
        </w:rPr>
      </w:pPr>
    </w:p>
    <w:p w:rsidR="00145C43" w:rsidRPr="00196439" w:rsidRDefault="00145C43" w:rsidP="00FD779A">
      <w:pPr>
        <w:spacing w:line="276" w:lineRule="auto"/>
        <w:rPr>
          <w:rFonts w:cs="Arial"/>
          <w:b/>
          <w:color w:val="17365D" w:themeColor="text2" w:themeShade="BF"/>
          <w:sz w:val="22"/>
          <w:szCs w:val="22"/>
        </w:rPr>
      </w:pPr>
      <w:r w:rsidRPr="00196439">
        <w:rPr>
          <w:rFonts w:cs="Arial"/>
          <w:b/>
          <w:color w:val="17365D" w:themeColor="text2" w:themeShade="BF"/>
          <w:sz w:val="22"/>
          <w:szCs w:val="22"/>
        </w:rPr>
        <w:t>3.</w:t>
      </w:r>
      <w:r w:rsidR="000E1833" w:rsidRPr="00196439">
        <w:rPr>
          <w:rFonts w:cs="Arial"/>
          <w:b/>
          <w:color w:val="17365D" w:themeColor="text2" w:themeShade="BF"/>
          <w:sz w:val="22"/>
          <w:szCs w:val="22"/>
        </w:rPr>
        <w:t>3.</w:t>
      </w:r>
      <w:r w:rsidRPr="00196439">
        <w:rPr>
          <w:rFonts w:cs="Arial"/>
          <w:b/>
          <w:color w:val="17365D" w:themeColor="text2" w:themeShade="BF"/>
          <w:sz w:val="22"/>
          <w:szCs w:val="22"/>
        </w:rPr>
        <w:t>1. Уговори о сареосигурању</w:t>
      </w:r>
    </w:p>
    <w:p w:rsidR="00145C43" w:rsidRPr="00196439" w:rsidRDefault="00145C43" w:rsidP="00FD779A">
      <w:pPr>
        <w:spacing w:line="276" w:lineRule="auto"/>
        <w:rPr>
          <w:rFonts w:cs="Arial"/>
          <w:color w:val="17365D" w:themeColor="text2" w:themeShade="BF"/>
          <w:sz w:val="22"/>
          <w:szCs w:val="22"/>
        </w:rPr>
      </w:pPr>
    </w:p>
    <w:p w:rsidR="00145C43" w:rsidRPr="00196439" w:rsidRDefault="00145C43" w:rsidP="00FD779A">
      <w:pPr>
        <w:spacing w:line="276" w:lineRule="auto"/>
        <w:rPr>
          <w:rFonts w:cs="Arial"/>
          <w:color w:val="17365D" w:themeColor="text2" w:themeShade="BF"/>
          <w:sz w:val="22"/>
          <w:szCs w:val="22"/>
        </w:rPr>
      </w:pPr>
      <w:r w:rsidRPr="00196439">
        <w:rPr>
          <w:rFonts w:cs="Arial"/>
          <w:color w:val="17365D" w:themeColor="text2" w:themeShade="BF"/>
          <w:sz w:val="22"/>
          <w:szCs w:val="22"/>
        </w:rPr>
        <w:t>У извештајном периоду Друштво није имало закључен ни један уговор о сареосигурању.</w:t>
      </w:r>
    </w:p>
    <w:p w:rsidR="00145C43" w:rsidRPr="00196439" w:rsidRDefault="00145C43" w:rsidP="00FD779A">
      <w:pPr>
        <w:spacing w:line="276" w:lineRule="auto"/>
        <w:rPr>
          <w:rFonts w:cs="Arial"/>
          <w:color w:val="17365D" w:themeColor="text2" w:themeShade="BF"/>
          <w:sz w:val="22"/>
          <w:szCs w:val="22"/>
        </w:rPr>
      </w:pPr>
    </w:p>
    <w:p w:rsidR="00E84D28" w:rsidRPr="00196439" w:rsidRDefault="00E84D28" w:rsidP="00FD779A">
      <w:pPr>
        <w:spacing w:line="276" w:lineRule="auto"/>
        <w:rPr>
          <w:rFonts w:cs="Arial"/>
          <w:color w:val="17365D" w:themeColor="text2" w:themeShade="BF"/>
          <w:sz w:val="22"/>
          <w:szCs w:val="22"/>
        </w:rPr>
      </w:pPr>
    </w:p>
    <w:p w:rsidR="00F23CAF" w:rsidRPr="00196439" w:rsidRDefault="00F23CAF" w:rsidP="00FD779A">
      <w:pPr>
        <w:spacing w:line="276" w:lineRule="auto"/>
        <w:rPr>
          <w:rFonts w:cs="Arial"/>
          <w:b/>
          <w:color w:val="17365D" w:themeColor="text2" w:themeShade="BF"/>
          <w:sz w:val="22"/>
          <w:szCs w:val="22"/>
        </w:rPr>
      </w:pPr>
      <w:r w:rsidRPr="00196439">
        <w:rPr>
          <w:rFonts w:cs="Arial"/>
          <w:b/>
          <w:color w:val="17365D" w:themeColor="text2" w:themeShade="BF"/>
          <w:sz w:val="22"/>
          <w:szCs w:val="22"/>
        </w:rPr>
        <w:t>3.</w:t>
      </w:r>
      <w:r w:rsidR="000E1833" w:rsidRPr="00196439">
        <w:rPr>
          <w:rFonts w:cs="Arial"/>
          <w:b/>
          <w:color w:val="17365D" w:themeColor="text2" w:themeShade="BF"/>
          <w:sz w:val="22"/>
          <w:szCs w:val="22"/>
        </w:rPr>
        <w:t>3.</w:t>
      </w:r>
      <w:r w:rsidRPr="00196439">
        <w:rPr>
          <w:rFonts w:cs="Arial"/>
          <w:b/>
          <w:color w:val="17365D" w:themeColor="text2" w:themeShade="BF"/>
          <w:sz w:val="22"/>
          <w:szCs w:val="22"/>
        </w:rPr>
        <w:t>2. Уговори о реосигурању</w:t>
      </w:r>
    </w:p>
    <w:p w:rsidR="00E84D28" w:rsidRPr="00196439" w:rsidRDefault="00E84D28" w:rsidP="00FD779A">
      <w:pPr>
        <w:spacing w:line="276" w:lineRule="auto"/>
        <w:rPr>
          <w:rFonts w:cs="Arial"/>
          <w:b/>
          <w:color w:val="17365D" w:themeColor="text2" w:themeShade="BF"/>
          <w:sz w:val="22"/>
          <w:szCs w:val="22"/>
        </w:rPr>
      </w:pPr>
    </w:p>
    <w:p w:rsidR="00E76C00" w:rsidRPr="00196439" w:rsidRDefault="00E76C00" w:rsidP="00E76C00">
      <w:pPr>
        <w:spacing w:line="276" w:lineRule="auto"/>
        <w:rPr>
          <w:rFonts w:cs="Arial"/>
          <w:color w:val="17365D" w:themeColor="text2" w:themeShade="BF"/>
          <w:sz w:val="22"/>
          <w:szCs w:val="22"/>
          <w:lang w:val="sr-Cyrl-ME"/>
        </w:rPr>
      </w:pPr>
      <w:r w:rsidRPr="00196439">
        <w:rPr>
          <w:rFonts w:cs="Arial"/>
          <w:color w:val="17365D" w:themeColor="text2" w:themeShade="BF"/>
          <w:sz w:val="22"/>
          <w:szCs w:val="22"/>
          <w:u w:val="single"/>
        </w:rPr>
        <w:t xml:space="preserve">У првом </w:t>
      </w:r>
      <w:r w:rsidRPr="00196439">
        <w:rPr>
          <w:rFonts w:cs="Arial"/>
          <w:color w:val="17365D" w:themeColor="text2" w:themeShade="BF"/>
          <w:sz w:val="22"/>
          <w:szCs w:val="22"/>
          <w:u w:val="single"/>
          <w:lang w:val="sr-Cyrl-RS"/>
        </w:rPr>
        <w:t>кварталу</w:t>
      </w:r>
      <w:r w:rsidRPr="00196439">
        <w:rPr>
          <w:rFonts w:cs="Arial"/>
          <w:color w:val="17365D" w:themeColor="text2" w:themeShade="BF"/>
          <w:sz w:val="22"/>
          <w:szCs w:val="22"/>
          <w:u w:val="single"/>
        </w:rPr>
        <w:t xml:space="preserve"> 201</w:t>
      </w:r>
      <w:r w:rsidRPr="00196439">
        <w:rPr>
          <w:rFonts w:cs="Arial"/>
          <w:color w:val="17365D" w:themeColor="text2" w:themeShade="BF"/>
          <w:sz w:val="22"/>
          <w:szCs w:val="22"/>
          <w:u w:val="single"/>
          <w:lang w:val="sr-Cyrl-ME"/>
        </w:rPr>
        <w:t>9</w:t>
      </w:r>
      <w:r w:rsidRPr="00196439">
        <w:rPr>
          <w:rStyle w:val="FootnoteReference"/>
          <w:rFonts w:cs="Arial"/>
          <w:color w:val="17365D" w:themeColor="text2" w:themeShade="BF"/>
          <w:sz w:val="22"/>
          <w:szCs w:val="22"/>
          <w:u w:val="single"/>
          <w:lang w:val="sr-Cyrl-ME"/>
        </w:rPr>
        <w:footnoteReference w:id="5"/>
      </w:r>
      <w:r w:rsidRPr="00196439">
        <w:rPr>
          <w:rFonts w:cs="Arial"/>
          <w:color w:val="17365D" w:themeColor="text2" w:themeShade="BF"/>
          <w:sz w:val="22"/>
          <w:szCs w:val="22"/>
        </w:rPr>
        <w:t>. годин</w:t>
      </w:r>
      <w:r w:rsidRPr="00196439">
        <w:rPr>
          <w:rFonts w:cs="Arial"/>
          <w:color w:val="17365D" w:themeColor="text2" w:themeShade="BF"/>
          <w:sz w:val="22"/>
          <w:szCs w:val="22"/>
          <w:lang w:val="sr-Cyrl-ME"/>
        </w:rPr>
        <w:t>е</w:t>
      </w:r>
      <w:r w:rsidRPr="00196439">
        <w:rPr>
          <w:rFonts w:cs="Arial"/>
          <w:color w:val="17365D" w:themeColor="text2" w:themeShade="BF"/>
          <w:sz w:val="22"/>
          <w:szCs w:val="22"/>
        </w:rPr>
        <w:t xml:space="preserve"> закључен</w:t>
      </w:r>
      <w:r w:rsidRPr="00196439">
        <w:rPr>
          <w:rFonts w:cs="Arial"/>
          <w:color w:val="17365D" w:themeColor="text2" w:themeShade="BF"/>
          <w:sz w:val="22"/>
          <w:szCs w:val="22"/>
          <w:lang w:val="sr-Cyrl-ME"/>
        </w:rPr>
        <w:t>о</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ME"/>
        </w:rPr>
        <w:t xml:space="preserve">је </w:t>
      </w:r>
      <w:r w:rsidRPr="00196439">
        <w:rPr>
          <w:rFonts w:cs="Arial"/>
          <w:color w:val="17365D" w:themeColor="text2" w:themeShade="BF"/>
          <w:sz w:val="22"/>
          <w:szCs w:val="22"/>
        </w:rPr>
        <w:t>по активном послу</w:t>
      </w:r>
      <w:r w:rsidRPr="00196439">
        <w:rPr>
          <w:rFonts w:cs="Arial"/>
          <w:color w:val="17365D" w:themeColor="text2" w:themeShade="BF"/>
          <w:sz w:val="22"/>
          <w:szCs w:val="22"/>
          <w:lang w:val="sr-Cyrl-ME"/>
        </w:rPr>
        <w:t xml:space="preserve"> 251</w:t>
      </w:r>
      <w:r w:rsidRPr="00196439">
        <w:rPr>
          <w:rFonts w:cs="Arial"/>
          <w:color w:val="17365D" w:themeColor="text2" w:themeShade="BF"/>
          <w:sz w:val="22"/>
          <w:szCs w:val="22"/>
        </w:rPr>
        <w:t xml:space="preserve"> </w:t>
      </w:r>
      <w:r w:rsidRPr="00196439">
        <w:rPr>
          <w:rFonts w:cs="Arial"/>
          <w:color w:val="17365D" w:themeColor="text2" w:themeShade="BF"/>
          <w:sz w:val="22"/>
          <w:szCs w:val="22"/>
          <w:lang w:val="sr-Cyrl-ME"/>
        </w:rPr>
        <w:t xml:space="preserve">уговор </w:t>
      </w:r>
      <w:r w:rsidRPr="00196439">
        <w:rPr>
          <w:rFonts w:cs="Arial"/>
          <w:color w:val="17365D" w:themeColor="text2" w:themeShade="BF"/>
          <w:sz w:val="22"/>
          <w:szCs w:val="22"/>
        </w:rPr>
        <w:t>и 206 по пасивном</w:t>
      </w:r>
      <w:r w:rsidRPr="00196439">
        <w:rPr>
          <w:rFonts w:cs="Arial"/>
          <w:color w:val="17365D" w:themeColor="text2" w:themeShade="BF"/>
          <w:sz w:val="22"/>
          <w:szCs w:val="22"/>
          <w:lang w:val="sr-Cyrl-ME"/>
        </w:rPr>
        <w:t xml:space="preserve"> послу (укупно 457 уговора обновљених и новозакључених)</w:t>
      </w:r>
      <w:r w:rsidRPr="00196439">
        <w:rPr>
          <w:rFonts w:cs="Arial"/>
          <w:color w:val="17365D" w:themeColor="text2" w:themeShade="BF"/>
          <w:sz w:val="22"/>
          <w:szCs w:val="22"/>
        </w:rPr>
        <w:t>.</w:t>
      </w:r>
      <w:r w:rsidRPr="00196439">
        <w:rPr>
          <w:rFonts w:cs="Arial"/>
          <w:color w:val="17365D" w:themeColor="text2" w:themeShade="BF"/>
          <w:sz w:val="22"/>
          <w:szCs w:val="22"/>
          <w:lang w:val="sr-Cyrl-ME"/>
        </w:rPr>
        <w:t xml:space="preserve"> Број истеклих активних уговора је 67, а пасивних 49. У извештајном периоду раскинут је један активан уговор.</w:t>
      </w:r>
    </w:p>
    <w:p w:rsidR="00E76C00" w:rsidRPr="00196439" w:rsidRDefault="00E76C00" w:rsidP="00E76C00">
      <w:pPr>
        <w:spacing w:line="276" w:lineRule="auto"/>
        <w:rPr>
          <w:rFonts w:cs="Arial"/>
          <w:color w:val="17365D" w:themeColor="text2" w:themeShade="BF"/>
          <w:sz w:val="22"/>
          <w:szCs w:val="22"/>
          <w:lang w:val="sr-Cyrl-ME"/>
        </w:rPr>
      </w:pPr>
    </w:p>
    <w:p w:rsidR="00E76C00" w:rsidRPr="00196439" w:rsidRDefault="00E76C00" w:rsidP="00E76C00">
      <w:pPr>
        <w:spacing w:line="276" w:lineRule="auto"/>
        <w:rPr>
          <w:rFonts w:cs="Arial"/>
          <w:color w:val="17365D" w:themeColor="text2" w:themeShade="BF"/>
          <w:sz w:val="22"/>
          <w:szCs w:val="22"/>
          <w:lang w:val="sr-Cyrl-ME"/>
        </w:rPr>
      </w:pPr>
      <w:r w:rsidRPr="00196439">
        <w:rPr>
          <w:rFonts w:cs="Arial"/>
          <w:color w:val="17365D" w:themeColor="text2" w:themeShade="BF"/>
          <w:sz w:val="22"/>
          <w:szCs w:val="22"/>
          <w:u w:val="single"/>
          <w:lang w:val="sr-Cyrl-ME"/>
        </w:rPr>
        <w:t>У другом кварталу 2019</w:t>
      </w:r>
      <w:r w:rsidRPr="00196439">
        <w:rPr>
          <w:rFonts w:cs="Arial"/>
          <w:color w:val="17365D" w:themeColor="text2" w:themeShade="BF"/>
          <w:sz w:val="22"/>
          <w:szCs w:val="22"/>
          <w:lang w:val="sr-Cyrl-ME"/>
        </w:rPr>
        <w:t xml:space="preserve">. године закључено је по активном послу 211 уговора, а по пасивном послу 185 уговора (укупно 396 обновљених и новозакључених уговора). У истом периоду </w:t>
      </w:r>
      <w:r w:rsidRPr="00196439">
        <w:rPr>
          <w:rFonts w:cs="Arial"/>
          <w:color w:val="17365D" w:themeColor="text2" w:themeShade="BF"/>
          <w:sz w:val="22"/>
          <w:szCs w:val="22"/>
          <w:lang w:val="sr-Cyrl-ME"/>
        </w:rPr>
        <w:lastRenderedPageBreak/>
        <w:t xml:space="preserve">истекло је 123 уговора, и то 64 активна уговора и 59 пасивних уговора. Раскинута су по 3 </w:t>
      </w:r>
      <w:r w:rsidRPr="00621A6F">
        <w:rPr>
          <w:rFonts w:cs="Arial"/>
          <w:color w:val="17365D" w:themeColor="text2" w:themeShade="BF"/>
          <w:sz w:val="22"/>
          <w:szCs w:val="22"/>
          <w:lang w:val="sr-Cyrl-ME"/>
        </w:rPr>
        <w:t>ак</w:t>
      </w:r>
      <w:r w:rsidR="0012600F" w:rsidRPr="00621A6F">
        <w:rPr>
          <w:rFonts w:cs="Arial"/>
          <w:color w:val="17365D" w:themeColor="text2" w:themeShade="BF"/>
          <w:sz w:val="22"/>
          <w:szCs w:val="22"/>
          <w:lang w:val="sr-Cyrl-ME"/>
        </w:rPr>
        <w:t>тивна, односно пасивна уговора.</w:t>
      </w:r>
    </w:p>
    <w:p w:rsidR="00E76C00" w:rsidRPr="00196439" w:rsidRDefault="00E76C00" w:rsidP="00E76C00">
      <w:pPr>
        <w:spacing w:line="276" w:lineRule="auto"/>
        <w:rPr>
          <w:rFonts w:cs="Arial"/>
          <w:color w:val="17365D" w:themeColor="text2" w:themeShade="BF"/>
          <w:sz w:val="22"/>
          <w:szCs w:val="22"/>
          <w:lang w:val="sr-Cyrl-ME"/>
        </w:rPr>
      </w:pPr>
    </w:p>
    <w:p w:rsidR="00E76C00" w:rsidRPr="00196439" w:rsidRDefault="00E76C00" w:rsidP="00E76C00">
      <w:pPr>
        <w:spacing w:line="276" w:lineRule="auto"/>
        <w:rPr>
          <w:rFonts w:cs="Arial"/>
          <w:color w:val="17365D" w:themeColor="text2" w:themeShade="BF"/>
          <w:sz w:val="22"/>
          <w:szCs w:val="22"/>
          <w:lang w:val="sr-Cyrl-RS"/>
        </w:rPr>
      </w:pPr>
      <w:r w:rsidRPr="00196439">
        <w:rPr>
          <w:rFonts w:cs="Arial"/>
          <w:color w:val="17365D" w:themeColor="text2" w:themeShade="BF"/>
          <w:sz w:val="22"/>
          <w:szCs w:val="22"/>
          <w:u w:val="single"/>
          <w:lang w:val="sr-Cyrl-RS"/>
        </w:rPr>
        <w:t>У трећем кварталу 2019</w:t>
      </w:r>
      <w:r w:rsidRPr="00196439">
        <w:rPr>
          <w:rFonts w:cs="Arial"/>
          <w:color w:val="17365D" w:themeColor="text2" w:themeShade="BF"/>
          <w:sz w:val="22"/>
          <w:szCs w:val="22"/>
          <w:lang w:val="sr-Cyrl-RS"/>
        </w:rPr>
        <w:t>. године закључено је по активном послу 179 уговора, а по пасивном послу 143 уговора (укупно 322 обновљена и новозакључена уговора). Број истеклих активних и пасивних уговора респективно износи 18 и 12 уговора, односно укупно 30 истеклих уговора.</w:t>
      </w:r>
    </w:p>
    <w:p w:rsidR="00E76C00" w:rsidRPr="00196439" w:rsidRDefault="00E76C00" w:rsidP="00E76C00">
      <w:pPr>
        <w:spacing w:line="276" w:lineRule="auto"/>
        <w:rPr>
          <w:rFonts w:cs="Arial"/>
          <w:color w:val="17365D" w:themeColor="text2" w:themeShade="BF"/>
          <w:sz w:val="22"/>
          <w:szCs w:val="22"/>
          <w:lang w:val="sr-Cyrl-RS"/>
        </w:rPr>
      </w:pPr>
    </w:p>
    <w:p w:rsidR="00E76C00" w:rsidRPr="00196439" w:rsidRDefault="00E76C00" w:rsidP="00E76C00">
      <w:pPr>
        <w:spacing w:line="276" w:lineRule="auto"/>
        <w:rPr>
          <w:rFonts w:cs="Arial"/>
          <w:color w:val="17365D" w:themeColor="text2" w:themeShade="BF"/>
          <w:sz w:val="22"/>
          <w:szCs w:val="22"/>
          <w:lang w:val="sr-Cyrl-ME"/>
        </w:rPr>
      </w:pPr>
      <w:r w:rsidRPr="00196439">
        <w:rPr>
          <w:rFonts w:cs="Arial"/>
          <w:color w:val="17365D" w:themeColor="text2" w:themeShade="BF"/>
          <w:sz w:val="22"/>
          <w:szCs w:val="22"/>
          <w:u w:val="single"/>
          <w:lang w:val="sr-Cyrl-ME"/>
        </w:rPr>
        <w:t>У четвртом кварталу 2019.</w:t>
      </w:r>
      <w:r w:rsidRPr="00196439">
        <w:rPr>
          <w:rFonts w:cs="Arial"/>
          <w:color w:val="17365D" w:themeColor="text2" w:themeShade="BF"/>
          <w:sz w:val="22"/>
          <w:szCs w:val="22"/>
          <w:lang w:val="sr-Cyrl-ME"/>
        </w:rPr>
        <w:t xml:space="preserve"> године закључено је по активном послу 152 уговора и 119 по </w:t>
      </w:r>
      <w:r w:rsidRPr="00621A6F">
        <w:rPr>
          <w:rFonts w:cs="Arial"/>
          <w:color w:val="17365D" w:themeColor="text2" w:themeShade="BF"/>
          <w:sz w:val="22"/>
          <w:szCs w:val="22"/>
          <w:lang w:val="sr-Cyrl-ME"/>
        </w:rPr>
        <w:t>пасивном послу (укупно 271 уговор обновљен и новозакључен). Број истеклих уговора је 67, и</w:t>
      </w:r>
      <w:r w:rsidRPr="00196439">
        <w:rPr>
          <w:rFonts w:cs="Arial"/>
          <w:color w:val="17365D" w:themeColor="text2" w:themeShade="BF"/>
          <w:sz w:val="22"/>
          <w:szCs w:val="22"/>
          <w:lang w:val="sr-Cyrl-ME"/>
        </w:rPr>
        <w:t xml:space="preserve"> то 42 активна и 25 пасивних уговора. Раскинуто је 2 уговора (1 активан и 1 пасиван).</w:t>
      </w:r>
    </w:p>
    <w:p w:rsidR="00E76C00" w:rsidRPr="00196439" w:rsidRDefault="00E76C00" w:rsidP="00E76C00">
      <w:pPr>
        <w:spacing w:line="276" w:lineRule="auto"/>
        <w:rPr>
          <w:rFonts w:cs="Arial"/>
          <w:color w:val="17365D" w:themeColor="text2" w:themeShade="BF"/>
          <w:sz w:val="22"/>
          <w:szCs w:val="22"/>
          <w:lang w:val="sr-Cyrl-ME"/>
        </w:rPr>
      </w:pPr>
    </w:p>
    <w:p w:rsidR="00E76C00" w:rsidRPr="00196439" w:rsidRDefault="00E76C00" w:rsidP="00E76C00">
      <w:pPr>
        <w:spacing w:line="276" w:lineRule="auto"/>
        <w:rPr>
          <w:color w:val="17365D" w:themeColor="text2" w:themeShade="BF"/>
          <w:sz w:val="22"/>
          <w:szCs w:val="22"/>
          <w:lang w:val="sr-Cyrl-RS"/>
        </w:rPr>
      </w:pPr>
      <w:r w:rsidRPr="00196439">
        <w:rPr>
          <w:color w:val="17365D" w:themeColor="text2" w:themeShade="BF"/>
          <w:sz w:val="22"/>
          <w:szCs w:val="22"/>
        </w:rPr>
        <w:t xml:space="preserve">Укупан број закључених уговора </w:t>
      </w:r>
      <w:r w:rsidRPr="00196439">
        <w:rPr>
          <w:color w:val="17365D" w:themeColor="text2" w:themeShade="BF"/>
          <w:sz w:val="22"/>
          <w:szCs w:val="22"/>
          <w:lang w:val="sr-Cyrl-RS"/>
        </w:rPr>
        <w:t>у 2019.</w:t>
      </w:r>
      <w:r w:rsidRPr="00196439">
        <w:rPr>
          <w:color w:val="17365D" w:themeColor="text2" w:themeShade="BF"/>
          <w:sz w:val="22"/>
          <w:szCs w:val="22"/>
        </w:rPr>
        <w:t xml:space="preserve"> је </w:t>
      </w:r>
      <w:r w:rsidRPr="00196439">
        <w:rPr>
          <w:color w:val="17365D" w:themeColor="text2" w:themeShade="BF"/>
          <w:sz w:val="22"/>
          <w:szCs w:val="22"/>
          <w:lang w:val="sr-Cyrl-RS"/>
        </w:rPr>
        <w:t>1.446</w:t>
      </w:r>
      <w:r w:rsidRPr="00196439">
        <w:rPr>
          <w:color w:val="17365D" w:themeColor="text2" w:themeShade="BF"/>
          <w:sz w:val="22"/>
          <w:szCs w:val="22"/>
        </w:rPr>
        <w:t xml:space="preserve">, од тога </w:t>
      </w:r>
      <w:r w:rsidRPr="00196439">
        <w:rPr>
          <w:color w:val="17365D" w:themeColor="text2" w:themeShade="BF"/>
          <w:sz w:val="22"/>
          <w:szCs w:val="22"/>
          <w:lang w:val="sr-Cyrl-RS"/>
        </w:rPr>
        <w:t>793</w:t>
      </w:r>
      <w:r w:rsidRPr="00196439">
        <w:rPr>
          <w:color w:val="17365D" w:themeColor="text2" w:themeShade="BF"/>
          <w:sz w:val="22"/>
          <w:szCs w:val="22"/>
        </w:rPr>
        <w:t xml:space="preserve"> активних и </w:t>
      </w:r>
      <w:r w:rsidRPr="00196439">
        <w:rPr>
          <w:color w:val="17365D" w:themeColor="text2" w:themeShade="BF"/>
          <w:sz w:val="22"/>
          <w:szCs w:val="22"/>
          <w:lang w:val="sr-Cyrl-RS"/>
        </w:rPr>
        <w:t>653</w:t>
      </w:r>
      <w:r w:rsidRPr="00196439">
        <w:rPr>
          <w:color w:val="17365D" w:themeColor="text2" w:themeShade="BF"/>
          <w:sz w:val="22"/>
          <w:szCs w:val="22"/>
        </w:rPr>
        <w:t xml:space="preserve"> пасивних. Укупан број истеклих уговора у </w:t>
      </w:r>
      <w:r w:rsidRPr="00196439">
        <w:rPr>
          <w:color w:val="17365D" w:themeColor="text2" w:themeShade="BF"/>
          <w:sz w:val="22"/>
          <w:szCs w:val="22"/>
          <w:lang w:val="sr-Cyrl-RS"/>
        </w:rPr>
        <w:t>2019.</w:t>
      </w:r>
      <w:r w:rsidRPr="00196439">
        <w:rPr>
          <w:color w:val="17365D" w:themeColor="text2" w:themeShade="BF"/>
          <w:sz w:val="22"/>
          <w:szCs w:val="22"/>
        </w:rPr>
        <w:t xml:space="preserve"> је </w:t>
      </w:r>
      <w:r w:rsidRPr="00196439">
        <w:rPr>
          <w:color w:val="17365D" w:themeColor="text2" w:themeShade="BF"/>
          <w:sz w:val="22"/>
          <w:szCs w:val="22"/>
          <w:lang w:val="sr-Cyrl-RS"/>
        </w:rPr>
        <w:t>336</w:t>
      </w:r>
      <w:r w:rsidRPr="00196439">
        <w:rPr>
          <w:color w:val="17365D" w:themeColor="text2" w:themeShade="BF"/>
          <w:sz w:val="22"/>
          <w:szCs w:val="22"/>
        </w:rPr>
        <w:t xml:space="preserve">, од тога </w:t>
      </w:r>
      <w:r w:rsidRPr="00196439">
        <w:rPr>
          <w:color w:val="17365D" w:themeColor="text2" w:themeShade="BF"/>
          <w:sz w:val="22"/>
          <w:szCs w:val="22"/>
          <w:lang w:val="sr-Cyrl-RS"/>
        </w:rPr>
        <w:t>191</w:t>
      </w:r>
      <w:r w:rsidRPr="00196439">
        <w:rPr>
          <w:color w:val="17365D" w:themeColor="text2" w:themeShade="BF"/>
          <w:sz w:val="22"/>
          <w:szCs w:val="22"/>
        </w:rPr>
        <w:t xml:space="preserve"> актив</w:t>
      </w:r>
      <w:r w:rsidRPr="00196439">
        <w:rPr>
          <w:color w:val="17365D" w:themeColor="text2" w:themeShade="BF"/>
          <w:sz w:val="22"/>
          <w:szCs w:val="22"/>
          <w:lang w:val="sr-Cyrl-RS"/>
        </w:rPr>
        <w:t>а</w:t>
      </w:r>
      <w:r w:rsidRPr="00196439">
        <w:rPr>
          <w:color w:val="17365D" w:themeColor="text2" w:themeShade="BF"/>
          <w:sz w:val="22"/>
          <w:szCs w:val="22"/>
        </w:rPr>
        <w:t xml:space="preserve">н и </w:t>
      </w:r>
      <w:r w:rsidRPr="00196439">
        <w:rPr>
          <w:color w:val="17365D" w:themeColor="text2" w:themeShade="BF"/>
          <w:sz w:val="22"/>
          <w:szCs w:val="22"/>
          <w:lang w:val="sr-Cyrl-RS"/>
        </w:rPr>
        <w:t>145</w:t>
      </w:r>
      <w:r w:rsidRPr="00196439">
        <w:rPr>
          <w:color w:val="17365D" w:themeColor="text2" w:themeShade="BF"/>
          <w:sz w:val="22"/>
          <w:szCs w:val="22"/>
        </w:rPr>
        <w:t xml:space="preserve"> пасивних</w:t>
      </w:r>
      <w:r w:rsidRPr="00196439">
        <w:rPr>
          <w:color w:val="17365D" w:themeColor="text2" w:themeShade="BF"/>
          <w:sz w:val="22"/>
          <w:szCs w:val="22"/>
          <w:lang w:val="sr-Cyrl-RS"/>
        </w:rPr>
        <w:t xml:space="preserve"> уговора</w:t>
      </w:r>
      <w:r w:rsidRPr="00196439">
        <w:rPr>
          <w:color w:val="17365D" w:themeColor="text2" w:themeShade="BF"/>
          <w:sz w:val="22"/>
          <w:szCs w:val="22"/>
        </w:rPr>
        <w:t>.</w:t>
      </w:r>
      <w:r w:rsidRPr="00196439">
        <w:rPr>
          <w:color w:val="17365D" w:themeColor="text2" w:themeShade="BF"/>
          <w:sz w:val="22"/>
          <w:szCs w:val="22"/>
          <w:lang w:val="sr-Cyrl-RS"/>
        </w:rPr>
        <w:t xml:space="preserve"> Укупан број раскинутих уговора у истом периоду је 9 (5 активних и 4 пасивна).</w:t>
      </w:r>
    </w:p>
    <w:p w:rsidR="00E76C00" w:rsidRPr="00196439" w:rsidRDefault="00E76C00" w:rsidP="00E76C00">
      <w:pPr>
        <w:spacing w:line="276" w:lineRule="auto"/>
        <w:rPr>
          <w:color w:val="17365D" w:themeColor="text2" w:themeShade="BF"/>
          <w:sz w:val="22"/>
          <w:szCs w:val="22"/>
          <w:lang w:val="sr-Cyrl-RS"/>
        </w:rPr>
      </w:pPr>
    </w:p>
    <w:p w:rsidR="00E76C00" w:rsidRPr="00196439" w:rsidRDefault="00E76C00" w:rsidP="00E76C00">
      <w:pPr>
        <w:spacing w:line="276" w:lineRule="auto"/>
        <w:rPr>
          <w:rFonts w:cs="Arial"/>
          <w:color w:val="17365D" w:themeColor="text2" w:themeShade="BF"/>
          <w:sz w:val="22"/>
          <w:szCs w:val="22"/>
          <w:lang w:val="sr-Cyrl-RS"/>
        </w:rPr>
      </w:pPr>
      <w:r w:rsidRPr="00196439">
        <w:rPr>
          <w:rFonts w:cs="Arial"/>
          <w:color w:val="17365D" w:themeColor="text2" w:themeShade="BF"/>
          <w:sz w:val="22"/>
          <w:szCs w:val="22"/>
          <w:lang w:val="sr-Cyrl-ME"/>
        </w:rPr>
        <w:t>Остали уговори закључени пре 01.01.2019</w:t>
      </w:r>
      <w:r w:rsidRPr="00196439">
        <w:rPr>
          <w:rStyle w:val="FootnoteReference"/>
          <w:rFonts w:cs="Arial"/>
          <w:color w:val="17365D" w:themeColor="text2" w:themeShade="BF"/>
          <w:sz w:val="22"/>
          <w:szCs w:val="22"/>
          <w:lang w:val="sr-Cyrl-ME"/>
        </w:rPr>
        <w:footnoteReference w:id="6"/>
      </w:r>
      <w:r w:rsidRPr="00196439">
        <w:rPr>
          <w:rFonts w:cs="Arial"/>
          <w:color w:val="17365D" w:themeColor="text2" w:themeShade="BF"/>
          <w:sz w:val="22"/>
          <w:szCs w:val="22"/>
          <w:lang w:val="sr-Cyrl-ME"/>
        </w:rPr>
        <w:t>. године са даљим важењем а који нису истекли и даље су активни</w:t>
      </w:r>
    </w:p>
    <w:p w:rsidR="00E76C00" w:rsidRPr="00196439" w:rsidRDefault="00E76C00" w:rsidP="00E76C00">
      <w:pPr>
        <w:spacing w:line="276" w:lineRule="auto"/>
        <w:rPr>
          <w:rFonts w:cs="Arial"/>
          <w:color w:val="17365D" w:themeColor="text2" w:themeShade="BF"/>
          <w:sz w:val="22"/>
          <w:szCs w:val="22"/>
          <w:lang w:val="sr-Cyrl-ME"/>
        </w:rPr>
      </w:pPr>
    </w:p>
    <w:p w:rsidR="00E76C00" w:rsidRPr="00196439" w:rsidRDefault="00E76C00" w:rsidP="00E76C00">
      <w:pPr>
        <w:spacing w:line="276" w:lineRule="auto"/>
        <w:rPr>
          <w:rFonts w:cs="Arial"/>
          <w:color w:val="17365D" w:themeColor="text2" w:themeShade="BF"/>
          <w:sz w:val="22"/>
          <w:szCs w:val="22"/>
        </w:rPr>
      </w:pPr>
      <w:r w:rsidRPr="00196439">
        <w:rPr>
          <w:rFonts w:cs="Arial"/>
          <w:color w:val="17365D" w:themeColor="text2" w:themeShade="BF"/>
          <w:sz w:val="22"/>
          <w:szCs w:val="22"/>
        </w:rPr>
        <w:t>Уговори о реосигурању и ретроцесији су пропорционални уговори на бази ексцедента и квоте као и непропорционални уговори на бази exces of loss и stop loss. Уговорима о реосигурању и ретроцесији обухваћена су животна и неживотна осигурања.</w:t>
      </w:r>
    </w:p>
    <w:p w:rsidR="00E76C00" w:rsidRPr="00196439" w:rsidRDefault="00E76C00" w:rsidP="00E76C00">
      <w:pPr>
        <w:spacing w:line="276" w:lineRule="auto"/>
        <w:rPr>
          <w:rFonts w:cs="Arial"/>
          <w:i/>
          <w:color w:val="17365D" w:themeColor="text2" w:themeShade="BF"/>
          <w:sz w:val="22"/>
          <w:szCs w:val="22"/>
        </w:rPr>
      </w:pPr>
    </w:p>
    <w:p w:rsidR="00E76C00" w:rsidRPr="00196439" w:rsidRDefault="00E76C00" w:rsidP="00E76C00">
      <w:pPr>
        <w:spacing w:line="276" w:lineRule="auto"/>
        <w:rPr>
          <w:rFonts w:cs="Arial"/>
          <w:i/>
          <w:color w:val="17365D" w:themeColor="text2" w:themeShade="BF"/>
          <w:sz w:val="22"/>
          <w:szCs w:val="22"/>
        </w:rPr>
      </w:pPr>
      <w:r w:rsidRPr="00196439">
        <w:rPr>
          <w:rFonts w:cs="Arial"/>
          <w:i/>
          <w:color w:val="17365D" w:themeColor="text2" w:themeShade="BF"/>
          <w:sz w:val="22"/>
          <w:szCs w:val="22"/>
        </w:rPr>
        <w:t>Појединачни преглед закључених,</w:t>
      </w:r>
      <w:r w:rsidRPr="00196439">
        <w:rPr>
          <w:rFonts w:cs="Arial"/>
          <w:i/>
          <w:color w:val="17365D" w:themeColor="text2" w:themeShade="BF"/>
          <w:sz w:val="22"/>
          <w:szCs w:val="22"/>
          <w:lang w:val="sr-Cyrl-ME"/>
        </w:rPr>
        <w:t xml:space="preserve"> истеклих и раскинутих </w:t>
      </w:r>
      <w:r w:rsidRPr="00196439">
        <w:rPr>
          <w:rFonts w:cs="Arial"/>
          <w:i/>
          <w:color w:val="17365D" w:themeColor="text2" w:themeShade="BF"/>
          <w:sz w:val="22"/>
          <w:szCs w:val="22"/>
        </w:rPr>
        <w:t>уговора о реосигурању и ретроцесији у периоду 1.10.- 3</w:t>
      </w:r>
      <w:r w:rsidRPr="00196439">
        <w:rPr>
          <w:rFonts w:cs="Arial"/>
          <w:i/>
          <w:color w:val="17365D" w:themeColor="text2" w:themeShade="BF"/>
          <w:sz w:val="22"/>
          <w:szCs w:val="22"/>
          <w:lang w:val="sr-Cyrl-ME"/>
        </w:rPr>
        <w:t>1</w:t>
      </w:r>
      <w:r w:rsidRPr="00196439">
        <w:rPr>
          <w:rFonts w:cs="Arial"/>
          <w:i/>
          <w:color w:val="17365D" w:themeColor="text2" w:themeShade="BF"/>
          <w:sz w:val="22"/>
          <w:szCs w:val="22"/>
        </w:rPr>
        <w:t>.</w:t>
      </w:r>
      <w:r w:rsidRPr="00196439">
        <w:rPr>
          <w:rFonts w:cs="Arial"/>
          <w:i/>
          <w:color w:val="17365D" w:themeColor="text2" w:themeShade="BF"/>
          <w:sz w:val="22"/>
          <w:szCs w:val="22"/>
          <w:lang w:val="sr-Cyrl-ME"/>
        </w:rPr>
        <w:t>12</w:t>
      </w:r>
      <w:r w:rsidRPr="00196439">
        <w:rPr>
          <w:rFonts w:cs="Arial"/>
          <w:i/>
          <w:color w:val="17365D" w:themeColor="text2" w:themeShade="BF"/>
          <w:sz w:val="22"/>
          <w:szCs w:val="22"/>
        </w:rPr>
        <w:t xml:space="preserve">.2019. </w:t>
      </w:r>
      <w:r w:rsidRPr="00196439">
        <w:rPr>
          <w:rFonts w:cs="Arial"/>
          <w:i/>
          <w:color w:val="17365D" w:themeColor="text2" w:themeShade="BF"/>
          <w:sz w:val="22"/>
          <w:szCs w:val="22"/>
          <w:lang w:val="sr-Cyrl-RS"/>
        </w:rPr>
        <w:t xml:space="preserve">и </w:t>
      </w:r>
      <w:r w:rsidRPr="00196439">
        <w:rPr>
          <w:rFonts w:cs="Arial"/>
          <w:i/>
          <w:color w:val="17365D" w:themeColor="text2" w:themeShade="BF"/>
          <w:sz w:val="22"/>
          <w:szCs w:val="22"/>
        </w:rPr>
        <w:t>1.</w:t>
      </w:r>
      <w:r w:rsidRPr="00196439">
        <w:rPr>
          <w:rFonts w:cs="Arial"/>
          <w:i/>
          <w:color w:val="17365D" w:themeColor="text2" w:themeShade="BF"/>
          <w:sz w:val="22"/>
          <w:szCs w:val="22"/>
          <w:lang w:val="sr-Cyrl-RS"/>
        </w:rPr>
        <w:t>1</w:t>
      </w:r>
      <w:r w:rsidRPr="00196439">
        <w:rPr>
          <w:rFonts w:cs="Arial"/>
          <w:i/>
          <w:color w:val="17365D" w:themeColor="text2" w:themeShade="BF"/>
          <w:sz w:val="22"/>
          <w:szCs w:val="22"/>
        </w:rPr>
        <w:t>.- 3</w:t>
      </w:r>
      <w:r w:rsidRPr="00196439">
        <w:rPr>
          <w:rFonts w:cs="Arial"/>
          <w:i/>
          <w:color w:val="17365D" w:themeColor="text2" w:themeShade="BF"/>
          <w:sz w:val="22"/>
          <w:szCs w:val="22"/>
          <w:lang w:val="sr-Cyrl-ME"/>
        </w:rPr>
        <w:t>1</w:t>
      </w:r>
      <w:r w:rsidRPr="00196439">
        <w:rPr>
          <w:rFonts w:cs="Arial"/>
          <w:i/>
          <w:color w:val="17365D" w:themeColor="text2" w:themeShade="BF"/>
          <w:sz w:val="22"/>
          <w:szCs w:val="22"/>
        </w:rPr>
        <w:t>.</w:t>
      </w:r>
      <w:r w:rsidRPr="00196439">
        <w:rPr>
          <w:rFonts w:cs="Arial"/>
          <w:i/>
          <w:color w:val="17365D" w:themeColor="text2" w:themeShade="BF"/>
          <w:sz w:val="22"/>
          <w:szCs w:val="22"/>
          <w:lang w:val="sr-Cyrl-ME"/>
        </w:rPr>
        <w:t>12</w:t>
      </w:r>
      <w:r w:rsidRPr="00196439">
        <w:rPr>
          <w:rFonts w:cs="Arial"/>
          <w:i/>
          <w:color w:val="17365D" w:themeColor="text2" w:themeShade="BF"/>
          <w:sz w:val="22"/>
          <w:szCs w:val="22"/>
        </w:rPr>
        <w:t>.201</w:t>
      </w:r>
      <w:r w:rsidRPr="00196439">
        <w:rPr>
          <w:rFonts w:cs="Arial"/>
          <w:i/>
          <w:color w:val="17365D" w:themeColor="text2" w:themeShade="BF"/>
          <w:sz w:val="22"/>
          <w:szCs w:val="22"/>
          <w:lang w:val="sr-Cyrl-RS"/>
        </w:rPr>
        <w:t>9</w:t>
      </w:r>
      <w:r w:rsidRPr="00196439">
        <w:rPr>
          <w:rFonts w:cs="Arial"/>
          <w:i/>
          <w:color w:val="17365D" w:themeColor="text2" w:themeShade="BF"/>
          <w:sz w:val="22"/>
          <w:szCs w:val="22"/>
        </w:rPr>
        <w:t xml:space="preserve">. </w:t>
      </w:r>
      <w:r w:rsidRPr="00196439">
        <w:rPr>
          <w:rFonts w:cs="Arial"/>
          <w:i/>
          <w:color w:val="17365D" w:themeColor="text2" w:themeShade="BF"/>
          <w:sz w:val="22"/>
          <w:szCs w:val="22"/>
          <w:lang w:val="sr-Cyrl-RS"/>
        </w:rPr>
        <w:t xml:space="preserve">по активном и пасивном послу </w:t>
      </w:r>
      <w:r w:rsidRPr="00196439">
        <w:rPr>
          <w:rFonts w:cs="Arial"/>
          <w:i/>
          <w:color w:val="17365D" w:themeColor="text2" w:themeShade="BF"/>
          <w:sz w:val="22"/>
          <w:szCs w:val="22"/>
        </w:rPr>
        <w:t>дат је у прилогу.</w:t>
      </w:r>
    </w:p>
    <w:p w:rsidR="00E76C00" w:rsidRPr="00196439" w:rsidRDefault="00E76C00" w:rsidP="00E76C00">
      <w:pPr>
        <w:spacing w:line="276" w:lineRule="auto"/>
        <w:rPr>
          <w:rFonts w:cs="Arial"/>
          <w:color w:val="17365D" w:themeColor="text2" w:themeShade="BF"/>
          <w:sz w:val="22"/>
          <w:szCs w:val="22"/>
        </w:rPr>
      </w:pPr>
    </w:p>
    <w:p w:rsidR="00321209" w:rsidRPr="00196439" w:rsidRDefault="00321209" w:rsidP="00321209">
      <w:pPr>
        <w:spacing w:line="240" w:lineRule="auto"/>
        <w:rPr>
          <w:rFonts w:cs="Arial"/>
          <w:color w:val="17365D" w:themeColor="text2" w:themeShade="BF"/>
          <w:sz w:val="22"/>
          <w:szCs w:val="22"/>
        </w:rPr>
      </w:pPr>
    </w:p>
    <w:p w:rsidR="00321209" w:rsidRPr="00196439" w:rsidRDefault="00321209" w:rsidP="00321209">
      <w:pPr>
        <w:spacing w:line="276" w:lineRule="auto"/>
        <w:rPr>
          <w:rFonts w:cs="Arial"/>
          <w:color w:val="17365D" w:themeColor="text2" w:themeShade="BF"/>
          <w:sz w:val="22"/>
          <w:szCs w:val="22"/>
        </w:rPr>
      </w:pPr>
      <w:r w:rsidRPr="00196439">
        <w:rPr>
          <w:rFonts w:cs="Arial"/>
          <w:b/>
          <w:color w:val="17365D" w:themeColor="text2" w:themeShade="BF"/>
          <w:sz w:val="22"/>
          <w:szCs w:val="22"/>
        </w:rPr>
        <w:t xml:space="preserve">Узимајући у обзир делатност коју Друштво обавља и </w:t>
      </w:r>
      <w:r w:rsidRPr="00196439">
        <w:rPr>
          <w:rFonts w:cs="Arial"/>
          <w:b/>
          <w:color w:val="17365D" w:themeColor="text2" w:themeShade="BF"/>
          <w:sz w:val="22"/>
          <w:szCs w:val="22"/>
          <w:lang w:val="sr-Cyrl-ME"/>
        </w:rPr>
        <w:t>позитивне рације по активном послу и у самопридржају</w:t>
      </w:r>
      <w:r w:rsidRPr="00196439">
        <w:rPr>
          <w:rFonts w:cs="Arial"/>
          <w:b/>
          <w:color w:val="17365D" w:themeColor="text2" w:themeShade="BF"/>
          <w:sz w:val="22"/>
          <w:szCs w:val="22"/>
        </w:rPr>
        <w:t xml:space="preserve"> може се констатовати </w:t>
      </w:r>
      <w:r w:rsidRPr="00196439">
        <w:rPr>
          <w:rFonts w:cs="Arial"/>
          <w:b/>
          <w:color w:val="17365D" w:themeColor="text2" w:themeShade="BF"/>
          <w:sz w:val="22"/>
          <w:szCs w:val="22"/>
          <w:lang w:val="sr-Cyrl-ME"/>
        </w:rPr>
        <w:t xml:space="preserve">да Друштво адекватно управља ризицима и да постоји </w:t>
      </w:r>
      <w:r w:rsidRPr="00196439">
        <w:rPr>
          <w:rFonts w:cs="Arial"/>
          <w:b/>
          <w:color w:val="17365D" w:themeColor="text2" w:themeShade="BF"/>
          <w:sz w:val="22"/>
          <w:szCs w:val="22"/>
        </w:rPr>
        <w:t>оправданост закључених уговора о реосигурању</w:t>
      </w:r>
      <w:r w:rsidRPr="00196439">
        <w:rPr>
          <w:rFonts w:cs="Arial"/>
          <w:b/>
          <w:color w:val="17365D" w:themeColor="text2" w:themeShade="BF"/>
          <w:sz w:val="22"/>
          <w:szCs w:val="22"/>
          <w:lang w:val="sr-Cyrl-ME"/>
        </w:rPr>
        <w:t xml:space="preserve">, односно </w:t>
      </w:r>
      <w:r w:rsidRPr="00196439">
        <w:rPr>
          <w:rFonts w:cs="Arial"/>
          <w:b/>
          <w:color w:val="17365D" w:themeColor="text2" w:themeShade="BF"/>
          <w:sz w:val="22"/>
          <w:szCs w:val="22"/>
        </w:rPr>
        <w:t>ретроцесији.</w:t>
      </w:r>
    </w:p>
    <w:p w:rsidR="00321209" w:rsidRPr="00196439" w:rsidRDefault="00321209" w:rsidP="00FD779A">
      <w:pPr>
        <w:spacing w:line="276" w:lineRule="auto"/>
        <w:rPr>
          <w:rFonts w:cs="Arial"/>
          <w:color w:val="17365D" w:themeColor="text2" w:themeShade="BF"/>
          <w:sz w:val="22"/>
          <w:szCs w:val="22"/>
        </w:rPr>
      </w:pPr>
    </w:p>
    <w:p w:rsidR="001211DC" w:rsidRPr="00196439" w:rsidRDefault="001211DC" w:rsidP="00FD779A">
      <w:pPr>
        <w:spacing w:line="276" w:lineRule="auto"/>
        <w:rPr>
          <w:rFonts w:cs="Arial"/>
          <w:b/>
          <w:color w:val="17365D" w:themeColor="text2" w:themeShade="BF"/>
          <w:sz w:val="22"/>
          <w:szCs w:val="22"/>
        </w:rPr>
      </w:pPr>
    </w:p>
    <w:p w:rsidR="00145C43" w:rsidRPr="00196439" w:rsidRDefault="00145C43" w:rsidP="00FD779A">
      <w:pPr>
        <w:spacing w:line="276" w:lineRule="auto"/>
        <w:rPr>
          <w:rFonts w:cs="Arial"/>
          <w:b/>
          <w:color w:val="17365D" w:themeColor="text2" w:themeShade="BF"/>
          <w:sz w:val="22"/>
          <w:szCs w:val="22"/>
        </w:rPr>
      </w:pPr>
      <w:r w:rsidRPr="00196439">
        <w:rPr>
          <w:rFonts w:cs="Arial"/>
          <w:b/>
          <w:color w:val="17365D" w:themeColor="text2" w:themeShade="BF"/>
          <w:sz w:val="22"/>
          <w:szCs w:val="22"/>
        </w:rPr>
        <w:t>3.</w:t>
      </w:r>
      <w:r w:rsidR="000E1833" w:rsidRPr="00196439">
        <w:rPr>
          <w:rFonts w:cs="Arial"/>
          <w:b/>
          <w:color w:val="17365D" w:themeColor="text2" w:themeShade="BF"/>
          <w:sz w:val="22"/>
          <w:szCs w:val="22"/>
        </w:rPr>
        <w:t>3.</w:t>
      </w:r>
      <w:r w:rsidR="000760B1" w:rsidRPr="00196439">
        <w:rPr>
          <w:rFonts w:cs="Arial"/>
          <w:b/>
          <w:color w:val="17365D" w:themeColor="text2" w:themeShade="BF"/>
          <w:sz w:val="22"/>
          <w:szCs w:val="22"/>
          <w:lang w:val="sr-Cyrl-ME"/>
        </w:rPr>
        <w:t>3</w:t>
      </w:r>
      <w:r w:rsidRPr="00196439">
        <w:rPr>
          <w:rFonts w:cs="Arial"/>
          <w:b/>
          <w:color w:val="17365D" w:themeColor="text2" w:themeShade="BF"/>
          <w:sz w:val="22"/>
          <w:szCs w:val="22"/>
        </w:rPr>
        <w:t>. Бордерои премија и штета</w:t>
      </w:r>
    </w:p>
    <w:p w:rsidR="00145C43" w:rsidRPr="00196439" w:rsidRDefault="00145C43" w:rsidP="00FD779A">
      <w:pPr>
        <w:spacing w:line="276" w:lineRule="auto"/>
        <w:rPr>
          <w:rFonts w:cs="Arial"/>
          <w:b/>
          <w:color w:val="17365D" w:themeColor="text2" w:themeShade="BF"/>
          <w:sz w:val="22"/>
          <w:szCs w:val="22"/>
        </w:rPr>
      </w:pPr>
    </w:p>
    <w:p w:rsidR="0052791C" w:rsidRPr="00196439" w:rsidRDefault="0052791C" w:rsidP="0052791C">
      <w:pPr>
        <w:pStyle w:val="Default"/>
        <w:spacing w:line="276" w:lineRule="auto"/>
        <w:jc w:val="both"/>
        <w:rPr>
          <w:color w:val="17365D" w:themeColor="text2" w:themeShade="BF"/>
          <w:sz w:val="22"/>
          <w:szCs w:val="22"/>
        </w:rPr>
      </w:pPr>
      <w:r w:rsidRPr="00196439">
        <w:rPr>
          <w:color w:val="17365D" w:themeColor="text2" w:themeShade="BF"/>
          <w:sz w:val="22"/>
          <w:szCs w:val="22"/>
        </w:rPr>
        <w:t xml:space="preserve">Обрачун премија и штета за ризике који су пријављени у реосигурање као и пренос вишкова ризика у ретроцесију обављају се у складу са закљученим уговорима о реосигурању, односно уговорима о ретроцесији. Бордерирање премије и штета по активним пословима реосигурања се врши у складу са расподелом ризика из уговора о реосигурању, а подаци о премијама и штетама у пасивном реосигурању се бордерирају у складу са уговорима о ретроцесији. </w:t>
      </w:r>
    </w:p>
    <w:p w:rsidR="0052791C" w:rsidRPr="00196439" w:rsidRDefault="0052791C" w:rsidP="0052791C">
      <w:pPr>
        <w:pStyle w:val="Default"/>
        <w:spacing w:line="276" w:lineRule="auto"/>
        <w:jc w:val="both"/>
        <w:rPr>
          <w:color w:val="17365D" w:themeColor="text2" w:themeShade="BF"/>
          <w:sz w:val="22"/>
          <w:szCs w:val="22"/>
        </w:rPr>
      </w:pPr>
    </w:p>
    <w:p w:rsidR="0052791C" w:rsidRPr="00196439" w:rsidRDefault="0052791C" w:rsidP="0052791C">
      <w:pPr>
        <w:spacing w:line="276" w:lineRule="auto"/>
        <w:rPr>
          <w:rFonts w:cs="Arial"/>
          <w:color w:val="17365D" w:themeColor="text2" w:themeShade="BF"/>
          <w:sz w:val="22"/>
          <w:szCs w:val="22"/>
        </w:rPr>
      </w:pPr>
      <w:r w:rsidRPr="00196439">
        <w:rPr>
          <w:rFonts w:cs="Arial"/>
          <w:color w:val="17365D" w:themeColor="text2" w:themeShade="BF"/>
          <w:sz w:val="22"/>
          <w:szCs w:val="22"/>
        </w:rPr>
        <w:t>Бордеро математичке резерве реосигурања сачињен је на основу активне математичке резерве реосигурања - активне преносне премије реосигурања, обрачунате од стране цедената, док се пасивна математичка резерва реосигурања - пасивна преносна премија реосигурања бордерира у складу са расподелом ризика из уговора о ретроцесији.</w:t>
      </w:r>
    </w:p>
    <w:p w:rsidR="00E84D28" w:rsidRPr="00196439" w:rsidRDefault="00E84D28" w:rsidP="00FD779A">
      <w:pPr>
        <w:spacing w:line="276" w:lineRule="auto"/>
        <w:rPr>
          <w:rFonts w:cs="Arial"/>
          <w:b/>
          <w:color w:val="17365D" w:themeColor="text2" w:themeShade="BF"/>
          <w:sz w:val="22"/>
          <w:szCs w:val="22"/>
        </w:rPr>
      </w:pPr>
    </w:p>
    <w:p w:rsidR="009E0D8C" w:rsidRPr="00196439" w:rsidRDefault="009E0D8C">
      <w:pPr>
        <w:spacing w:after="200" w:line="276" w:lineRule="auto"/>
        <w:jc w:val="left"/>
        <w:rPr>
          <w:rFonts w:cs="Arial"/>
          <w:color w:val="17365D" w:themeColor="text2" w:themeShade="BF"/>
          <w:sz w:val="22"/>
          <w:szCs w:val="22"/>
        </w:rPr>
      </w:pPr>
      <w:r w:rsidRPr="00196439">
        <w:rPr>
          <w:rFonts w:cs="Arial"/>
          <w:color w:val="17365D" w:themeColor="text2" w:themeShade="BF"/>
          <w:sz w:val="22"/>
          <w:szCs w:val="22"/>
        </w:rPr>
        <w:br w:type="page"/>
      </w:r>
    </w:p>
    <w:p w:rsidR="00FD779A" w:rsidRPr="00196439" w:rsidRDefault="00FD779A" w:rsidP="00FD779A">
      <w:pPr>
        <w:spacing w:line="276" w:lineRule="auto"/>
        <w:rPr>
          <w:rFonts w:cs="Arial"/>
          <w:color w:val="17365D" w:themeColor="text2" w:themeShade="BF"/>
          <w:sz w:val="22"/>
          <w:szCs w:val="22"/>
        </w:rPr>
      </w:pPr>
    </w:p>
    <w:p w:rsidR="009D2268" w:rsidRPr="00196439" w:rsidRDefault="00AD5129" w:rsidP="009D2268">
      <w:pPr>
        <w:spacing w:line="276" w:lineRule="auto"/>
        <w:jc w:val="left"/>
        <w:outlineLvl w:val="0"/>
        <w:rPr>
          <w:rFonts w:cs="Arial"/>
          <w:b/>
          <w:color w:val="17365D" w:themeColor="text2" w:themeShade="BF"/>
          <w:sz w:val="22"/>
          <w:lang w:val="sr-Cyrl-CS"/>
        </w:rPr>
      </w:pPr>
      <w:r w:rsidRPr="00196439">
        <w:rPr>
          <w:rFonts w:cs="Arial"/>
          <w:b/>
          <w:color w:val="17365D" w:themeColor="text2" w:themeShade="BF"/>
          <w:sz w:val="22"/>
          <w:szCs w:val="22"/>
        </w:rPr>
        <w:t>III</w:t>
      </w:r>
      <w:r w:rsidR="00FE55B1" w:rsidRPr="00196439">
        <w:rPr>
          <w:rFonts w:cs="Arial"/>
          <w:b/>
          <w:color w:val="17365D" w:themeColor="text2" w:themeShade="BF"/>
          <w:sz w:val="22"/>
          <w:szCs w:val="22"/>
          <w:lang w:val="sr-Latn-CS"/>
        </w:rPr>
        <w:t xml:space="preserve">  </w:t>
      </w:r>
      <w:r w:rsidR="00B26B19" w:rsidRPr="00196439">
        <w:rPr>
          <w:rFonts w:cs="Arial"/>
          <w:b/>
          <w:color w:val="17365D" w:themeColor="text2" w:themeShade="BF"/>
          <w:sz w:val="22"/>
          <w:lang w:val="sr-Cyrl-CS"/>
        </w:rPr>
        <w:t>КОНАЧНА ОЦЕНА МИШЉЕЊА ОВЛ</w:t>
      </w:r>
      <w:r w:rsidR="00B26B19" w:rsidRPr="00196439">
        <w:rPr>
          <w:rFonts w:cs="Arial"/>
          <w:b/>
          <w:color w:val="17365D" w:themeColor="text2" w:themeShade="BF"/>
          <w:sz w:val="22"/>
        </w:rPr>
        <w:t>A</w:t>
      </w:r>
      <w:r w:rsidR="00B26B19" w:rsidRPr="00196439">
        <w:rPr>
          <w:rFonts w:cs="Arial"/>
          <w:b/>
          <w:color w:val="17365D" w:themeColor="text2" w:themeShade="BF"/>
          <w:sz w:val="22"/>
          <w:lang w:val="sr-Cyrl-CS"/>
        </w:rPr>
        <w:t xml:space="preserve">ШЋЕНОГ АКТУАРА О ФИНАНСИЈСКИМ </w:t>
      </w:r>
    </w:p>
    <w:p w:rsidR="00B26B19" w:rsidRPr="00196439" w:rsidRDefault="00B26B19" w:rsidP="009D2268">
      <w:pPr>
        <w:spacing w:line="276" w:lineRule="auto"/>
        <w:ind w:left="284"/>
        <w:jc w:val="left"/>
        <w:outlineLvl w:val="0"/>
        <w:rPr>
          <w:rFonts w:cs="Arial"/>
          <w:b/>
          <w:color w:val="17365D" w:themeColor="text2" w:themeShade="BF"/>
          <w:sz w:val="22"/>
          <w:szCs w:val="22"/>
          <w:lang w:val="sr-Latn-CS"/>
        </w:rPr>
      </w:pPr>
      <w:r w:rsidRPr="00196439">
        <w:rPr>
          <w:rFonts w:cs="Arial"/>
          <w:b/>
          <w:color w:val="17365D" w:themeColor="text2" w:themeShade="BF"/>
          <w:sz w:val="22"/>
          <w:lang w:val="sr-Cyrl-CS"/>
        </w:rPr>
        <w:t>ИЗВЕШТАЈИМА И ГОДИШЊЕМ ИЗВЕШТАЈУ О ПОСЛОВАЊУ ЗА 201</w:t>
      </w:r>
      <w:r w:rsidR="00105D7C">
        <w:rPr>
          <w:rFonts w:cs="Arial"/>
          <w:b/>
          <w:color w:val="17365D" w:themeColor="text2" w:themeShade="BF"/>
          <w:sz w:val="22"/>
          <w:lang w:val="sr-Cyrl-CS"/>
        </w:rPr>
        <w:t>9</w:t>
      </w:r>
      <w:r w:rsidRPr="00196439">
        <w:rPr>
          <w:rFonts w:cs="Arial"/>
          <w:b/>
          <w:color w:val="17365D" w:themeColor="text2" w:themeShade="BF"/>
          <w:sz w:val="22"/>
          <w:lang w:val="sr-Cyrl-CS"/>
        </w:rPr>
        <w:t>. ГОДИНУ</w:t>
      </w:r>
    </w:p>
    <w:p w:rsidR="00B26B19" w:rsidRPr="00196439" w:rsidRDefault="00B26B19" w:rsidP="009D2268">
      <w:pPr>
        <w:spacing w:line="276" w:lineRule="auto"/>
        <w:jc w:val="left"/>
        <w:outlineLvl w:val="0"/>
        <w:rPr>
          <w:rFonts w:cs="Arial"/>
          <w:b/>
          <w:color w:val="17365D" w:themeColor="text2" w:themeShade="BF"/>
          <w:sz w:val="22"/>
          <w:szCs w:val="22"/>
          <w:lang w:val="sr-Latn-CS"/>
        </w:rPr>
      </w:pPr>
    </w:p>
    <w:p w:rsidR="00FE55B1" w:rsidRPr="00196439" w:rsidRDefault="00FE55B1" w:rsidP="009D2268">
      <w:pPr>
        <w:spacing w:line="276" w:lineRule="auto"/>
        <w:jc w:val="left"/>
        <w:rPr>
          <w:rFonts w:cs="Arial"/>
          <w:color w:val="17365D" w:themeColor="text2" w:themeShade="BF"/>
          <w:sz w:val="22"/>
          <w:szCs w:val="22"/>
          <w:lang w:val="sr-Latn-CS"/>
        </w:rPr>
      </w:pPr>
    </w:p>
    <w:p w:rsidR="00FE55B1" w:rsidRPr="00196439" w:rsidRDefault="00FE55B1" w:rsidP="009D2268">
      <w:pPr>
        <w:spacing w:line="276" w:lineRule="auto"/>
        <w:rPr>
          <w:rFonts w:cs="Arial"/>
          <w:bCs/>
          <w:color w:val="17365D" w:themeColor="text2" w:themeShade="BF"/>
          <w:sz w:val="22"/>
          <w:szCs w:val="22"/>
          <w:lang w:val="sr-Latn-CS"/>
        </w:rPr>
      </w:pPr>
    </w:p>
    <w:p w:rsidR="00B26B19" w:rsidRPr="00196439" w:rsidRDefault="00B26B19" w:rsidP="009D2268">
      <w:pPr>
        <w:spacing w:line="276" w:lineRule="auto"/>
        <w:rPr>
          <w:rFonts w:eastAsiaTheme="minorHAnsi" w:cstheme="minorBidi"/>
          <w:color w:val="17365D" w:themeColor="text2" w:themeShade="BF"/>
          <w:sz w:val="22"/>
          <w:szCs w:val="22"/>
          <w:lang w:val="sr-Cyrl-CS"/>
        </w:rPr>
      </w:pPr>
      <w:r w:rsidRPr="00196439">
        <w:rPr>
          <w:rFonts w:cs="Arial"/>
          <w:color w:val="17365D" w:themeColor="text2" w:themeShade="BF"/>
          <w:sz w:val="22"/>
          <w:szCs w:val="22"/>
          <w:lang w:val="sr-Cyrl-CS"/>
        </w:rPr>
        <w:t xml:space="preserve">Овлашћени актуар даје </w:t>
      </w:r>
      <w:r w:rsidRPr="00196439">
        <w:rPr>
          <w:rFonts w:cs="Arial"/>
          <w:b/>
          <w:color w:val="17365D" w:themeColor="text2" w:themeShade="BF"/>
          <w:sz w:val="22"/>
          <w:szCs w:val="22"/>
          <w:u w:val="single"/>
          <w:lang w:val="sr-Cyrl-CS"/>
        </w:rPr>
        <w:t>позитивно мишљење</w:t>
      </w:r>
      <w:r w:rsidRPr="00196439">
        <w:rPr>
          <w:rFonts w:cs="Arial"/>
          <w:color w:val="17365D" w:themeColor="text2" w:themeShade="BF"/>
          <w:sz w:val="22"/>
          <w:szCs w:val="22"/>
          <w:lang w:val="sr-Cyrl-CS"/>
        </w:rPr>
        <w:t xml:space="preserve"> на ф</w:t>
      </w:r>
      <w:r w:rsidRPr="00196439">
        <w:rPr>
          <w:rFonts w:eastAsiaTheme="minorHAnsi" w:cstheme="minorBidi"/>
          <w:color w:val="17365D" w:themeColor="text2" w:themeShade="BF"/>
          <w:sz w:val="22"/>
          <w:szCs w:val="22"/>
          <w:lang w:val="sr-Cyrl-CS"/>
        </w:rPr>
        <w:t xml:space="preserve">инансијске извештаје и годишњи извештај о пословању </w:t>
      </w:r>
      <w:r w:rsidRPr="00196439">
        <w:rPr>
          <w:rFonts w:cs="Arial"/>
          <w:color w:val="17365D" w:themeColor="text2" w:themeShade="BF"/>
          <w:sz w:val="22"/>
          <w:szCs w:val="22"/>
        </w:rPr>
        <w:t xml:space="preserve">Друштва за реосигурање »ДУНАВ-РЕ« а.д.о, Београд </w:t>
      </w:r>
      <w:r w:rsidRPr="00196439">
        <w:rPr>
          <w:rFonts w:cs="Arial"/>
          <w:color w:val="17365D" w:themeColor="text2" w:themeShade="BF"/>
          <w:sz w:val="22"/>
          <w:szCs w:val="22"/>
          <w:lang w:val="sr-Cyrl-RS"/>
        </w:rPr>
        <w:t xml:space="preserve">за </w:t>
      </w:r>
      <w:r w:rsidRPr="00196439">
        <w:rPr>
          <w:rFonts w:eastAsiaTheme="minorHAnsi" w:cstheme="minorBidi"/>
          <w:color w:val="17365D" w:themeColor="text2" w:themeShade="BF"/>
          <w:sz w:val="22"/>
          <w:szCs w:val="22"/>
          <w:lang w:val="sr-Cyrl-CS"/>
        </w:rPr>
        <w:t>201</w:t>
      </w:r>
      <w:r w:rsidR="00105D7C">
        <w:rPr>
          <w:rFonts w:eastAsiaTheme="minorHAnsi" w:cstheme="minorBidi"/>
          <w:color w:val="17365D" w:themeColor="text2" w:themeShade="BF"/>
          <w:sz w:val="22"/>
          <w:szCs w:val="22"/>
          <w:lang w:val="sr-Cyrl-CS"/>
        </w:rPr>
        <w:t>9</w:t>
      </w:r>
      <w:r w:rsidRPr="00196439">
        <w:rPr>
          <w:rFonts w:eastAsiaTheme="minorHAnsi" w:cstheme="minorBidi"/>
          <w:color w:val="17365D" w:themeColor="text2" w:themeShade="BF"/>
          <w:sz w:val="22"/>
          <w:szCs w:val="22"/>
          <w:lang w:val="sr-Cyrl-CS"/>
        </w:rPr>
        <w:t xml:space="preserve">. годину. </w:t>
      </w:r>
    </w:p>
    <w:p w:rsidR="00B26B19" w:rsidRPr="00196439" w:rsidRDefault="00B26B19" w:rsidP="009D2268">
      <w:pPr>
        <w:spacing w:line="276" w:lineRule="auto"/>
        <w:rPr>
          <w:rFonts w:cs="Arial"/>
          <w:bCs/>
          <w:color w:val="17365D" w:themeColor="text2" w:themeShade="BF"/>
          <w:sz w:val="22"/>
          <w:szCs w:val="22"/>
          <w:lang w:val="sr-Latn-CS"/>
        </w:rPr>
      </w:pPr>
    </w:p>
    <w:p w:rsidR="00812C3A" w:rsidRPr="00196439" w:rsidRDefault="00812C3A" w:rsidP="009D2268">
      <w:pPr>
        <w:spacing w:line="276" w:lineRule="auto"/>
        <w:rPr>
          <w:rFonts w:eastAsiaTheme="minorHAnsi" w:cstheme="minorBidi"/>
          <w:color w:val="17365D" w:themeColor="text2" w:themeShade="BF"/>
          <w:sz w:val="22"/>
          <w:szCs w:val="22"/>
          <w:lang w:val="sr-Cyrl-CS"/>
        </w:rPr>
      </w:pPr>
      <w:r w:rsidRPr="00196439">
        <w:rPr>
          <w:rFonts w:eastAsiaTheme="minorHAnsi" w:cstheme="minorBidi"/>
          <w:color w:val="17365D" w:themeColor="text2" w:themeShade="BF"/>
          <w:sz w:val="22"/>
          <w:szCs w:val="22"/>
          <w:lang w:val="sr-Cyrl-CS"/>
        </w:rPr>
        <w:t xml:space="preserve">На бази спроведених анализа и расположивих релевантних података, може се закључити да је премија реосигурања Друштва утврђена у складу са актуарском струком и прописима и да обезбеђује трајно испуњење свих обавеза Друштва из уговора о </w:t>
      </w:r>
      <w:r w:rsidR="008E79CE">
        <w:rPr>
          <w:rFonts w:eastAsiaTheme="minorHAnsi" w:cstheme="minorBidi"/>
          <w:color w:val="17365D" w:themeColor="text2" w:themeShade="BF"/>
          <w:sz w:val="22"/>
          <w:szCs w:val="22"/>
          <w:lang w:val="sr-Cyrl-CS"/>
        </w:rPr>
        <w:t>ре</w:t>
      </w:r>
      <w:r w:rsidRPr="00196439">
        <w:rPr>
          <w:rFonts w:eastAsiaTheme="minorHAnsi" w:cstheme="minorBidi"/>
          <w:color w:val="17365D" w:themeColor="text2" w:themeShade="BF"/>
          <w:sz w:val="22"/>
          <w:szCs w:val="22"/>
          <w:lang w:val="sr-Cyrl-CS"/>
        </w:rPr>
        <w:t>осигурању.</w:t>
      </w:r>
    </w:p>
    <w:p w:rsidR="00812C3A" w:rsidRPr="00196439" w:rsidRDefault="00812C3A" w:rsidP="009D2268">
      <w:pPr>
        <w:spacing w:line="276" w:lineRule="auto"/>
        <w:rPr>
          <w:rFonts w:eastAsiaTheme="minorHAnsi" w:cstheme="minorBidi"/>
          <w:color w:val="17365D" w:themeColor="text2" w:themeShade="BF"/>
          <w:sz w:val="22"/>
          <w:szCs w:val="22"/>
          <w:lang w:val="sr-Cyrl-CS"/>
        </w:rPr>
      </w:pPr>
    </w:p>
    <w:p w:rsidR="00812C3A" w:rsidRPr="00196439" w:rsidRDefault="00812C3A" w:rsidP="009D2268">
      <w:pPr>
        <w:spacing w:line="276" w:lineRule="auto"/>
        <w:rPr>
          <w:rFonts w:eastAsiaTheme="minorHAnsi" w:cstheme="minorBidi"/>
          <w:color w:val="17365D" w:themeColor="text2" w:themeShade="BF"/>
          <w:sz w:val="22"/>
          <w:szCs w:val="22"/>
          <w:lang w:val="sr-Cyrl-CS"/>
        </w:rPr>
      </w:pPr>
      <w:r w:rsidRPr="00196439">
        <w:rPr>
          <w:rFonts w:eastAsiaTheme="minorHAnsi" w:cstheme="minorBidi"/>
          <w:color w:val="17365D" w:themeColor="text2" w:themeShade="BF"/>
          <w:sz w:val="22"/>
          <w:szCs w:val="22"/>
          <w:lang w:val="sr-Cyrl-RS"/>
        </w:rPr>
        <w:t>Све т</w:t>
      </w:r>
      <w:r w:rsidRPr="00196439">
        <w:rPr>
          <w:rFonts w:eastAsiaTheme="minorHAnsi" w:cstheme="minorBidi"/>
          <w:color w:val="17365D" w:themeColor="text2" w:themeShade="BF"/>
          <w:sz w:val="22"/>
          <w:szCs w:val="22"/>
          <w:lang w:val="sr-Cyrl-CS"/>
        </w:rPr>
        <w:t xml:space="preserve">ехничке резерве Друштва су утврђене у складу са важећим прописима и актуарском струком и обезбеђују трајно испуњење свих обавеза </w:t>
      </w:r>
      <w:r w:rsidR="00EA2574">
        <w:rPr>
          <w:rFonts w:eastAsiaTheme="minorHAnsi" w:cstheme="minorBidi"/>
          <w:color w:val="17365D" w:themeColor="text2" w:themeShade="BF"/>
          <w:sz w:val="22"/>
          <w:szCs w:val="22"/>
          <w:lang w:val="sr-Cyrl-CS"/>
        </w:rPr>
        <w:t>Д</w:t>
      </w:r>
      <w:r w:rsidRPr="00196439">
        <w:rPr>
          <w:rFonts w:eastAsiaTheme="minorHAnsi" w:cstheme="minorBidi"/>
          <w:color w:val="17365D" w:themeColor="text2" w:themeShade="BF"/>
          <w:sz w:val="22"/>
          <w:szCs w:val="22"/>
          <w:lang w:val="sr-Cyrl-CS"/>
        </w:rPr>
        <w:t xml:space="preserve">руштва из уговора о </w:t>
      </w:r>
      <w:r w:rsidR="00EA2574">
        <w:rPr>
          <w:rFonts w:eastAsiaTheme="minorHAnsi" w:cstheme="minorBidi"/>
          <w:color w:val="17365D" w:themeColor="text2" w:themeShade="BF"/>
          <w:sz w:val="22"/>
          <w:szCs w:val="22"/>
          <w:lang w:val="sr-Cyrl-CS"/>
        </w:rPr>
        <w:t>ре</w:t>
      </w:r>
      <w:r w:rsidRPr="00196439">
        <w:rPr>
          <w:rFonts w:eastAsiaTheme="minorHAnsi" w:cstheme="minorBidi"/>
          <w:color w:val="17365D" w:themeColor="text2" w:themeShade="BF"/>
          <w:sz w:val="22"/>
          <w:szCs w:val="22"/>
          <w:lang w:val="sr-Cyrl-CS"/>
        </w:rPr>
        <w:t>осигурању.</w:t>
      </w:r>
    </w:p>
    <w:p w:rsidR="00812C3A" w:rsidRPr="00196439" w:rsidRDefault="00812C3A" w:rsidP="009D2268">
      <w:pPr>
        <w:spacing w:line="276" w:lineRule="auto"/>
        <w:rPr>
          <w:rFonts w:eastAsiaTheme="minorHAnsi" w:cstheme="minorBidi"/>
          <w:color w:val="17365D" w:themeColor="text2" w:themeShade="BF"/>
          <w:sz w:val="22"/>
          <w:szCs w:val="22"/>
          <w:lang w:val="sr-Cyrl-CS"/>
        </w:rPr>
      </w:pPr>
    </w:p>
    <w:p w:rsidR="00812C3A" w:rsidRPr="00196439" w:rsidRDefault="00812C3A" w:rsidP="009D2268">
      <w:pPr>
        <w:spacing w:line="276" w:lineRule="auto"/>
        <w:rPr>
          <w:rFonts w:eastAsiaTheme="minorHAnsi" w:cstheme="minorBidi"/>
          <w:color w:val="17365D" w:themeColor="text2" w:themeShade="BF"/>
          <w:sz w:val="22"/>
          <w:szCs w:val="22"/>
          <w:lang w:val="sr-Cyrl-CS"/>
        </w:rPr>
      </w:pPr>
      <w:r w:rsidRPr="00196439">
        <w:rPr>
          <w:rFonts w:eastAsiaTheme="minorHAnsi" w:cstheme="minorBidi"/>
          <w:color w:val="17365D" w:themeColor="text2" w:themeShade="BF"/>
          <w:sz w:val="22"/>
          <w:szCs w:val="22"/>
          <w:lang w:val="sr-Cyrl-CS"/>
        </w:rPr>
        <w:t xml:space="preserve">Мишљење о премији реосигурања се доноси на бази анализе: износа и структуре премије Друштва, укупно и у самопридржају, промене износа премије, укупно и по врстама осигурања, концентрације ризика, утицаја имплементиране политике ретроцесија, вредности и промене вредности рациа штета, рациа трошкова, односно комбинованог рациа, укупно и по врстама осигурања, </w:t>
      </w:r>
      <w:r w:rsidRPr="00196439">
        <w:rPr>
          <w:rFonts w:eastAsiaTheme="minorHAnsi" w:cstheme="minorBidi"/>
          <w:color w:val="17365D" w:themeColor="text2" w:themeShade="BF"/>
          <w:sz w:val="22"/>
          <w:szCs w:val="22"/>
          <w:lang w:val="sr-Cyrl-RS"/>
        </w:rPr>
        <w:t xml:space="preserve">актуелних </w:t>
      </w:r>
      <w:r w:rsidRPr="00196439">
        <w:rPr>
          <w:rFonts w:eastAsiaTheme="minorHAnsi" w:cstheme="minorBidi"/>
          <w:color w:val="17365D" w:themeColor="text2" w:themeShade="BF"/>
          <w:sz w:val="22"/>
          <w:szCs w:val="22"/>
          <w:lang w:val="sr-Cyrl-CS"/>
        </w:rPr>
        <w:t>тржишних околности и очекиваног кретања кључних показатеља тржишта.</w:t>
      </w:r>
    </w:p>
    <w:p w:rsidR="003F1A61" w:rsidRPr="00196439" w:rsidRDefault="003F1A61" w:rsidP="009D2268">
      <w:pPr>
        <w:spacing w:line="276" w:lineRule="auto"/>
        <w:rPr>
          <w:rFonts w:eastAsiaTheme="minorHAnsi" w:cstheme="minorBidi"/>
          <w:b/>
          <w:color w:val="17365D" w:themeColor="text2" w:themeShade="BF"/>
          <w:sz w:val="22"/>
          <w:szCs w:val="22"/>
          <w:lang w:val="sr-Cyrl-CS"/>
        </w:rPr>
      </w:pPr>
    </w:p>
    <w:p w:rsidR="00812C3A" w:rsidRPr="00196439" w:rsidRDefault="00812C3A" w:rsidP="009D2268">
      <w:pPr>
        <w:spacing w:line="276" w:lineRule="auto"/>
        <w:rPr>
          <w:rFonts w:eastAsiaTheme="minorHAnsi" w:cstheme="minorBidi"/>
          <w:color w:val="17365D" w:themeColor="text2" w:themeShade="BF"/>
          <w:sz w:val="22"/>
          <w:szCs w:val="22"/>
          <w:lang w:val="sr-Cyrl-RS"/>
        </w:rPr>
      </w:pPr>
      <w:r w:rsidRPr="00196439">
        <w:rPr>
          <w:rFonts w:cs="Arial"/>
          <w:color w:val="17365D" w:themeColor="text2" w:themeShade="BF"/>
          <w:sz w:val="22"/>
          <w:szCs w:val="22"/>
          <w:lang w:val="sr-Cyrl-CS"/>
        </w:rPr>
        <w:t>Мишљење о техничким рез</w:t>
      </w:r>
      <w:r w:rsidRPr="00196439">
        <w:rPr>
          <w:rFonts w:cs="Arial"/>
          <w:color w:val="17365D" w:themeColor="text2" w:themeShade="BF"/>
          <w:sz w:val="22"/>
          <w:szCs w:val="22"/>
          <w:lang w:val="sr-Cyrl-RS"/>
        </w:rPr>
        <w:t>е</w:t>
      </w:r>
      <w:r w:rsidRPr="00196439">
        <w:rPr>
          <w:rFonts w:cs="Arial"/>
          <w:color w:val="17365D" w:themeColor="text2" w:themeShade="BF"/>
          <w:sz w:val="22"/>
          <w:szCs w:val="22"/>
          <w:lang w:val="sr-Cyrl-CS"/>
        </w:rPr>
        <w:t xml:space="preserve">рвама се даје на бази </w:t>
      </w:r>
      <w:r w:rsidRPr="00196439">
        <w:rPr>
          <w:rFonts w:eastAsiaTheme="minorHAnsi" w:cstheme="minorBidi"/>
          <w:color w:val="17365D" w:themeColor="text2" w:themeShade="BF"/>
          <w:sz w:val="22"/>
          <w:szCs w:val="22"/>
          <w:lang w:val="sr-Cyrl-RS"/>
        </w:rPr>
        <w:t>интерних података, који су највећим делом добијени из информационог система, а који су предмет сталних анализа и контрола, како њихове логичке исправности</w:t>
      </w:r>
      <w:r w:rsidRPr="00196439">
        <w:rPr>
          <w:rFonts w:eastAsiaTheme="minorHAnsi" w:cstheme="minorBidi"/>
          <w:color w:val="17365D" w:themeColor="text2" w:themeShade="BF"/>
          <w:sz w:val="22"/>
          <w:szCs w:val="22"/>
          <w:lang w:val="sr-Latn-RS"/>
        </w:rPr>
        <w:t>,</w:t>
      </w:r>
      <w:r w:rsidRPr="00196439">
        <w:rPr>
          <w:rFonts w:eastAsiaTheme="minorHAnsi" w:cstheme="minorBidi"/>
          <w:color w:val="17365D" w:themeColor="text2" w:themeShade="BF"/>
          <w:sz w:val="22"/>
          <w:szCs w:val="22"/>
          <w:lang w:val="sr-Cyrl-RS"/>
        </w:rPr>
        <w:t xml:space="preserve"> тако и конзистентности са подацима добијеним из осталих извора. Коришћени подаци за обрачун техничких резерви на нивоу врсте осигурања су примерени, комплетни, тачни и конзистентни.</w:t>
      </w:r>
    </w:p>
    <w:p w:rsidR="00B26B19" w:rsidRPr="00196439" w:rsidRDefault="00B26B19" w:rsidP="009D2268">
      <w:pPr>
        <w:spacing w:line="276" w:lineRule="auto"/>
        <w:rPr>
          <w:rFonts w:cs="Arial"/>
          <w:bCs/>
          <w:color w:val="17365D" w:themeColor="text2" w:themeShade="BF"/>
          <w:sz w:val="22"/>
          <w:szCs w:val="22"/>
          <w:lang w:val="sr-Latn-CS"/>
        </w:rPr>
      </w:pPr>
    </w:p>
    <w:p w:rsidR="003F1A61" w:rsidRPr="00196439" w:rsidRDefault="003F1A61" w:rsidP="009D2268">
      <w:pPr>
        <w:spacing w:line="276" w:lineRule="auto"/>
        <w:rPr>
          <w:rFonts w:cs="Arial"/>
          <w:bCs/>
          <w:color w:val="17365D" w:themeColor="text2" w:themeShade="BF"/>
          <w:sz w:val="22"/>
          <w:szCs w:val="22"/>
          <w:lang w:val="sr-Latn-CS"/>
        </w:rPr>
      </w:pPr>
      <w:r w:rsidRPr="00196439">
        <w:rPr>
          <w:rFonts w:cs="Arial"/>
          <w:bCs/>
          <w:color w:val="17365D" w:themeColor="text2" w:themeShade="BF"/>
          <w:sz w:val="22"/>
          <w:szCs w:val="22"/>
          <w:lang w:val="sr-Latn-CS"/>
        </w:rPr>
        <w:t xml:space="preserve">Услoви и нaчин </w:t>
      </w:r>
      <w:r w:rsidRPr="00196439">
        <w:rPr>
          <w:rFonts w:cs="Arial"/>
          <w:bCs/>
          <w:color w:val="17365D" w:themeColor="text2" w:themeShade="BF"/>
          <w:sz w:val="22"/>
          <w:szCs w:val="22"/>
        </w:rPr>
        <w:t>преноса</w:t>
      </w:r>
      <w:r w:rsidRPr="00196439">
        <w:rPr>
          <w:rFonts w:cs="Arial"/>
          <w:bCs/>
          <w:color w:val="17365D" w:themeColor="text2" w:themeShade="BF"/>
          <w:sz w:val="22"/>
          <w:szCs w:val="22"/>
          <w:lang w:val="sr-Latn-CS"/>
        </w:rPr>
        <w:t xml:space="preserve"> вишкoвa ризикa изнaд сaмoпридржaja изврш</w:t>
      </w:r>
      <w:r w:rsidRPr="00196439">
        <w:rPr>
          <w:rFonts w:cs="Arial"/>
          <w:bCs/>
          <w:color w:val="17365D" w:themeColor="text2" w:themeShade="BF"/>
          <w:sz w:val="22"/>
          <w:szCs w:val="22"/>
          <w:lang w:val="sr-Cyrl-ME"/>
        </w:rPr>
        <w:t>ени су</w:t>
      </w:r>
      <w:r w:rsidRPr="00196439">
        <w:rPr>
          <w:rFonts w:cs="Arial"/>
          <w:bCs/>
          <w:color w:val="17365D" w:themeColor="text2" w:themeShade="BF"/>
          <w:sz w:val="22"/>
          <w:szCs w:val="22"/>
          <w:lang w:val="sr-Latn-CS"/>
        </w:rPr>
        <w:t xml:space="preserve"> у склaду сa зaкључeним угoвoримa o рeoсигурaњу, Oдлукoм o критeриjумимa, нaчину утврђивaњa и тaбeли мaксимaлнoг сaмoпридржaja и укупнoм изнoсу сaмoпридржaja и у склaду сa Прaвилникoм o услoвимa и нaчину сaoсигурaњa и рeoсигурaњa. </w:t>
      </w:r>
    </w:p>
    <w:p w:rsidR="008D1C1C" w:rsidRPr="00196439" w:rsidRDefault="008D1C1C" w:rsidP="009D2268">
      <w:pPr>
        <w:spacing w:line="276" w:lineRule="auto"/>
        <w:rPr>
          <w:rFonts w:cs="Arial"/>
          <w:bCs/>
          <w:color w:val="17365D" w:themeColor="text2" w:themeShade="BF"/>
          <w:sz w:val="22"/>
          <w:szCs w:val="22"/>
          <w:lang w:val="sr-Latn-CS"/>
        </w:rPr>
      </w:pPr>
    </w:p>
    <w:p w:rsidR="008D1C1C" w:rsidRPr="00196439" w:rsidRDefault="008D1C1C" w:rsidP="009D2268">
      <w:pPr>
        <w:spacing w:line="276" w:lineRule="auto"/>
        <w:rPr>
          <w:rFonts w:cs="Arial"/>
          <w:bCs/>
          <w:color w:val="17365D" w:themeColor="text2" w:themeShade="BF"/>
          <w:sz w:val="22"/>
          <w:szCs w:val="22"/>
          <w:lang w:val="sr-Latn-CS"/>
        </w:rPr>
      </w:pPr>
    </w:p>
    <w:p w:rsidR="008D1C1C" w:rsidRPr="00196439" w:rsidRDefault="008D1C1C" w:rsidP="009D2268">
      <w:pPr>
        <w:spacing w:line="276" w:lineRule="auto"/>
        <w:rPr>
          <w:rFonts w:cs="Arial"/>
          <w:bCs/>
          <w:color w:val="17365D" w:themeColor="text2" w:themeShade="BF"/>
          <w:sz w:val="22"/>
          <w:szCs w:val="22"/>
          <w:lang w:val="sr-Latn-CS"/>
        </w:rPr>
      </w:pPr>
    </w:p>
    <w:p w:rsidR="000478D8" w:rsidRPr="00196439" w:rsidRDefault="000478D8" w:rsidP="009D2268">
      <w:pPr>
        <w:spacing w:line="276" w:lineRule="auto"/>
        <w:rPr>
          <w:rFonts w:cs="Arial"/>
          <w:color w:val="17365D" w:themeColor="text2" w:themeShade="BF"/>
          <w:sz w:val="22"/>
          <w:szCs w:val="22"/>
          <w:lang w:val="sr-Cyrl-RS"/>
        </w:rPr>
      </w:pPr>
    </w:p>
    <w:tbl>
      <w:tblPr>
        <w:tblW w:w="0" w:type="auto"/>
        <w:tblInd w:w="108" w:type="dxa"/>
        <w:tblLook w:val="01E0" w:firstRow="1" w:lastRow="1" w:firstColumn="1" w:lastColumn="1" w:noHBand="0" w:noVBand="0"/>
      </w:tblPr>
      <w:tblGrid>
        <w:gridCol w:w="5687"/>
        <w:gridCol w:w="3837"/>
      </w:tblGrid>
      <w:tr w:rsidR="002F6240" w:rsidRPr="00196439" w:rsidTr="00B36505">
        <w:trPr>
          <w:trHeight w:val="290"/>
        </w:trPr>
        <w:tc>
          <w:tcPr>
            <w:tcW w:w="5687" w:type="dxa"/>
          </w:tcPr>
          <w:p w:rsidR="000478D8" w:rsidRPr="00196439" w:rsidRDefault="000478D8" w:rsidP="003678F6">
            <w:pPr>
              <w:spacing w:line="276" w:lineRule="auto"/>
              <w:rPr>
                <w:rFonts w:cs="Arial"/>
                <w:color w:val="17365D" w:themeColor="text2" w:themeShade="BF"/>
                <w:sz w:val="22"/>
                <w:lang w:val="sr-Latn-CS"/>
              </w:rPr>
            </w:pPr>
            <w:r w:rsidRPr="00196439">
              <w:rPr>
                <w:rFonts w:cs="Arial"/>
                <w:color w:val="17365D" w:themeColor="text2" w:themeShade="BF"/>
                <w:sz w:val="22"/>
                <w:szCs w:val="22"/>
                <w:lang w:val="sr-Latn-CS"/>
              </w:rPr>
              <w:t xml:space="preserve">Београд, </w:t>
            </w:r>
            <w:r w:rsidR="00B910A4">
              <w:rPr>
                <w:rFonts w:cs="Arial"/>
                <w:color w:val="17365D" w:themeColor="text2" w:themeShade="BF"/>
                <w:sz w:val="22"/>
                <w:szCs w:val="22"/>
                <w:lang w:val="sr-Cyrl-RS"/>
              </w:rPr>
              <w:t>14</w:t>
            </w:r>
            <w:r w:rsidRPr="00196439">
              <w:rPr>
                <w:rFonts w:cs="Arial"/>
                <w:color w:val="17365D" w:themeColor="text2" w:themeShade="BF"/>
                <w:sz w:val="22"/>
                <w:szCs w:val="22"/>
              </w:rPr>
              <w:t>.</w:t>
            </w:r>
            <w:r w:rsidR="008D1C1C" w:rsidRPr="00196439">
              <w:rPr>
                <w:rFonts w:cs="Arial"/>
                <w:color w:val="17365D" w:themeColor="text2" w:themeShade="BF"/>
                <w:sz w:val="22"/>
                <w:szCs w:val="22"/>
                <w:lang w:val="sr-Cyrl-RS"/>
              </w:rPr>
              <w:t>2</w:t>
            </w:r>
            <w:r w:rsidRPr="00196439">
              <w:rPr>
                <w:rFonts w:cs="Arial"/>
                <w:color w:val="17365D" w:themeColor="text2" w:themeShade="BF"/>
                <w:sz w:val="22"/>
                <w:szCs w:val="22"/>
                <w:lang w:val="sr-Latn-CS"/>
              </w:rPr>
              <w:t>.20</w:t>
            </w:r>
            <w:r w:rsidR="003678F6">
              <w:rPr>
                <w:rFonts w:cs="Arial"/>
                <w:color w:val="17365D" w:themeColor="text2" w:themeShade="BF"/>
                <w:sz w:val="22"/>
                <w:szCs w:val="22"/>
                <w:lang w:val="sr-Latn-CS"/>
              </w:rPr>
              <w:t>20</w:t>
            </w:r>
            <w:r w:rsidRPr="00196439">
              <w:rPr>
                <w:rFonts w:cs="Arial"/>
                <w:color w:val="17365D" w:themeColor="text2" w:themeShade="BF"/>
                <w:sz w:val="22"/>
                <w:szCs w:val="22"/>
                <w:lang w:val="sr-Latn-CS"/>
              </w:rPr>
              <w:t>.</w:t>
            </w:r>
            <w:r w:rsidRPr="00196439">
              <w:rPr>
                <w:rFonts w:cs="Arial"/>
                <w:color w:val="17365D" w:themeColor="text2" w:themeShade="BF"/>
                <w:sz w:val="22"/>
                <w:szCs w:val="22"/>
                <w:lang w:val="sr-Cyrl-RS"/>
              </w:rPr>
              <w:t xml:space="preserve"> </w:t>
            </w:r>
          </w:p>
        </w:tc>
        <w:tc>
          <w:tcPr>
            <w:tcW w:w="3837" w:type="dxa"/>
          </w:tcPr>
          <w:p w:rsidR="000478D8" w:rsidRPr="00196439" w:rsidRDefault="000478D8" w:rsidP="00B36505">
            <w:pPr>
              <w:spacing w:line="276" w:lineRule="auto"/>
              <w:jc w:val="center"/>
              <w:rPr>
                <w:rFonts w:cs="Arial"/>
                <w:color w:val="17365D" w:themeColor="text2" w:themeShade="BF"/>
                <w:sz w:val="22"/>
                <w:lang w:val="sr-Cyrl-RS"/>
              </w:rPr>
            </w:pPr>
          </w:p>
          <w:p w:rsidR="000478D8" w:rsidRPr="00196439" w:rsidRDefault="000478D8" w:rsidP="00B36505">
            <w:pPr>
              <w:spacing w:line="276" w:lineRule="auto"/>
              <w:jc w:val="center"/>
              <w:rPr>
                <w:rFonts w:cs="Arial"/>
                <w:color w:val="17365D" w:themeColor="text2" w:themeShade="BF"/>
                <w:sz w:val="22"/>
                <w:lang w:val="sr-Cyrl-RS"/>
              </w:rPr>
            </w:pPr>
            <w:r w:rsidRPr="00196439">
              <w:rPr>
                <w:rFonts w:cs="Arial"/>
                <w:color w:val="17365D" w:themeColor="text2" w:themeShade="BF"/>
                <w:sz w:val="22"/>
                <w:szCs w:val="22"/>
                <w:lang w:val="sr-Latn-CS"/>
              </w:rPr>
              <w:t>ОВЛАШЋЕНИ АКТУАР</w:t>
            </w:r>
          </w:p>
          <w:p w:rsidR="000478D8" w:rsidRPr="00196439" w:rsidRDefault="000478D8" w:rsidP="00B36505">
            <w:pPr>
              <w:spacing w:line="276" w:lineRule="auto"/>
              <w:jc w:val="center"/>
              <w:rPr>
                <w:rFonts w:cs="Arial"/>
                <w:color w:val="17365D" w:themeColor="text2" w:themeShade="BF"/>
                <w:sz w:val="22"/>
                <w:lang w:val="sr-Cyrl-RS"/>
              </w:rPr>
            </w:pPr>
          </w:p>
          <w:p w:rsidR="000478D8" w:rsidRPr="00196439" w:rsidRDefault="000478D8" w:rsidP="00B36505">
            <w:pPr>
              <w:spacing w:line="276" w:lineRule="auto"/>
              <w:jc w:val="center"/>
              <w:rPr>
                <w:rFonts w:cs="Arial"/>
                <w:color w:val="17365D" w:themeColor="text2" w:themeShade="BF"/>
                <w:sz w:val="22"/>
                <w:lang w:val="sr-Cyrl-RS"/>
              </w:rPr>
            </w:pPr>
          </w:p>
          <w:p w:rsidR="000478D8" w:rsidRPr="00196439" w:rsidRDefault="000478D8" w:rsidP="00460ED1">
            <w:pPr>
              <w:spacing w:after="120" w:line="276" w:lineRule="auto"/>
              <w:jc w:val="center"/>
              <w:rPr>
                <w:rFonts w:cs="Arial"/>
                <w:color w:val="17365D" w:themeColor="text2" w:themeShade="BF"/>
                <w:sz w:val="22"/>
                <w:lang w:val="sr-Cyrl-RS"/>
              </w:rPr>
            </w:pPr>
            <w:r w:rsidRPr="00196439">
              <w:rPr>
                <w:rFonts w:cs="Arial"/>
                <w:color w:val="17365D" w:themeColor="text2" w:themeShade="BF"/>
                <w:sz w:val="22"/>
                <w:lang w:val="sr-Cyrl-RS"/>
              </w:rPr>
              <w:t>Зорица Кнежевић</w:t>
            </w:r>
          </w:p>
          <w:p w:rsidR="00460ED1" w:rsidRPr="00196439" w:rsidRDefault="00460ED1" w:rsidP="00B36505">
            <w:pPr>
              <w:spacing w:line="276" w:lineRule="auto"/>
              <w:jc w:val="center"/>
              <w:rPr>
                <w:rFonts w:cs="Arial"/>
                <w:color w:val="17365D" w:themeColor="text2" w:themeShade="BF"/>
                <w:sz w:val="22"/>
                <w:lang w:val="sr-Cyrl-RS"/>
              </w:rPr>
            </w:pPr>
            <w:r w:rsidRPr="00196439">
              <w:rPr>
                <w:rFonts w:cs="Arial"/>
                <w:i/>
                <w:color w:val="17365D" w:themeColor="text2" w:themeShade="BF"/>
                <w:sz w:val="22"/>
                <w:szCs w:val="22"/>
                <w:lang w:val="sr-Latn-CS"/>
              </w:rPr>
              <w:t xml:space="preserve">Г.бр. </w:t>
            </w:r>
            <w:r w:rsidRPr="00196439">
              <w:rPr>
                <w:rFonts w:cs="Arial"/>
                <w:i/>
                <w:color w:val="17365D" w:themeColor="text2" w:themeShade="BF"/>
                <w:sz w:val="22"/>
                <w:szCs w:val="22"/>
                <w:lang w:val="sr-Cyrl-RS"/>
              </w:rPr>
              <w:t xml:space="preserve">8657 </w:t>
            </w:r>
            <w:r w:rsidRPr="00196439">
              <w:rPr>
                <w:rFonts w:cs="Arial"/>
                <w:i/>
                <w:color w:val="17365D" w:themeColor="text2" w:themeShade="BF"/>
                <w:sz w:val="22"/>
                <w:szCs w:val="22"/>
              </w:rPr>
              <w:t xml:space="preserve">од </w:t>
            </w:r>
            <w:r w:rsidRPr="00196439">
              <w:rPr>
                <w:rFonts w:cs="Arial"/>
                <w:i/>
                <w:color w:val="17365D" w:themeColor="text2" w:themeShade="BF"/>
                <w:sz w:val="22"/>
                <w:szCs w:val="22"/>
                <w:lang w:val="sr-Cyrl-RS"/>
              </w:rPr>
              <w:t>19.11.2015.</w:t>
            </w:r>
          </w:p>
          <w:p w:rsidR="000478D8" w:rsidRPr="00196439" w:rsidRDefault="000478D8" w:rsidP="00B36505">
            <w:pPr>
              <w:spacing w:line="276" w:lineRule="auto"/>
              <w:jc w:val="left"/>
              <w:rPr>
                <w:rFonts w:cs="Arial"/>
                <w:color w:val="17365D" w:themeColor="text2" w:themeShade="BF"/>
                <w:sz w:val="22"/>
                <w:lang w:val="sr-Latn-CS"/>
              </w:rPr>
            </w:pPr>
          </w:p>
        </w:tc>
      </w:tr>
    </w:tbl>
    <w:p w:rsidR="008C4F34" w:rsidRPr="00196439" w:rsidRDefault="008C4F34" w:rsidP="000478D8">
      <w:pPr>
        <w:spacing w:line="276" w:lineRule="auto"/>
        <w:rPr>
          <w:rFonts w:cs="Arial"/>
          <w:b/>
          <w:color w:val="17365D" w:themeColor="text2" w:themeShade="BF"/>
          <w:sz w:val="22"/>
          <w:szCs w:val="22"/>
        </w:rPr>
      </w:pPr>
    </w:p>
    <w:sectPr w:rsidR="008C4F34" w:rsidRPr="00196439" w:rsidSect="006A6C0B">
      <w:footerReference w:type="even" r:id="rId40"/>
      <w:footerReference w:type="default" r:id="rId41"/>
      <w:pgSz w:w="11907" w:h="16840" w:code="9"/>
      <w:pgMar w:top="1134" w:right="1134" w:bottom="1134"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B88" w:rsidRDefault="000C4B88" w:rsidP="006F02D3">
      <w:pPr>
        <w:spacing w:line="240" w:lineRule="auto"/>
      </w:pPr>
      <w:r>
        <w:separator/>
      </w:r>
    </w:p>
  </w:endnote>
  <w:endnote w:type="continuationSeparator" w:id="0">
    <w:p w:rsidR="000C4B88" w:rsidRDefault="000C4B88" w:rsidP="006F02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A87" w:rsidRDefault="00F31A87" w:rsidP="00C45C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1A87" w:rsidRDefault="00F31A87" w:rsidP="00C45C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A87" w:rsidRDefault="00F31A87" w:rsidP="00C45C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3C37">
      <w:rPr>
        <w:rStyle w:val="PageNumber"/>
        <w:noProof/>
      </w:rPr>
      <w:t>27</w:t>
    </w:r>
    <w:r>
      <w:rPr>
        <w:rStyle w:val="PageNumber"/>
      </w:rPr>
      <w:fldChar w:fldCharType="end"/>
    </w:r>
  </w:p>
  <w:p w:rsidR="00F31A87" w:rsidRDefault="00F31A87" w:rsidP="00C45C2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B88" w:rsidRDefault="000C4B88" w:rsidP="006F02D3">
      <w:pPr>
        <w:spacing w:line="240" w:lineRule="auto"/>
      </w:pPr>
      <w:r>
        <w:separator/>
      </w:r>
    </w:p>
  </w:footnote>
  <w:footnote w:type="continuationSeparator" w:id="0">
    <w:p w:rsidR="000C4B88" w:rsidRDefault="000C4B88" w:rsidP="006F02D3">
      <w:pPr>
        <w:spacing w:line="240" w:lineRule="auto"/>
      </w:pPr>
      <w:r>
        <w:continuationSeparator/>
      </w:r>
    </w:p>
  </w:footnote>
  <w:footnote w:id="1">
    <w:p w:rsidR="00F31A87" w:rsidRPr="00D83AB1" w:rsidRDefault="00F31A87" w:rsidP="002566BC">
      <w:pPr>
        <w:pStyle w:val="FootnoteText"/>
        <w:spacing w:line="240" w:lineRule="auto"/>
        <w:rPr>
          <w:rStyle w:val="FootnoteReference"/>
          <w:rFonts w:cs="Arial"/>
          <w:color w:val="1F497D" w:themeColor="text2"/>
          <w:sz w:val="18"/>
          <w:szCs w:val="18"/>
          <w:vertAlign w:val="baseline"/>
        </w:rPr>
      </w:pPr>
      <w:r w:rsidRPr="00D83AB1">
        <w:rPr>
          <w:rStyle w:val="FootnoteReference"/>
          <w:rFonts w:cs="Arial"/>
          <w:color w:val="1F497D" w:themeColor="text2"/>
          <w:sz w:val="18"/>
          <w:szCs w:val="18"/>
        </w:rPr>
        <w:footnoteRef/>
      </w:r>
      <w:r w:rsidRPr="00D83AB1">
        <w:rPr>
          <w:rFonts w:cs="Arial"/>
          <w:color w:val="1F497D" w:themeColor="text2"/>
          <w:sz w:val="18"/>
          <w:szCs w:val="18"/>
        </w:rPr>
        <w:t xml:space="preserve"> </w:t>
      </w:r>
      <w:r w:rsidRPr="00D83AB1">
        <w:rPr>
          <w:rStyle w:val="FootnoteReference"/>
          <w:rFonts w:cs="Arial"/>
          <w:color w:val="1F497D" w:themeColor="text2"/>
          <w:sz w:val="18"/>
          <w:szCs w:val="18"/>
          <w:vertAlign w:val="baseline"/>
        </w:rPr>
        <w:t>Коментар у в</w:t>
      </w:r>
      <w:r w:rsidRPr="00D83AB1">
        <w:rPr>
          <w:rFonts w:cs="Arial"/>
          <w:color w:val="1F497D" w:themeColor="text2"/>
          <w:sz w:val="18"/>
          <w:szCs w:val="18"/>
        </w:rPr>
        <w:t>е</w:t>
      </w:r>
      <w:r w:rsidRPr="00D83AB1">
        <w:rPr>
          <w:rStyle w:val="FootnoteReference"/>
          <w:rFonts w:cs="Arial"/>
          <w:color w:val="1F497D" w:themeColor="text2"/>
          <w:sz w:val="18"/>
          <w:szCs w:val="18"/>
          <w:vertAlign w:val="baseline"/>
        </w:rPr>
        <w:t xml:space="preserve">зи тачке II подтачка </w:t>
      </w:r>
      <w:r w:rsidRPr="00D83AB1">
        <w:rPr>
          <w:rFonts w:cs="Arial"/>
          <w:color w:val="1F497D" w:themeColor="text2"/>
          <w:sz w:val="18"/>
          <w:szCs w:val="18"/>
        </w:rPr>
        <w:t>7</w:t>
      </w:r>
      <w:r w:rsidRPr="00D83AB1">
        <w:rPr>
          <w:rStyle w:val="FootnoteReference"/>
          <w:rFonts w:cs="Arial"/>
          <w:color w:val="1F497D" w:themeColor="text2"/>
          <w:sz w:val="18"/>
          <w:szCs w:val="18"/>
          <w:vertAlign w:val="baseline"/>
        </w:rPr>
        <w:t>. Одлуке о садржини мишљења овлашћеног актуара (»Службени гласник РС« бр. 38/2015)</w:t>
      </w:r>
      <w:r w:rsidRPr="00D83AB1">
        <w:rPr>
          <w:rFonts w:cs="Arial"/>
          <w:color w:val="1F497D" w:themeColor="text2"/>
          <w:sz w:val="18"/>
          <w:szCs w:val="18"/>
        </w:rPr>
        <w:t>.</w:t>
      </w:r>
    </w:p>
  </w:footnote>
  <w:footnote w:id="2">
    <w:p w:rsidR="00F31A87" w:rsidRPr="00AF44F8" w:rsidRDefault="00F31A87" w:rsidP="00936366">
      <w:pPr>
        <w:pStyle w:val="FootnoteText"/>
        <w:spacing w:line="240" w:lineRule="auto"/>
        <w:rPr>
          <w:color w:val="17365D"/>
          <w:lang w:val="sr-Cyrl-RS"/>
        </w:rPr>
      </w:pPr>
      <w:r w:rsidRPr="00AF44F8">
        <w:rPr>
          <w:rStyle w:val="FootnoteReference"/>
          <w:color w:val="17365D"/>
        </w:rPr>
        <w:footnoteRef/>
      </w:r>
      <w:r w:rsidRPr="00AF44F8">
        <w:rPr>
          <w:color w:val="17365D"/>
        </w:rPr>
        <w:t xml:space="preserve"> </w:t>
      </w:r>
      <w:r w:rsidRPr="00AF44F8">
        <w:rPr>
          <w:color w:val="17365D"/>
          <w:lang w:val="sr-Cyrl-RS"/>
        </w:rPr>
        <w:t>Очекивани просечан број месеци трајања реосигуравајућег по</w:t>
      </w:r>
      <w:r>
        <w:rPr>
          <w:color w:val="17365D"/>
          <w:lang w:val="sr-Cyrl-RS"/>
        </w:rPr>
        <w:t>к</w:t>
      </w:r>
      <w:r w:rsidRPr="00AF44F8">
        <w:rPr>
          <w:color w:val="17365D"/>
          <w:lang w:val="sr-Cyrl-RS"/>
        </w:rPr>
        <w:t xml:space="preserve">рића након </w:t>
      </w:r>
      <w:r>
        <w:rPr>
          <w:color w:val="17365D"/>
          <w:lang w:val="sr-Cyrl-RS"/>
        </w:rPr>
        <w:t>дана обрачуна</w:t>
      </w:r>
      <w:r w:rsidRPr="00AF44F8">
        <w:rPr>
          <w:color w:val="17365D"/>
          <w:lang w:val="sr-Cyrl-RS"/>
        </w:rPr>
        <w:t xml:space="preserve"> о</w:t>
      </w:r>
      <w:r>
        <w:rPr>
          <w:color w:val="17365D"/>
          <w:lang w:val="sr-Cyrl-RS"/>
        </w:rPr>
        <w:t>дређен</w:t>
      </w:r>
      <w:r w:rsidRPr="00AF44F8">
        <w:rPr>
          <w:color w:val="17365D"/>
          <w:lang w:val="sr-Cyrl-RS"/>
        </w:rPr>
        <w:t xml:space="preserve"> је као пондерисани просек трајања након 31.12. где је </w:t>
      </w:r>
      <w:r>
        <w:rPr>
          <w:color w:val="17365D"/>
          <w:lang w:val="sr-Cyrl-RS"/>
        </w:rPr>
        <w:t>као</w:t>
      </w:r>
      <w:r w:rsidRPr="00AF44F8">
        <w:rPr>
          <w:color w:val="17365D"/>
          <w:lang w:val="sr-Cyrl-RS"/>
        </w:rPr>
        <w:t xml:space="preserve"> пондер узета активна преносна премија.</w:t>
      </w:r>
    </w:p>
  </w:footnote>
  <w:footnote w:id="3">
    <w:p w:rsidR="00F31A87" w:rsidRPr="00115C84" w:rsidRDefault="00F31A87" w:rsidP="00115C84">
      <w:pPr>
        <w:spacing w:line="240" w:lineRule="auto"/>
        <w:rPr>
          <w:sz w:val="16"/>
          <w:szCs w:val="16"/>
          <w:lang w:val="sr-Cyrl-ME"/>
        </w:rPr>
      </w:pPr>
      <w:r w:rsidRPr="003824FD">
        <w:rPr>
          <w:rStyle w:val="FootnoteReference"/>
          <w:color w:val="17365D"/>
          <w:sz w:val="16"/>
          <w:szCs w:val="16"/>
        </w:rPr>
        <w:footnoteRef/>
      </w:r>
      <w:r w:rsidRPr="003824FD">
        <w:rPr>
          <w:color w:val="17365D"/>
          <w:sz w:val="16"/>
          <w:szCs w:val="16"/>
        </w:rPr>
        <w:t xml:space="preserve"> </w:t>
      </w:r>
      <w:r w:rsidRPr="003824FD">
        <w:rPr>
          <w:rFonts w:eastAsia="Verdana" w:cs="Arial"/>
          <w:color w:val="17365D"/>
          <w:sz w:val="16"/>
          <w:szCs w:val="16"/>
          <w:lang w:val="sr-Cyrl-ME"/>
        </w:rPr>
        <w:t>Велика релативна одступања не морају представљати значајан апсолутни износ па се стога користи овај критеријум.</w:t>
      </w:r>
    </w:p>
  </w:footnote>
  <w:footnote w:id="4">
    <w:p w:rsidR="00F31A87" w:rsidRPr="00115C84" w:rsidRDefault="00F31A87" w:rsidP="00115C84">
      <w:pPr>
        <w:pStyle w:val="FootnoteText"/>
        <w:spacing w:line="240" w:lineRule="auto"/>
        <w:rPr>
          <w:rFonts w:cs="Arial"/>
          <w:sz w:val="16"/>
          <w:szCs w:val="16"/>
          <w:lang w:val="sr-Cyrl-ME"/>
        </w:rPr>
      </w:pPr>
      <w:r w:rsidRPr="00643C36">
        <w:rPr>
          <w:rStyle w:val="FootnoteReference"/>
          <w:color w:val="17365D"/>
          <w:sz w:val="16"/>
          <w:szCs w:val="16"/>
        </w:rPr>
        <w:footnoteRef/>
      </w:r>
      <w:r w:rsidRPr="00643C36">
        <w:rPr>
          <w:color w:val="17365D"/>
          <w:sz w:val="16"/>
          <w:szCs w:val="16"/>
        </w:rPr>
        <w:t xml:space="preserve"> </w:t>
      </w:r>
      <w:r w:rsidRPr="00643C36">
        <w:rPr>
          <w:rFonts w:cs="Arial"/>
          <w:color w:val="17365D"/>
          <w:sz w:val="16"/>
          <w:szCs w:val="16"/>
          <w:lang w:val="sr-Cyrl-ME"/>
        </w:rPr>
        <w:t>Нису приказане врсте осигурања у којима није било резервације штета у 201</w:t>
      </w:r>
      <w:r>
        <w:rPr>
          <w:rFonts w:cs="Arial"/>
          <w:color w:val="17365D"/>
          <w:sz w:val="16"/>
          <w:szCs w:val="16"/>
          <w:lang w:val="sr-Cyrl-ME"/>
        </w:rPr>
        <w:t>8</w:t>
      </w:r>
      <w:r w:rsidRPr="00643C36">
        <w:rPr>
          <w:rFonts w:cs="Arial"/>
          <w:color w:val="17365D"/>
          <w:sz w:val="16"/>
          <w:szCs w:val="16"/>
          <w:lang w:val="sr-Cyrl-ME"/>
        </w:rPr>
        <w:t>. години</w:t>
      </w:r>
      <w:r w:rsidRPr="00115C84">
        <w:rPr>
          <w:rFonts w:cs="Arial"/>
          <w:sz w:val="16"/>
          <w:szCs w:val="16"/>
          <w:lang w:val="sr-Cyrl-ME"/>
        </w:rPr>
        <w:t>.</w:t>
      </w:r>
    </w:p>
  </w:footnote>
  <w:footnote w:id="5">
    <w:p w:rsidR="00F31A87" w:rsidRPr="00ED5198" w:rsidRDefault="00F31A87" w:rsidP="00E76C00">
      <w:pPr>
        <w:pStyle w:val="FootnoteText"/>
        <w:rPr>
          <w:color w:val="215868" w:themeColor="accent5" w:themeShade="80"/>
          <w:lang w:val="sr-Cyrl-RS"/>
        </w:rPr>
      </w:pPr>
      <w:r w:rsidRPr="00ED5198">
        <w:rPr>
          <w:rStyle w:val="FootnoteReference"/>
          <w:color w:val="215868" w:themeColor="accent5" w:themeShade="80"/>
        </w:rPr>
        <w:footnoteRef/>
      </w:r>
      <w:r w:rsidRPr="00ED5198">
        <w:rPr>
          <w:color w:val="215868" w:themeColor="accent5" w:themeShade="80"/>
        </w:rPr>
        <w:t xml:space="preserve"> </w:t>
      </w:r>
      <w:r w:rsidRPr="00084724">
        <w:rPr>
          <w:i/>
          <w:color w:val="17365D"/>
          <w:lang w:val="sr-Cyrl-RS"/>
        </w:rPr>
        <w:t>Спискови закључени</w:t>
      </w:r>
      <w:r>
        <w:rPr>
          <w:i/>
          <w:color w:val="17365D"/>
          <w:lang w:val="sr-Cyrl-RS"/>
        </w:rPr>
        <w:t>х и истеклих  уговора у првом, другом, односно трећем кварталу 2019</w:t>
      </w:r>
      <w:r w:rsidRPr="00084724">
        <w:rPr>
          <w:i/>
          <w:color w:val="17365D"/>
          <w:lang w:val="sr-Cyrl-RS"/>
        </w:rPr>
        <w:t>. године дати су у Мишљењу овлашћеног актуара за период 1.1.-31.3.201</w:t>
      </w:r>
      <w:r>
        <w:rPr>
          <w:i/>
          <w:color w:val="17365D"/>
          <w:lang w:val="sr-Cyrl-RS"/>
        </w:rPr>
        <w:t>9, период 1.1.-30.6.2019, односно период 1.1.-30.9.2019.</w:t>
      </w:r>
    </w:p>
  </w:footnote>
  <w:footnote w:id="6">
    <w:p w:rsidR="00F31A87" w:rsidRPr="00ED5198" w:rsidRDefault="00F31A87" w:rsidP="00E76C00">
      <w:pPr>
        <w:pStyle w:val="FootnoteText"/>
        <w:rPr>
          <w:color w:val="215868" w:themeColor="accent5" w:themeShade="80"/>
          <w:lang w:val="sr-Cyrl-RS"/>
        </w:rPr>
      </w:pPr>
      <w:r w:rsidRPr="00ED5198">
        <w:rPr>
          <w:rStyle w:val="FootnoteReference"/>
          <w:color w:val="215868" w:themeColor="accent5" w:themeShade="80"/>
        </w:rPr>
        <w:footnoteRef/>
      </w:r>
      <w:r w:rsidRPr="00ED5198">
        <w:rPr>
          <w:color w:val="215868" w:themeColor="accent5" w:themeShade="80"/>
        </w:rPr>
        <w:t xml:space="preserve"> </w:t>
      </w:r>
      <w:r w:rsidRPr="00ED5198">
        <w:rPr>
          <w:color w:val="215868" w:themeColor="accent5" w:themeShade="80"/>
          <w:lang w:val="sr-Cyrl-RS"/>
        </w:rPr>
        <w:t>Спискови су приказани у Мишљењу овлашћеног актуара за претходну годину.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B1E25"/>
    <w:multiLevelType w:val="hybridMultilevel"/>
    <w:tmpl w:val="E10AEF26"/>
    <w:lvl w:ilvl="0" w:tplc="68564010">
      <w:start w:val="1"/>
      <w:numFmt w:val="bullet"/>
      <w:lvlText w:val="­"/>
      <w:lvlJc w:val="left"/>
      <w:pPr>
        <w:tabs>
          <w:tab w:val="num" w:pos="720"/>
        </w:tabs>
        <w:ind w:left="1080" w:hanging="288"/>
      </w:pPr>
      <w:rPr>
        <w:rFonts w:ascii="Courier New" w:hAnsi="Courier New" w:hint="default"/>
      </w:rPr>
    </w:lvl>
    <w:lvl w:ilvl="1" w:tplc="109CB29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544C0F"/>
    <w:multiLevelType w:val="hybridMultilevel"/>
    <w:tmpl w:val="4A32B81A"/>
    <w:lvl w:ilvl="0" w:tplc="109CB29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867FDF"/>
    <w:multiLevelType w:val="multilevel"/>
    <w:tmpl w:val="D0480E6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3A329D1"/>
    <w:multiLevelType w:val="hybridMultilevel"/>
    <w:tmpl w:val="FE1C1B50"/>
    <w:lvl w:ilvl="0" w:tplc="EDBAA376">
      <w:start w:val="3"/>
      <w:numFmt w:val="bullet"/>
      <w:lvlText w:val="-"/>
      <w:lvlJc w:val="left"/>
      <w:pPr>
        <w:ind w:left="1080" w:hanging="360"/>
      </w:pPr>
      <w:rPr>
        <w:rFonts w:ascii="Microsoft Sans Serif" w:eastAsia="Times New Roman"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AB613D"/>
    <w:multiLevelType w:val="hybridMultilevel"/>
    <w:tmpl w:val="5F06E39E"/>
    <w:lvl w:ilvl="0" w:tplc="1068C6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7A20E2"/>
    <w:multiLevelType w:val="hybridMultilevel"/>
    <w:tmpl w:val="78780B7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492721"/>
    <w:multiLevelType w:val="multilevel"/>
    <w:tmpl w:val="0FE4F7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1C01A07"/>
    <w:multiLevelType w:val="hybridMultilevel"/>
    <w:tmpl w:val="5EA09AE8"/>
    <w:lvl w:ilvl="0" w:tplc="109CB29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265F5F"/>
    <w:multiLevelType w:val="hybridMultilevel"/>
    <w:tmpl w:val="0D04AC4A"/>
    <w:lvl w:ilvl="0" w:tplc="1068C6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36CC8"/>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C75FA6"/>
    <w:multiLevelType w:val="hybridMultilevel"/>
    <w:tmpl w:val="783E4280"/>
    <w:lvl w:ilvl="0" w:tplc="6856401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E40F97"/>
    <w:multiLevelType w:val="hybridMultilevel"/>
    <w:tmpl w:val="ADD2BC2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AAD27AE"/>
    <w:multiLevelType w:val="hybridMultilevel"/>
    <w:tmpl w:val="57FA81A2"/>
    <w:lvl w:ilvl="0" w:tplc="D266207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AC075F8"/>
    <w:multiLevelType w:val="hybridMultilevel"/>
    <w:tmpl w:val="189C974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nsid w:val="1EA00733"/>
    <w:multiLevelType w:val="hybridMultilevel"/>
    <w:tmpl w:val="78780B7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AD68A0"/>
    <w:multiLevelType w:val="hybridMultilevel"/>
    <w:tmpl w:val="32E0142C"/>
    <w:lvl w:ilvl="0" w:tplc="205A8B38">
      <w:start w:val="1"/>
      <w:numFmt w:val="bullet"/>
      <w:lvlText w:val=""/>
      <w:lvlJc w:val="center"/>
      <w:pPr>
        <w:ind w:left="1800" w:hanging="360"/>
      </w:pPr>
      <w:rPr>
        <w:rFonts w:ascii="Symbol" w:hAnsi="Symbol" w:cs="Symbol" w:hint="default"/>
        <w:w w:val="101"/>
        <w:position w:val="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A180A07"/>
    <w:multiLevelType w:val="hybridMultilevel"/>
    <w:tmpl w:val="C43A97AC"/>
    <w:lvl w:ilvl="0" w:tplc="109CB29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2B53DA"/>
    <w:multiLevelType w:val="hybridMultilevel"/>
    <w:tmpl w:val="54C0D80C"/>
    <w:lvl w:ilvl="0" w:tplc="68564010">
      <w:start w:val="1"/>
      <w:numFmt w:val="bullet"/>
      <w:lvlText w:val="­"/>
      <w:lvlJc w:val="left"/>
      <w:pPr>
        <w:tabs>
          <w:tab w:val="num" w:pos="720"/>
        </w:tabs>
        <w:ind w:left="1080" w:hanging="288"/>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C2428C1"/>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0629E0"/>
    <w:multiLevelType w:val="multilevel"/>
    <w:tmpl w:val="0FE4F7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2FAD4333"/>
    <w:multiLevelType w:val="hybridMultilevel"/>
    <w:tmpl w:val="789A2AB2"/>
    <w:lvl w:ilvl="0" w:tplc="109CB290">
      <w:start w:val="1"/>
      <w:numFmt w:val="bullet"/>
      <w:lvlText w:val=""/>
      <w:lvlJc w:val="left"/>
      <w:pPr>
        <w:tabs>
          <w:tab w:val="num" w:pos="1080"/>
        </w:tabs>
        <w:ind w:left="108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37382B7A"/>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9A73BF"/>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2269E3"/>
    <w:multiLevelType w:val="hybridMultilevel"/>
    <w:tmpl w:val="4F56E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645B12"/>
    <w:multiLevelType w:val="hybridMultilevel"/>
    <w:tmpl w:val="1C02D6FA"/>
    <w:lvl w:ilvl="0" w:tplc="109CB29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7026064"/>
    <w:multiLevelType w:val="multilevel"/>
    <w:tmpl w:val="EE98D3F0"/>
    <w:lvl w:ilvl="0">
      <w:start w:val="1"/>
      <w:numFmt w:val="decimal"/>
      <w:lvlText w:val="%1."/>
      <w:lvlJc w:val="left"/>
      <w:pPr>
        <w:tabs>
          <w:tab w:val="num" w:pos="720"/>
        </w:tabs>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C4D75D8"/>
    <w:multiLevelType w:val="hybridMultilevel"/>
    <w:tmpl w:val="7884BC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66284A"/>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973E05"/>
    <w:multiLevelType w:val="hybridMultilevel"/>
    <w:tmpl w:val="EB9A2F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C8070D"/>
    <w:multiLevelType w:val="hybridMultilevel"/>
    <w:tmpl w:val="6A9689DE"/>
    <w:lvl w:ilvl="0" w:tplc="109CB29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7621DEA"/>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A10B81"/>
    <w:multiLevelType w:val="multilevel"/>
    <w:tmpl w:val="DC64967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58113D96"/>
    <w:multiLevelType w:val="hybridMultilevel"/>
    <w:tmpl w:val="48EACD7E"/>
    <w:lvl w:ilvl="0" w:tplc="6868CCC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5E77A5"/>
    <w:multiLevelType w:val="hybridMultilevel"/>
    <w:tmpl w:val="918C4034"/>
    <w:lvl w:ilvl="0" w:tplc="6856401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A7220D"/>
    <w:multiLevelType w:val="hybridMultilevel"/>
    <w:tmpl w:val="D14ABB1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C52EBF"/>
    <w:multiLevelType w:val="hybridMultilevel"/>
    <w:tmpl w:val="E3A254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664AED"/>
    <w:multiLevelType w:val="hybridMultilevel"/>
    <w:tmpl w:val="593A5A62"/>
    <w:lvl w:ilvl="0" w:tplc="109CB29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72E1101"/>
    <w:multiLevelType w:val="hybridMultilevel"/>
    <w:tmpl w:val="05FE4C82"/>
    <w:lvl w:ilvl="0" w:tplc="6856401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583431"/>
    <w:multiLevelType w:val="hybridMultilevel"/>
    <w:tmpl w:val="E31439AA"/>
    <w:lvl w:ilvl="0" w:tplc="109CB290">
      <w:start w:val="1"/>
      <w:numFmt w:val="bullet"/>
      <w:lvlText w:val=""/>
      <w:lvlJc w:val="left"/>
      <w:pPr>
        <w:tabs>
          <w:tab w:val="num" w:pos="1080"/>
        </w:tabs>
        <w:ind w:left="108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9">
    <w:nsid w:val="69F77CC4"/>
    <w:multiLevelType w:val="hybridMultilevel"/>
    <w:tmpl w:val="6848ECF8"/>
    <w:lvl w:ilvl="0" w:tplc="109CB29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A7610BA"/>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2E5B29"/>
    <w:multiLevelType w:val="hybridMultilevel"/>
    <w:tmpl w:val="4F56E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CE1FDA"/>
    <w:multiLevelType w:val="hybridMultilevel"/>
    <w:tmpl w:val="DA72D958"/>
    <w:lvl w:ilvl="0" w:tplc="DB504DD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43">
    <w:nsid w:val="7549470F"/>
    <w:multiLevelType w:val="hybridMultilevel"/>
    <w:tmpl w:val="ADD2BC2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78AE6DBE"/>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BE1655"/>
    <w:multiLevelType w:val="hybridMultilevel"/>
    <w:tmpl w:val="815C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5E1332"/>
    <w:multiLevelType w:val="hybridMultilevel"/>
    <w:tmpl w:val="16E21A66"/>
    <w:lvl w:ilvl="0" w:tplc="691A6BDE">
      <w:start w:val="1"/>
      <w:numFmt w:val="bullet"/>
      <w:lvlText w:val=""/>
      <w:lvlJc w:val="right"/>
      <w:pPr>
        <w:ind w:left="1440" w:hanging="360"/>
      </w:pPr>
      <w:rPr>
        <w:rFonts w:ascii="Symbol" w:hAnsi="Symbol" w:cs="Symbol" w:hint="default"/>
        <w:w w:val="101"/>
        <w:position w:val="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2"/>
  </w:num>
  <w:num w:numId="3">
    <w:abstractNumId w:val="6"/>
  </w:num>
  <w:num w:numId="4">
    <w:abstractNumId w:val="40"/>
  </w:num>
  <w:num w:numId="5">
    <w:abstractNumId w:val="33"/>
  </w:num>
  <w:num w:numId="6">
    <w:abstractNumId w:val="13"/>
  </w:num>
  <w:num w:numId="7">
    <w:abstractNumId w:val="1"/>
  </w:num>
  <w:num w:numId="8">
    <w:abstractNumId w:val="16"/>
  </w:num>
  <w:num w:numId="9">
    <w:abstractNumId w:val="7"/>
  </w:num>
  <w:num w:numId="10">
    <w:abstractNumId w:val="24"/>
  </w:num>
  <w:num w:numId="11">
    <w:abstractNumId w:val="39"/>
  </w:num>
  <w:num w:numId="12">
    <w:abstractNumId w:val="29"/>
  </w:num>
  <w:num w:numId="13">
    <w:abstractNumId w:val="36"/>
  </w:num>
  <w:num w:numId="14">
    <w:abstractNumId w:val="20"/>
  </w:num>
  <w:num w:numId="15">
    <w:abstractNumId w:val="0"/>
  </w:num>
  <w:num w:numId="16">
    <w:abstractNumId w:val="31"/>
  </w:num>
  <w:num w:numId="17">
    <w:abstractNumId w:val="38"/>
  </w:num>
  <w:num w:numId="18">
    <w:abstractNumId w:val="23"/>
  </w:num>
  <w:num w:numId="19">
    <w:abstractNumId w:val="10"/>
  </w:num>
  <w:num w:numId="20">
    <w:abstractNumId w:val="5"/>
  </w:num>
  <w:num w:numId="21">
    <w:abstractNumId w:val="41"/>
  </w:num>
  <w:num w:numId="22">
    <w:abstractNumId w:val="14"/>
  </w:num>
  <w:num w:numId="23">
    <w:abstractNumId w:val="15"/>
  </w:num>
  <w:num w:numId="24">
    <w:abstractNumId w:val="37"/>
  </w:num>
  <w:num w:numId="25">
    <w:abstractNumId w:val="34"/>
  </w:num>
  <w:num w:numId="26">
    <w:abstractNumId w:val="35"/>
  </w:num>
  <w:num w:numId="27">
    <w:abstractNumId w:val="43"/>
    <w:lvlOverride w:ilvl="0">
      <w:startOverride w:val="1"/>
    </w:lvlOverride>
    <w:lvlOverride w:ilvl="1"/>
    <w:lvlOverride w:ilvl="2"/>
    <w:lvlOverride w:ilvl="3"/>
    <w:lvlOverride w:ilvl="4"/>
    <w:lvlOverride w:ilvl="5"/>
    <w:lvlOverride w:ilvl="6"/>
    <w:lvlOverride w:ilvl="7"/>
    <w:lvlOverride w:ilvl="8"/>
  </w:num>
  <w:num w:numId="28">
    <w:abstractNumId w:val="28"/>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18"/>
  </w:num>
  <w:num w:numId="32">
    <w:abstractNumId w:val="27"/>
  </w:num>
  <w:num w:numId="33">
    <w:abstractNumId w:val="22"/>
  </w:num>
  <w:num w:numId="34">
    <w:abstractNumId w:val="44"/>
  </w:num>
  <w:num w:numId="35">
    <w:abstractNumId w:val="21"/>
  </w:num>
  <w:num w:numId="36">
    <w:abstractNumId w:val="9"/>
  </w:num>
  <w:num w:numId="37">
    <w:abstractNumId w:val="30"/>
  </w:num>
  <w:num w:numId="38">
    <w:abstractNumId w:val="3"/>
  </w:num>
  <w:num w:numId="39">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2"/>
  </w:num>
  <w:num w:numId="42">
    <w:abstractNumId w:val="25"/>
  </w:num>
  <w:num w:numId="43">
    <w:abstractNumId w:val="46"/>
  </w:num>
  <w:num w:numId="44">
    <w:abstractNumId w:val="26"/>
  </w:num>
  <w:num w:numId="45">
    <w:abstractNumId w:val="4"/>
  </w:num>
  <w:num w:numId="46">
    <w:abstractNumId w:val="8"/>
  </w:num>
  <w:num w:numId="47">
    <w:abstractNumId w:val="19"/>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hideGrammaticalErrors/>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452"/>
    <w:rsid w:val="000004B7"/>
    <w:rsid w:val="00000B94"/>
    <w:rsid w:val="00000C90"/>
    <w:rsid w:val="00000D4C"/>
    <w:rsid w:val="000013A5"/>
    <w:rsid w:val="00004D4A"/>
    <w:rsid w:val="000058AF"/>
    <w:rsid w:val="00006C3A"/>
    <w:rsid w:val="00006C7E"/>
    <w:rsid w:val="00006F2D"/>
    <w:rsid w:val="00007A28"/>
    <w:rsid w:val="00012FC3"/>
    <w:rsid w:val="00015140"/>
    <w:rsid w:val="00015FE4"/>
    <w:rsid w:val="00016481"/>
    <w:rsid w:val="00017D7B"/>
    <w:rsid w:val="00021BD7"/>
    <w:rsid w:val="00021F18"/>
    <w:rsid w:val="000234DB"/>
    <w:rsid w:val="00024070"/>
    <w:rsid w:val="00024EBC"/>
    <w:rsid w:val="00025571"/>
    <w:rsid w:val="000258E9"/>
    <w:rsid w:val="00025E34"/>
    <w:rsid w:val="0002646D"/>
    <w:rsid w:val="00030187"/>
    <w:rsid w:val="000308AE"/>
    <w:rsid w:val="00036FEA"/>
    <w:rsid w:val="00037BEA"/>
    <w:rsid w:val="00037CA2"/>
    <w:rsid w:val="00040E15"/>
    <w:rsid w:val="000422C8"/>
    <w:rsid w:val="00042964"/>
    <w:rsid w:val="000429C0"/>
    <w:rsid w:val="00042D6D"/>
    <w:rsid w:val="0004353C"/>
    <w:rsid w:val="00044652"/>
    <w:rsid w:val="00044B00"/>
    <w:rsid w:val="000478D8"/>
    <w:rsid w:val="00050EE5"/>
    <w:rsid w:val="00051434"/>
    <w:rsid w:val="00052FD5"/>
    <w:rsid w:val="00053661"/>
    <w:rsid w:val="000545EF"/>
    <w:rsid w:val="000547E3"/>
    <w:rsid w:val="00057EC9"/>
    <w:rsid w:val="00061460"/>
    <w:rsid w:val="00061EAD"/>
    <w:rsid w:val="000625D9"/>
    <w:rsid w:val="00062D95"/>
    <w:rsid w:val="0006426C"/>
    <w:rsid w:val="00065C4D"/>
    <w:rsid w:val="0007256C"/>
    <w:rsid w:val="000750A1"/>
    <w:rsid w:val="000760B1"/>
    <w:rsid w:val="000779AF"/>
    <w:rsid w:val="00077AC2"/>
    <w:rsid w:val="00082566"/>
    <w:rsid w:val="00082C5E"/>
    <w:rsid w:val="00083090"/>
    <w:rsid w:val="0008496A"/>
    <w:rsid w:val="00084BDA"/>
    <w:rsid w:val="00085E43"/>
    <w:rsid w:val="0008612E"/>
    <w:rsid w:val="000902A5"/>
    <w:rsid w:val="00091D42"/>
    <w:rsid w:val="0009386C"/>
    <w:rsid w:val="00094B08"/>
    <w:rsid w:val="0009792C"/>
    <w:rsid w:val="000A40D1"/>
    <w:rsid w:val="000A4B93"/>
    <w:rsid w:val="000A5157"/>
    <w:rsid w:val="000A56AB"/>
    <w:rsid w:val="000A654B"/>
    <w:rsid w:val="000B0654"/>
    <w:rsid w:val="000B1A81"/>
    <w:rsid w:val="000B2D0B"/>
    <w:rsid w:val="000B5E26"/>
    <w:rsid w:val="000B640A"/>
    <w:rsid w:val="000B7225"/>
    <w:rsid w:val="000B794F"/>
    <w:rsid w:val="000C08A7"/>
    <w:rsid w:val="000C39AC"/>
    <w:rsid w:val="000C4B88"/>
    <w:rsid w:val="000C60FD"/>
    <w:rsid w:val="000C6438"/>
    <w:rsid w:val="000C6D8D"/>
    <w:rsid w:val="000D442A"/>
    <w:rsid w:val="000D4968"/>
    <w:rsid w:val="000D52EE"/>
    <w:rsid w:val="000D6505"/>
    <w:rsid w:val="000E1833"/>
    <w:rsid w:val="000E241E"/>
    <w:rsid w:val="000E59E7"/>
    <w:rsid w:val="000E76F4"/>
    <w:rsid w:val="000F08F4"/>
    <w:rsid w:val="000F40AA"/>
    <w:rsid w:val="000F56F4"/>
    <w:rsid w:val="000F6F5E"/>
    <w:rsid w:val="0010256E"/>
    <w:rsid w:val="00104E7E"/>
    <w:rsid w:val="00105605"/>
    <w:rsid w:val="00105D7C"/>
    <w:rsid w:val="001112AB"/>
    <w:rsid w:val="0011264C"/>
    <w:rsid w:val="00113248"/>
    <w:rsid w:val="00113ABC"/>
    <w:rsid w:val="00113CB5"/>
    <w:rsid w:val="001145EB"/>
    <w:rsid w:val="001151FA"/>
    <w:rsid w:val="00115C84"/>
    <w:rsid w:val="0011752C"/>
    <w:rsid w:val="0011769E"/>
    <w:rsid w:val="00117FD3"/>
    <w:rsid w:val="00121058"/>
    <w:rsid w:val="001211DC"/>
    <w:rsid w:val="001241B7"/>
    <w:rsid w:val="00125771"/>
    <w:rsid w:val="00125E9B"/>
    <w:rsid w:val="0012600F"/>
    <w:rsid w:val="00127DDA"/>
    <w:rsid w:val="00130A25"/>
    <w:rsid w:val="00131378"/>
    <w:rsid w:val="00132F89"/>
    <w:rsid w:val="00133487"/>
    <w:rsid w:val="0013449C"/>
    <w:rsid w:val="0013527F"/>
    <w:rsid w:val="00144EEC"/>
    <w:rsid w:val="00145C43"/>
    <w:rsid w:val="00146A42"/>
    <w:rsid w:val="001470CA"/>
    <w:rsid w:val="00147681"/>
    <w:rsid w:val="00150DD5"/>
    <w:rsid w:val="00152721"/>
    <w:rsid w:val="00153382"/>
    <w:rsid w:val="001550E4"/>
    <w:rsid w:val="0016213A"/>
    <w:rsid w:val="00163AF8"/>
    <w:rsid w:val="00170C74"/>
    <w:rsid w:val="00170E26"/>
    <w:rsid w:val="0017232B"/>
    <w:rsid w:val="0017355C"/>
    <w:rsid w:val="00173AA9"/>
    <w:rsid w:val="00173AC7"/>
    <w:rsid w:val="001757C6"/>
    <w:rsid w:val="00175BA4"/>
    <w:rsid w:val="0017795C"/>
    <w:rsid w:val="00180FDE"/>
    <w:rsid w:val="00183262"/>
    <w:rsid w:val="00183273"/>
    <w:rsid w:val="00183288"/>
    <w:rsid w:val="00184792"/>
    <w:rsid w:val="00184AB1"/>
    <w:rsid w:val="001858B8"/>
    <w:rsid w:val="00185FC2"/>
    <w:rsid w:val="00191E28"/>
    <w:rsid w:val="00192E74"/>
    <w:rsid w:val="0019571C"/>
    <w:rsid w:val="00195973"/>
    <w:rsid w:val="00195CBC"/>
    <w:rsid w:val="00195E9E"/>
    <w:rsid w:val="00196439"/>
    <w:rsid w:val="001A362F"/>
    <w:rsid w:val="001A4027"/>
    <w:rsid w:val="001A4530"/>
    <w:rsid w:val="001A5A2E"/>
    <w:rsid w:val="001A5B4E"/>
    <w:rsid w:val="001A5CC4"/>
    <w:rsid w:val="001A706A"/>
    <w:rsid w:val="001B17E1"/>
    <w:rsid w:val="001B59B0"/>
    <w:rsid w:val="001B6714"/>
    <w:rsid w:val="001B672C"/>
    <w:rsid w:val="001C11B6"/>
    <w:rsid w:val="001C1519"/>
    <w:rsid w:val="001C2528"/>
    <w:rsid w:val="001C3190"/>
    <w:rsid w:val="001C4C00"/>
    <w:rsid w:val="001C68F9"/>
    <w:rsid w:val="001C6EF7"/>
    <w:rsid w:val="001C7245"/>
    <w:rsid w:val="001D106A"/>
    <w:rsid w:val="001D1168"/>
    <w:rsid w:val="001D1584"/>
    <w:rsid w:val="001D1E81"/>
    <w:rsid w:val="001D22AB"/>
    <w:rsid w:val="001D2C3C"/>
    <w:rsid w:val="001D4ADB"/>
    <w:rsid w:val="001D58CE"/>
    <w:rsid w:val="001E0A51"/>
    <w:rsid w:val="001E0AE7"/>
    <w:rsid w:val="001E15DF"/>
    <w:rsid w:val="001E23C4"/>
    <w:rsid w:val="001E2CAB"/>
    <w:rsid w:val="001E3B67"/>
    <w:rsid w:val="001E696C"/>
    <w:rsid w:val="001E6BBD"/>
    <w:rsid w:val="001F02EC"/>
    <w:rsid w:val="001F0BF7"/>
    <w:rsid w:val="001F18B0"/>
    <w:rsid w:val="001F36C8"/>
    <w:rsid w:val="001F3B08"/>
    <w:rsid w:val="001F5903"/>
    <w:rsid w:val="001F5C0E"/>
    <w:rsid w:val="001F5C69"/>
    <w:rsid w:val="001F5E96"/>
    <w:rsid w:val="001F63F2"/>
    <w:rsid w:val="001F6493"/>
    <w:rsid w:val="001F713B"/>
    <w:rsid w:val="00200AFD"/>
    <w:rsid w:val="002011F4"/>
    <w:rsid w:val="00201C25"/>
    <w:rsid w:val="00203DE9"/>
    <w:rsid w:val="002048AB"/>
    <w:rsid w:val="00204DAE"/>
    <w:rsid w:val="00210D35"/>
    <w:rsid w:val="00214BD4"/>
    <w:rsid w:val="00215D04"/>
    <w:rsid w:val="00216258"/>
    <w:rsid w:val="00216CD2"/>
    <w:rsid w:val="00217716"/>
    <w:rsid w:val="00221589"/>
    <w:rsid w:val="00223116"/>
    <w:rsid w:val="00223B05"/>
    <w:rsid w:val="00223B19"/>
    <w:rsid w:val="00223B61"/>
    <w:rsid w:val="00224417"/>
    <w:rsid w:val="00224481"/>
    <w:rsid w:val="002303E7"/>
    <w:rsid w:val="00231804"/>
    <w:rsid w:val="002321F1"/>
    <w:rsid w:val="00232623"/>
    <w:rsid w:val="002350EC"/>
    <w:rsid w:val="002373AB"/>
    <w:rsid w:val="00237FE1"/>
    <w:rsid w:val="00242FA3"/>
    <w:rsid w:val="002453FC"/>
    <w:rsid w:val="00246DC1"/>
    <w:rsid w:val="002475E0"/>
    <w:rsid w:val="00247D8E"/>
    <w:rsid w:val="00251AAD"/>
    <w:rsid w:val="00254B3A"/>
    <w:rsid w:val="00254E84"/>
    <w:rsid w:val="00255B29"/>
    <w:rsid w:val="0025613D"/>
    <w:rsid w:val="002566BC"/>
    <w:rsid w:val="00257A0F"/>
    <w:rsid w:val="0026147B"/>
    <w:rsid w:val="00262B90"/>
    <w:rsid w:val="00262CF3"/>
    <w:rsid w:val="00263E83"/>
    <w:rsid w:val="002647F6"/>
    <w:rsid w:val="00264CFF"/>
    <w:rsid w:val="00265AB1"/>
    <w:rsid w:val="0026639C"/>
    <w:rsid w:val="0027008C"/>
    <w:rsid w:val="0027094A"/>
    <w:rsid w:val="0027124B"/>
    <w:rsid w:val="00277C6E"/>
    <w:rsid w:val="00284D84"/>
    <w:rsid w:val="0029015D"/>
    <w:rsid w:val="00292006"/>
    <w:rsid w:val="00295F93"/>
    <w:rsid w:val="002963B3"/>
    <w:rsid w:val="00297D5C"/>
    <w:rsid w:val="002A0274"/>
    <w:rsid w:val="002A27F9"/>
    <w:rsid w:val="002A2F20"/>
    <w:rsid w:val="002A3151"/>
    <w:rsid w:val="002A39F2"/>
    <w:rsid w:val="002A3C99"/>
    <w:rsid w:val="002A43B0"/>
    <w:rsid w:val="002A490F"/>
    <w:rsid w:val="002A75F7"/>
    <w:rsid w:val="002A7DA5"/>
    <w:rsid w:val="002B0F63"/>
    <w:rsid w:val="002B23AE"/>
    <w:rsid w:val="002B3255"/>
    <w:rsid w:val="002B5075"/>
    <w:rsid w:val="002B6618"/>
    <w:rsid w:val="002C04DA"/>
    <w:rsid w:val="002C0C22"/>
    <w:rsid w:val="002C0F93"/>
    <w:rsid w:val="002C13E9"/>
    <w:rsid w:val="002C361B"/>
    <w:rsid w:val="002C4E04"/>
    <w:rsid w:val="002C530E"/>
    <w:rsid w:val="002C5D67"/>
    <w:rsid w:val="002D034E"/>
    <w:rsid w:val="002D14D5"/>
    <w:rsid w:val="002D24C5"/>
    <w:rsid w:val="002D3644"/>
    <w:rsid w:val="002D3C69"/>
    <w:rsid w:val="002D4024"/>
    <w:rsid w:val="002D44D1"/>
    <w:rsid w:val="002D4843"/>
    <w:rsid w:val="002D5603"/>
    <w:rsid w:val="002D5739"/>
    <w:rsid w:val="002D779A"/>
    <w:rsid w:val="002E03C4"/>
    <w:rsid w:val="002E1014"/>
    <w:rsid w:val="002E22EA"/>
    <w:rsid w:val="002E3085"/>
    <w:rsid w:val="002E6FD0"/>
    <w:rsid w:val="002F10EF"/>
    <w:rsid w:val="002F2A54"/>
    <w:rsid w:val="002F3B4C"/>
    <w:rsid w:val="002F5A07"/>
    <w:rsid w:val="002F6240"/>
    <w:rsid w:val="002F7262"/>
    <w:rsid w:val="002F797B"/>
    <w:rsid w:val="002F7B48"/>
    <w:rsid w:val="003004CE"/>
    <w:rsid w:val="00301D3A"/>
    <w:rsid w:val="00302B99"/>
    <w:rsid w:val="003039A6"/>
    <w:rsid w:val="00303B1A"/>
    <w:rsid w:val="00304F43"/>
    <w:rsid w:val="00305683"/>
    <w:rsid w:val="00306F20"/>
    <w:rsid w:val="0031078C"/>
    <w:rsid w:val="00314110"/>
    <w:rsid w:val="003153FF"/>
    <w:rsid w:val="00316674"/>
    <w:rsid w:val="003176A3"/>
    <w:rsid w:val="00321209"/>
    <w:rsid w:val="003214B3"/>
    <w:rsid w:val="00325CA9"/>
    <w:rsid w:val="00327CB5"/>
    <w:rsid w:val="003305EF"/>
    <w:rsid w:val="00330A03"/>
    <w:rsid w:val="003310EB"/>
    <w:rsid w:val="0033505B"/>
    <w:rsid w:val="00336384"/>
    <w:rsid w:val="003411D0"/>
    <w:rsid w:val="0034169E"/>
    <w:rsid w:val="00341E80"/>
    <w:rsid w:val="00342D51"/>
    <w:rsid w:val="00342EA3"/>
    <w:rsid w:val="00342FAF"/>
    <w:rsid w:val="00343AA5"/>
    <w:rsid w:val="00343AAA"/>
    <w:rsid w:val="00344503"/>
    <w:rsid w:val="0034491D"/>
    <w:rsid w:val="00345A11"/>
    <w:rsid w:val="00346FAD"/>
    <w:rsid w:val="003522A2"/>
    <w:rsid w:val="00352F32"/>
    <w:rsid w:val="00355B31"/>
    <w:rsid w:val="00356EDA"/>
    <w:rsid w:val="003573B2"/>
    <w:rsid w:val="00357726"/>
    <w:rsid w:val="00360DB0"/>
    <w:rsid w:val="00360DDB"/>
    <w:rsid w:val="0036483C"/>
    <w:rsid w:val="00364F44"/>
    <w:rsid w:val="003678F6"/>
    <w:rsid w:val="003718AA"/>
    <w:rsid w:val="00371C41"/>
    <w:rsid w:val="00372C25"/>
    <w:rsid w:val="00373B8A"/>
    <w:rsid w:val="00376CA3"/>
    <w:rsid w:val="00377D04"/>
    <w:rsid w:val="00382316"/>
    <w:rsid w:val="003824FD"/>
    <w:rsid w:val="00384C06"/>
    <w:rsid w:val="00385F4E"/>
    <w:rsid w:val="00386506"/>
    <w:rsid w:val="003871D5"/>
    <w:rsid w:val="00387750"/>
    <w:rsid w:val="0039081C"/>
    <w:rsid w:val="00391A3C"/>
    <w:rsid w:val="0039219D"/>
    <w:rsid w:val="003923AC"/>
    <w:rsid w:val="00392569"/>
    <w:rsid w:val="00392ABF"/>
    <w:rsid w:val="00395A1C"/>
    <w:rsid w:val="003A233B"/>
    <w:rsid w:val="003A3724"/>
    <w:rsid w:val="003A4077"/>
    <w:rsid w:val="003A47ED"/>
    <w:rsid w:val="003A50CC"/>
    <w:rsid w:val="003A53CB"/>
    <w:rsid w:val="003A5652"/>
    <w:rsid w:val="003A5C0C"/>
    <w:rsid w:val="003A7A40"/>
    <w:rsid w:val="003B23BF"/>
    <w:rsid w:val="003B24B4"/>
    <w:rsid w:val="003B24F0"/>
    <w:rsid w:val="003B3B40"/>
    <w:rsid w:val="003B4A8C"/>
    <w:rsid w:val="003B6C94"/>
    <w:rsid w:val="003C0A2D"/>
    <w:rsid w:val="003C2D8F"/>
    <w:rsid w:val="003C548D"/>
    <w:rsid w:val="003C5BAA"/>
    <w:rsid w:val="003D050C"/>
    <w:rsid w:val="003D2529"/>
    <w:rsid w:val="003D3D0D"/>
    <w:rsid w:val="003E0149"/>
    <w:rsid w:val="003E1651"/>
    <w:rsid w:val="003E1841"/>
    <w:rsid w:val="003E1B13"/>
    <w:rsid w:val="003E232F"/>
    <w:rsid w:val="003E2AB1"/>
    <w:rsid w:val="003E3234"/>
    <w:rsid w:val="003E6DFC"/>
    <w:rsid w:val="003E7E9D"/>
    <w:rsid w:val="003F1A61"/>
    <w:rsid w:val="003F3374"/>
    <w:rsid w:val="003F348B"/>
    <w:rsid w:val="003F4280"/>
    <w:rsid w:val="003F4D53"/>
    <w:rsid w:val="003F51D4"/>
    <w:rsid w:val="00400476"/>
    <w:rsid w:val="0040225A"/>
    <w:rsid w:val="00405553"/>
    <w:rsid w:val="00405833"/>
    <w:rsid w:val="00407FF8"/>
    <w:rsid w:val="00411CE2"/>
    <w:rsid w:val="0041376F"/>
    <w:rsid w:val="00415182"/>
    <w:rsid w:val="00415DFD"/>
    <w:rsid w:val="00421394"/>
    <w:rsid w:val="0042230F"/>
    <w:rsid w:val="004241AD"/>
    <w:rsid w:val="00427D97"/>
    <w:rsid w:val="004318E3"/>
    <w:rsid w:val="00431CD5"/>
    <w:rsid w:val="00431E28"/>
    <w:rsid w:val="004358D0"/>
    <w:rsid w:val="00437779"/>
    <w:rsid w:val="00437C5A"/>
    <w:rsid w:val="004407E2"/>
    <w:rsid w:val="00441AAC"/>
    <w:rsid w:val="0044546A"/>
    <w:rsid w:val="00447D5C"/>
    <w:rsid w:val="00450EF6"/>
    <w:rsid w:val="0045298B"/>
    <w:rsid w:val="00454445"/>
    <w:rsid w:val="00456688"/>
    <w:rsid w:val="004566FF"/>
    <w:rsid w:val="00456E95"/>
    <w:rsid w:val="00457157"/>
    <w:rsid w:val="00460ED1"/>
    <w:rsid w:val="00462725"/>
    <w:rsid w:val="004628B5"/>
    <w:rsid w:val="00462A61"/>
    <w:rsid w:val="00463FF5"/>
    <w:rsid w:val="004652CF"/>
    <w:rsid w:val="00465FFA"/>
    <w:rsid w:val="00471D13"/>
    <w:rsid w:val="00474D98"/>
    <w:rsid w:val="00475FB7"/>
    <w:rsid w:val="0047636F"/>
    <w:rsid w:val="00476BE1"/>
    <w:rsid w:val="00477097"/>
    <w:rsid w:val="00477CCD"/>
    <w:rsid w:val="00480272"/>
    <w:rsid w:val="00480D4E"/>
    <w:rsid w:val="00481F5E"/>
    <w:rsid w:val="00483CE7"/>
    <w:rsid w:val="00484858"/>
    <w:rsid w:val="00484898"/>
    <w:rsid w:val="00484F7C"/>
    <w:rsid w:val="00486161"/>
    <w:rsid w:val="00486328"/>
    <w:rsid w:val="00487A1E"/>
    <w:rsid w:val="00490B38"/>
    <w:rsid w:val="00490F08"/>
    <w:rsid w:val="00492042"/>
    <w:rsid w:val="004930B2"/>
    <w:rsid w:val="00493486"/>
    <w:rsid w:val="00495BB3"/>
    <w:rsid w:val="00495F96"/>
    <w:rsid w:val="0049637E"/>
    <w:rsid w:val="00496D3D"/>
    <w:rsid w:val="004A0B3F"/>
    <w:rsid w:val="004A128A"/>
    <w:rsid w:val="004A2B52"/>
    <w:rsid w:val="004A3186"/>
    <w:rsid w:val="004A3CFF"/>
    <w:rsid w:val="004A3E77"/>
    <w:rsid w:val="004A42DD"/>
    <w:rsid w:val="004A47C2"/>
    <w:rsid w:val="004A5142"/>
    <w:rsid w:val="004A58A3"/>
    <w:rsid w:val="004A61FF"/>
    <w:rsid w:val="004A78AA"/>
    <w:rsid w:val="004B45A6"/>
    <w:rsid w:val="004B4CD5"/>
    <w:rsid w:val="004B55EA"/>
    <w:rsid w:val="004B643C"/>
    <w:rsid w:val="004C02BF"/>
    <w:rsid w:val="004C0F72"/>
    <w:rsid w:val="004C1FAB"/>
    <w:rsid w:val="004C2BE8"/>
    <w:rsid w:val="004C398B"/>
    <w:rsid w:val="004C3AE5"/>
    <w:rsid w:val="004C3F41"/>
    <w:rsid w:val="004C43D0"/>
    <w:rsid w:val="004C4BCA"/>
    <w:rsid w:val="004C5101"/>
    <w:rsid w:val="004C6205"/>
    <w:rsid w:val="004C78B6"/>
    <w:rsid w:val="004D1C01"/>
    <w:rsid w:val="004D32BD"/>
    <w:rsid w:val="004D34A9"/>
    <w:rsid w:val="004D46CF"/>
    <w:rsid w:val="004D4C8A"/>
    <w:rsid w:val="004D4D49"/>
    <w:rsid w:val="004D79CE"/>
    <w:rsid w:val="004D7FD4"/>
    <w:rsid w:val="004E11EA"/>
    <w:rsid w:val="004E13F7"/>
    <w:rsid w:val="004E166E"/>
    <w:rsid w:val="004E19D2"/>
    <w:rsid w:val="004E593C"/>
    <w:rsid w:val="004E7467"/>
    <w:rsid w:val="004E7FEB"/>
    <w:rsid w:val="004F0F84"/>
    <w:rsid w:val="004F2203"/>
    <w:rsid w:val="004F255F"/>
    <w:rsid w:val="004F2E02"/>
    <w:rsid w:val="004F2F22"/>
    <w:rsid w:val="004F426F"/>
    <w:rsid w:val="004F466D"/>
    <w:rsid w:val="004F4BEC"/>
    <w:rsid w:val="004F4F27"/>
    <w:rsid w:val="004F65E8"/>
    <w:rsid w:val="004F6DB3"/>
    <w:rsid w:val="00500696"/>
    <w:rsid w:val="00502C06"/>
    <w:rsid w:val="00502C16"/>
    <w:rsid w:val="00504D17"/>
    <w:rsid w:val="00505419"/>
    <w:rsid w:val="00505FDC"/>
    <w:rsid w:val="00510FDA"/>
    <w:rsid w:val="00511EC7"/>
    <w:rsid w:val="0051237D"/>
    <w:rsid w:val="00512FA0"/>
    <w:rsid w:val="00515F12"/>
    <w:rsid w:val="00516CB8"/>
    <w:rsid w:val="00521992"/>
    <w:rsid w:val="00523404"/>
    <w:rsid w:val="0052587C"/>
    <w:rsid w:val="00527589"/>
    <w:rsid w:val="0052791C"/>
    <w:rsid w:val="005308EE"/>
    <w:rsid w:val="0053148F"/>
    <w:rsid w:val="00533A41"/>
    <w:rsid w:val="00534EB0"/>
    <w:rsid w:val="00535347"/>
    <w:rsid w:val="00535C19"/>
    <w:rsid w:val="005405B1"/>
    <w:rsid w:val="005419F2"/>
    <w:rsid w:val="0054244B"/>
    <w:rsid w:val="00542611"/>
    <w:rsid w:val="005439BE"/>
    <w:rsid w:val="00545870"/>
    <w:rsid w:val="005459DB"/>
    <w:rsid w:val="00546CFC"/>
    <w:rsid w:val="00550527"/>
    <w:rsid w:val="00552723"/>
    <w:rsid w:val="00552BD8"/>
    <w:rsid w:val="005554D4"/>
    <w:rsid w:val="00555933"/>
    <w:rsid w:val="00560254"/>
    <w:rsid w:val="005619F8"/>
    <w:rsid w:val="00562B1F"/>
    <w:rsid w:val="0056317E"/>
    <w:rsid w:val="00563D6F"/>
    <w:rsid w:val="00564147"/>
    <w:rsid w:val="005646FC"/>
    <w:rsid w:val="005651E1"/>
    <w:rsid w:val="0056529F"/>
    <w:rsid w:val="00565BA3"/>
    <w:rsid w:val="005672D3"/>
    <w:rsid w:val="005679A9"/>
    <w:rsid w:val="005713E8"/>
    <w:rsid w:val="005719A1"/>
    <w:rsid w:val="00571AF5"/>
    <w:rsid w:val="00571E40"/>
    <w:rsid w:val="00582E1B"/>
    <w:rsid w:val="0058632C"/>
    <w:rsid w:val="005869F1"/>
    <w:rsid w:val="00590A30"/>
    <w:rsid w:val="00591BCF"/>
    <w:rsid w:val="00593B3A"/>
    <w:rsid w:val="00594090"/>
    <w:rsid w:val="00594346"/>
    <w:rsid w:val="0059501A"/>
    <w:rsid w:val="00595F6E"/>
    <w:rsid w:val="00596119"/>
    <w:rsid w:val="005963D9"/>
    <w:rsid w:val="005A2494"/>
    <w:rsid w:val="005A4446"/>
    <w:rsid w:val="005A4FB0"/>
    <w:rsid w:val="005A5388"/>
    <w:rsid w:val="005A6CF3"/>
    <w:rsid w:val="005B060A"/>
    <w:rsid w:val="005B353A"/>
    <w:rsid w:val="005B37F6"/>
    <w:rsid w:val="005B40AF"/>
    <w:rsid w:val="005B5757"/>
    <w:rsid w:val="005C273A"/>
    <w:rsid w:val="005C292E"/>
    <w:rsid w:val="005C4264"/>
    <w:rsid w:val="005C4530"/>
    <w:rsid w:val="005C4542"/>
    <w:rsid w:val="005D0342"/>
    <w:rsid w:val="005D05A2"/>
    <w:rsid w:val="005D0C66"/>
    <w:rsid w:val="005D3512"/>
    <w:rsid w:val="005D37D4"/>
    <w:rsid w:val="005D5C8B"/>
    <w:rsid w:val="005D5F78"/>
    <w:rsid w:val="005D784F"/>
    <w:rsid w:val="005E2B0C"/>
    <w:rsid w:val="005E39BB"/>
    <w:rsid w:val="005E4E86"/>
    <w:rsid w:val="005E5350"/>
    <w:rsid w:val="005E59B7"/>
    <w:rsid w:val="005E645B"/>
    <w:rsid w:val="005E7137"/>
    <w:rsid w:val="005F073A"/>
    <w:rsid w:val="005F2E4E"/>
    <w:rsid w:val="005F3E9B"/>
    <w:rsid w:val="005F5B76"/>
    <w:rsid w:val="005F7510"/>
    <w:rsid w:val="00600857"/>
    <w:rsid w:val="00600ACB"/>
    <w:rsid w:val="00602454"/>
    <w:rsid w:val="00603290"/>
    <w:rsid w:val="00604D36"/>
    <w:rsid w:val="00605B8F"/>
    <w:rsid w:val="00605CF8"/>
    <w:rsid w:val="00611369"/>
    <w:rsid w:val="006127E3"/>
    <w:rsid w:val="00614CFA"/>
    <w:rsid w:val="00615DA8"/>
    <w:rsid w:val="00621A6F"/>
    <w:rsid w:val="00622E44"/>
    <w:rsid w:val="00622F10"/>
    <w:rsid w:val="00623347"/>
    <w:rsid w:val="00623B83"/>
    <w:rsid w:val="006246F8"/>
    <w:rsid w:val="00624A5A"/>
    <w:rsid w:val="00624AF9"/>
    <w:rsid w:val="00626F82"/>
    <w:rsid w:val="00627E99"/>
    <w:rsid w:val="0063167B"/>
    <w:rsid w:val="00631BC9"/>
    <w:rsid w:val="006360C2"/>
    <w:rsid w:val="00636880"/>
    <w:rsid w:val="00636EB4"/>
    <w:rsid w:val="00641DFD"/>
    <w:rsid w:val="00642C30"/>
    <w:rsid w:val="00643C36"/>
    <w:rsid w:val="006447FB"/>
    <w:rsid w:val="00646143"/>
    <w:rsid w:val="00647C0B"/>
    <w:rsid w:val="00651530"/>
    <w:rsid w:val="00651648"/>
    <w:rsid w:val="00653390"/>
    <w:rsid w:val="0065485F"/>
    <w:rsid w:val="00654A49"/>
    <w:rsid w:val="0065747B"/>
    <w:rsid w:val="00660E50"/>
    <w:rsid w:val="006623AD"/>
    <w:rsid w:val="00663E66"/>
    <w:rsid w:val="00664420"/>
    <w:rsid w:val="006655BD"/>
    <w:rsid w:val="0066689B"/>
    <w:rsid w:val="00667A0A"/>
    <w:rsid w:val="00670BAF"/>
    <w:rsid w:val="00675A1D"/>
    <w:rsid w:val="00675C8E"/>
    <w:rsid w:val="00676495"/>
    <w:rsid w:val="00676F29"/>
    <w:rsid w:val="006816B3"/>
    <w:rsid w:val="0068230A"/>
    <w:rsid w:val="00682516"/>
    <w:rsid w:val="00682D77"/>
    <w:rsid w:val="00684744"/>
    <w:rsid w:val="00687F55"/>
    <w:rsid w:val="006906AE"/>
    <w:rsid w:val="0069103E"/>
    <w:rsid w:val="00691FE5"/>
    <w:rsid w:val="006934FA"/>
    <w:rsid w:val="00693DAD"/>
    <w:rsid w:val="00694012"/>
    <w:rsid w:val="00697CE7"/>
    <w:rsid w:val="006A0819"/>
    <w:rsid w:val="006A2333"/>
    <w:rsid w:val="006A49C3"/>
    <w:rsid w:val="006A5C97"/>
    <w:rsid w:val="006A62F8"/>
    <w:rsid w:val="006A6C0B"/>
    <w:rsid w:val="006A782A"/>
    <w:rsid w:val="006A78C4"/>
    <w:rsid w:val="006B1C68"/>
    <w:rsid w:val="006B28A9"/>
    <w:rsid w:val="006B2FB5"/>
    <w:rsid w:val="006B45DF"/>
    <w:rsid w:val="006B6FD1"/>
    <w:rsid w:val="006B71B5"/>
    <w:rsid w:val="006B7FD8"/>
    <w:rsid w:val="006C3EC1"/>
    <w:rsid w:val="006C439C"/>
    <w:rsid w:val="006C4819"/>
    <w:rsid w:val="006C519E"/>
    <w:rsid w:val="006C7D3A"/>
    <w:rsid w:val="006D19E9"/>
    <w:rsid w:val="006D23F0"/>
    <w:rsid w:val="006D4EF5"/>
    <w:rsid w:val="006D57DB"/>
    <w:rsid w:val="006D5C5C"/>
    <w:rsid w:val="006D6F7D"/>
    <w:rsid w:val="006D73A3"/>
    <w:rsid w:val="006E379E"/>
    <w:rsid w:val="006E3912"/>
    <w:rsid w:val="006E51D4"/>
    <w:rsid w:val="006E69DA"/>
    <w:rsid w:val="006E79A6"/>
    <w:rsid w:val="006F02D3"/>
    <w:rsid w:val="006F15BC"/>
    <w:rsid w:val="006F300F"/>
    <w:rsid w:val="006F380D"/>
    <w:rsid w:val="006F398C"/>
    <w:rsid w:val="006F5EA5"/>
    <w:rsid w:val="006F7A00"/>
    <w:rsid w:val="00704697"/>
    <w:rsid w:val="0070472D"/>
    <w:rsid w:val="00705CC7"/>
    <w:rsid w:val="00705D37"/>
    <w:rsid w:val="00706472"/>
    <w:rsid w:val="00707796"/>
    <w:rsid w:val="00710E03"/>
    <w:rsid w:val="00710E60"/>
    <w:rsid w:val="0071100C"/>
    <w:rsid w:val="00711207"/>
    <w:rsid w:val="00711D80"/>
    <w:rsid w:val="007122DB"/>
    <w:rsid w:val="007138BB"/>
    <w:rsid w:val="00715916"/>
    <w:rsid w:val="00716492"/>
    <w:rsid w:val="00717FF6"/>
    <w:rsid w:val="007239DD"/>
    <w:rsid w:val="00723A66"/>
    <w:rsid w:val="00723CEF"/>
    <w:rsid w:val="007240AE"/>
    <w:rsid w:val="00726D36"/>
    <w:rsid w:val="007313B3"/>
    <w:rsid w:val="0073382D"/>
    <w:rsid w:val="00733DA4"/>
    <w:rsid w:val="00735AE2"/>
    <w:rsid w:val="00735F00"/>
    <w:rsid w:val="00737767"/>
    <w:rsid w:val="00737EF9"/>
    <w:rsid w:val="007414D0"/>
    <w:rsid w:val="00742852"/>
    <w:rsid w:val="00742AC8"/>
    <w:rsid w:val="00744450"/>
    <w:rsid w:val="00745DE6"/>
    <w:rsid w:val="00751A43"/>
    <w:rsid w:val="00755E82"/>
    <w:rsid w:val="007606E3"/>
    <w:rsid w:val="00760EFC"/>
    <w:rsid w:val="00761ED1"/>
    <w:rsid w:val="0076416F"/>
    <w:rsid w:val="0076478F"/>
    <w:rsid w:val="007666F1"/>
    <w:rsid w:val="00766EA8"/>
    <w:rsid w:val="00767E9C"/>
    <w:rsid w:val="00771567"/>
    <w:rsid w:val="00771643"/>
    <w:rsid w:val="007725B6"/>
    <w:rsid w:val="007766CE"/>
    <w:rsid w:val="0078084F"/>
    <w:rsid w:val="007812E8"/>
    <w:rsid w:val="007821D3"/>
    <w:rsid w:val="00784110"/>
    <w:rsid w:val="007845F3"/>
    <w:rsid w:val="00785C31"/>
    <w:rsid w:val="00786676"/>
    <w:rsid w:val="007879A9"/>
    <w:rsid w:val="007906CB"/>
    <w:rsid w:val="00795D82"/>
    <w:rsid w:val="0079696D"/>
    <w:rsid w:val="00796A2C"/>
    <w:rsid w:val="007A009C"/>
    <w:rsid w:val="007A08C3"/>
    <w:rsid w:val="007A0C0E"/>
    <w:rsid w:val="007A59FA"/>
    <w:rsid w:val="007B18ED"/>
    <w:rsid w:val="007B4452"/>
    <w:rsid w:val="007B4FA1"/>
    <w:rsid w:val="007B6593"/>
    <w:rsid w:val="007C06B4"/>
    <w:rsid w:val="007C15B2"/>
    <w:rsid w:val="007C1AC6"/>
    <w:rsid w:val="007C255C"/>
    <w:rsid w:val="007C5DD0"/>
    <w:rsid w:val="007C7ACE"/>
    <w:rsid w:val="007D0010"/>
    <w:rsid w:val="007D10EC"/>
    <w:rsid w:val="007D11EF"/>
    <w:rsid w:val="007D3848"/>
    <w:rsid w:val="007D39E2"/>
    <w:rsid w:val="007D55F4"/>
    <w:rsid w:val="007D644E"/>
    <w:rsid w:val="007D6EB7"/>
    <w:rsid w:val="007E04F8"/>
    <w:rsid w:val="007E0FB1"/>
    <w:rsid w:val="007E7C81"/>
    <w:rsid w:val="007E7E51"/>
    <w:rsid w:val="007F0494"/>
    <w:rsid w:val="007F3830"/>
    <w:rsid w:val="007F6C0C"/>
    <w:rsid w:val="007F7456"/>
    <w:rsid w:val="007F7875"/>
    <w:rsid w:val="007F7FBF"/>
    <w:rsid w:val="0080106C"/>
    <w:rsid w:val="0080252F"/>
    <w:rsid w:val="00802AE7"/>
    <w:rsid w:val="008030B7"/>
    <w:rsid w:val="00807504"/>
    <w:rsid w:val="00810173"/>
    <w:rsid w:val="00810A2F"/>
    <w:rsid w:val="00810AAF"/>
    <w:rsid w:val="008113D3"/>
    <w:rsid w:val="008118F6"/>
    <w:rsid w:val="00811AB4"/>
    <w:rsid w:val="00812C3A"/>
    <w:rsid w:val="0081308A"/>
    <w:rsid w:val="0081472F"/>
    <w:rsid w:val="008164C6"/>
    <w:rsid w:val="0081754A"/>
    <w:rsid w:val="0081783E"/>
    <w:rsid w:val="00817A60"/>
    <w:rsid w:val="00820736"/>
    <w:rsid w:val="00820BB3"/>
    <w:rsid w:val="008213F5"/>
    <w:rsid w:val="0082220B"/>
    <w:rsid w:val="0082411B"/>
    <w:rsid w:val="00824386"/>
    <w:rsid w:val="00825D9F"/>
    <w:rsid w:val="008263B5"/>
    <w:rsid w:val="0082781D"/>
    <w:rsid w:val="0083204B"/>
    <w:rsid w:val="0083326E"/>
    <w:rsid w:val="008341DC"/>
    <w:rsid w:val="008344ED"/>
    <w:rsid w:val="00835A37"/>
    <w:rsid w:val="00837D1E"/>
    <w:rsid w:val="00837D73"/>
    <w:rsid w:val="00842C7F"/>
    <w:rsid w:val="0084583F"/>
    <w:rsid w:val="00845F41"/>
    <w:rsid w:val="0084675D"/>
    <w:rsid w:val="00846951"/>
    <w:rsid w:val="00847F41"/>
    <w:rsid w:val="00847FB7"/>
    <w:rsid w:val="0085184E"/>
    <w:rsid w:val="008558D0"/>
    <w:rsid w:val="00856359"/>
    <w:rsid w:val="008627D2"/>
    <w:rsid w:val="008669EB"/>
    <w:rsid w:val="00872CF0"/>
    <w:rsid w:val="00874510"/>
    <w:rsid w:val="0087638E"/>
    <w:rsid w:val="008775E5"/>
    <w:rsid w:val="008776C9"/>
    <w:rsid w:val="00877AE3"/>
    <w:rsid w:val="00881995"/>
    <w:rsid w:val="00882002"/>
    <w:rsid w:val="00882A68"/>
    <w:rsid w:val="00883452"/>
    <w:rsid w:val="008837D1"/>
    <w:rsid w:val="0088405F"/>
    <w:rsid w:val="008853DA"/>
    <w:rsid w:val="0088710E"/>
    <w:rsid w:val="00887922"/>
    <w:rsid w:val="008939C8"/>
    <w:rsid w:val="00893DB8"/>
    <w:rsid w:val="00893F6A"/>
    <w:rsid w:val="008A0DD6"/>
    <w:rsid w:val="008A0E52"/>
    <w:rsid w:val="008A6B3B"/>
    <w:rsid w:val="008B25CA"/>
    <w:rsid w:val="008B2ADA"/>
    <w:rsid w:val="008B3042"/>
    <w:rsid w:val="008B46B0"/>
    <w:rsid w:val="008B62A3"/>
    <w:rsid w:val="008B6C8A"/>
    <w:rsid w:val="008C0276"/>
    <w:rsid w:val="008C0901"/>
    <w:rsid w:val="008C4F34"/>
    <w:rsid w:val="008D1C1C"/>
    <w:rsid w:val="008D238A"/>
    <w:rsid w:val="008D3E91"/>
    <w:rsid w:val="008D400E"/>
    <w:rsid w:val="008D4937"/>
    <w:rsid w:val="008D57C3"/>
    <w:rsid w:val="008E49D1"/>
    <w:rsid w:val="008E51F6"/>
    <w:rsid w:val="008E710C"/>
    <w:rsid w:val="008E7986"/>
    <w:rsid w:val="008E79CE"/>
    <w:rsid w:val="008F4DC1"/>
    <w:rsid w:val="008F5225"/>
    <w:rsid w:val="00900C61"/>
    <w:rsid w:val="00900CAA"/>
    <w:rsid w:val="0090158C"/>
    <w:rsid w:val="00901598"/>
    <w:rsid w:val="00903057"/>
    <w:rsid w:val="00903DBE"/>
    <w:rsid w:val="009044E2"/>
    <w:rsid w:val="00904B62"/>
    <w:rsid w:val="009116FA"/>
    <w:rsid w:val="00912DB7"/>
    <w:rsid w:val="00913C37"/>
    <w:rsid w:val="00915BD2"/>
    <w:rsid w:val="0091780C"/>
    <w:rsid w:val="00920BBB"/>
    <w:rsid w:val="00920EDD"/>
    <w:rsid w:val="009211F1"/>
    <w:rsid w:val="0092271D"/>
    <w:rsid w:val="00922A08"/>
    <w:rsid w:val="0092350D"/>
    <w:rsid w:val="00925714"/>
    <w:rsid w:val="009268E5"/>
    <w:rsid w:val="00926E75"/>
    <w:rsid w:val="00927D27"/>
    <w:rsid w:val="00930CF1"/>
    <w:rsid w:val="00930D96"/>
    <w:rsid w:val="0093231B"/>
    <w:rsid w:val="00933FE2"/>
    <w:rsid w:val="00934063"/>
    <w:rsid w:val="00934819"/>
    <w:rsid w:val="00936366"/>
    <w:rsid w:val="009373A3"/>
    <w:rsid w:val="00937D7E"/>
    <w:rsid w:val="009401A5"/>
    <w:rsid w:val="0094148C"/>
    <w:rsid w:val="009421A5"/>
    <w:rsid w:val="009435D8"/>
    <w:rsid w:val="0094421A"/>
    <w:rsid w:val="009442FE"/>
    <w:rsid w:val="009449F1"/>
    <w:rsid w:val="009451B0"/>
    <w:rsid w:val="0094642A"/>
    <w:rsid w:val="009500E7"/>
    <w:rsid w:val="00950B10"/>
    <w:rsid w:val="009532F6"/>
    <w:rsid w:val="00953D3E"/>
    <w:rsid w:val="00954AC8"/>
    <w:rsid w:val="00954AE5"/>
    <w:rsid w:val="0095535D"/>
    <w:rsid w:val="00955421"/>
    <w:rsid w:val="00956A91"/>
    <w:rsid w:val="00960E43"/>
    <w:rsid w:val="00960F72"/>
    <w:rsid w:val="009612D9"/>
    <w:rsid w:val="009613D2"/>
    <w:rsid w:val="00962386"/>
    <w:rsid w:val="00963283"/>
    <w:rsid w:val="00966C51"/>
    <w:rsid w:val="00967BB9"/>
    <w:rsid w:val="00967D44"/>
    <w:rsid w:val="00970374"/>
    <w:rsid w:val="00972DD1"/>
    <w:rsid w:val="0097420F"/>
    <w:rsid w:val="0097628B"/>
    <w:rsid w:val="009806FC"/>
    <w:rsid w:val="00980DBE"/>
    <w:rsid w:val="00980E1E"/>
    <w:rsid w:val="0098380C"/>
    <w:rsid w:val="00985263"/>
    <w:rsid w:val="00986024"/>
    <w:rsid w:val="00986D17"/>
    <w:rsid w:val="00987490"/>
    <w:rsid w:val="00990413"/>
    <w:rsid w:val="00991053"/>
    <w:rsid w:val="00992158"/>
    <w:rsid w:val="00992D19"/>
    <w:rsid w:val="00993723"/>
    <w:rsid w:val="00994882"/>
    <w:rsid w:val="009A034F"/>
    <w:rsid w:val="009A3455"/>
    <w:rsid w:val="009A47CE"/>
    <w:rsid w:val="009A4C07"/>
    <w:rsid w:val="009A76CF"/>
    <w:rsid w:val="009B2161"/>
    <w:rsid w:val="009B22C5"/>
    <w:rsid w:val="009B3138"/>
    <w:rsid w:val="009B435B"/>
    <w:rsid w:val="009B5F05"/>
    <w:rsid w:val="009B7D3E"/>
    <w:rsid w:val="009C1F78"/>
    <w:rsid w:val="009C28D6"/>
    <w:rsid w:val="009C2B44"/>
    <w:rsid w:val="009C4762"/>
    <w:rsid w:val="009C5B73"/>
    <w:rsid w:val="009D1188"/>
    <w:rsid w:val="009D1271"/>
    <w:rsid w:val="009D2268"/>
    <w:rsid w:val="009D2AB8"/>
    <w:rsid w:val="009D362A"/>
    <w:rsid w:val="009D3E48"/>
    <w:rsid w:val="009D68E5"/>
    <w:rsid w:val="009D6F41"/>
    <w:rsid w:val="009E0D8C"/>
    <w:rsid w:val="009E1CA5"/>
    <w:rsid w:val="009E1FAE"/>
    <w:rsid w:val="009E3659"/>
    <w:rsid w:val="009E4A51"/>
    <w:rsid w:val="009F1334"/>
    <w:rsid w:val="009F6064"/>
    <w:rsid w:val="009F619C"/>
    <w:rsid w:val="009F6E8C"/>
    <w:rsid w:val="00A001D6"/>
    <w:rsid w:val="00A00F08"/>
    <w:rsid w:val="00A039D5"/>
    <w:rsid w:val="00A039E7"/>
    <w:rsid w:val="00A03AD1"/>
    <w:rsid w:val="00A06B15"/>
    <w:rsid w:val="00A10ECE"/>
    <w:rsid w:val="00A1238B"/>
    <w:rsid w:val="00A12CEF"/>
    <w:rsid w:val="00A13003"/>
    <w:rsid w:val="00A14162"/>
    <w:rsid w:val="00A1644F"/>
    <w:rsid w:val="00A174A8"/>
    <w:rsid w:val="00A20F53"/>
    <w:rsid w:val="00A21583"/>
    <w:rsid w:val="00A21FE4"/>
    <w:rsid w:val="00A3014E"/>
    <w:rsid w:val="00A321AA"/>
    <w:rsid w:val="00A3238E"/>
    <w:rsid w:val="00A33A7C"/>
    <w:rsid w:val="00A34639"/>
    <w:rsid w:val="00A35B2D"/>
    <w:rsid w:val="00A4016E"/>
    <w:rsid w:val="00A4582F"/>
    <w:rsid w:val="00A45D6B"/>
    <w:rsid w:val="00A47517"/>
    <w:rsid w:val="00A51528"/>
    <w:rsid w:val="00A527F8"/>
    <w:rsid w:val="00A54899"/>
    <w:rsid w:val="00A570E8"/>
    <w:rsid w:val="00A5770E"/>
    <w:rsid w:val="00A60DFF"/>
    <w:rsid w:val="00A612A5"/>
    <w:rsid w:val="00A64325"/>
    <w:rsid w:val="00A6671F"/>
    <w:rsid w:val="00A6684E"/>
    <w:rsid w:val="00A715B7"/>
    <w:rsid w:val="00A735C4"/>
    <w:rsid w:val="00A738E2"/>
    <w:rsid w:val="00A7632C"/>
    <w:rsid w:val="00A77E6D"/>
    <w:rsid w:val="00A806A6"/>
    <w:rsid w:val="00A835A5"/>
    <w:rsid w:val="00A84B14"/>
    <w:rsid w:val="00A860BD"/>
    <w:rsid w:val="00A861CD"/>
    <w:rsid w:val="00A87F23"/>
    <w:rsid w:val="00A949A0"/>
    <w:rsid w:val="00A95FFC"/>
    <w:rsid w:val="00A969DE"/>
    <w:rsid w:val="00AA13D5"/>
    <w:rsid w:val="00AA2BD5"/>
    <w:rsid w:val="00AA5404"/>
    <w:rsid w:val="00AA5919"/>
    <w:rsid w:val="00AA6C73"/>
    <w:rsid w:val="00AA7228"/>
    <w:rsid w:val="00AB026A"/>
    <w:rsid w:val="00AB20BB"/>
    <w:rsid w:val="00AB320A"/>
    <w:rsid w:val="00AB498F"/>
    <w:rsid w:val="00AB5AD7"/>
    <w:rsid w:val="00AB5ADE"/>
    <w:rsid w:val="00AB627E"/>
    <w:rsid w:val="00AB698E"/>
    <w:rsid w:val="00AC076A"/>
    <w:rsid w:val="00AC31D3"/>
    <w:rsid w:val="00AC3A5F"/>
    <w:rsid w:val="00AC716F"/>
    <w:rsid w:val="00AD3B61"/>
    <w:rsid w:val="00AD5129"/>
    <w:rsid w:val="00AD65B6"/>
    <w:rsid w:val="00AD6BD1"/>
    <w:rsid w:val="00AD7954"/>
    <w:rsid w:val="00AE0C70"/>
    <w:rsid w:val="00AE193E"/>
    <w:rsid w:val="00AE2FB2"/>
    <w:rsid w:val="00AE620F"/>
    <w:rsid w:val="00AE664E"/>
    <w:rsid w:val="00AE6830"/>
    <w:rsid w:val="00AF0A8E"/>
    <w:rsid w:val="00AF22DC"/>
    <w:rsid w:val="00AF2933"/>
    <w:rsid w:val="00AF2934"/>
    <w:rsid w:val="00AF44F8"/>
    <w:rsid w:val="00AF4878"/>
    <w:rsid w:val="00AF4C98"/>
    <w:rsid w:val="00AF4CA6"/>
    <w:rsid w:val="00AF5013"/>
    <w:rsid w:val="00AF5163"/>
    <w:rsid w:val="00AF56E3"/>
    <w:rsid w:val="00AF59B6"/>
    <w:rsid w:val="00AF5C38"/>
    <w:rsid w:val="00AF6952"/>
    <w:rsid w:val="00B0012E"/>
    <w:rsid w:val="00B0169B"/>
    <w:rsid w:val="00B018F3"/>
    <w:rsid w:val="00B026D9"/>
    <w:rsid w:val="00B02885"/>
    <w:rsid w:val="00B02AA8"/>
    <w:rsid w:val="00B02E79"/>
    <w:rsid w:val="00B031B2"/>
    <w:rsid w:val="00B0523A"/>
    <w:rsid w:val="00B056A1"/>
    <w:rsid w:val="00B12512"/>
    <w:rsid w:val="00B15CDC"/>
    <w:rsid w:val="00B16B07"/>
    <w:rsid w:val="00B174D2"/>
    <w:rsid w:val="00B17AA0"/>
    <w:rsid w:val="00B22392"/>
    <w:rsid w:val="00B2347F"/>
    <w:rsid w:val="00B24DC4"/>
    <w:rsid w:val="00B26B19"/>
    <w:rsid w:val="00B26F2D"/>
    <w:rsid w:val="00B27EA8"/>
    <w:rsid w:val="00B30EC0"/>
    <w:rsid w:val="00B31900"/>
    <w:rsid w:val="00B32373"/>
    <w:rsid w:val="00B331B1"/>
    <w:rsid w:val="00B36505"/>
    <w:rsid w:val="00B36B4B"/>
    <w:rsid w:val="00B36BA9"/>
    <w:rsid w:val="00B405E6"/>
    <w:rsid w:val="00B41AE2"/>
    <w:rsid w:val="00B43165"/>
    <w:rsid w:val="00B441BD"/>
    <w:rsid w:val="00B4646A"/>
    <w:rsid w:val="00B46A6A"/>
    <w:rsid w:val="00B511A1"/>
    <w:rsid w:val="00B51221"/>
    <w:rsid w:val="00B51655"/>
    <w:rsid w:val="00B51A8D"/>
    <w:rsid w:val="00B5235D"/>
    <w:rsid w:val="00B529FC"/>
    <w:rsid w:val="00B53C23"/>
    <w:rsid w:val="00B60458"/>
    <w:rsid w:val="00B6167F"/>
    <w:rsid w:val="00B61B57"/>
    <w:rsid w:val="00B63D11"/>
    <w:rsid w:val="00B653F1"/>
    <w:rsid w:val="00B66B7A"/>
    <w:rsid w:val="00B703D9"/>
    <w:rsid w:val="00B707D1"/>
    <w:rsid w:val="00B71C89"/>
    <w:rsid w:val="00B7266C"/>
    <w:rsid w:val="00B7308A"/>
    <w:rsid w:val="00B753EF"/>
    <w:rsid w:val="00B76512"/>
    <w:rsid w:val="00B768DD"/>
    <w:rsid w:val="00B77022"/>
    <w:rsid w:val="00B778A7"/>
    <w:rsid w:val="00B77A28"/>
    <w:rsid w:val="00B81B06"/>
    <w:rsid w:val="00B834D3"/>
    <w:rsid w:val="00B84E0D"/>
    <w:rsid w:val="00B85AC5"/>
    <w:rsid w:val="00B86A7A"/>
    <w:rsid w:val="00B910A4"/>
    <w:rsid w:val="00B94B47"/>
    <w:rsid w:val="00B94E78"/>
    <w:rsid w:val="00BA0C68"/>
    <w:rsid w:val="00BA2014"/>
    <w:rsid w:val="00BA3D80"/>
    <w:rsid w:val="00BA640C"/>
    <w:rsid w:val="00BA7A64"/>
    <w:rsid w:val="00BB0FE1"/>
    <w:rsid w:val="00BB23E9"/>
    <w:rsid w:val="00BB3267"/>
    <w:rsid w:val="00BB48D6"/>
    <w:rsid w:val="00BB7520"/>
    <w:rsid w:val="00BB7B7C"/>
    <w:rsid w:val="00BC027E"/>
    <w:rsid w:val="00BC112D"/>
    <w:rsid w:val="00BC2438"/>
    <w:rsid w:val="00BC5966"/>
    <w:rsid w:val="00BC7EFE"/>
    <w:rsid w:val="00BD0727"/>
    <w:rsid w:val="00BD24E0"/>
    <w:rsid w:val="00BD2B2F"/>
    <w:rsid w:val="00BD3773"/>
    <w:rsid w:val="00BD4383"/>
    <w:rsid w:val="00BD65D9"/>
    <w:rsid w:val="00BE0309"/>
    <w:rsid w:val="00BE1F55"/>
    <w:rsid w:val="00BE28EE"/>
    <w:rsid w:val="00BE41E8"/>
    <w:rsid w:val="00BE5512"/>
    <w:rsid w:val="00BE5FF0"/>
    <w:rsid w:val="00BF3FE3"/>
    <w:rsid w:val="00BF4B8C"/>
    <w:rsid w:val="00BF58FA"/>
    <w:rsid w:val="00C00E90"/>
    <w:rsid w:val="00C01594"/>
    <w:rsid w:val="00C01864"/>
    <w:rsid w:val="00C01BCB"/>
    <w:rsid w:val="00C025AA"/>
    <w:rsid w:val="00C0424B"/>
    <w:rsid w:val="00C058B1"/>
    <w:rsid w:val="00C068B8"/>
    <w:rsid w:val="00C10D33"/>
    <w:rsid w:val="00C110EC"/>
    <w:rsid w:val="00C12891"/>
    <w:rsid w:val="00C149D2"/>
    <w:rsid w:val="00C149E0"/>
    <w:rsid w:val="00C15B54"/>
    <w:rsid w:val="00C17FAD"/>
    <w:rsid w:val="00C203AC"/>
    <w:rsid w:val="00C20C10"/>
    <w:rsid w:val="00C20E0C"/>
    <w:rsid w:val="00C21979"/>
    <w:rsid w:val="00C21A24"/>
    <w:rsid w:val="00C220BC"/>
    <w:rsid w:val="00C22C78"/>
    <w:rsid w:val="00C263BB"/>
    <w:rsid w:val="00C2768A"/>
    <w:rsid w:val="00C30E54"/>
    <w:rsid w:val="00C3435B"/>
    <w:rsid w:val="00C40EFD"/>
    <w:rsid w:val="00C42FEA"/>
    <w:rsid w:val="00C4451A"/>
    <w:rsid w:val="00C450CF"/>
    <w:rsid w:val="00C45C21"/>
    <w:rsid w:val="00C511AA"/>
    <w:rsid w:val="00C541A7"/>
    <w:rsid w:val="00C54CB6"/>
    <w:rsid w:val="00C55101"/>
    <w:rsid w:val="00C55C80"/>
    <w:rsid w:val="00C56D4A"/>
    <w:rsid w:val="00C56EC4"/>
    <w:rsid w:val="00C570D9"/>
    <w:rsid w:val="00C57EDC"/>
    <w:rsid w:val="00C61C69"/>
    <w:rsid w:val="00C6471D"/>
    <w:rsid w:val="00C64B58"/>
    <w:rsid w:val="00C653CF"/>
    <w:rsid w:val="00C654F7"/>
    <w:rsid w:val="00C661ED"/>
    <w:rsid w:val="00C677AE"/>
    <w:rsid w:val="00C67B81"/>
    <w:rsid w:val="00C67CDE"/>
    <w:rsid w:val="00C704E5"/>
    <w:rsid w:val="00C746F0"/>
    <w:rsid w:val="00C74AE9"/>
    <w:rsid w:val="00C74D24"/>
    <w:rsid w:val="00C773CD"/>
    <w:rsid w:val="00C80E52"/>
    <w:rsid w:val="00C82570"/>
    <w:rsid w:val="00C84203"/>
    <w:rsid w:val="00C869C9"/>
    <w:rsid w:val="00C87EF0"/>
    <w:rsid w:val="00C91D52"/>
    <w:rsid w:val="00C9214F"/>
    <w:rsid w:val="00C924DD"/>
    <w:rsid w:val="00C94E52"/>
    <w:rsid w:val="00C956B4"/>
    <w:rsid w:val="00C95E27"/>
    <w:rsid w:val="00C978CF"/>
    <w:rsid w:val="00CA1037"/>
    <w:rsid w:val="00CA22FA"/>
    <w:rsid w:val="00CA2B56"/>
    <w:rsid w:val="00CA503B"/>
    <w:rsid w:val="00CA5369"/>
    <w:rsid w:val="00CA5913"/>
    <w:rsid w:val="00CB3A27"/>
    <w:rsid w:val="00CB43CB"/>
    <w:rsid w:val="00CB47E0"/>
    <w:rsid w:val="00CB4E99"/>
    <w:rsid w:val="00CB6B03"/>
    <w:rsid w:val="00CB73AE"/>
    <w:rsid w:val="00CC0F86"/>
    <w:rsid w:val="00CC233B"/>
    <w:rsid w:val="00CC3419"/>
    <w:rsid w:val="00CC6B43"/>
    <w:rsid w:val="00CD1416"/>
    <w:rsid w:val="00CD1D1B"/>
    <w:rsid w:val="00CD2E50"/>
    <w:rsid w:val="00CD6ABA"/>
    <w:rsid w:val="00CE0744"/>
    <w:rsid w:val="00CE1A53"/>
    <w:rsid w:val="00CE2210"/>
    <w:rsid w:val="00CE3EEE"/>
    <w:rsid w:val="00CE4836"/>
    <w:rsid w:val="00CF138D"/>
    <w:rsid w:val="00CF1617"/>
    <w:rsid w:val="00CF3BB5"/>
    <w:rsid w:val="00CF7CD3"/>
    <w:rsid w:val="00D00332"/>
    <w:rsid w:val="00D0113A"/>
    <w:rsid w:val="00D0237A"/>
    <w:rsid w:val="00D02B16"/>
    <w:rsid w:val="00D0563C"/>
    <w:rsid w:val="00D1097D"/>
    <w:rsid w:val="00D13329"/>
    <w:rsid w:val="00D14171"/>
    <w:rsid w:val="00D143AD"/>
    <w:rsid w:val="00D16736"/>
    <w:rsid w:val="00D2081D"/>
    <w:rsid w:val="00D21229"/>
    <w:rsid w:val="00D22898"/>
    <w:rsid w:val="00D229B3"/>
    <w:rsid w:val="00D22A9B"/>
    <w:rsid w:val="00D2407B"/>
    <w:rsid w:val="00D26B3D"/>
    <w:rsid w:val="00D300D0"/>
    <w:rsid w:val="00D3075B"/>
    <w:rsid w:val="00D31F06"/>
    <w:rsid w:val="00D33172"/>
    <w:rsid w:val="00D34091"/>
    <w:rsid w:val="00D415E2"/>
    <w:rsid w:val="00D425BD"/>
    <w:rsid w:val="00D44414"/>
    <w:rsid w:val="00D45105"/>
    <w:rsid w:val="00D45245"/>
    <w:rsid w:val="00D45E52"/>
    <w:rsid w:val="00D46319"/>
    <w:rsid w:val="00D468A2"/>
    <w:rsid w:val="00D50876"/>
    <w:rsid w:val="00D52837"/>
    <w:rsid w:val="00D53539"/>
    <w:rsid w:val="00D546B8"/>
    <w:rsid w:val="00D54E4C"/>
    <w:rsid w:val="00D560F5"/>
    <w:rsid w:val="00D56435"/>
    <w:rsid w:val="00D60E76"/>
    <w:rsid w:val="00D61CDF"/>
    <w:rsid w:val="00D636F5"/>
    <w:rsid w:val="00D638D8"/>
    <w:rsid w:val="00D71875"/>
    <w:rsid w:val="00D71951"/>
    <w:rsid w:val="00D72356"/>
    <w:rsid w:val="00D72540"/>
    <w:rsid w:val="00D72BEF"/>
    <w:rsid w:val="00D72FCD"/>
    <w:rsid w:val="00D756F9"/>
    <w:rsid w:val="00D75AFB"/>
    <w:rsid w:val="00D76A46"/>
    <w:rsid w:val="00D76E9C"/>
    <w:rsid w:val="00D77C21"/>
    <w:rsid w:val="00D86340"/>
    <w:rsid w:val="00D87749"/>
    <w:rsid w:val="00D90006"/>
    <w:rsid w:val="00D90AB2"/>
    <w:rsid w:val="00D914BA"/>
    <w:rsid w:val="00D91B3E"/>
    <w:rsid w:val="00D92573"/>
    <w:rsid w:val="00D953FF"/>
    <w:rsid w:val="00D97F1B"/>
    <w:rsid w:val="00DA246F"/>
    <w:rsid w:val="00DA36DF"/>
    <w:rsid w:val="00DA37B8"/>
    <w:rsid w:val="00DA4374"/>
    <w:rsid w:val="00DA61A4"/>
    <w:rsid w:val="00DB074D"/>
    <w:rsid w:val="00DB4DD1"/>
    <w:rsid w:val="00DB562C"/>
    <w:rsid w:val="00DB69FD"/>
    <w:rsid w:val="00DB7290"/>
    <w:rsid w:val="00DB7BC3"/>
    <w:rsid w:val="00DC18B8"/>
    <w:rsid w:val="00DC2B0F"/>
    <w:rsid w:val="00DC3255"/>
    <w:rsid w:val="00DD0EEA"/>
    <w:rsid w:val="00DD1B28"/>
    <w:rsid w:val="00DD1F44"/>
    <w:rsid w:val="00DD25B2"/>
    <w:rsid w:val="00DD4A23"/>
    <w:rsid w:val="00DD4B4F"/>
    <w:rsid w:val="00DD5450"/>
    <w:rsid w:val="00DD6345"/>
    <w:rsid w:val="00DD7D89"/>
    <w:rsid w:val="00DE2C3C"/>
    <w:rsid w:val="00DE5E35"/>
    <w:rsid w:val="00DE6300"/>
    <w:rsid w:val="00DE6BAB"/>
    <w:rsid w:val="00DF21A4"/>
    <w:rsid w:val="00DF2373"/>
    <w:rsid w:val="00DF3DE6"/>
    <w:rsid w:val="00DF4BB9"/>
    <w:rsid w:val="00DF58FD"/>
    <w:rsid w:val="00DF59D4"/>
    <w:rsid w:val="00DF6C84"/>
    <w:rsid w:val="00DF6F63"/>
    <w:rsid w:val="00E00CD5"/>
    <w:rsid w:val="00E019EA"/>
    <w:rsid w:val="00E02840"/>
    <w:rsid w:val="00E036DA"/>
    <w:rsid w:val="00E03768"/>
    <w:rsid w:val="00E05218"/>
    <w:rsid w:val="00E109D1"/>
    <w:rsid w:val="00E1218A"/>
    <w:rsid w:val="00E12C3B"/>
    <w:rsid w:val="00E12EE9"/>
    <w:rsid w:val="00E14B9D"/>
    <w:rsid w:val="00E1721F"/>
    <w:rsid w:val="00E172FA"/>
    <w:rsid w:val="00E17E88"/>
    <w:rsid w:val="00E205F6"/>
    <w:rsid w:val="00E20F25"/>
    <w:rsid w:val="00E213EC"/>
    <w:rsid w:val="00E228B2"/>
    <w:rsid w:val="00E23B1D"/>
    <w:rsid w:val="00E24EE6"/>
    <w:rsid w:val="00E26049"/>
    <w:rsid w:val="00E260FE"/>
    <w:rsid w:val="00E3018D"/>
    <w:rsid w:val="00E30ADC"/>
    <w:rsid w:val="00E34D6D"/>
    <w:rsid w:val="00E3506F"/>
    <w:rsid w:val="00E36E6F"/>
    <w:rsid w:val="00E4327B"/>
    <w:rsid w:val="00E50677"/>
    <w:rsid w:val="00E50FAC"/>
    <w:rsid w:val="00E51120"/>
    <w:rsid w:val="00E5162C"/>
    <w:rsid w:val="00E54626"/>
    <w:rsid w:val="00E54641"/>
    <w:rsid w:val="00E57A7E"/>
    <w:rsid w:val="00E61966"/>
    <w:rsid w:val="00E62A9C"/>
    <w:rsid w:val="00E6433F"/>
    <w:rsid w:val="00E647F2"/>
    <w:rsid w:val="00E66892"/>
    <w:rsid w:val="00E66EFD"/>
    <w:rsid w:val="00E67AFA"/>
    <w:rsid w:val="00E7091D"/>
    <w:rsid w:val="00E71229"/>
    <w:rsid w:val="00E74753"/>
    <w:rsid w:val="00E76080"/>
    <w:rsid w:val="00E76C00"/>
    <w:rsid w:val="00E770E8"/>
    <w:rsid w:val="00E80E1D"/>
    <w:rsid w:val="00E81F7F"/>
    <w:rsid w:val="00E82F40"/>
    <w:rsid w:val="00E843E2"/>
    <w:rsid w:val="00E848AB"/>
    <w:rsid w:val="00E84D28"/>
    <w:rsid w:val="00E905CD"/>
    <w:rsid w:val="00E9139D"/>
    <w:rsid w:val="00E91DE0"/>
    <w:rsid w:val="00E927B5"/>
    <w:rsid w:val="00E93467"/>
    <w:rsid w:val="00E93E32"/>
    <w:rsid w:val="00E95109"/>
    <w:rsid w:val="00E957D4"/>
    <w:rsid w:val="00E95E6E"/>
    <w:rsid w:val="00E96C8D"/>
    <w:rsid w:val="00EA09CB"/>
    <w:rsid w:val="00EA2574"/>
    <w:rsid w:val="00EA279C"/>
    <w:rsid w:val="00EA3366"/>
    <w:rsid w:val="00EA3ACB"/>
    <w:rsid w:val="00EA3BE0"/>
    <w:rsid w:val="00EA65A1"/>
    <w:rsid w:val="00EA717A"/>
    <w:rsid w:val="00EB0B99"/>
    <w:rsid w:val="00EB16FE"/>
    <w:rsid w:val="00EB3979"/>
    <w:rsid w:val="00EB7720"/>
    <w:rsid w:val="00EB7B94"/>
    <w:rsid w:val="00EC1A52"/>
    <w:rsid w:val="00EC71DF"/>
    <w:rsid w:val="00ED06E1"/>
    <w:rsid w:val="00ED0ABF"/>
    <w:rsid w:val="00ED1F2E"/>
    <w:rsid w:val="00ED28C2"/>
    <w:rsid w:val="00ED2E89"/>
    <w:rsid w:val="00ED352F"/>
    <w:rsid w:val="00ED48AD"/>
    <w:rsid w:val="00ED4E3B"/>
    <w:rsid w:val="00ED5437"/>
    <w:rsid w:val="00ED7BAC"/>
    <w:rsid w:val="00EE54FC"/>
    <w:rsid w:val="00EF0C2B"/>
    <w:rsid w:val="00EF1073"/>
    <w:rsid w:val="00EF1A4B"/>
    <w:rsid w:val="00EF5D82"/>
    <w:rsid w:val="00EF65D4"/>
    <w:rsid w:val="00F014CF"/>
    <w:rsid w:val="00F01CAD"/>
    <w:rsid w:val="00F03CC9"/>
    <w:rsid w:val="00F04123"/>
    <w:rsid w:val="00F0476D"/>
    <w:rsid w:val="00F06D79"/>
    <w:rsid w:val="00F10449"/>
    <w:rsid w:val="00F12D49"/>
    <w:rsid w:val="00F12D57"/>
    <w:rsid w:val="00F14626"/>
    <w:rsid w:val="00F16445"/>
    <w:rsid w:val="00F165FA"/>
    <w:rsid w:val="00F174A1"/>
    <w:rsid w:val="00F2129E"/>
    <w:rsid w:val="00F225D1"/>
    <w:rsid w:val="00F22CA6"/>
    <w:rsid w:val="00F23426"/>
    <w:rsid w:val="00F23CAF"/>
    <w:rsid w:val="00F31A87"/>
    <w:rsid w:val="00F32424"/>
    <w:rsid w:val="00F3360B"/>
    <w:rsid w:val="00F3646B"/>
    <w:rsid w:val="00F364E9"/>
    <w:rsid w:val="00F40BA9"/>
    <w:rsid w:val="00F44910"/>
    <w:rsid w:val="00F5148B"/>
    <w:rsid w:val="00F54F3C"/>
    <w:rsid w:val="00F60DAB"/>
    <w:rsid w:val="00F6345B"/>
    <w:rsid w:val="00F73075"/>
    <w:rsid w:val="00F73718"/>
    <w:rsid w:val="00F7565C"/>
    <w:rsid w:val="00F774C3"/>
    <w:rsid w:val="00F776C0"/>
    <w:rsid w:val="00F7781E"/>
    <w:rsid w:val="00F81E29"/>
    <w:rsid w:val="00F86079"/>
    <w:rsid w:val="00F86A0C"/>
    <w:rsid w:val="00F90251"/>
    <w:rsid w:val="00F9061B"/>
    <w:rsid w:val="00F912D5"/>
    <w:rsid w:val="00F93043"/>
    <w:rsid w:val="00F9506B"/>
    <w:rsid w:val="00F95706"/>
    <w:rsid w:val="00F95872"/>
    <w:rsid w:val="00F95C1C"/>
    <w:rsid w:val="00F96F11"/>
    <w:rsid w:val="00FA3DFF"/>
    <w:rsid w:val="00FA4D66"/>
    <w:rsid w:val="00FA4E30"/>
    <w:rsid w:val="00FA55A9"/>
    <w:rsid w:val="00FA5703"/>
    <w:rsid w:val="00FA6C2B"/>
    <w:rsid w:val="00FA6C8D"/>
    <w:rsid w:val="00FB3C18"/>
    <w:rsid w:val="00FB3F1A"/>
    <w:rsid w:val="00FB46DC"/>
    <w:rsid w:val="00FB5358"/>
    <w:rsid w:val="00FB57AE"/>
    <w:rsid w:val="00FB6D3E"/>
    <w:rsid w:val="00FB7F36"/>
    <w:rsid w:val="00FC020E"/>
    <w:rsid w:val="00FC16DB"/>
    <w:rsid w:val="00FC19A0"/>
    <w:rsid w:val="00FC1D1A"/>
    <w:rsid w:val="00FC1ECF"/>
    <w:rsid w:val="00FC32ED"/>
    <w:rsid w:val="00FC42D8"/>
    <w:rsid w:val="00FC4CA7"/>
    <w:rsid w:val="00FC5C7C"/>
    <w:rsid w:val="00FC70D8"/>
    <w:rsid w:val="00FC77DD"/>
    <w:rsid w:val="00FC7CA9"/>
    <w:rsid w:val="00FD1199"/>
    <w:rsid w:val="00FD2D84"/>
    <w:rsid w:val="00FD35ED"/>
    <w:rsid w:val="00FD37C1"/>
    <w:rsid w:val="00FD3836"/>
    <w:rsid w:val="00FD4B30"/>
    <w:rsid w:val="00FD6998"/>
    <w:rsid w:val="00FD7415"/>
    <w:rsid w:val="00FD7642"/>
    <w:rsid w:val="00FD779A"/>
    <w:rsid w:val="00FE01E3"/>
    <w:rsid w:val="00FE1118"/>
    <w:rsid w:val="00FE178C"/>
    <w:rsid w:val="00FE267A"/>
    <w:rsid w:val="00FE3F0D"/>
    <w:rsid w:val="00FE54A2"/>
    <w:rsid w:val="00FE55B1"/>
    <w:rsid w:val="00FF1138"/>
    <w:rsid w:val="00FF26F9"/>
    <w:rsid w:val="00FF2771"/>
    <w:rsid w:val="00FF402F"/>
    <w:rsid w:val="00FF5C0C"/>
    <w:rsid w:val="00FF7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18EA6B-642A-4A0F-9088-577294C8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452"/>
    <w:pPr>
      <w:spacing w:after="0" w:line="360" w:lineRule="auto"/>
      <w:jc w:val="both"/>
    </w:pPr>
    <w:rPr>
      <w:rFonts w:ascii="Arial" w:eastAsia="Times New Roman" w:hAnsi="Arial" w:cs="Times New Roman"/>
      <w:sz w:val="21"/>
      <w:szCs w:val="24"/>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883452"/>
    <w:pPr>
      <w:spacing w:after="120" w:line="480" w:lineRule="auto"/>
      <w:jc w:val="left"/>
    </w:pPr>
    <w:rPr>
      <w:rFonts w:ascii="Times New Roman" w:hAnsi="Times New Roman"/>
      <w:sz w:val="24"/>
      <w:lang w:val="sl-SI"/>
    </w:rPr>
  </w:style>
  <w:style w:type="character" w:customStyle="1" w:styleId="BodyText2Char">
    <w:name w:val="Body Text 2 Char"/>
    <w:basedOn w:val="DefaultParagraphFont"/>
    <w:link w:val="BodyText2"/>
    <w:rsid w:val="00883452"/>
    <w:rPr>
      <w:rFonts w:ascii="Times New Roman" w:eastAsia="Times New Roman" w:hAnsi="Times New Roman" w:cs="Times New Roman"/>
      <w:sz w:val="24"/>
      <w:szCs w:val="24"/>
      <w:lang w:val="sl-SI"/>
    </w:rPr>
  </w:style>
  <w:style w:type="paragraph" w:customStyle="1" w:styleId="Default">
    <w:name w:val="Default"/>
    <w:rsid w:val="00883452"/>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847FB7"/>
    <w:pPr>
      <w:ind w:left="720"/>
      <w:contextualSpacing/>
    </w:pPr>
  </w:style>
  <w:style w:type="paragraph" w:styleId="Footer">
    <w:name w:val="footer"/>
    <w:basedOn w:val="Normal"/>
    <w:link w:val="FooterChar"/>
    <w:uiPriority w:val="99"/>
    <w:rsid w:val="006F02D3"/>
    <w:pPr>
      <w:tabs>
        <w:tab w:val="center" w:pos="4153"/>
        <w:tab w:val="right" w:pos="8306"/>
      </w:tabs>
    </w:pPr>
  </w:style>
  <w:style w:type="character" w:customStyle="1" w:styleId="FooterChar">
    <w:name w:val="Footer Char"/>
    <w:basedOn w:val="DefaultParagraphFont"/>
    <w:link w:val="Footer"/>
    <w:uiPriority w:val="99"/>
    <w:rsid w:val="006F02D3"/>
    <w:rPr>
      <w:rFonts w:ascii="Arial" w:eastAsia="Times New Roman" w:hAnsi="Arial" w:cs="Times New Roman"/>
      <w:sz w:val="21"/>
      <w:szCs w:val="24"/>
      <w:lang w:val="de-AT"/>
    </w:rPr>
  </w:style>
  <w:style w:type="character" w:styleId="PageNumber">
    <w:name w:val="page number"/>
    <w:basedOn w:val="DefaultParagraphFont"/>
    <w:rsid w:val="006F02D3"/>
  </w:style>
  <w:style w:type="paragraph" w:styleId="FootnoteText">
    <w:name w:val="footnote text"/>
    <w:basedOn w:val="Normal"/>
    <w:link w:val="FootnoteTextChar"/>
    <w:uiPriority w:val="99"/>
    <w:semiHidden/>
    <w:rsid w:val="006F02D3"/>
    <w:rPr>
      <w:sz w:val="20"/>
      <w:szCs w:val="20"/>
    </w:rPr>
  </w:style>
  <w:style w:type="character" w:customStyle="1" w:styleId="FootnoteTextChar">
    <w:name w:val="Footnote Text Char"/>
    <w:basedOn w:val="DefaultParagraphFont"/>
    <w:link w:val="FootnoteText"/>
    <w:uiPriority w:val="99"/>
    <w:semiHidden/>
    <w:rsid w:val="006F02D3"/>
    <w:rPr>
      <w:rFonts w:ascii="Arial" w:eastAsia="Times New Roman" w:hAnsi="Arial" w:cs="Times New Roman"/>
      <w:sz w:val="20"/>
      <w:szCs w:val="20"/>
      <w:lang w:val="de-AT"/>
    </w:rPr>
  </w:style>
  <w:style w:type="character" w:styleId="FootnoteReference">
    <w:name w:val="footnote reference"/>
    <w:uiPriority w:val="99"/>
    <w:semiHidden/>
    <w:rsid w:val="006F02D3"/>
    <w:rPr>
      <w:vertAlign w:val="superscript"/>
    </w:rPr>
  </w:style>
  <w:style w:type="paragraph" w:styleId="BodyText">
    <w:name w:val="Body Text"/>
    <w:basedOn w:val="Normal"/>
    <w:link w:val="BodyTextChar"/>
    <w:rsid w:val="00C45C21"/>
    <w:pPr>
      <w:spacing w:after="120" w:line="240" w:lineRule="auto"/>
      <w:jc w:val="left"/>
    </w:pPr>
    <w:rPr>
      <w:rFonts w:ascii="Times New Roman" w:hAnsi="Times New Roman"/>
      <w:sz w:val="24"/>
      <w:lang w:val="sl-SI"/>
    </w:rPr>
  </w:style>
  <w:style w:type="character" w:customStyle="1" w:styleId="BodyTextChar">
    <w:name w:val="Body Text Char"/>
    <w:basedOn w:val="DefaultParagraphFont"/>
    <w:link w:val="BodyText"/>
    <w:rsid w:val="00C45C21"/>
    <w:rPr>
      <w:rFonts w:ascii="Times New Roman" w:eastAsia="Times New Roman" w:hAnsi="Times New Roman" w:cs="Times New Roman"/>
      <w:sz w:val="24"/>
      <w:szCs w:val="24"/>
      <w:lang w:val="sl-SI"/>
    </w:rPr>
  </w:style>
  <w:style w:type="paragraph" w:styleId="BodyText3">
    <w:name w:val="Body Text 3"/>
    <w:basedOn w:val="Normal"/>
    <w:link w:val="BodyText3Char"/>
    <w:rsid w:val="00C45C21"/>
    <w:pPr>
      <w:spacing w:after="120"/>
    </w:pPr>
    <w:rPr>
      <w:sz w:val="16"/>
      <w:szCs w:val="16"/>
    </w:rPr>
  </w:style>
  <w:style w:type="character" w:customStyle="1" w:styleId="BodyText3Char">
    <w:name w:val="Body Text 3 Char"/>
    <w:basedOn w:val="DefaultParagraphFont"/>
    <w:link w:val="BodyText3"/>
    <w:rsid w:val="00C45C21"/>
    <w:rPr>
      <w:rFonts w:ascii="Arial" w:eastAsia="Times New Roman" w:hAnsi="Arial" w:cs="Times New Roman"/>
      <w:sz w:val="16"/>
      <w:szCs w:val="16"/>
      <w:lang w:val="de-AT"/>
    </w:rPr>
  </w:style>
  <w:style w:type="paragraph" w:styleId="Header">
    <w:name w:val="header"/>
    <w:basedOn w:val="Normal"/>
    <w:link w:val="HeaderChar"/>
    <w:uiPriority w:val="99"/>
    <w:rsid w:val="00C45C21"/>
    <w:pPr>
      <w:tabs>
        <w:tab w:val="center" w:pos="4680"/>
        <w:tab w:val="right" w:pos="9360"/>
      </w:tabs>
    </w:pPr>
  </w:style>
  <w:style w:type="character" w:customStyle="1" w:styleId="HeaderChar">
    <w:name w:val="Header Char"/>
    <w:basedOn w:val="DefaultParagraphFont"/>
    <w:link w:val="Header"/>
    <w:uiPriority w:val="99"/>
    <w:rsid w:val="00C45C21"/>
    <w:rPr>
      <w:rFonts w:ascii="Arial" w:eastAsia="Times New Roman" w:hAnsi="Arial" w:cs="Times New Roman"/>
      <w:sz w:val="21"/>
      <w:szCs w:val="24"/>
      <w:lang w:val="de-AT"/>
    </w:rPr>
  </w:style>
  <w:style w:type="paragraph" w:styleId="BalloonText">
    <w:name w:val="Balloon Text"/>
    <w:basedOn w:val="Normal"/>
    <w:link w:val="BalloonTextChar"/>
    <w:rsid w:val="00C45C2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45C21"/>
    <w:rPr>
      <w:rFonts w:ascii="Tahoma" w:eastAsia="Times New Roman" w:hAnsi="Tahoma" w:cs="Tahoma"/>
      <w:sz w:val="16"/>
      <w:szCs w:val="16"/>
      <w:lang w:val="de-AT"/>
    </w:rPr>
  </w:style>
  <w:style w:type="character" w:customStyle="1" w:styleId="CommentTextChar">
    <w:name w:val="Comment Text Char"/>
    <w:basedOn w:val="DefaultParagraphFont"/>
    <w:link w:val="CommentText"/>
    <w:uiPriority w:val="99"/>
    <w:semiHidden/>
    <w:rsid w:val="00C45C21"/>
    <w:rPr>
      <w:rFonts w:ascii="Arial" w:eastAsia="Times New Roman" w:hAnsi="Arial" w:cs="Times New Roman"/>
      <w:sz w:val="20"/>
      <w:szCs w:val="20"/>
      <w:lang w:val="de-AT"/>
    </w:rPr>
  </w:style>
  <w:style w:type="paragraph" w:styleId="CommentText">
    <w:name w:val="annotation text"/>
    <w:basedOn w:val="Normal"/>
    <w:link w:val="CommentTextChar"/>
    <w:uiPriority w:val="99"/>
    <w:semiHidden/>
    <w:unhideWhenUsed/>
    <w:rsid w:val="00C45C21"/>
    <w:pPr>
      <w:spacing w:line="240" w:lineRule="auto"/>
    </w:pPr>
    <w:rPr>
      <w:sz w:val="20"/>
      <w:szCs w:val="20"/>
    </w:rPr>
  </w:style>
  <w:style w:type="character" w:customStyle="1" w:styleId="CommentSubjectChar">
    <w:name w:val="Comment Subject Char"/>
    <w:basedOn w:val="CommentTextChar"/>
    <w:link w:val="CommentSubject"/>
    <w:uiPriority w:val="99"/>
    <w:semiHidden/>
    <w:rsid w:val="00C45C21"/>
    <w:rPr>
      <w:rFonts w:ascii="Arial" w:eastAsia="Times New Roman" w:hAnsi="Arial" w:cs="Times New Roman"/>
      <w:b/>
      <w:bCs/>
      <w:sz w:val="20"/>
      <w:szCs w:val="20"/>
      <w:lang w:val="de-AT"/>
    </w:rPr>
  </w:style>
  <w:style w:type="paragraph" w:styleId="CommentSubject">
    <w:name w:val="annotation subject"/>
    <w:basedOn w:val="CommentText"/>
    <w:next w:val="CommentText"/>
    <w:link w:val="CommentSubjectChar"/>
    <w:uiPriority w:val="99"/>
    <w:semiHidden/>
    <w:unhideWhenUsed/>
    <w:rsid w:val="00C45C21"/>
    <w:rPr>
      <w:b/>
      <w:bCs/>
    </w:rPr>
  </w:style>
  <w:style w:type="table" w:styleId="TableGrid">
    <w:name w:val="Table Grid"/>
    <w:basedOn w:val="TableNormal"/>
    <w:rsid w:val="008C4F34"/>
    <w:pPr>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D425BD"/>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D425BD"/>
    <w:rPr>
      <w:rFonts w:asciiTheme="majorHAnsi" w:eastAsiaTheme="majorEastAsia" w:hAnsiTheme="majorHAnsi" w:cstheme="majorBidi"/>
      <w:i/>
      <w:iCs/>
      <w:color w:val="4F81BD" w:themeColor="accent1"/>
      <w:spacing w:val="15"/>
      <w:sz w:val="24"/>
      <w:szCs w:val="24"/>
      <w:lang w:val="de-AT"/>
    </w:rPr>
  </w:style>
  <w:style w:type="character" w:styleId="CommentReference">
    <w:name w:val="annotation reference"/>
    <w:basedOn w:val="DefaultParagraphFont"/>
    <w:uiPriority w:val="99"/>
    <w:semiHidden/>
    <w:unhideWhenUsed/>
    <w:rsid w:val="00A14162"/>
    <w:rPr>
      <w:sz w:val="16"/>
      <w:szCs w:val="16"/>
    </w:rPr>
  </w:style>
  <w:style w:type="paragraph" w:styleId="PlainText">
    <w:name w:val="Plain Text"/>
    <w:basedOn w:val="Normal"/>
    <w:link w:val="PlainTextChar"/>
    <w:uiPriority w:val="99"/>
    <w:unhideWhenUsed/>
    <w:rsid w:val="00F96F11"/>
    <w:pPr>
      <w:spacing w:line="240" w:lineRule="auto"/>
      <w:jc w:val="left"/>
    </w:pPr>
    <w:rPr>
      <w:rFonts w:ascii="Verdana" w:eastAsiaTheme="minorHAnsi" w:hAnsi="Verdana"/>
      <w:sz w:val="20"/>
      <w:szCs w:val="20"/>
      <w:lang w:val="en-US"/>
    </w:rPr>
  </w:style>
  <w:style w:type="character" w:customStyle="1" w:styleId="PlainTextChar">
    <w:name w:val="Plain Text Char"/>
    <w:basedOn w:val="DefaultParagraphFont"/>
    <w:link w:val="PlainText"/>
    <w:uiPriority w:val="99"/>
    <w:rsid w:val="00F96F11"/>
    <w:rPr>
      <w:rFonts w:ascii="Verdana" w:hAnsi="Verdana" w:cs="Times New Roman"/>
      <w:sz w:val="20"/>
      <w:szCs w:val="20"/>
    </w:rPr>
  </w:style>
  <w:style w:type="character" w:customStyle="1" w:styleId="CommentTextChar1">
    <w:name w:val="Comment Text Char1"/>
    <w:basedOn w:val="DefaultParagraphFont"/>
    <w:uiPriority w:val="99"/>
    <w:semiHidden/>
    <w:rsid w:val="00990413"/>
    <w:rPr>
      <w:rFonts w:ascii="Arial" w:eastAsia="Times New Roman" w:hAnsi="Arial" w:cs="Times New Roman"/>
      <w:sz w:val="20"/>
      <w:szCs w:val="20"/>
      <w:lang w:val="de-AT"/>
    </w:rPr>
  </w:style>
  <w:style w:type="character" w:customStyle="1" w:styleId="CommentSubjectChar1">
    <w:name w:val="Comment Subject Char1"/>
    <w:basedOn w:val="CommentTextChar1"/>
    <w:uiPriority w:val="99"/>
    <w:semiHidden/>
    <w:rsid w:val="00990413"/>
    <w:rPr>
      <w:rFonts w:ascii="Arial" w:eastAsia="Times New Roman" w:hAnsi="Arial" w:cs="Times New Roman"/>
      <w:b/>
      <w:bCs/>
      <w:sz w:val="20"/>
      <w:szCs w:val="20"/>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3896">
      <w:bodyDiv w:val="1"/>
      <w:marLeft w:val="0"/>
      <w:marRight w:val="0"/>
      <w:marTop w:val="0"/>
      <w:marBottom w:val="0"/>
      <w:divBdr>
        <w:top w:val="none" w:sz="0" w:space="0" w:color="auto"/>
        <w:left w:val="none" w:sz="0" w:space="0" w:color="auto"/>
        <w:bottom w:val="none" w:sz="0" w:space="0" w:color="auto"/>
        <w:right w:val="none" w:sz="0" w:space="0" w:color="auto"/>
      </w:divBdr>
    </w:div>
    <w:div w:id="32006009">
      <w:bodyDiv w:val="1"/>
      <w:marLeft w:val="0"/>
      <w:marRight w:val="0"/>
      <w:marTop w:val="0"/>
      <w:marBottom w:val="0"/>
      <w:divBdr>
        <w:top w:val="none" w:sz="0" w:space="0" w:color="auto"/>
        <w:left w:val="none" w:sz="0" w:space="0" w:color="auto"/>
        <w:bottom w:val="none" w:sz="0" w:space="0" w:color="auto"/>
        <w:right w:val="none" w:sz="0" w:space="0" w:color="auto"/>
      </w:divBdr>
    </w:div>
    <w:div w:id="37441980">
      <w:bodyDiv w:val="1"/>
      <w:marLeft w:val="0"/>
      <w:marRight w:val="0"/>
      <w:marTop w:val="0"/>
      <w:marBottom w:val="0"/>
      <w:divBdr>
        <w:top w:val="none" w:sz="0" w:space="0" w:color="auto"/>
        <w:left w:val="none" w:sz="0" w:space="0" w:color="auto"/>
        <w:bottom w:val="none" w:sz="0" w:space="0" w:color="auto"/>
        <w:right w:val="none" w:sz="0" w:space="0" w:color="auto"/>
      </w:divBdr>
    </w:div>
    <w:div w:id="125126753">
      <w:bodyDiv w:val="1"/>
      <w:marLeft w:val="0"/>
      <w:marRight w:val="0"/>
      <w:marTop w:val="0"/>
      <w:marBottom w:val="0"/>
      <w:divBdr>
        <w:top w:val="none" w:sz="0" w:space="0" w:color="auto"/>
        <w:left w:val="none" w:sz="0" w:space="0" w:color="auto"/>
        <w:bottom w:val="none" w:sz="0" w:space="0" w:color="auto"/>
        <w:right w:val="none" w:sz="0" w:space="0" w:color="auto"/>
      </w:divBdr>
    </w:div>
    <w:div w:id="145629987">
      <w:bodyDiv w:val="1"/>
      <w:marLeft w:val="0"/>
      <w:marRight w:val="0"/>
      <w:marTop w:val="0"/>
      <w:marBottom w:val="0"/>
      <w:divBdr>
        <w:top w:val="none" w:sz="0" w:space="0" w:color="auto"/>
        <w:left w:val="none" w:sz="0" w:space="0" w:color="auto"/>
        <w:bottom w:val="none" w:sz="0" w:space="0" w:color="auto"/>
        <w:right w:val="none" w:sz="0" w:space="0" w:color="auto"/>
      </w:divBdr>
    </w:div>
    <w:div w:id="172912899">
      <w:bodyDiv w:val="1"/>
      <w:marLeft w:val="0"/>
      <w:marRight w:val="0"/>
      <w:marTop w:val="0"/>
      <w:marBottom w:val="0"/>
      <w:divBdr>
        <w:top w:val="none" w:sz="0" w:space="0" w:color="auto"/>
        <w:left w:val="none" w:sz="0" w:space="0" w:color="auto"/>
        <w:bottom w:val="none" w:sz="0" w:space="0" w:color="auto"/>
        <w:right w:val="none" w:sz="0" w:space="0" w:color="auto"/>
      </w:divBdr>
    </w:div>
    <w:div w:id="177358643">
      <w:bodyDiv w:val="1"/>
      <w:marLeft w:val="0"/>
      <w:marRight w:val="0"/>
      <w:marTop w:val="0"/>
      <w:marBottom w:val="0"/>
      <w:divBdr>
        <w:top w:val="none" w:sz="0" w:space="0" w:color="auto"/>
        <w:left w:val="none" w:sz="0" w:space="0" w:color="auto"/>
        <w:bottom w:val="none" w:sz="0" w:space="0" w:color="auto"/>
        <w:right w:val="none" w:sz="0" w:space="0" w:color="auto"/>
      </w:divBdr>
    </w:div>
    <w:div w:id="186065848">
      <w:bodyDiv w:val="1"/>
      <w:marLeft w:val="0"/>
      <w:marRight w:val="0"/>
      <w:marTop w:val="0"/>
      <w:marBottom w:val="0"/>
      <w:divBdr>
        <w:top w:val="none" w:sz="0" w:space="0" w:color="auto"/>
        <w:left w:val="none" w:sz="0" w:space="0" w:color="auto"/>
        <w:bottom w:val="none" w:sz="0" w:space="0" w:color="auto"/>
        <w:right w:val="none" w:sz="0" w:space="0" w:color="auto"/>
      </w:divBdr>
    </w:div>
    <w:div w:id="233009670">
      <w:bodyDiv w:val="1"/>
      <w:marLeft w:val="0"/>
      <w:marRight w:val="0"/>
      <w:marTop w:val="0"/>
      <w:marBottom w:val="0"/>
      <w:divBdr>
        <w:top w:val="none" w:sz="0" w:space="0" w:color="auto"/>
        <w:left w:val="none" w:sz="0" w:space="0" w:color="auto"/>
        <w:bottom w:val="none" w:sz="0" w:space="0" w:color="auto"/>
        <w:right w:val="none" w:sz="0" w:space="0" w:color="auto"/>
      </w:divBdr>
    </w:div>
    <w:div w:id="244461677">
      <w:bodyDiv w:val="1"/>
      <w:marLeft w:val="0"/>
      <w:marRight w:val="0"/>
      <w:marTop w:val="0"/>
      <w:marBottom w:val="0"/>
      <w:divBdr>
        <w:top w:val="none" w:sz="0" w:space="0" w:color="auto"/>
        <w:left w:val="none" w:sz="0" w:space="0" w:color="auto"/>
        <w:bottom w:val="none" w:sz="0" w:space="0" w:color="auto"/>
        <w:right w:val="none" w:sz="0" w:space="0" w:color="auto"/>
      </w:divBdr>
    </w:div>
    <w:div w:id="275215690">
      <w:bodyDiv w:val="1"/>
      <w:marLeft w:val="0"/>
      <w:marRight w:val="0"/>
      <w:marTop w:val="0"/>
      <w:marBottom w:val="0"/>
      <w:divBdr>
        <w:top w:val="none" w:sz="0" w:space="0" w:color="auto"/>
        <w:left w:val="none" w:sz="0" w:space="0" w:color="auto"/>
        <w:bottom w:val="none" w:sz="0" w:space="0" w:color="auto"/>
        <w:right w:val="none" w:sz="0" w:space="0" w:color="auto"/>
      </w:divBdr>
    </w:div>
    <w:div w:id="363412473">
      <w:bodyDiv w:val="1"/>
      <w:marLeft w:val="0"/>
      <w:marRight w:val="0"/>
      <w:marTop w:val="0"/>
      <w:marBottom w:val="0"/>
      <w:divBdr>
        <w:top w:val="none" w:sz="0" w:space="0" w:color="auto"/>
        <w:left w:val="none" w:sz="0" w:space="0" w:color="auto"/>
        <w:bottom w:val="none" w:sz="0" w:space="0" w:color="auto"/>
        <w:right w:val="none" w:sz="0" w:space="0" w:color="auto"/>
      </w:divBdr>
    </w:div>
    <w:div w:id="376273954">
      <w:bodyDiv w:val="1"/>
      <w:marLeft w:val="0"/>
      <w:marRight w:val="0"/>
      <w:marTop w:val="0"/>
      <w:marBottom w:val="0"/>
      <w:divBdr>
        <w:top w:val="none" w:sz="0" w:space="0" w:color="auto"/>
        <w:left w:val="none" w:sz="0" w:space="0" w:color="auto"/>
        <w:bottom w:val="none" w:sz="0" w:space="0" w:color="auto"/>
        <w:right w:val="none" w:sz="0" w:space="0" w:color="auto"/>
      </w:divBdr>
    </w:div>
    <w:div w:id="401097359">
      <w:bodyDiv w:val="1"/>
      <w:marLeft w:val="0"/>
      <w:marRight w:val="0"/>
      <w:marTop w:val="0"/>
      <w:marBottom w:val="0"/>
      <w:divBdr>
        <w:top w:val="none" w:sz="0" w:space="0" w:color="auto"/>
        <w:left w:val="none" w:sz="0" w:space="0" w:color="auto"/>
        <w:bottom w:val="none" w:sz="0" w:space="0" w:color="auto"/>
        <w:right w:val="none" w:sz="0" w:space="0" w:color="auto"/>
      </w:divBdr>
    </w:div>
    <w:div w:id="424769925">
      <w:bodyDiv w:val="1"/>
      <w:marLeft w:val="0"/>
      <w:marRight w:val="0"/>
      <w:marTop w:val="0"/>
      <w:marBottom w:val="0"/>
      <w:divBdr>
        <w:top w:val="none" w:sz="0" w:space="0" w:color="auto"/>
        <w:left w:val="none" w:sz="0" w:space="0" w:color="auto"/>
        <w:bottom w:val="none" w:sz="0" w:space="0" w:color="auto"/>
        <w:right w:val="none" w:sz="0" w:space="0" w:color="auto"/>
      </w:divBdr>
    </w:div>
    <w:div w:id="449593918">
      <w:bodyDiv w:val="1"/>
      <w:marLeft w:val="0"/>
      <w:marRight w:val="0"/>
      <w:marTop w:val="0"/>
      <w:marBottom w:val="0"/>
      <w:divBdr>
        <w:top w:val="none" w:sz="0" w:space="0" w:color="auto"/>
        <w:left w:val="none" w:sz="0" w:space="0" w:color="auto"/>
        <w:bottom w:val="none" w:sz="0" w:space="0" w:color="auto"/>
        <w:right w:val="none" w:sz="0" w:space="0" w:color="auto"/>
      </w:divBdr>
    </w:div>
    <w:div w:id="450780404">
      <w:bodyDiv w:val="1"/>
      <w:marLeft w:val="0"/>
      <w:marRight w:val="0"/>
      <w:marTop w:val="0"/>
      <w:marBottom w:val="0"/>
      <w:divBdr>
        <w:top w:val="none" w:sz="0" w:space="0" w:color="auto"/>
        <w:left w:val="none" w:sz="0" w:space="0" w:color="auto"/>
        <w:bottom w:val="none" w:sz="0" w:space="0" w:color="auto"/>
        <w:right w:val="none" w:sz="0" w:space="0" w:color="auto"/>
      </w:divBdr>
    </w:div>
    <w:div w:id="452217401">
      <w:bodyDiv w:val="1"/>
      <w:marLeft w:val="0"/>
      <w:marRight w:val="0"/>
      <w:marTop w:val="0"/>
      <w:marBottom w:val="0"/>
      <w:divBdr>
        <w:top w:val="none" w:sz="0" w:space="0" w:color="auto"/>
        <w:left w:val="none" w:sz="0" w:space="0" w:color="auto"/>
        <w:bottom w:val="none" w:sz="0" w:space="0" w:color="auto"/>
        <w:right w:val="none" w:sz="0" w:space="0" w:color="auto"/>
      </w:divBdr>
    </w:div>
    <w:div w:id="471479845">
      <w:bodyDiv w:val="1"/>
      <w:marLeft w:val="0"/>
      <w:marRight w:val="0"/>
      <w:marTop w:val="0"/>
      <w:marBottom w:val="0"/>
      <w:divBdr>
        <w:top w:val="none" w:sz="0" w:space="0" w:color="auto"/>
        <w:left w:val="none" w:sz="0" w:space="0" w:color="auto"/>
        <w:bottom w:val="none" w:sz="0" w:space="0" w:color="auto"/>
        <w:right w:val="none" w:sz="0" w:space="0" w:color="auto"/>
      </w:divBdr>
    </w:div>
    <w:div w:id="474569517">
      <w:bodyDiv w:val="1"/>
      <w:marLeft w:val="0"/>
      <w:marRight w:val="0"/>
      <w:marTop w:val="0"/>
      <w:marBottom w:val="0"/>
      <w:divBdr>
        <w:top w:val="none" w:sz="0" w:space="0" w:color="auto"/>
        <w:left w:val="none" w:sz="0" w:space="0" w:color="auto"/>
        <w:bottom w:val="none" w:sz="0" w:space="0" w:color="auto"/>
        <w:right w:val="none" w:sz="0" w:space="0" w:color="auto"/>
      </w:divBdr>
    </w:div>
    <w:div w:id="493105988">
      <w:bodyDiv w:val="1"/>
      <w:marLeft w:val="0"/>
      <w:marRight w:val="0"/>
      <w:marTop w:val="0"/>
      <w:marBottom w:val="0"/>
      <w:divBdr>
        <w:top w:val="none" w:sz="0" w:space="0" w:color="auto"/>
        <w:left w:val="none" w:sz="0" w:space="0" w:color="auto"/>
        <w:bottom w:val="none" w:sz="0" w:space="0" w:color="auto"/>
        <w:right w:val="none" w:sz="0" w:space="0" w:color="auto"/>
      </w:divBdr>
    </w:div>
    <w:div w:id="538589133">
      <w:bodyDiv w:val="1"/>
      <w:marLeft w:val="0"/>
      <w:marRight w:val="0"/>
      <w:marTop w:val="0"/>
      <w:marBottom w:val="0"/>
      <w:divBdr>
        <w:top w:val="none" w:sz="0" w:space="0" w:color="auto"/>
        <w:left w:val="none" w:sz="0" w:space="0" w:color="auto"/>
        <w:bottom w:val="none" w:sz="0" w:space="0" w:color="auto"/>
        <w:right w:val="none" w:sz="0" w:space="0" w:color="auto"/>
      </w:divBdr>
    </w:div>
    <w:div w:id="563641103">
      <w:bodyDiv w:val="1"/>
      <w:marLeft w:val="0"/>
      <w:marRight w:val="0"/>
      <w:marTop w:val="0"/>
      <w:marBottom w:val="0"/>
      <w:divBdr>
        <w:top w:val="none" w:sz="0" w:space="0" w:color="auto"/>
        <w:left w:val="none" w:sz="0" w:space="0" w:color="auto"/>
        <w:bottom w:val="none" w:sz="0" w:space="0" w:color="auto"/>
        <w:right w:val="none" w:sz="0" w:space="0" w:color="auto"/>
      </w:divBdr>
    </w:div>
    <w:div w:id="633022233">
      <w:bodyDiv w:val="1"/>
      <w:marLeft w:val="0"/>
      <w:marRight w:val="0"/>
      <w:marTop w:val="0"/>
      <w:marBottom w:val="0"/>
      <w:divBdr>
        <w:top w:val="none" w:sz="0" w:space="0" w:color="auto"/>
        <w:left w:val="none" w:sz="0" w:space="0" w:color="auto"/>
        <w:bottom w:val="none" w:sz="0" w:space="0" w:color="auto"/>
        <w:right w:val="none" w:sz="0" w:space="0" w:color="auto"/>
      </w:divBdr>
    </w:div>
    <w:div w:id="842361390">
      <w:bodyDiv w:val="1"/>
      <w:marLeft w:val="0"/>
      <w:marRight w:val="0"/>
      <w:marTop w:val="0"/>
      <w:marBottom w:val="0"/>
      <w:divBdr>
        <w:top w:val="none" w:sz="0" w:space="0" w:color="auto"/>
        <w:left w:val="none" w:sz="0" w:space="0" w:color="auto"/>
        <w:bottom w:val="none" w:sz="0" w:space="0" w:color="auto"/>
        <w:right w:val="none" w:sz="0" w:space="0" w:color="auto"/>
      </w:divBdr>
    </w:div>
    <w:div w:id="878469667">
      <w:bodyDiv w:val="1"/>
      <w:marLeft w:val="0"/>
      <w:marRight w:val="0"/>
      <w:marTop w:val="0"/>
      <w:marBottom w:val="0"/>
      <w:divBdr>
        <w:top w:val="none" w:sz="0" w:space="0" w:color="auto"/>
        <w:left w:val="none" w:sz="0" w:space="0" w:color="auto"/>
        <w:bottom w:val="none" w:sz="0" w:space="0" w:color="auto"/>
        <w:right w:val="none" w:sz="0" w:space="0" w:color="auto"/>
      </w:divBdr>
    </w:div>
    <w:div w:id="890924771">
      <w:bodyDiv w:val="1"/>
      <w:marLeft w:val="0"/>
      <w:marRight w:val="0"/>
      <w:marTop w:val="0"/>
      <w:marBottom w:val="0"/>
      <w:divBdr>
        <w:top w:val="none" w:sz="0" w:space="0" w:color="auto"/>
        <w:left w:val="none" w:sz="0" w:space="0" w:color="auto"/>
        <w:bottom w:val="none" w:sz="0" w:space="0" w:color="auto"/>
        <w:right w:val="none" w:sz="0" w:space="0" w:color="auto"/>
      </w:divBdr>
    </w:div>
    <w:div w:id="896357170">
      <w:bodyDiv w:val="1"/>
      <w:marLeft w:val="0"/>
      <w:marRight w:val="0"/>
      <w:marTop w:val="0"/>
      <w:marBottom w:val="0"/>
      <w:divBdr>
        <w:top w:val="none" w:sz="0" w:space="0" w:color="auto"/>
        <w:left w:val="none" w:sz="0" w:space="0" w:color="auto"/>
        <w:bottom w:val="none" w:sz="0" w:space="0" w:color="auto"/>
        <w:right w:val="none" w:sz="0" w:space="0" w:color="auto"/>
      </w:divBdr>
    </w:div>
    <w:div w:id="901211380">
      <w:bodyDiv w:val="1"/>
      <w:marLeft w:val="0"/>
      <w:marRight w:val="0"/>
      <w:marTop w:val="0"/>
      <w:marBottom w:val="0"/>
      <w:divBdr>
        <w:top w:val="none" w:sz="0" w:space="0" w:color="auto"/>
        <w:left w:val="none" w:sz="0" w:space="0" w:color="auto"/>
        <w:bottom w:val="none" w:sz="0" w:space="0" w:color="auto"/>
        <w:right w:val="none" w:sz="0" w:space="0" w:color="auto"/>
      </w:divBdr>
    </w:div>
    <w:div w:id="932517394">
      <w:bodyDiv w:val="1"/>
      <w:marLeft w:val="0"/>
      <w:marRight w:val="0"/>
      <w:marTop w:val="0"/>
      <w:marBottom w:val="0"/>
      <w:divBdr>
        <w:top w:val="none" w:sz="0" w:space="0" w:color="auto"/>
        <w:left w:val="none" w:sz="0" w:space="0" w:color="auto"/>
        <w:bottom w:val="none" w:sz="0" w:space="0" w:color="auto"/>
        <w:right w:val="none" w:sz="0" w:space="0" w:color="auto"/>
      </w:divBdr>
    </w:div>
    <w:div w:id="934896240">
      <w:bodyDiv w:val="1"/>
      <w:marLeft w:val="0"/>
      <w:marRight w:val="0"/>
      <w:marTop w:val="0"/>
      <w:marBottom w:val="0"/>
      <w:divBdr>
        <w:top w:val="none" w:sz="0" w:space="0" w:color="auto"/>
        <w:left w:val="none" w:sz="0" w:space="0" w:color="auto"/>
        <w:bottom w:val="none" w:sz="0" w:space="0" w:color="auto"/>
        <w:right w:val="none" w:sz="0" w:space="0" w:color="auto"/>
      </w:divBdr>
    </w:div>
    <w:div w:id="944308341">
      <w:bodyDiv w:val="1"/>
      <w:marLeft w:val="0"/>
      <w:marRight w:val="0"/>
      <w:marTop w:val="0"/>
      <w:marBottom w:val="0"/>
      <w:divBdr>
        <w:top w:val="none" w:sz="0" w:space="0" w:color="auto"/>
        <w:left w:val="none" w:sz="0" w:space="0" w:color="auto"/>
        <w:bottom w:val="none" w:sz="0" w:space="0" w:color="auto"/>
        <w:right w:val="none" w:sz="0" w:space="0" w:color="auto"/>
      </w:divBdr>
    </w:div>
    <w:div w:id="953705998">
      <w:bodyDiv w:val="1"/>
      <w:marLeft w:val="0"/>
      <w:marRight w:val="0"/>
      <w:marTop w:val="0"/>
      <w:marBottom w:val="0"/>
      <w:divBdr>
        <w:top w:val="none" w:sz="0" w:space="0" w:color="auto"/>
        <w:left w:val="none" w:sz="0" w:space="0" w:color="auto"/>
        <w:bottom w:val="none" w:sz="0" w:space="0" w:color="auto"/>
        <w:right w:val="none" w:sz="0" w:space="0" w:color="auto"/>
      </w:divBdr>
    </w:div>
    <w:div w:id="985670064">
      <w:bodyDiv w:val="1"/>
      <w:marLeft w:val="0"/>
      <w:marRight w:val="0"/>
      <w:marTop w:val="0"/>
      <w:marBottom w:val="0"/>
      <w:divBdr>
        <w:top w:val="none" w:sz="0" w:space="0" w:color="auto"/>
        <w:left w:val="none" w:sz="0" w:space="0" w:color="auto"/>
        <w:bottom w:val="none" w:sz="0" w:space="0" w:color="auto"/>
        <w:right w:val="none" w:sz="0" w:space="0" w:color="auto"/>
      </w:divBdr>
    </w:div>
    <w:div w:id="1010445552">
      <w:bodyDiv w:val="1"/>
      <w:marLeft w:val="0"/>
      <w:marRight w:val="0"/>
      <w:marTop w:val="0"/>
      <w:marBottom w:val="0"/>
      <w:divBdr>
        <w:top w:val="none" w:sz="0" w:space="0" w:color="auto"/>
        <w:left w:val="none" w:sz="0" w:space="0" w:color="auto"/>
        <w:bottom w:val="none" w:sz="0" w:space="0" w:color="auto"/>
        <w:right w:val="none" w:sz="0" w:space="0" w:color="auto"/>
      </w:divBdr>
    </w:div>
    <w:div w:id="1033654107">
      <w:bodyDiv w:val="1"/>
      <w:marLeft w:val="0"/>
      <w:marRight w:val="0"/>
      <w:marTop w:val="0"/>
      <w:marBottom w:val="0"/>
      <w:divBdr>
        <w:top w:val="none" w:sz="0" w:space="0" w:color="auto"/>
        <w:left w:val="none" w:sz="0" w:space="0" w:color="auto"/>
        <w:bottom w:val="none" w:sz="0" w:space="0" w:color="auto"/>
        <w:right w:val="none" w:sz="0" w:space="0" w:color="auto"/>
      </w:divBdr>
    </w:div>
    <w:div w:id="1046444105">
      <w:bodyDiv w:val="1"/>
      <w:marLeft w:val="0"/>
      <w:marRight w:val="0"/>
      <w:marTop w:val="0"/>
      <w:marBottom w:val="0"/>
      <w:divBdr>
        <w:top w:val="none" w:sz="0" w:space="0" w:color="auto"/>
        <w:left w:val="none" w:sz="0" w:space="0" w:color="auto"/>
        <w:bottom w:val="none" w:sz="0" w:space="0" w:color="auto"/>
        <w:right w:val="none" w:sz="0" w:space="0" w:color="auto"/>
      </w:divBdr>
    </w:div>
    <w:div w:id="1096293330">
      <w:bodyDiv w:val="1"/>
      <w:marLeft w:val="0"/>
      <w:marRight w:val="0"/>
      <w:marTop w:val="0"/>
      <w:marBottom w:val="0"/>
      <w:divBdr>
        <w:top w:val="none" w:sz="0" w:space="0" w:color="auto"/>
        <w:left w:val="none" w:sz="0" w:space="0" w:color="auto"/>
        <w:bottom w:val="none" w:sz="0" w:space="0" w:color="auto"/>
        <w:right w:val="none" w:sz="0" w:space="0" w:color="auto"/>
      </w:divBdr>
    </w:div>
    <w:div w:id="1108045797">
      <w:bodyDiv w:val="1"/>
      <w:marLeft w:val="0"/>
      <w:marRight w:val="0"/>
      <w:marTop w:val="0"/>
      <w:marBottom w:val="0"/>
      <w:divBdr>
        <w:top w:val="none" w:sz="0" w:space="0" w:color="auto"/>
        <w:left w:val="none" w:sz="0" w:space="0" w:color="auto"/>
        <w:bottom w:val="none" w:sz="0" w:space="0" w:color="auto"/>
        <w:right w:val="none" w:sz="0" w:space="0" w:color="auto"/>
      </w:divBdr>
    </w:div>
    <w:div w:id="1114784868">
      <w:bodyDiv w:val="1"/>
      <w:marLeft w:val="0"/>
      <w:marRight w:val="0"/>
      <w:marTop w:val="0"/>
      <w:marBottom w:val="0"/>
      <w:divBdr>
        <w:top w:val="none" w:sz="0" w:space="0" w:color="auto"/>
        <w:left w:val="none" w:sz="0" w:space="0" w:color="auto"/>
        <w:bottom w:val="none" w:sz="0" w:space="0" w:color="auto"/>
        <w:right w:val="none" w:sz="0" w:space="0" w:color="auto"/>
      </w:divBdr>
    </w:div>
    <w:div w:id="1134714780">
      <w:bodyDiv w:val="1"/>
      <w:marLeft w:val="0"/>
      <w:marRight w:val="0"/>
      <w:marTop w:val="0"/>
      <w:marBottom w:val="0"/>
      <w:divBdr>
        <w:top w:val="none" w:sz="0" w:space="0" w:color="auto"/>
        <w:left w:val="none" w:sz="0" w:space="0" w:color="auto"/>
        <w:bottom w:val="none" w:sz="0" w:space="0" w:color="auto"/>
        <w:right w:val="none" w:sz="0" w:space="0" w:color="auto"/>
      </w:divBdr>
    </w:div>
    <w:div w:id="1144081381">
      <w:bodyDiv w:val="1"/>
      <w:marLeft w:val="0"/>
      <w:marRight w:val="0"/>
      <w:marTop w:val="0"/>
      <w:marBottom w:val="0"/>
      <w:divBdr>
        <w:top w:val="none" w:sz="0" w:space="0" w:color="auto"/>
        <w:left w:val="none" w:sz="0" w:space="0" w:color="auto"/>
        <w:bottom w:val="none" w:sz="0" w:space="0" w:color="auto"/>
        <w:right w:val="none" w:sz="0" w:space="0" w:color="auto"/>
      </w:divBdr>
    </w:div>
    <w:div w:id="1188525226">
      <w:bodyDiv w:val="1"/>
      <w:marLeft w:val="0"/>
      <w:marRight w:val="0"/>
      <w:marTop w:val="0"/>
      <w:marBottom w:val="0"/>
      <w:divBdr>
        <w:top w:val="none" w:sz="0" w:space="0" w:color="auto"/>
        <w:left w:val="none" w:sz="0" w:space="0" w:color="auto"/>
        <w:bottom w:val="none" w:sz="0" w:space="0" w:color="auto"/>
        <w:right w:val="none" w:sz="0" w:space="0" w:color="auto"/>
      </w:divBdr>
    </w:div>
    <w:div w:id="1192034346">
      <w:bodyDiv w:val="1"/>
      <w:marLeft w:val="0"/>
      <w:marRight w:val="0"/>
      <w:marTop w:val="0"/>
      <w:marBottom w:val="0"/>
      <w:divBdr>
        <w:top w:val="none" w:sz="0" w:space="0" w:color="auto"/>
        <w:left w:val="none" w:sz="0" w:space="0" w:color="auto"/>
        <w:bottom w:val="none" w:sz="0" w:space="0" w:color="auto"/>
        <w:right w:val="none" w:sz="0" w:space="0" w:color="auto"/>
      </w:divBdr>
    </w:div>
    <w:div w:id="1199661215">
      <w:bodyDiv w:val="1"/>
      <w:marLeft w:val="0"/>
      <w:marRight w:val="0"/>
      <w:marTop w:val="0"/>
      <w:marBottom w:val="0"/>
      <w:divBdr>
        <w:top w:val="none" w:sz="0" w:space="0" w:color="auto"/>
        <w:left w:val="none" w:sz="0" w:space="0" w:color="auto"/>
        <w:bottom w:val="none" w:sz="0" w:space="0" w:color="auto"/>
        <w:right w:val="none" w:sz="0" w:space="0" w:color="auto"/>
      </w:divBdr>
    </w:div>
    <w:div w:id="1203709526">
      <w:bodyDiv w:val="1"/>
      <w:marLeft w:val="0"/>
      <w:marRight w:val="0"/>
      <w:marTop w:val="0"/>
      <w:marBottom w:val="0"/>
      <w:divBdr>
        <w:top w:val="none" w:sz="0" w:space="0" w:color="auto"/>
        <w:left w:val="none" w:sz="0" w:space="0" w:color="auto"/>
        <w:bottom w:val="none" w:sz="0" w:space="0" w:color="auto"/>
        <w:right w:val="none" w:sz="0" w:space="0" w:color="auto"/>
      </w:divBdr>
    </w:div>
    <w:div w:id="1235042202">
      <w:bodyDiv w:val="1"/>
      <w:marLeft w:val="0"/>
      <w:marRight w:val="0"/>
      <w:marTop w:val="0"/>
      <w:marBottom w:val="0"/>
      <w:divBdr>
        <w:top w:val="none" w:sz="0" w:space="0" w:color="auto"/>
        <w:left w:val="none" w:sz="0" w:space="0" w:color="auto"/>
        <w:bottom w:val="none" w:sz="0" w:space="0" w:color="auto"/>
        <w:right w:val="none" w:sz="0" w:space="0" w:color="auto"/>
      </w:divBdr>
    </w:div>
    <w:div w:id="1250117484">
      <w:bodyDiv w:val="1"/>
      <w:marLeft w:val="0"/>
      <w:marRight w:val="0"/>
      <w:marTop w:val="0"/>
      <w:marBottom w:val="0"/>
      <w:divBdr>
        <w:top w:val="none" w:sz="0" w:space="0" w:color="auto"/>
        <w:left w:val="none" w:sz="0" w:space="0" w:color="auto"/>
        <w:bottom w:val="none" w:sz="0" w:space="0" w:color="auto"/>
        <w:right w:val="none" w:sz="0" w:space="0" w:color="auto"/>
      </w:divBdr>
    </w:div>
    <w:div w:id="1282222408">
      <w:bodyDiv w:val="1"/>
      <w:marLeft w:val="0"/>
      <w:marRight w:val="0"/>
      <w:marTop w:val="0"/>
      <w:marBottom w:val="0"/>
      <w:divBdr>
        <w:top w:val="none" w:sz="0" w:space="0" w:color="auto"/>
        <w:left w:val="none" w:sz="0" w:space="0" w:color="auto"/>
        <w:bottom w:val="none" w:sz="0" w:space="0" w:color="auto"/>
        <w:right w:val="none" w:sz="0" w:space="0" w:color="auto"/>
      </w:divBdr>
    </w:div>
    <w:div w:id="1315141143">
      <w:bodyDiv w:val="1"/>
      <w:marLeft w:val="0"/>
      <w:marRight w:val="0"/>
      <w:marTop w:val="0"/>
      <w:marBottom w:val="0"/>
      <w:divBdr>
        <w:top w:val="none" w:sz="0" w:space="0" w:color="auto"/>
        <w:left w:val="none" w:sz="0" w:space="0" w:color="auto"/>
        <w:bottom w:val="none" w:sz="0" w:space="0" w:color="auto"/>
        <w:right w:val="none" w:sz="0" w:space="0" w:color="auto"/>
      </w:divBdr>
    </w:div>
    <w:div w:id="1327519395">
      <w:bodyDiv w:val="1"/>
      <w:marLeft w:val="0"/>
      <w:marRight w:val="0"/>
      <w:marTop w:val="0"/>
      <w:marBottom w:val="0"/>
      <w:divBdr>
        <w:top w:val="none" w:sz="0" w:space="0" w:color="auto"/>
        <w:left w:val="none" w:sz="0" w:space="0" w:color="auto"/>
        <w:bottom w:val="none" w:sz="0" w:space="0" w:color="auto"/>
        <w:right w:val="none" w:sz="0" w:space="0" w:color="auto"/>
      </w:divBdr>
    </w:div>
    <w:div w:id="1339188273">
      <w:bodyDiv w:val="1"/>
      <w:marLeft w:val="0"/>
      <w:marRight w:val="0"/>
      <w:marTop w:val="0"/>
      <w:marBottom w:val="0"/>
      <w:divBdr>
        <w:top w:val="none" w:sz="0" w:space="0" w:color="auto"/>
        <w:left w:val="none" w:sz="0" w:space="0" w:color="auto"/>
        <w:bottom w:val="none" w:sz="0" w:space="0" w:color="auto"/>
        <w:right w:val="none" w:sz="0" w:space="0" w:color="auto"/>
      </w:divBdr>
    </w:div>
    <w:div w:id="1406999783">
      <w:bodyDiv w:val="1"/>
      <w:marLeft w:val="0"/>
      <w:marRight w:val="0"/>
      <w:marTop w:val="0"/>
      <w:marBottom w:val="0"/>
      <w:divBdr>
        <w:top w:val="none" w:sz="0" w:space="0" w:color="auto"/>
        <w:left w:val="none" w:sz="0" w:space="0" w:color="auto"/>
        <w:bottom w:val="none" w:sz="0" w:space="0" w:color="auto"/>
        <w:right w:val="none" w:sz="0" w:space="0" w:color="auto"/>
      </w:divBdr>
    </w:div>
    <w:div w:id="1417556994">
      <w:bodyDiv w:val="1"/>
      <w:marLeft w:val="0"/>
      <w:marRight w:val="0"/>
      <w:marTop w:val="0"/>
      <w:marBottom w:val="0"/>
      <w:divBdr>
        <w:top w:val="none" w:sz="0" w:space="0" w:color="auto"/>
        <w:left w:val="none" w:sz="0" w:space="0" w:color="auto"/>
        <w:bottom w:val="none" w:sz="0" w:space="0" w:color="auto"/>
        <w:right w:val="none" w:sz="0" w:space="0" w:color="auto"/>
      </w:divBdr>
    </w:div>
    <w:div w:id="1451775693">
      <w:bodyDiv w:val="1"/>
      <w:marLeft w:val="0"/>
      <w:marRight w:val="0"/>
      <w:marTop w:val="0"/>
      <w:marBottom w:val="0"/>
      <w:divBdr>
        <w:top w:val="none" w:sz="0" w:space="0" w:color="auto"/>
        <w:left w:val="none" w:sz="0" w:space="0" w:color="auto"/>
        <w:bottom w:val="none" w:sz="0" w:space="0" w:color="auto"/>
        <w:right w:val="none" w:sz="0" w:space="0" w:color="auto"/>
      </w:divBdr>
    </w:div>
    <w:div w:id="1528181974">
      <w:bodyDiv w:val="1"/>
      <w:marLeft w:val="0"/>
      <w:marRight w:val="0"/>
      <w:marTop w:val="0"/>
      <w:marBottom w:val="0"/>
      <w:divBdr>
        <w:top w:val="none" w:sz="0" w:space="0" w:color="auto"/>
        <w:left w:val="none" w:sz="0" w:space="0" w:color="auto"/>
        <w:bottom w:val="none" w:sz="0" w:space="0" w:color="auto"/>
        <w:right w:val="none" w:sz="0" w:space="0" w:color="auto"/>
      </w:divBdr>
    </w:div>
    <w:div w:id="1538347385">
      <w:bodyDiv w:val="1"/>
      <w:marLeft w:val="0"/>
      <w:marRight w:val="0"/>
      <w:marTop w:val="0"/>
      <w:marBottom w:val="0"/>
      <w:divBdr>
        <w:top w:val="none" w:sz="0" w:space="0" w:color="auto"/>
        <w:left w:val="none" w:sz="0" w:space="0" w:color="auto"/>
        <w:bottom w:val="none" w:sz="0" w:space="0" w:color="auto"/>
        <w:right w:val="none" w:sz="0" w:space="0" w:color="auto"/>
      </w:divBdr>
    </w:div>
    <w:div w:id="1576625890">
      <w:bodyDiv w:val="1"/>
      <w:marLeft w:val="0"/>
      <w:marRight w:val="0"/>
      <w:marTop w:val="0"/>
      <w:marBottom w:val="0"/>
      <w:divBdr>
        <w:top w:val="none" w:sz="0" w:space="0" w:color="auto"/>
        <w:left w:val="none" w:sz="0" w:space="0" w:color="auto"/>
        <w:bottom w:val="none" w:sz="0" w:space="0" w:color="auto"/>
        <w:right w:val="none" w:sz="0" w:space="0" w:color="auto"/>
      </w:divBdr>
    </w:div>
    <w:div w:id="1642731783">
      <w:bodyDiv w:val="1"/>
      <w:marLeft w:val="0"/>
      <w:marRight w:val="0"/>
      <w:marTop w:val="0"/>
      <w:marBottom w:val="0"/>
      <w:divBdr>
        <w:top w:val="none" w:sz="0" w:space="0" w:color="auto"/>
        <w:left w:val="none" w:sz="0" w:space="0" w:color="auto"/>
        <w:bottom w:val="none" w:sz="0" w:space="0" w:color="auto"/>
        <w:right w:val="none" w:sz="0" w:space="0" w:color="auto"/>
      </w:divBdr>
    </w:div>
    <w:div w:id="1648851012">
      <w:bodyDiv w:val="1"/>
      <w:marLeft w:val="0"/>
      <w:marRight w:val="0"/>
      <w:marTop w:val="0"/>
      <w:marBottom w:val="0"/>
      <w:divBdr>
        <w:top w:val="none" w:sz="0" w:space="0" w:color="auto"/>
        <w:left w:val="none" w:sz="0" w:space="0" w:color="auto"/>
        <w:bottom w:val="none" w:sz="0" w:space="0" w:color="auto"/>
        <w:right w:val="none" w:sz="0" w:space="0" w:color="auto"/>
      </w:divBdr>
    </w:div>
    <w:div w:id="1747922517">
      <w:bodyDiv w:val="1"/>
      <w:marLeft w:val="0"/>
      <w:marRight w:val="0"/>
      <w:marTop w:val="0"/>
      <w:marBottom w:val="0"/>
      <w:divBdr>
        <w:top w:val="none" w:sz="0" w:space="0" w:color="auto"/>
        <w:left w:val="none" w:sz="0" w:space="0" w:color="auto"/>
        <w:bottom w:val="none" w:sz="0" w:space="0" w:color="auto"/>
        <w:right w:val="none" w:sz="0" w:space="0" w:color="auto"/>
      </w:divBdr>
    </w:div>
    <w:div w:id="1777170793">
      <w:bodyDiv w:val="1"/>
      <w:marLeft w:val="0"/>
      <w:marRight w:val="0"/>
      <w:marTop w:val="0"/>
      <w:marBottom w:val="0"/>
      <w:divBdr>
        <w:top w:val="none" w:sz="0" w:space="0" w:color="auto"/>
        <w:left w:val="none" w:sz="0" w:space="0" w:color="auto"/>
        <w:bottom w:val="none" w:sz="0" w:space="0" w:color="auto"/>
        <w:right w:val="none" w:sz="0" w:space="0" w:color="auto"/>
      </w:divBdr>
    </w:div>
    <w:div w:id="1781877477">
      <w:bodyDiv w:val="1"/>
      <w:marLeft w:val="0"/>
      <w:marRight w:val="0"/>
      <w:marTop w:val="0"/>
      <w:marBottom w:val="0"/>
      <w:divBdr>
        <w:top w:val="none" w:sz="0" w:space="0" w:color="auto"/>
        <w:left w:val="none" w:sz="0" w:space="0" w:color="auto"/>
        <w:bottom w:val="none" w:sz="0" w:space="0" w:color="auto"/>
        <w:right w:val="none" w:sz="0" w:space="0" w:color="auto"/>
      </w:divBdr>
    </w:div>
    <w:div w:id="1796169339">
      <w:bodyDiv w:val="1"/>
      <w:marLeft w:val="0"/>
      <w:marRight w:val="0"/>
      <w:marTop w:val="0"/>
      <w:marBottom w:val="0"/>
      <w:divBdr>
        <w:top w:val="none" w:sz="0" w:space="0" w:color="auto"/>
        <w:left w:val="none" w:sz="0" w:space="0" w:color="auto"/>
        <w:bottom w:val="none" w:sz="0" w:space="0" w:color="auto"/>
        <w:right w:val="none" w:sz="0" w:space="0" w:color="auto"/>
      </w:divBdr>
    </w:div>
    <w:div w:id="1891107900">
      <w:bodyDiv w:val="1"/>
      <w:marLeft w:val="0"/>
      <w:marRight w:val="0"/>
      <w:marTop w:val="0"/>
      <w:marBottom w:val="0"/>
      <w:divBdr>
        <w:top w:val="none" w:sz="0" w:space="0" w:color="auto"/>
        <w:left w:val="none" w:sz="0" w:space="0" w:color="auto"/>
        <w:bottom w:val="none" w:sz="0" w:space="0" w:color="auto"/>
        <w:right w:val="none" w:sz="0" w:space="0" w:color="auto"/>
      </w:divBdr>
    </w:div>
    <w:div w:id="1928415894">
      <w:bodyDiv w:val="1"/>
      <w:marLeft w:val="0"/>
      <w:marRight w:val="0"/>
      <w:marTop w:val="0"/>
      <w:marBottom w:val="0"/>
      <w:divBdr>
        <w:top w:val="none" w:sz="0" w:space="0" w:color="auto"/>
        <w:left w:val="none" w:sz="0" w:space="0" w:color="auto"/>
        <w:bottom w:val="none" w:sz="0" w:space="0" w:color="auto"/>
        <w:right w:val="none" w:sz="0" w:space="0" w:color="auto"/>
      </w:divBdr>
    </w:div>
    <w:div w:id="2054380864">
      <w:bodyDiv w:val="1"/>
      <w:marLeft w:val="0"/>
      <w:marRight w:val="0"/>
      <w:marTop w:val="0"/>
      <w:marBottom w:val="0"/>
      <w:divBdr>
        <w:top w:val="none" w:sz="0" w:space="0" w:color="auto"/>
        <w:left w:val="none" w:sz="0" w:space="0" w:color="auto"/>
        <w:bottom w:val="none" w:sz="0" w:space="0" w:color="auto"/>
        <w:right w:val="none" w:sz="0" w:space="0" w:color="auto"/>
      </w:divBdr>
    </w:div>
    <w:div w:id="2114091477">
      <w:bodyDiv w:val="1"/>
      <w:marLeft w:val="0"/>
      <w:marRight w:val="0"/>
      <w:marTop w:val="0"/>
      <w:marBottom w:val="0"/>
      <w:divBdr>
        <w:top w:val="none" w:sz="0" w:space="0" w:color="auto"/>
        <w:left w:val="none" w:sz="0" w:space="0" w:color="auto"/>
        <w:bottom w:val="none" w:sz="0" w:space="0" w:color="auto"/>
        <w:right w:val="none" w:sz="0" w:space="0" w:color="auto"/>
      </w:divBdr>
    </w:div>
    <w:div w:id="2115055230">
      <w:bodyDiv w:val="1"/>
      <w:marLeft w:val="0"/>
      <w:marRight w:val="0"/>
      <w:marTop w:val="0"/>
      <w:marBottom w:val="0"/>
      <w:divBdr>
        <w:top w:val="none" w:sz="0" w:space="0" w:color="auto"/>
        <w:left w:val="none" w:sz="0" w:space="0" w:color="auto"/>
        <w:bottom w:val="none" w:sz="0" w:space="0" w:color="auto"/>
        <w:right w:val="none" w:sz="0" w:space="0" w:color="auto"/>
      </w:divBdr>
    </w:div>
    <w:div w:id="213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png"/><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3A14D-02CF-4C15-90E9-C9BB8FFC7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36</Pages>
  <Words>7964</Words>
  <Characters>45397</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Vladanka Vučeljić</dc:creator>
  <cp:keywords/>
  <dc:description/>
  <cp:lastModifiedBy>Zorica Knežević</cp:lastModifiedBy>
  <cp:revision>138</cp:revision>
  <cp:lastPrinted>2020-02-12T16:20:00Z</cp:lastPrinted>
  <dcterms:created xsi:type="dcterms:W3CDTF">2019-02-14T12:18:00Z</dcterms:created>
  <dcterms:modified xsi:type="dcterms:W3CDTF">2020-02-13T16:08:00Z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04cba3-4230-45ca-9216-d82f2af2d78b_Enabled">
    <vt:lpwstr>False</vt:lpwstr>
  </property>
  <property fmtid="{D5CDD505-2E9C-101B-9397-08002B2CF9AE}" pid="3" name="MSIP_Label_d804cba3-4230-45ca-9216-d82f2af2d78b_SiteId">
    <vt:lpwstr>8ffab0aa-8d0d-46af-a297-dfb78955eadf</vt:lpwstr>
  </property>
  <property fmtid="{D5CDD505-2E9C-101B-9397-08002B2CF9AE}" pid="4" name="MSIP_Label_d804cba3-4230-45ca-9216-d82f2af2d78b_Owner">
    <vt:lpwstr>Zorica.Knezevic@dunav.com</vt:lpwstr>
  </property>
  <property fmtid="{D5CDD505-2E9C-101B-9397-08002B2CF9AE}" pid="5" name="MSIP_Label_d804cba3-4230-45ca-9216-d82f2af2d78b_SetDate">
    <vt:lpwstr>2020-02-03T13:05:07.3098834Z</vt:lpwstr>
  </property>
  <property fmtid="{D5CDD505-2E9C-101B-9397-08002B2CF9AE}" pid="6" name="MSIP_Label_d804cba3-4230-45ca-9216-d82f2af2d78b_Name">
    <vt:lpwstr>Interno</vt:lpwstr>
  </property>
  <property fmtid="{D5CDD505-2E9C-101B-9397-08002B2CF9AE}" pid="7" name="MSIP_Label_d804cba3-4230-45ca-9216-d82f2af2d78b_Application">
    <vt:lpwstr>Microsoft Azure Information Protection</vt:lpwstr>
  </property>
  <property fmtid="{D5CDD505-2E9C-101B-9397-08002B2CF9AE}" pid="8" name="MSIP_Label_d804cba3-4230-45ca-9216-d82f2af2d78b_Extended_MSFT_Method">
    <vt:lpwstr>Automatic</vt:lpwstr>
  </property>
  <property fmtid="{D5CDD505-2E9C-101B-9397-08002B2CF9AE}" pid="9" name="MSIP_Label_512323d3-ecdb-4453-a891-cda8887ae10a_Enabled">
    <vt:lpwstr>False</vt:lpwstr>
  </property>
  <property fmtid="{D5CDD505-2E9C-101B-9397-08002B2CF9AE}" pid="10" name="MSIP_Label_512323d3-ecdb-4453-a891-cda8887ae10a_SiteId">
    <vt:lpwstr>8ffab0aa-8d0d-46af-a297-dfb78955eadf</vt:lpwstr>
  </property>
  <property fmtid="{D5CDD505-2E9C-101B-9397-08002B2CF9AE}" pid="11" name="MSIP_Label_512323d3-ecdb-4453-a891-cda8887ae10a_Owner">
    <vt:lpwstr>Zorica.Knezevic@dunav.com</vt:lpwstr>
  </property>
  <property fmtid="{D5CDD505-2E9C-101B-9397-08002B2CF9AE}" pid="12" name="MSIP_Label_512323d3-ecdb-4453-a891-cda8887ae10a_SetDate">
    <vt:lpwstr>2020-02-03T13:05:07.3098834Z</vt:lpwstr>
  </property>
  <property fmtid="{D5CDD505-2E9C-101B-9397-08002B2CF9AE}" pid="13" name="MSIP_Label_512323d3-ecdb-4453-a891-cda8887ae10a_Name">
    <vt:lpwstr>Interno</vt:lpwstr>
  </property>
  <property fmtid="{D5CDD505-2E9C-101B-9397-08002B2CF9AE}" pid="14" name="MSIP_Label_512323d3-ecdb-4453-a891-cda8887ae10a_Application">
    <vt:lpwstr>Microsoft Azure Information Protection</vt:lpwstr>
  </property>
  <property fmtid="{D5CDD505-2E9C-101B-9397-08002B2CF9AE}" pid="15" name="MSIP_Label_512323d3-ecdb-4453-a891-cda8887ae10a_Parent">
    <vt:lpwstr>d804cba3-4230-45ca-9216-d82f2af2d78b</vt:lpwstr>
  </property>
  <property fmtid="{D5CDD505-2E9C-101B-9397-08002B2CF9AE}" pid="16" name="MSIP_Label_512323d3-ecdb-4453-a891-cda8887ae10a_Extended_MSFT_Method">
    <vt:lpwstr>Automatic</vt:lpwstr>
  </property>
</Properties>
</file>