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0DF" w:rsidRPr="00497756" w:rsidRDefault="000E60DF" w:rsidP="000E60DF">
      <w:pPr>
        <w:pStyle w:val="Subtitle"/>
        <w:jc w:val="center"/>
        <w:rPr>
          <w:rFonts w:ascii="Arial" w:hAnsi="Arial" w:cs="Arial"/>
          <w:b/>
          <w:color w:val="323E4F" w:themeColor="text2" w:themeShade="BF"/>
          <w:sz w:val="32"/>
          <w:szCs w:val="32"/>
        </w:rPr>
      </w:pPr>
    </w:p>
    <w:p w:rsidR="000E60DF" w:rsidRPr="00497756" w:rsidRDefault="000E60DF" w:rsidP="000E60DF">
      <w:pPr>
        <w:pStyle w:val="Subtitle"/>
        <w:jc w:val="center"/>
        <w:rPr>
          <w:rFonts w:ascii="Arial" w:hAnsi="Arial" w:cs="Arial"/>
          <w:b/>
          <w:color w:val="323E4F" w:themeColor="text2" w:themeShade="BF"/>
          <w:sz w:val="32"/>
          <w:szCs w:val="32"/>
        </w:rPr>
      </w:pPr>
    </w:p>
    <w:p w:rsidR="001A32DC" w:rsidRPr="00497756" w:rsidRDefault="001A32DC" w:rsidP="001A32DC">
      <w:pPr>
        <w:jc w:val="center"/>
        <w:rPr>
          <w:rFonts w:cs="Arial"/>
          <w:b/>
          <w:color w:val="323E4F" w:themeColor="text2" w:themeShade="BF"/>
          <w:sz w:val="28"/>
          <w:szCs w:val="28"/>
          <w:lang w:val="sr-Cyrl-RS"/>
        </w:rPr>
      </w:pPr>
      <w:r w:rsidRPr="00497756">
        <w:rPr>
          <w:rFonts w:cs="Arial"/>
          <w:b/>
          <w:color w:val="323E4F" w:themeColor="text2" w:themeShade="BF"/>
          <w:sz w:val="28"/>
          <w:szCs w:val="28"/>
          <w:lang w:val="sr-Cyrl-RS"/>
        </w:rPr>
        <w:t>ДРУШТВО ЗА РЕОСИГУРАЊЕ „ДУНАВ РЕ“</w:t>
      </w:r>
    </w:p>
    <w:p w:rsidR="000E60DF" w:rsidRPr="00497756" w:rsidRDefault="000E60DF" w:rsidP="000E60DF">
      <w:pPr>
        <w:pStyle w:val="Subtitle"/>
        <w:jc w:val="center"/>
        <w:rPr>
          <w:rFonts w:ascii="Arial" w:hAnsi="Arial" w:cs="Arial"/>
          <w:b/>
          <w:color w:val="323E4F" w:themeColor="text2" w:themeShade="BF"/>
          <w:sz w:val="32"/>
          <w:szCs w:val="32"/>
        </w:rPr>
      </w:pPr>
    </w:p>
    <w:p w:rsidR="000E60DF" w:rsidRPr="00497756" w:rsidRDefault="000E60DF" w:rsidP="000E60DF">
      <w:pPr>
        <w:pStyle w:val="Subtitle"/>
        <w:jc w:val="center"/>
        <w:rPr>
          <w:rFonts w:ascii="Arial" w:hAnsi="Arial" w:cs="Arial"/>
          <w:b/>
          <w:color w:val="323E4F" w:themeColor="text2" w:themeShade="BF"/>
          <w:sz w:val="32"/>
          <w:szCs w:val="32"/>
        </w:rPr>
      </w:pPr>
    </w:p>
    <w:p w:rsidR="000E60DF" w:rsidRPr="009F410E" w:rsidRDefault="000E60DF" w:rsidP="000E60DF">
      <w:pPr>
        <w:pStyle w:val="Subtitle"/>
        <w:jc w:val="center"/>
        <w:rPr>
          <w:rFonts w:ascii="Arial" w:hAnsi="Arial" w:cs="Arial"/>
          <w:b/>
          <w:color w:val="323E4F" w:themeColor="text2" w:themeShade="BF"/>
          <w:sz w:val="32"/>
          <w:szCs w:val="32"/>
          <w:lang w:val="sr-Cyrl-RS"/>
        </w:rPr>
      </w:pPr>
    </w:p>
    <w:p w:rsidR="00F96420" w:rsidRPr="00497756" w:rsidRDefault="00F96420" w:rsidP="00F96420">
      <w:pPr>
        <w:rPr>
          <w:rFonts w:cs="Arial"/>
          <w:color w:val="323E4F" w:themeColor="text2" w:themeShade="BF"/>
        </w:rPr>
      </w:pPr>
    </w:p>
    <w:p w:rsidR="00BE592B" w:rsidRPr="00497756" w:rsidRDefault="00BE592B" w:rsidP="00F96420">
      <w:pPr>
        <w:rPr>
          <w:rFonts w:cs="Arial"/>
          <w:color w:val="323E4F" w:themeColor="text2" w:themeShade="BF"/>
        </w:rPr>
      </w:pPr>
    </w:p>
    <w:p w:rsidR="000E60DF" w:rsidRPr="00497756" w:rsidRDefault="000E60DF" w:rsidP="000E60DF">
      <w:pPr>
        <w:pStyle w:val="Subtitle"/>
        <w:jc w:val="center"/>
        <w:rPr>
          <w:rStyle w:val="IntenseEmphasis"/>
          <w:rFonts w:ascii="Arial" w:hAnsi="Arial" w:cs="Arial"/>
          <w:color w:val="323E4F" w:themeColor="text2" w:themeShade="BF"/>
          <w:sz w:val="28"/>
          <w:szCs w:val="28"/>
        </w:rPr>
      </w:pPr>
    </w:p>
    <w:p w:rsidR="000E60DF" w:rsidRPr="00497756" w:rsidRDefault="000E60DF" w:rsidP="001A32DC">
      <w:pPr>
        <w:pStyle w:val="Subtitle"/>
        <w:jc w:val="center"/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en-US"/>
        </w:rPr>
      </w:pPr>
      <w:r w:rsidRPr="00497756"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en-US"/>
        </w:rPr>
        <w:t>МИШЉЕЊЕ ОВЛАШЋЕНОГ АКТУАРА</w:t>
      </w:r>
    </w:p>
    <w:p w:rsidR="000E60DF" w:rsidRPr="00497756" w:rsidRDefault="000E60DF" w:rsidP="001A32DC">
      <w:pPr>
        <w:pStyle w:val="Subtitle"/>
        <w:jc w:val="center"/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sr-Cyrl-RS"/>
        </w:rPr>
      </w:pPr>
      <w:r w:rsidRPr="00497756"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en-US"/>
        </w:rPr>
        <w:t xml:space="preserve">НА ГОДИШЊИ ИЗВЕШТАЈ О СПРОВОЂЕЊУ ПОЛИТИКЕ САОСИГУРАЊА И РЕОСИГУРАЊА </w:t>
      </w:r>
      <w:r w:rsidR="001A32DC" w:rsidRPr="00497756"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sr-Cyrl-RS"/>
        </w:rPr>
        <w:t>У 201</w:t>
      </w:r>
      <w:r w:rsidR="00F17D25"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sr-Latn-RS"/>
        </w:rPr>
        <w:t>9</w:t>
      </w:r>
      <w:r w:rsidR="001A32DC" w:rsidRPr="00497756"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sr-Cyrl-RS"/>
        </w:rPr>
        <w:t>. ГОДИНИ</w:t>
      </w:r>
    </w:p>
    <w:p w:rsidR="000E60DF" w:rsidRPr="00497756" w:rsidRDefault="000E60DF" w:rsidP="000E60DF">
      <w:pPr>
        <w:pStyle w:val="Subtitle"/>
        <w:spacing w:line="240" w:lineRule="auto"/>
        <w:jc w:val="center"/>
        <w:rPr>
          <w:rStyle w:val="IntenseEmphasis"/>
          <w:rFonts w:ascii="Arial" w:hAnsi="Arial" w:cs="Arial"/>
          <w:color w:val="323E4F" w:themeColor="text2" w:themeShade="BF"/>
          <w:lang w:val="en-US"/>
        </w:rPr>
      </w:pPr>
    </w:p>
    <w:p w:rsidR="000E60DF" w:rsidRPr="00497756" w:rsidRDefault="000E60DF" w:rsidP="000E60DF">
      <w:pPr>
        <w:pStyle w:val="Subtitle"/>
        <w:spacing w:line="240" w:lineRule="auto"/>
        <w:jc w:val="center"/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en-US"/>
        </w:rPr>
      </w:pPr>
    </w:p>
    <w:p w:rsidR="000E60DF" w:rsidRPr="00497756" w:rsidRDefault="000E60DF" w:rsidP="000E60DF">
      <w:pPr>
        <w:pStyle w:val="Subtitle"/>
        <w:spacing w:line="240" w:lineRule="auto"/>
        <w:jc w:val="center"/>
        <w:rPr>
          <w:rStyle w:val="IntenseEmphasis"/>
          <w:rFonts w:ascii="Arial" w:hAnsi="Arial" w:cs="Arial"/>
          <w:color w:val="323E4F" w:themeColor="text2" w:themeShade="BF"/>
          <w:sz w:val="28"/>
          <w:szCs w:val="28"/>
          <w:lang w:val="en-US"/>
        </w:rPr>
      </w:pPr>
    </w:p>
    <w:p w:rsidR="000E60DF" w:rsidRPr="00497756" w:rsidRDefault="000E60DF" w:rsidP="000E60DF">
      <w:pPr>
        <w:tabs>
          <w:tab w:val="left" w:pos="6135"/>
        </w:tabs>
        <w:rPr>
          <w:rFonts w:cs="Arial"/>
          <w:b/>
          <w:color w:val="323E4F" w:themeColor="text2" w:themeShade="BF"/>
          <w:sz w:val="36"/>
          <w:szCs w:val="36"/>
          <w:lang w:val="sr-Latn-CS"/>
        </w:rPr>
      </w:pPr>
    </w:p>
    <w:p w:rsidR="00F96420" w:rsidRPr="00497756" w:rsidRDefault="00F96420" w:rsidP="000E60DF">
      <w:pPr>
        <w:rPr>
          <w:rFonts w:cs="Arial"/>
          <w:b/>
          <w:color w:val="323E4F" w:themeColor="text2" w:themeShade="BF"/>
          <w:sz w:val="36"/>
          <w:szCs w:val="36"/>
        </w:rPr>
      </w:pPr>
    </w:p>
    <w:p w:rsidR="00106DF3" w:rsidRPr="00497756" w:rsidRDefault="00106DF3" w:rsidP="000E60DF">
      <w:pPr>
        <w:rPr>
          <w:rFonts w:cs="Arial"/>
          <w:b/>
          <w:color w:val="323E4F" w:themeColor="text2" w:themeShade="BF"/>
          <w:sz w:val="36"/>
          <w:szCs w:val="36"/>
        </w:rPr>
      </w:pPr>
    </w:p>
    <w:p w:rsidR="00F96420" w:rsidRPr="00497756" w:rsidRDefault="00F96420" w:rsidP="000E60DF">
      <w:pPr>
        <w:rPr>
          <w:rFonts w:cs="Arial"/>
          <w:b/>
          <w:color w:val="323E4F" w:themeColor="text2" w:themeShade="BF"/>
          <w:sz w:val="36"/>
          <w:szCs w:val="36"/>
        </w:rPr>
      </w:pPr>
    </w:p>
    <w:p w:rsidR="00106DF3" w:rsidRPr="00497756" w:rsidRDefault="00106DF3" w:rsidP="000E60DF">
      <w:pPr>
        <w:rPr>
          <w:rFonts w:cs="Arial"/>
          <w:b/>
          <w:color w:val="323E4F" w:themeColor="text2" w:themeShade="BF"/>
          <w:sz w:val="36"/>
          <w:szCs w:val="36"/>
        </w:rPr>
      </w:pPr>
    </w:p>
    <w:p w:rsidR="00F96420" w:rsidRPr="00497756" w:rsidRDefault="00F96420" w:rsidP="000E60DF">
      <w:pPr>
        <w:rPr>
          <w:rFonts w:cs="Arial"/>
          <w:b/>
          <w:color w:val="323E4F" w:themeColor="text2" w:themeShade="BF"/>
          <w:sz w:val="36"/>
          <w:szCs w:val="36"/>
        </w:rPr>
      </w:pPr>
    </w:p>
    <w:p w:rsidR="000E60DF" w:rsidRPr="00497756" w:rsidRDefault="000E60DF" w:rsidP="000E60DF">
      <w:pPr>
        <w:spacing w:after="120" w:line="240" w:lineRule="auto"/>
        <w:jc w:val="center"/>
        <w:rPr>
          <w:rFonts w:cs="Arial"/>
          <w:b/>
          <w:color w:val="323E4F" w:themeColor="text2" w:themeShade="BF"/>
          <w:sz w:val="24"/>
        </w:rPr>
      </w:pPr>
    </w:p>
    <w:p w:rsidR="001A32DC" w:rsidRPr="00497756" w:rsidRDefault="001A32DC" w:rsidP="001A32DC">
      <w:pPr>
        <w:spacing w:after="120" w:line="240" w:lineRule="auto"/>
        <w:rPr>
          <w:rFonts w:cs="Arial"/>
          <w:b/>
          <w:color w:val="323E4F" w:themeColor="text2" w:themeShade="BF"/>
          <w:sz w:val="24"/>
        </w:rPr>
      </w:pPr>
    </w:p>
    <w:p w:rsidR="001A32DC" w:rsidRPr="00497756" w:rsidRDefault="001A32DC" w:rsidP="000E60DF">
      <w:pPr>
        <w:spacing w:after="120" w:line="240" w:lineRule="auto"/>
        <w:jc w:val="center"/>
        <w:rPr>
          <w:rFonts w:cs="Arial"/>
          <w:b/>
          <w:color w:val="323E4F" w:themeColor="text2" w:themeShade="BF"/>
          <w:sz w:val="24"/>
        </w:rPr>
      </w:pPr>
    </w:p>
    <w:p w:rsidR="001A32DC" w:rsidRPr="00497756" w:rsidRDefault="001A32DC" w:rsidP="001A32DC">
      <w:pPr>
        <w:spacing w:after="120" w:line="240" w:lineRule="auto"/>
        <w:jc w:val="center"/>
        <w:rPr>
          <w:rFonts w:cs="Arial"/>
          <w:b/>
          <w:color w:val="323E4F" w:themeColor="text2" w:themeShade="BF"/>
          <w:sz w:val="24"/>
          <w:lang w:val="sr-Cyrl-RS"/>
        </w:rPr>
      </w:pPr>
      <w:r w:rsidRPr="00497756">
        <w:rPr>
          <w:rFonts w:cs="Arial"/>
          <w:b/>
          <w:color w:val="323E4F" w:themeColor="text2" w:themeShade="BF"/>
          <w:sz w:val="24"/>
          <w:lang w:val="sr-Cyrl-RS"/>
        </w:rPr>
        <w:t>Београд, март 20</w:t>
      </w:r>
      <w:r w:rsidR="00F17D25">
        <w:rPr>
          <w:rFonts w:cs="Arial"/>
          <w:b/>
          <w:color w:val="323E4F" w:themeColor="text2" w:themeShade="BF"/>
          <w:sz w:val="24"/>
          <w:lang w:val="sr-Latn-RS"/>
        </w:rPr>
        <w:t>20</w:t>
      </w:r>
      <w:r w:rsidRPr="00497756">
        <w:rPr>
          <w:rFonts w:cs="Arial"/>
          <w:b/>
          <w:color w:val="323E4F" w:themeColor="text2" w:themeShade="BF"/>
          <w:sz w:val="24"/>
          <w:lang w:val="sr-Cyrl-RS"/>
        </w:rPr>
        <w:t>.</w:t>
      </w:r>
    </w:p>
    <w:p w:rsidR="001A32DC" w:rsidRPr="00497756" w:rsidRDefault="001A32DC" w:rsidP="001A32DC">
      <w:pPr>
        <w:rPr>
          <w:color w:val="323E4F" w:themeColor="text2" w:themeShade="BF"/>
          <w:lang w:val="sr-Cyrl-RS"/>
        </w:rPr>
      </w:pPr>
      <w:r w:rsidRPr="00497756">
        <w:rPr>
          <w:color w:val="323E4F" w:themeColor="text2" w:themeShade="BF"/>
          <w:lang w:val="sr-Cyrl-RS"/>
        </w:rPr>
        <w:br w:type="page"/>
      </w:r>
    </w:p>
    <w:p w:rsidR="0056385C" w:rsidRPr="00497756" w:rsidRDefault="0056385C" w:rsidP="009F4AE3">
      <w:pPr>
        <w:spacing w:line="276" w:lineRule="auto"/>
        <w:rPr>
          <w:rFonts w:cs="Arial"/>
          <w:b/>
          <w:color w:val="323E4F" w:themeColor="text2" w:themeShade="BF"/>
          <w:sz w:val="24"/>
          <w:lang w:val="sr-Cyrl-RS"/>
        </w:rPr>
      </w:pPr>
      <w:r w:rsidRPr="00497756">
        <w:rPr>
          <w:rFonts w:cs="Arial"/>
          <w:color w:val="323E4F" w:themeColor="text2" w:themeShade="BF"/>
          <w:sz w:val="22"/>
          <w:szCs w:val="22"/>
        </w:rPr>
        <w:lastRenderedPageBreak/>
        <w:t xml:space="preserve">За </w:t>
      </w:r>
      <w:r w:rsidR="001A32DC" w:rsidRPr="00497756">
        <w:rPr>
          <w:rFonts w:cs="Arial"/>
          <w:color w:val="323E4F" w:themeColor="text2" w:themeShade="BF"/>
          <w:sz w:val="22"/>
          <w:szCs w:val="22"/>
        </w:rPr>
        <w:t>потребе Друштва за реосигурање „ДУНАВ-РЕ“</w:t>
      </w:r>
      <w:r w:rsidRPr="00497756">
        <w:rPr>
          <w:rFonts w:cs="Arial"/>
          <w:color w:val="323E4F" w:themeColor="text2" w:themeShade="BF"/>
          <w:sz w:val="22"/>
          <w:szCs w:val="22"/>
        </w:rPr>
        <w:t xml:space="preserve"> а.д.о, Кнез Михаилова 6/II, Београд, а</w:t>
      </w:r>
      <w:r w:rsidR="001A32DC" w:rsidRPr="00497756">
        <w:rPr>
          <w:rFonts w:cs="Arial"/>
          <w:color w:val="323E4F" w:themeColor="text2" w:themeShade="BF"/>
          <w:sz w:val="22"/>
          <w:szCs w:val="22"/>
        </w:rPr>
        <w:t xml:space="preserve"> на основу Закона о осигурању („Службени гласник РС“</w:t>
      </w:r>
      <w:r w:rsidRPr="00497756">
        <w:rPr>
          <w:rFonts w:cs="Arial"/>
          <w:color w:val="323E4F" w:themeColor="text2" w:themeShade="BF"/>
          <w:sz w:val="22"/>
          <w:szCs w:val="22"/>
        </w:rPr>
        <w:t xml:space="preserve"> бр.139/14), Одлуке о извештавању друш</w:t>
      </w:r>
      <w:r w:rsidR="001A32DC" w:rsidRPr="00497756">
        <w:rPr>
          <w:rFonts w:cs="Arial"/>
          <w:color w:val="323E4F" w:themeColor="text2" w:themeShade="BF"/>
          <w:sz w:val="22"/>
          <w:szCs w:val="22"/>
        </w:rPr>
        <w:t>тава за осигурање/реосигурање („Службени гласник РС“</w:t>
      </w:r>
      <w:r w:rsidRPr="00497756">
        <w:rPr>
          <w:rFonts w:cs="Arial"/>
          <w:color w:val="323E4F" w:themeColor="text2" w:themeShade="BF"/>
          <w:sz w:val="22"/>
          <w:szCs w:val="22"/>
        </w:rPr>
        <w:t xml:space="preserve"> бр. 55/2015) и Одлуке о садржи</w:t>
      </w:r>
      <w:r w:rsidR="001A32DC" w:rsidRPr="00497756">
        <w:rPr>
          <w:rFonts w:cs="Arial"/>
          <w:color w:val="323E4F" w:themeColor="text2" w:themeShade="BF"/>
          <w:sz w:val="22"/>
          <w:szCs w:val="22"/>
        </w:rPr>
        <w:t>ни мишљења овлашћеног актуара („</w:t>
      </w:r>
      <w:r w:rsidRPr="00497756">
        <w:rPr>
          <w:rFonts w:cs="Arial"/>
          <w:color w:val="323E4F" w:themeColor="text2" w:themeShade="BF"/>
          <w:sz w:val="22"/>
          <w:szCs w:val="22"/>
        </w:rPr>
        <w:t>Службени гласник РС</w:t>
      </w:r>
      <w:r w:rsidR="001A32DC" w:rsidRPr="00497756">
        <w:rPr>
          <w:rFonts w:cs="Arial"/>
          <w:color w:val="323E4F" w:themeColor="text2" w:themeShade="BF"/>
          <w:sz w:val="22"/>
          <w:szCs w:val="22"/>
          <w:lang w:val="sr-Cyrl-RS"/>
        </w:rPr>
        <w:t>“</w:t>
      </w:r>
      <w:r w:rsidRPr="00497756">
        <w:rPr>
          <w:rFonts w:cs="Arial"/>
          <w:color w:val="323E4F" w:themeColor="text2" w:themeShade="BF"/>
          <w:sz w:val="22"/>
          <w:szCs w:val="22"/>
        </w:rPr>
        <w:t xml:space="preserve"> бр. 38/2015) дајем: </w:t>
      </w:r>
    </w:p>
    <w:p w:rsidR="0056385C" w:rsidRPr="00497756" w:rsidRDefault="0056385C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</w:p>
    <w:p w:rsidR="009F4AE3" w:rsidRPr="00497756" w:rsidRDefault="009F4AE3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</w:p>
    <w:p w:rsidR="009F4AE3" w:rsidRPr="00497756" w:rsidRDefault="009F4AE3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</w:p>
    <w:p w:rsidR="001A2E9B" w:rsidRPr="00497756" w:rsidRDefault="001A2E9B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</w:p>
    <w:p w:rsidR="0056385C" w:rsidRPr="00497756" w:rsidRDefault="0056385C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</w:p>
    <w:p w:rsidR="00BD41C6" w:rsidRPr="00497756" w:rsidRDefault="00BD41C6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  <w:r w:rsidRPr="00497756">
        <w:rPr>
          <w:rFonts w:cs="Arial"/>
          <w:b/>
          <w:color w:val="323E4F" w:themeColor="text2" w:themeShade="BF"/>
          <w:sz w:val="22"/>
          <w:szCs w:val="22"/>
        </w:rPr>
        <w:t>МИШЉЕЊЕ ОВЛАШЋЕНОГ АКТУАРА</w:t>
      </w:r>
    </w:p>
    <w:p w:rsidR="00BD41C6" w:rsidRPr="00497756" w:rsidRDefault="00BD41C6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</w:p>
    <w:p w:rsidR="00BD41C6" w:rsidRPr="00497756" w:rsidRDefault="00373C74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  <w:r w:rsidRPr="00497756">
        <w:rPr>
          <w:rFonts w:cs="Arial"/>
          <w:b/>
          <w:color w:val="323E4F" w:themeColor="text2" w:themeShade="BF"/>
          <w:sz w:val="22"/>
          <w:szCs w:val="22"/>
        </w:rPr>
        <w:t>Н</w:t>
      </w:r>
      <w:r w:rsidR="00BD41C6" w:rsidRPr="00497756">
        <w:rPr>
          <w:rFonts w:cs="Arial"/>
          <w:b/>
          <w:color w:val="323E4F" w:themeColor="text2" w:themeShade="BF"/>
          <w:sz w:val="22"/>
          <w:szCs w:val="22"/>
        </w:rPr>
        <w:t>А ГОДИШЊИ ИЗВЕШТАЈ О СПРОВОЂЕЊУ</w:t>
      </w:r>
      <w:r w:rsidR="00BD41C6" w:rsidRPr="00497756">
        <w:rPr>
          <w:rFonts w:cs="Arial"/>
          <w:b/>
          <w:color w:val="323E4F" w:themeColor="text2" w:themeShade="BF"/>
          <w:sz w:val="22"/>
          <w:szCs w:val="22"/>
          <w:lang w:val="sr-Cyrl-RS"/>
        </w:rPr>
        <w:t xml:space="preserve"> </w:t>
      </w:r>
      <w:r w:rsidR="00BD41C6" w:rsidRPr="00497756">
        <w:rPr>
          <w:rFonts w:cs="Arial"/>
          <w:b/>
          <w:color w:val="323E4F" w:themeColor="text2" w:themeShade="BF"/>
          <w:sz w:val="22"/>
          <w:szCs w:val="22"/>
        </w:rPr>
        <w:t>ПОЛИТИКЕ САОСИГУРАЊА</w:t>
      </w:r>
    </w:p>
    <w:p w:rsidR="000E60DF" w:rsidRPr="00497756" w:rsidRDefault="00373C74" w:rsidP="009F4AE3">
      <w:pPr>
        <w:spacing w:line="276" w:lineRule="auto"/>
        <w:jc w:val="center"/>
        <w:rPr>
          <w:rFonts w:cs="Arial"/>
          <w:b/>
          <w:color w:val="323E4F" w:themeColor="text2" w:themeShade="BF"/>
          <w:sz w:val="22"/>
          <w:szCs w:val="22"/>
        </w:rPr>
      </w:pPr>
      <w:r w:rsidRPr="00497756">
        <w:rPr>
          <w:rFonts w:cs="Arial"/>
          <w:b/>
          <w:color w:val="323E4F" w:themeColor="text2" w:themeShade="BF"/>
          <w:sz w:val="22"/>
          <w:szCs w:val="22"/>
        </w:rPr>
        <w:t>И РЕОСИГУРАЊА</w:t>
      </w:r>
      <w:r w:rsidR="00BD41C6" w:rsidRPr="00497756">
        <w:rPr>
          <w:rFonts w:cs="Arial"/>
          <w:b/>
          <w:color w:val="323E4F" w:themeColor="text2" w:themeShade="BF"/>
          <w:sz w:val="22"/>
          <w:szCs w:val="22"/>
          <w:lang w:val="sr-Cyrl-RS"/>
        </w:rPr>
        <w:t xml:space="preserve"> </w:t>
      </w:r>
      <w:r w:rsidR="00F758C1" w:rsidRPr="00497756">
        <w:rPr>
          <w:rFonts w:cs="Arial"/>
          <w:b/>
          <w:color w:val="323E4F" w:themeColor="text2" w:themeShade="BF"/>
          <w:sz w:val="22"/>
          <w:szCs w:val="22"/>
        </w:rPr>
        <w:t>ДРУШТВА ЗА РЕОСИГУРАЊЕ „ДУНАВ-РЕ“</w:t>
      </w:r>
      <w:r w:rsidR="000E60DF" w:rsidRPr="00497756">
        <w:rPr>
          <w:rFonts w:cs="Arial"/>
          <w:b/>
          <w:color w:val="323E4F" w:themeColor="text2" w:themeShade="BF"/>
          <w:sz w:val="22"/>
          <w:szCs w:val="22"/>
        </w:rPr>
        <w:t xml:space="preserve"> БЕОГРАД</w:t>
      </w:r>
    </w:p>
    <w:p w:rsidR="000E60DF" w:rsidRPr="00497756" w:rsidRDefault="000E60DF" w:rsidP="009F4AE3">
      <w:pPr>
        <w:spacing w:line="276" w:lineRule="auto"/>
        <w:jc w:val="center"/>
        <w:outlineLvl w:val="0"/>
        <w:rPr>
          <w:rFonts w:cs="Arial"/>
          <w:b/>
          <w:color w:val="323E4F" w:themeColor="text2" w:themeShade="BF"/>
          <w:sz w:val="22"/>
          <w:szCs w:val="22"/>
        </w:rPr>
      </w:pPr>
      <w:r w:rsidRPr="00497756">
        <w:rPr>
          <w:rFonts w:cs="Arial"/>
          <w:b/>
          <w:color w:val="323E4F" w:themeColor="text2" w:themeShade="BF"/>
          <w:sz w:val="22"/>
          <w:szCs w:val="22"/>
        </w:rPr>
        <w:t>ЗА ПОСЛОВ</w:t>
      </w:r>
      <w:r w:rsidR="009E5D46" w:rsidRPr="00497756">
        <w:rPr>
          <w:rFonts w:cs="Arial"/>
          <w:b/>
          <w:color w:val="323E4F" w:themeColor="text2" w:themeShade="BF"/>
          <w:sz w:val="22"/>
          <w:szCs w:val="22"/>
          <w:lang w:val="sr-Cyrl-RS"/>
        </w:rPr>
        <w:t>Н</w:t>
      </w:r>
      <w:r w:rsidRPr="00497756">
        <w:rPr>
          <w:rFonts w:cs="Arial"/>
          <w:b/>
          <w:color w:val="323E4F" w:themeColor="text2" w:themeShade="BF"/>
          <w:sz w:val="22"/>
          <w:szCs w:val="22"/>
        </w:rPr>
        <w:t>У 201</w:t>
      </w:r>
      <w:r w:rsidR="00F17D25">
        <w:rPr>
          <w:rFonts w:cs="Arial"/>
          <w:b/>
          <w:color w:val="323E4F" w:themeColor="text2" w:themeShade="BF"/>
          <w:sz w:val="22"/>
          <w:szCs w:val="22"/>
        </w:rPr>
        <w:t>9</w:t>
      </w:r>
      <w:r w:rsidRPr="00497756">
        <w:rPr>
          <w:rFonts w:cs="Arial"/>
          <w:b/>
          <w:color w:val="323E4F" w:themeColor="text2" w:themeShade="BF"/>
          <w:sz w:val="22"/>
          <w:szCs w:val="22"/>
        </w:rPr>
        <w:t>. ГОДИНУ</w:t>
      </w:r>
    </w:p>
    <w:p w:rsidR="000E60DF" w:rsidRPr="00497756" w:rsidRDefault="000E60DF" w:rsidP="009F4AE3">
      <w:pPr>
        <w:spacing w:line="276" w:lineRule="auto"/>
        <w:jc w:val="center"/>
        <w:rPr>
          <w:rFonts w:cs="Arial"/>
          <w:color w:val="323E4F" w:themeColor="text2" w:themeShade="BF"/>
          <w:sz w:val="22"/>
          <w:szCs w:val="22"/>
        </w:rPr>
      </w:pPr>
    </w:p>
    <w:p w:rsidR="00BD41C6" w:rsidRPr="00497756" w:rsidRDefault="00BD41C6" w:rsidP="009F4AE3">
      <w:pPr>
        <w:spacing w:line="276" w:lineRule="auto"/>
        <w:jc w:val="center"/>
        <w:rPr>
          <w:rFonts w:cs="Arial"/>
          <w:color w:val="323E4F" w:themeColor="text2" w:themeShade="BF"/>
          <w:sz w:val="22"/>
          <w:szCs w:val="22"/>
        </w:rPr>
      </w:pPr>
    </w:p>
    <w:p w:rsidR="00BD41C6" w:rsidRPr="00497756" w:rsidRDefault="00BD41C6" w:rsidP="009F4AE3">
      <w:pPr>
        <w:spacing w:line="276" w:lineRule="auto"/>
        <w:jc w:val="center"/>
        <w:rPr>
          <w:rFonts w:cs="Arial"/>
          <w:color w:val="323E4F" w:themeColor="text2" w:themeShade="BF"/>
          <w:sz w:val="22"/>
          <w:szCs w:val="22"/>
        </w:rPr>
      </w:pPr>
    </w:p>
    <w:p w:rsidR="00373C74" w:rsidRPr="00497756" w:rsidRDefault="00373C74" w:rsidP="009F4AE3">
      <w:pPr>
        <w:spacing w:line="276" w:lineRule="auto"/>
        <w:rPr>
          <w:rFonts w:cs="Arial"/>
          <w:color w:val="323E4F" w:themeColor="text2" w:themeShade="BF"/>
          <w:sz w:val="22"/>
          <w:szCs w:val="22"/>
        </w:rPr>
      </w:pPr>
    </w:p>
    <w:p w:rsidR="00BE7ACA" w:rsidRPr="00497756" w:rsidRDefault="0056385C" w:rsidP="009F4AE3">
      <w:pPr>
        <w:spacing w:line="276" w:lineRule="auto"/>
        <w:ind w:right="69"/>
        <w:rPr>
          <w:rFonts w:eastAsia="Arial" w:cs="Arial"/>
          <w:color w:val="323E4F" w:themeColor="text2" w:themeShade="BF"/>
          <w:sz w:val="17"/>
          <w:szCs w:val="17"/>
        </w:rPr>
      </w:pPr>
      <w:r w:rsidRPr="00497756">
        <w:rPr>
          <w:rFonts w:cs="Arial"/>
          <w:color w:val="323E4F" w:themeColor="text2" w:themeShade="BF"/>
          <w:sz w:val="22"/>
          <w:szCs w:val="22"/>
        </w:rPr>
        <w:t>Друштвo</w:t>
      </w:r>
      <w:r w:rsidR="00E02A30" w:rsidRPr="00497756">
        <w:rPr>
          <w:rFonts w:cs="Arial"/>
          <w:color w:val="323E4F" w:themeColor="text2" w:themeShade="BF"/>
          <w:sz w:val="22"/>
          <w:szCs w:val="22"/>
        </w:rPr>
        <w:t xml:space="preserve"> за реосигурање »ДУНАВ-РЕ« а.д.о, Београд (у даљем тексту: Друштво) </w:t>
      </w:r>
      <w:r w:rsidR="00A365EF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се бави преузимањем </w:t>
      </w:r>
      <w:r w:rsidR="009F4D94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ризика </w:t>
      </w:r>
      <w:r w:rsidR="008D2111">
        <w:rPr>
          <w:rFonts w:eastAsia="Arial" w:cs="Arial"/>
          <w:color w:val="323E4F" w:themeColor="text2" w:themeShade="BF"/>
          <w:sz w:val="22"/>
          <w:szCs w:val="22"/>
          <w:lang w:val="sr-Cyrl-RS"/>
        </w:rPr>
        <w:t xml:space="preserve">у реосигурање </w:t>
      </w:r>
      <w:r w:rsidR="009F4D94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од домаћих и иностраних осигуравајућих друштава </w:t>
      </w:r>
      <w:r w:rsidR="00A365EF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у </w:t>
      </w:r>
      <w:r w:rsidR="009F4D94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(активни послови) </w:t>
      </w:r>
      <w:r w:rsidR="00A365EF" w:rsidRPr="00497756">
        <w:rPr>
          <w:rFonts w:eastAsia="Arial" w:cs="Arial"/>
          <w:color w:val="323E4F" w:themeColor="text2" w:themeShade="BF"/>
          <w:sz w:val="22"/>
          <w:szCs w:val="22"/>
        </w:rPr>
        <w:t>и предајом</w:t>
      </w:r>
      <w:r w:rsidR="009F4D94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 вишкова ризика</w:t>
      </w:r>
      <w:r w:rsidR="00A365EF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 </w:t>
      </w:r>
      <w:r w:rsidR="009F4D94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изнад самопридржаја </w:t>
      </w:r>
      <w:r w:rsidR="00A365EF" w:rsidRPr="00497756">
        <w:rPr>
          <w:rFonts w:eastAsia="Arial" w:cs="Arial"/>
          <w:color w:val="323E4F" w:themeColor="text2" w:themeShade="BF"/>
          <w:sz w:val="22"/>
          <w:szCs w:val="22"/>
        </w:rPr>
        <w:t>у ретроцесију иностраним реосигуравајућим друштвима (пасивни послови).</w:t>
      </w:r>
      <w:r w:rsidR="009F4D94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 </w:t>
      </w:r>
      <w:r w:rsidR="00E02A30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Друштво већ дуги низ година </w:t>
      </w:r>
      <w:r w:rsidR="00A365EF" w:rsidRPr="00497756">
        <w:rPr>
          <w:rFonts w:eastAsia="Arial" w:cs="Arial"/>
          <w:color w:val="323E4F" w:themeColor="text2" w:themeShade="BF"/>
          <w:sz w:val="22"/>
          <w:szCs w:val="22"/>
        </w:rPr>
        <w:t>успешно обавља функцију реосигуравајуће заштите осигураних ризика својих цедената уз уважавање општих економских начела и начела струке реосигурања</w:t>
      </w:r>
      <w:r w:rsidR="00E02A30" w:rsidRPr="00497756">
        <w:rPr>
          <w:rFonts w:eastAsia="Arial" w:cs="Arial"/>
          <w:color w:val="323E4F" w:themeColor="text2" w:themeShade="BF"/>
          <w:sz w:val="22"/>
          <w:szCs w:val="22"/>
        </w:rPr>
        <w:t>, кроз даљу адекватну заштиту вишкова преузетих ризика путем преноса у ретроцесију</w:t>
      </w:r>
      <w:r w:rsidR="00BE7ACA" w:rsidRPr="00497756">
        <w:rPr>
          <w:rFonts w:eastAsia="Arial" w:cs="Arial"/>
          <w:color w:val="323E4F" w:themeColor="text2" w:themeShade="BF"/>
          <w:sz w:val="22"/>
          <w:szCs w:val="22"/>
        </w:rPr>
        <w:t>. Ретроцесија се врши</w:t>
      </w:r>
      <w:r w:rsidR="00E02A30" w:rsidRPr="00497756">
        <w:rPr>
          <w:rFonts w:eastAsia="Arial" w:cs="Arial"/>
          <w:color w:val="323E4F" w:themeColor="text2" w:themeShade="BF"/>
          <w:sz w:val="22"/>
          <w:szCs w:val="22"/>
        </w:rPr>
        <w:t xml:space="preserve"> на 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>инострано тржиште</w:t>
      </w:r>
      <w:r w:rsidR="00BE7ACA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, пре свега 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код </w:t>
      </w:r>
      <w:r w:rsidR="00BE7ACA" w:rsidRPr="00874B3B">
        <w:rPr>
          <w:rFonts w:eastAsia="Arial" w:cs="Arial"/>
          <w:color w:val="323E4F" w:themeColor="text2" w:themeShade="BF"/>
          <w:sz w:val="22"/>
          <w:szCs w:val="22"/>
        </w:rPr>
        <w:t>реномираних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 реосигуравач</w:t>
      </w:r>
      <w:r w:rsidR="00BE7ACA" w:rsidRPr="00874B3B">
        <w:rPr>
          <w:rFonts w:eastAsia="Arial" w:cs="Arial"/>
          <w:color w:val="323E4F" w:themeColor="text2" w:themeShade="BF"/>
          <w:sz w:val="22"/>
          <w:szCs w:val="22"/>
        </w:rPr>
        <w:t>а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 који имају одличан рејтинг</w:t>
      </w:r>
      <w:r w:rsidR="001770BD" w:rsidRPr="00874B3B">
        <w:rPr>
          <w:rFonts w:eastAsia="Arial" w:cs="Arial"/>
          <w:color w:val="323E4F" w:themeColor="text2" w:themeShade="BF"/>
          <w:sz w:val="22"/>
          <w:szCs w:val="22"/>
        </w:rPr>
        <w:t>,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 као што су Lloyds, </w:t>
      </w:r>
      <w:r w:rsidR="00466664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Triglav Re, Allianz, Hannover Re , 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Munich Re, </w:t>
      </w:r>
      <w:r w:rsidR="00466664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Sava Re, SCOR Global PC&amp;Germany, Global Aerospace, 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>Swiss Re</w:t>
      </w:r>
      <w:r w:rsidR="008D2111">
        <w:rPr>
          <w:rFonts w:eastAsia="Arial" w:cs="Arial"/>
          <w:color w:val="323E4F" w:themeColor="text2" w:themeShade="BF"/>
          <w:sz w:val="22"/>
          <w:szCs w:val="22"/>
          <w:lang w:val="sr-Cyrl-RS"/>
        </w:rPr>
        <w:t xml:space="preserve">, </w:t>
      </w:r>
      <w:r w:rsidR="008D2111">
        <w:rPr>
          <w:rFonts w:eastAsia="Arial" w:cs="Arial"/>
          <w:color w:val="323E4F" w:themeColor="text2" w:themeShade="BF"/>
          <w:sz w:val="22"/>
          <w:szCs w:val="22"/>
          <w:lang w:val="sr-Latn-RS"/>
        </w:rPr>
        <w:t>PICC Property&amp;Casualty Compani Limited, Sogaz OJSC Moscow</w:t>
      </w:r>
      <w:r w:rsidR="00E02A30" w:rsidRPr="00874B3B">
        <w:rPr>
          <w:rFonts w:eastAsia="Arial" w:cs="Arial"/>
          <w:color w:val="323E4F" w:themeColor="text2" w:themeShade="BF"/>
          <w:sz w:val="22"/>
          <w:szCs w:val="22"/>
        </w:rPr>
        <w:t xml:space="preserve"> и други</w:t>
      </w:r>
      <w:r w:rsidR="00A365EF" w:rsidRPr="00874B3B">
        <w:rPr>
          <w:rFonts w:eastAsia="Arial" w:cs="Arial"/>
          <w:color w:val="323E4F" w:themeColor="text2" w:themeShade="BF"/>
          <w:sz w:val="22"/>
          <w:szCs w:val="22"/>
        </w:rPr>
        <w:t>.</w:t>
      </w:r>
      <w:r w:rsidR="00A365EF" w:rsidRPr="00497756">
        <w:rPr>
          <w:rFonts w:eastAsia="Arial" w:cs="Arial"/>
          <w:color w:val="323E4F" w:themeColor="text2" w:themeShade="BF"/>
          <w:sz w:val="17"/>
          <w:szCs w:val="17"/>
        </w:rPr>
        <w:t xml:space="preserve"> </w:t>
      </w:r>
    </w:p>
    <w:p w:rsidR="00EC5776" w:rsidRPr="00497756" w:rsidRDefault="00EC5776" w:rsidP="009F4AE3">
      <w:pPr>
        <w:spacing w:line="276" w:lineRule="auto"/>
        <w:ind w:right="69"/>
        <w:rPr>
          <w:rFonts w:eastAsia="Arial" w:cs="Arial"/>
          <w:color w:val="323E4F" w:themeColor="text2" w:themeShade="BF"/>
          <w:sz w:val="17"/>
          <w:szCs w:val="17"/>
        </w:rPr>
      </w:pPr>
    </w:p>
    <w:p w:rsidR="00BF54A9" w:rsidRPr="00497756" w:rsidRDefault="00BF54A9" w:rsidP="009F4AE3">
      <w:pPr>
        <w:autoSpaceDE w:val="0"/>
        <w:autoSpaceDN w:val="0"/>
        <w:adjustRightInd w:val="0"/>
        <w:spacing w:line="276" w:lineRule="auto"/>
        <w:rPr>
          <w:rFonts w:cs="Arial"/>
          <w:color w:val="323E4F" w:themeColor="text2" w:themeShade="BF"/>
          <w:sz w:val="22"/>
          <w:szCs w:val="22"/>
          <w:lang w:val="sr-Latn-CS"/>
        </w:rPr>
      </w:pPr>
      <w:r w:rsidRPr="00497756">
        <w:rPr>
          <w:rFonts w:cs="Arial"/>
          <w:color w:val="323E4F" w:themeColor="text2" w:themeShade="BF"/>
          <w:sz w:val="22"/>
          <w:szCs w:val="22"/>
          <w:lang w:val="sr-Latn-CS"/>
        </w:rPr>
        <w:t xml:space="preserve">Пре пријема и пласирања вишка ризика, Друштво утврђује ризичност и финансијску способност цедената и ретроцесионара на основу: расположивих података о међусобној пословној сарадњи, рејтингу, финансијских и других извештаја. Сви цеденти и ретроцесионари сврставају се у поједине категорије ризичности по којима Друштво поступа на адекватан начин у циљу </w:t>
      </w:r>
      <w:r w:rsidR="00F17D25">
        <w:rPr>
          <w:rFonts w:cs="Arial"/>
          <w:color w:val="323E4F" w:themeColor="text2" w:themeShade="BF"/>
          <w:sz w:val="22"/>
          <w:szCs w:val="22"/>
          <w:lang w:val="sr-Cyrl-RS"/>
        </w:rPr>
        <w:t>оптимизације</w:t>
      </w:r>
      <w:r w:rsidRPr="00497756">
        <w:rPr>
          <w:rFonts w:cs="Arial"/>
          <w:color w:val="323E4F" w:themeColor="text2" w:themeShade="BF"/>
          <w:sz w:val="22"/>
          <w:szCs w:val="22"/>
          <w:lang w:val="sr-Latn-CS"/>
        </w:rPr>
        <w:t xml:space="preserve"> ризика. </w:t>
      </w:r>
      <w:r w:rsidR="0056385C" w:rsidRPr="00497756">
        <w:rPr>
          <w:rFonts w:cs="Arial"/>
          <w:color w:val="323E4F" w:themeColor="text2" w:themeShade="BF"/>
          <w:sz w:val="22"/>
          <w:szCs w:val="22"/>
        </w:rPr>
        <w:t xml:space="preserve">У складу са тим закључују се и одговарајући уговори. </w:t>
      </w:r>
      <w:r w:rsidRPr="00497756">
        <w:rPr>
          <w:rFonts w:cs="Arial"/>
          <w:color w:val="323E4F" w:themeColor="text2" w:themeShade="BF"/>
          <w:sz w:val="22"/>
          <w:szCs w:val="22"/>
          <w:lang w:val="sr-Latn-CS"/>
        </w:rPr>
        <w:t>Оваквим поступањем Друштво обезбеђује очување сталне ликвидности, солвентности и адекватности капитала.</w:t>
      </w:r>
    </w:p>
    <w:p w:rsidR="00BF54A9" w:rsidRPr="00497756" w:rsidRDefault="00BF54A9" w:rsidP="009F4AE3">
      <w:pPr>
        <w:spacing w:line="276" w:lineRule="auto"/>
        <w:ind w:right="69"/>
        <w:rPr>
          <w:rFonts w:eastAsia="Arial" w:cs="Arial"/>
          <w:color w:val="323E4F" w:themeColor="text2" w:themeShade="BF"/>
          <w:sz w:val="17"/>
          <w:szCs w:val="17"/>
        </w:rPr>
      </w:pPr>
    </w:p>
    <w:p w:rsidR="00A365EF" w:rsidRPr="00497756" w:rsidRDefault="00A365EF" w:rsidP="009F4AE3">
      <w:pPr>
        <w:spacing w:line="276" w:lineRule="auto"/>
        <w:rPr>
          <w:rFonts w:cs="Arial"/>
          <w:color w:val="323E4F" w:themeColor="text2" w:themeShade="BF"/>
          <w:sz w:val="22"/>
          <w:szCs w:val="22"/>
          <w:lang w:val="sr-Cyrl-CS"/>
        </w:rPr>
      </w:pPr>
    </w:p>
    <w:p w:rsidR="00A365EF" w:rsidRPr="00497756" w:rsidRDefault="00A365EF" w:rsidP="009F4AE3">
      <w:pPr>
        <w:spacing w:line="276" w:lineRule="auto"/>
        <w:rPr>
          <w:rFonts w:cs="Arial"/>
          <w:color w:val="323E4F" w:themeColor="text2" w:themeShade="BF"/>
          <w:sz w:val="22"/>
          <w:szCs w:val="22"/>
          <w:lang w:val="sr-Cyrl-CS"/>
        </w:rPr>
      </w:pPr>
      <w:r w:rsidRPr="00497756">
        <w:rPr>
          <w:rFonts w:cs="Arial"/>
          <w:color w:val="323E4F" w:themeColor="text2" w:themeShade="BF"/>
          <w:sz w:val="22"/>
          <w:szCs w:val="22"/>
          <w:lang w:val="sr-Cyrl-CS"/>
        </w:rPr>
        <w:t>Током 201</w:t>
      </w:r>
      <w:r w:rsidR="00F17D25">
        <w:rPr>
          <w:rFonts w:cs="Arial"/>
          <w:color w:val="323E4F" w:themeColor="text2" w:themeShade="BF"/>
          <w:sz w:val="22"/>
          <w:szCs w:val="22"/>
          <w:lang w:val="sr-Cyrl-CS"/>
        </w:rPr>
        <w:t>9</w:t>
      </w:r>
      <w:r w:rsidRPr="00497756">
        <w:rPr>
          <w:rFonts w:cs="Arial"/>
          <w:color w:val="323E4F" w:themeColor="text2" w:themeShade="BF"/>
          <w:sz w:val="22"/>
          <w:szCs w:val="22"/>
          <w:lang w:val="sr-Cyrl-CS"/>
        </w:rPr>
        <w:t xml:space="preserve">. године </w:t>
      </w:r>
      <w:r w:rsidR="00F17D25">
        <w:rPr>
          <w:rFonts w:cs="Arial"/>
          <w:color w:val="323E4F" w:themeColor="text2" w:themeShade="BF"/>
          <w:sz w:val="22"/>
          <w:szCs w:val="22"/>
          <w:lang w:val="sr-Cyrl-CS"/>
        </w:rPr>
        <w:t>Друштво</w:t>
      </w:r>
      <w:r w:rsidRPr="00497756">
        <w:rPr>
          <w:rFonts w:cs="Arial"/>
          <w:color w:val="323E4F" w:themeColor="text2" w:themeShade="BF"/>
          <w:sz w:val="22"/>
          <w:szCs w:val="22"/>
          <w:lang w:val="sr-Cyrl-CS"/>
        </w:rPr>
        <w:t xml:space="preserve"> је спроводил</w:t>
      </w:r>
      <w:r w:rsidR="00F17D25">
        <w:rPr>
          <w:rFonts w:cs="Arial"/>
          <w:color w:val="323E4F" w:themeColor="text2" w:themeShade="BF"/>
          <w:sz w:val="22"/>
          <w:szCs w:val="22"/>
          <w:lang w:val="sr-Cyrl-CS"/>
        </w:rPr>
        <w:t>о</w:t>
      </w:r>
      <w:r w:rsidRPr="00497756">
        <w:rPr>
          <w:rFonts w:cs="Arial"/>
          <w:color w:val="323E4F" w:themeColor="text2" w:themeShade="BF"/>
          <w:sz w:val="22"/>
          <w:szCs w:val="22"/>
          <w:lang w:val="sr-Cyrl-CS"/>
        </w:rPr>
        <w:t xml:space="preserve"> одговорну и опрезну политику саосигурања и реосигурања вишкова ризика, тако да током године нису забележени случајеви да је у портфељу задржан ризик изнад нивоа самопридржаја, односно да је дошло до погрешне процене.</w:t>
      </w:r>
    </w:p>
    <w:p w:rsidR="00A365EF" w:rsidRPr="00497756" w:rsidRDefault="00A365EF" w:rsidP="009F4AE3">
      <w:pPr>
        <w:spacing w:line="276" w:lineRule="auto"/>
        <w:rPr>
          <w:rFonts w:cs="Arial"/>
          <w:color w:val="323E4F" w:themeColor="text2" w:themeShade="BF"/>
        </w:rPr>
      </w:pPr>
    </w:p>
    <w:p w:rsidR="009F4AE3" w:rsidRPr="00497756" w:rsidRDefault="009F4AE3">
      <w:pPr>
        <w:spacing w:after="160" w:line="259" w:lineRule="auto"/>
        <w:jc w:val="left"/>
        <w:rPr>
          <w:rFonts w:cs="Arial"/>
          <w:color w:val="323E4F" w:themeColor="text2" w:themeShade="BF"/>
        </w:rPr>
      </w:pPr>
      <w:r w:rsidRPr="00497756">
        <w:rPr>
          <w:rFonts w:cs="Arial"/>
          <w:color w:val="323E4F" w:themeColor="text2" w:themeShade="BF"/>
        </w:rPr>
        <w:br w:type="page"/>
      </w:r>
    </w:p>
    <w:p w:rsidR="00DA56C6" w:rsidRPr="00B23DB0" w:rsidRDefault="00F758C1" w:rsidP="009F4AE3">
      <w:pPr>
        <w:spacing w:line="276" w:lineRule="auto"/>
        <w:rPr>
          <w:rFonts w:cs="Arial"/>
          <w:b/>
          <w:color w:val="142F50"/>
          <w:sz w:val="22"/>
          <w:szCs w:val="22"/>
          <w:lang w:val="sr-Cyrl-RS"/>
        </w:rPr>
      </w:pPr>
      <w:r w:rsidRPr="00B23DB0">
        <w:rPr>
          <w:rFonts w:cs="Arial"/>
          <w:b/>
          <w:color w:val="142F50"/>
          <w:sz w:val="22"/>
          <w:szCs w:val="22"/>
          <w:lang w:val="sr-Cyrl-RS"/>
        </w:rPr>
        <w:lastRenderedPageBreak/>
        <w:t>1. АДЕКВАТНОСТ САМОПРИДРЖАЈА ДРУШТВА</w:t>
      </w:r>
    </w:p>
    <w:p w:rsidR="00DA56C6" w:rsidRPr="00B23DB0" w:rsidRDefault="00DA56C6" w:rsidP="009F4AE3">
      <w:pPr>
        <w:spacing w:line="276" w:lineRule="auto"/>
        <w:rPr>
          <w:rFonts w:cs="Arial"/>
          <w:color w:val="142F50"/>
        </w:rPr>
      </w:pPr>
    </w:p>
    <w:p w:rsidR="00A72ECE" w:rsidRPr="00B23DB0" w:rsidRDefault="00A72ECE" w:rsidP="009F4AE3">
      <w:pPr>
        <w:tabs>
          <w:tab w:val="left" w:pos="540"/>
        </w:tabs>
        <w:spacing w:line="276" w:lineRule="auto"/>
        <w:ind w:right="58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Преузимање ризика у реосигурање и пласмани вишкова ризика у ретроцесију у посматраном периоду врши се према Правилнику о саосигурању и реосигурању и Табели максималног самопридржаја која је са</w:t>
      </w:r>
      <w:r w:rsidRPr="00B23DB0">
        <w:rPr>
          <w:rFonts w:cs="Arial"/>
          <w:color w:val="142F50"/>
          <w:sz w:val="22"/>
          <w:szCs w:val="22"/>
          <w:lang w:val="sr-Cyrl-RS"/>
        </w:rPr>
        <w:t>с</w:t>
      </w:r>
      <w:r w:rsidRPr="00B23DB0">
        <w:rPr>
          <w:rFonts w:cs="Arial"/>
          <w:color w:val="142F50"/>
          <w:sz w:val="22"/>
          <w:szCs w:val="22"/>
        </w:rPr>
        <w:t>тавни део Одлуке о критеријумима, начину утврђивања и тaбели максималног самопридржаја Друштва.</w:t>
      </w:r>
    </w:p>
    <w:p w:rsidR="00A72ECE" w:rsidRPr="00B23DB0" w:rsidRDefault="00A72ECE" w:rsidP="00590F43">
      <w:pPr>
        <w:tabs>
          <w:tab w:val="left" w:pos="540"/>
        </w:tabs>
        <w:spacing w:line="240" w:lineRule="auto"/>
        <w:ind w:right="58"/>
        <w:rPr>
          <w:rFonts w:cs="Arial"/>
          <w:color w:val="142F50"/>
          <w:sz w:val="22"/>
          <w:szCs w:val="22"/>
        </w:rPr>
      </w:pPr>
    </w:p>
    <w:p w:rsidR="00A72ECE" w:rsidRPr="00B23DB0" w:rsidRDefault="00A72ECE" w:rsidP="009F4AE3">
      <w:pPr>
        <w:tabs>
          <w:tab w:val="left" w:pos="0"/>
        </w:tabs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</w:rPr>
        <w:t xml:space="preserve">Друштво 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је </w:t>
      </w:r>
      <w:r w:rsidRPr="00B23DB0">
        <w:rPr>
          <w:rFonts w:cs="Arial"/>
          <w:color w:val="142F50"/>
          <w:sz w:val="22"/>
          <w:szCs w:val="22"/>
        </w:rPr>
        <w:t>у 201</w:t>
      </w:r>
      <w:r w:rsidR="0063182B">
        <w:rPr>
          <w:rFonts w:cs="Arial"/>
          <w:color w:val="142F50"/>
          <w:sz w:val="22"/>
          <w:szCs w:val="22"/>
          <w:lang w:val="sr-Cyrl-RS"/>
        </w:rPr>
        <w:t>9</w:t>
      </w:r>
      <w:r w:rsidRPr="00B23DB0">
        <w:rPr>
          <w:rFonts w:cs="Arial"/>
          <w:color w:val="142F50"/>
          <w:sz w:val="22"/>
          <w:szCs w:val="22"/>
        </w:rPr>
        <w:t xml:space="preserve">. години примењивало </w:t>
      </w:r>
      <w:r w:rsidRPr="00B23DB0">
        <w:rPr>
          <w:rFonts w:cs="Arial"/>
          <w:b/>
          <w:color w:val="142F50"/>
          <w:sz w:val="22"/>
          <w:szCs w:val="22"/>
        </w:rPr>
        <w:t>Табелу максималног самопридржаја</w:t>
      </w:r>
      <w:r w:rsidRPr="00B23DB0">
        <w:rPr>
          <w:rFonts w:cs="Arial"/>
          <w:color w:val="142F50"/>
          <w:sz w:val="22"/>
          <w:szCs w:val="22"/>
        </w:rPr>
        <w:t xml:space="preserve"> којом је одређено максимално покриће у самопридржају по врстама осигурања</w:t>
      </w:r>
      <w:r w:rsidR="006C472A" w:rsidRPr="00B23DB0">
        <w:rPr>
          <w:rFonts w:cs="Arial"/>
          <w:color w:val="142F50"/>
          <w:sz w:val="22"/>
          <w:szCs w:val="22"/>
          <w:lang w:val="sr-Cyrl-RS"/>
        </w:rPr>
        <w:t>.</w:t>
      </w:r>
    </w:p>
    <w:p w:rsidR="006C472A" w:rsidRPr="00B23DB0" w:rsidRDefault="006C472A" w:rsidP="00590F43">
      <w:pPr>
        <w:tabs>
          <w:tab w:val="left" w:pos="0"/>
        </w:tabs>
        <w:spacing w:line="240" w:lineRule="auto"/>
        <w:rPr>
          <w:rFonts w:cs="Arial"/>
          <w:color w:val="142F50"/>
          <w:sz w:val="22"/>
          <w:szCs w:val="22"/>
        </w:rPr>
      </w:pPr>
    </w:p>
    <w:p w:rsidR="006C472A" w:rsidRPr="00B23DB0" w:rsidRDefault="006C472A" w:rsidP="006C472A">
      <w:pPr>
        <w:tabs>
          <w:tab w:val="left" w:pos="0"/>
        </w:tabs>
        <w:spacing w:line="276" w:lineRule="auto"/>
        <w:jc w:val="center"/>
        <w:rPr>
          <w:rFonts w:cs="Arial"/>
          <w:color w:val="142F50"/>
          <w:sz w:val="22"/>
          <w:szCs w:val="22"/>
        </w:rPr>
      </w:pPr>
      <w:r w:rsidRPr="00B23DB0">
        <w:rPr>
          <w:noProof/>
          <w:color w:val="142F50"/>
          <w:lang w:val="en-US"/>
        </w:rPr>
        <w:drawing>
          <wp:inline distT="0" distB="0" distL="0" distR="0" wp14:anchorId="4CFFE8FC" wp14:editId="1099DB33">
            <wp:extent cx="4653505" cy="4710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561" cy="471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ECE" w:rsidRPr="00B23DB0" w:rsidRDefault="00A72ECE" w:rsidP="00590F43">
      <w:pPr>
        <w:tabs>
          <w:tab w:val="left" w:pos="0"/>
        </w:tabs>
        <w:spacing w:line="240" w:lineRule="auto"/>
        <w:rPr>
          <w:rFonts w:cs="Arial"/>
          <w:color w:val="142F50"/>
          <w:sz w:val="22"/>
          <w:szCs w:val="22"/>
        </w:rPr>
      </w:pPr>
    </w:p>
    <w:p w:rsidR="006C472A" w:rsidRPr="00B23DB0" w:rsidRDefault="006C472A" w:rsidP="006C472A">
      <w:pPr>
        <w:widowControl w:val="0"/>
        <w:spacing w:line="276" w:lineRule="auto"/>
        <w:rPr>
          <w:color w:val="142F50"/>
          <w:sz w:val="22"/>
          <w:szCs w:val="22"/>
          <w:lang w:val="sr-Cyrl-ME"/>
        </w:rPr>
      </w:pPr>
      <w:r w:rsidRPr="00B23DB0">
        <w:rPr>
          <w:color w:val="142F50"/>
          <w:sz w:val="22"/>
          <w:szCs w:val="22"/>
          <w:lang w:val="sr-Cyrl-ME"/>
        </w:rPr>
        <w:t>Самопридржај по врстама осигурања није мењан у односу на 201</w:t>
      </w:r>
      <w:r w:rsidR="0063182B">
        <w:rPr>
          <w:color w:val="142F50"/>
          <w:sz w:val="22"/>
          <w:szCs w:val="22"/>
          <w:lang w:val="sr-Cyrl-ME"/>
        </w:rPr>
        <w:t>8</w:t>
      </w:r>
      <w:r w:rsidRPr="00B23DB0">
        <w:rPr>
          <w:color w:val="142F50"/>
          <w:sz w:val="22"/>
          <w:szCs w:val="22"/>
          <w:lang w:val="sr-Cyrl-ME"/>
        </w:rPr>
        <w:t>. годину.</w:t>
      </w:r>
    </w:p>
    <w:p w:rsidR="006C472A" w:rsidRPr="00B23DB0" w:rsidRDefault="006C472A" w:rsidP="00590F43">
      <w:pPr>
        <w:widowControl w:val="0"/>
        <w:spacing w:line="240" w:lineRule="auto"/>
        <w:rPr>
          <w:color w:val="142F50"/>
          <w:sz w:val="22"/>
          <w:szCs w:val="22"/>
          <w:lang w:val="sr-Cyrl-ME"/>
        </w:rPr>
      </w:pPr>
    </w:p>
    <w:p w:rsidR="006C472A" w:rsidRPr="00C25AAD" w:rsidRDefault="006C472A" w:rsidP="006C472A">
      <w:pPr>
        <w:spacing w:line="276" w:lineRule="auto"/>
        <w:rPr>
          <w:rFonts w:cs="Arial"/>
          <w:color w:val="142F50"/>
          <w:sz w:val="22"/>
          <w:szCs w:val="22"/>
          <w:lang w:val="sr-Latn-RS"/>
        </w:rPr>
      </w:pPr>
      <w:r w:rsidRPr="00C25AAD">
        <w:rPr>
          <w:rFonts w:cs="Arial"/>
          <w:color w:val="142F50"/>
          <w:sz w:val="22"/>
          <w:szCs w:val="22"/>
          <w:lang w:val="sr-Cyrl-ME"/>
        </w:rPr>
        <w:t>Као и претходних година, з</w:t>
      </w:r>
      <w:r w:rsidRPr="00C25AAD">
        <w:rPr>
          <w:rFonts w:cs="Arial"/>
          <w:color w:val="142F50"/>
          <w:sz w:val="22"/>
          <w:szCs w:val="22"/>
          <w:lang w:val="sr-Latn-RS"/>
        </w:rPr>
        <w:t>а 201</w:t>
      </w:r>
      <w:r w:rsidR="0063182B" w:rsidRPr="00C25AAD">
        <w:rPr>
          <w:rFonts w:cs="Arial"/>
          <w:color w:val="142F50"/>
          <w:sz w:val="22"/>
          <w:szCs w:val="22"/>
          <w:lang w:val="sr-Cyrl-RS"/>
        </w:rPr>
        <w:t>9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. годину </w:t>
      </w:r>
      <w:r w:rsidRPr="00C25AAD">
        <w:rPr>
          <w:rFonts w:cs="Arial"/>
          <w:color w:val="142F50"/>
          <w:sz w:val="22"/>
          <w:szCs w:val="22"/>
          <w:lang w:val="sr-Cyrl-ME"/>
        </w:rPr>
        <w:t>Друштво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је уговори</w:t>
      </w:r>
      <w:r w:rsidRPr="00C25AAD">
        <w:rPr>
          <w:rFonts w:cs="Arial"/>
          <w:color w:val="142F50"/>
          <w:sz w:val="22"/>
          <w:szCs w:val="22"/>
          <w:lang w:val="sr-Cyrl-RS"/>
        </w:rPr>
        <w:t>л</w:t>
      </w:r>
      <w:r w:rsidRPr="00C25AAD">
        <w:rPr>
          <w:rFonts w:cs="Arial"/>
          <w:color w:val="142F50"/>
          <w:sz w:val="22"/>
          <w:szCs w:val="22"/>
          <w:lang w:val="sr-Latn-RS"/>
        </w:rPr>
        <w:t>о следећа покрића којима штити свој самопридржај по ризику:</w:t>
      </w:r>
    </w:p>
    <w:p w:rsidR="006C472A" w:rsidRPr="00C25AAD" w:rsidRDefault="006C472A" w:rsidP="006C472A">
      <w:pPr>
        <w:spacing w:line="120" w:lineRule="auto"/>
        <w:rPr>
          <w:rFonts w:cs="Arial"/>
          <w:color w:val="142F50"/>
          <w:sz w:val="22"/>
          <w:szCs w:val="22"/>
          <w:lang w:val="sr-Latn-RS"/>
        </w:rPr>
      </w:pPr>
    </w:p>
    <w:p w:rsidR="006C472A" w:rsidRPr="00C25AAD" w:rsidRDefault="006C472A" w:rsidP="006C472A">
      <w:pPr>
        <w:numPr>
          <w:ilvl w:val="0"/>
          <w:numId w:val="48"/>
        </w:numPr>
        <w:spacing w:line="276" w:lineRule="auto"/>
        <w:contextualSpacing/>
        <w:rPr>
          <w:rFonts w:cs="Arial"/>
          <w:color w:val="142F50"/>
          <w:sz w:val="22"/>
          <w:szCs w:val="22"/>
          <w:lang w:val="sr-Cyrl-ME"/>
        </w:rPr>
      </w:pPr>
      <w:r w:rsidRPr="00C25AAD">
        <w:rPr>
          <w:rFonts w:cs="Arial"/>
          <w:color w:val="142F50"/>
          <w:sz w:val="22"/>
          <w:szCs w:val="22"/>
          <w:lang w:val="sr-Latn-RS"/>
        </w:rPr>
        <w:t xml:space="preserve">Risk XL sublayer </w:t>
      </w:r>
      <w:r w:rsidRPr="00C25AAD">
        <w:rPr>
          <w:rFonts w:cs="Arial"/>
          <w:color w:val="142F50"/>
          <w:sz w:val="22"/>
          <w:szCs w:val="22"/>
          <w:lang w:val="sr-Cyrl-ME"/>
        </w:rPr>
        <w:t>са структуром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250.000 EUR </w:t>
      </w:r>
      <w:r w:rsidRPr="00C25AAD">
        <w:rPr>
          <w:rFonts w:cs="Arial"/>
          <w:color w:val="142F50"/>
          <w:sz w:val="22"/>
          <w:szCs w:val="22"/>
          <w:lang w:val="sr-Cyrl-ME"/>
        </w:rPr>
        <w:t>у вишку изнад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250.000 EUR</w:t>
      </w:r>
      <w:r w:rsidRPr="00C25AAD">
        <w:rPr>
          <w:rFonts w:cs="Arial"/>
          <w:color w:val="142F50"/>
          <w:sz w:val="22"/>
          <w:szCs w:val="22"/>
          <w:lang w:val="sr-Cyrl-ME"/>
        </w:rPr>
        <w:t>;</w:t>
      </w:r>
    </w:p>
    <w:p w:rsidR="006C472A" w:rsidRPr="00C25AAD" w:rsidRDefault="006C472A" w:rsidP="006C472A">
      <w:pPr>
        <w:numPr>
          <w:ilvl w:val="0"/>
          <w:numId w:val="48"/>
        </w:numPr>
        <w:spacing w:line="276" w:lineRule="auto"/>
        <w:contextualSpacing/>
        <w:rPr>
          <w:rFonts w:cs="Arial"/>
          <w:color w:val="142F50"/>
          <w:sz w:val="22"/>
          <w:szCs w:val="22"/>
          <w:lang w:val="sr-Cyrl-ME"/>
        </w:rPr>
      </w:pPr>
      <w:r w:rsidRPr="00C25AAD">
        <w:rPr>
          <w:rFonts w:cs="Arial"/>
          <w:color w:val="142F50"/>
          <w:sz w:val="22"/>
          <w:szCs w:val="22"/>
          <w:lang w:val="sr-Latn-RS"/>
        </w:rPr>
        <w:t xml:space="preserve">Risk XL </w:t>
      </w:r>
      <w:r w:rsidRPr="00C25AAD">
        <w:rPr>
          <w:rFonts w:cs="Arial"/>
          <w:color w:val="142F50"/>
          <w:sz w:val="22"/>
          <w:szCs w:val="22"/>
          <w:lang w:val="sr-Cyrl-ME"/>
        </w:rPr>
        <w:t>уговор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</w:t>
      </w:r>
      <w:r w:rsidRPr="00C25AAD">
        <w:rPr>
          <w:rFonts w:cs="Arial"/>
          <w:color w:val="142F50"/>
          <w:sz w:val="22"/>
          <w:szCs w:val="22"/>
          <w:lang w:val="sr-Cyrl-ME"/>
        </w:rPr>
        <w:t>са структуром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2.000.000 EUR </w:t>
      </w:r>
      <w:r w:rsidRPr="00C25AAD">
        <w:rPr>
          <w:rFonts w:cs="Arial"/>
          <w:color w:val="142F50"/>
          <w:sz w:val="22"/>
          <w:szCs w:val="22"/>
          <w:lang w:val="sr-Cyrl-ME"/>
        </w:rPr>
        <w:t>у вишку изнад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500.000 EUR</w:t>
      </w:r>
      <w:r w:rsidRPr="00C25AAD">
        <w:rPr>
          <w:rFonts w:cs="Arial"/>
          <w:color w:val="142F50"/>
          <w:sz w:val="22"/>
          <w:szCs w:val="22"/>
          <w:lang w:val="sr-Cyrl-ME"/>
        </w:rPr>
        <w:t>.</w:t>
      </w:r>
    </w:p>
    <w:p w:rsidR="006C472A" w:rsidRPr="00C25AAD" w:rsidRDefault="006C472A" w:rsidP="006C472A">
      <w:pPr>
        <w:spacing w:line="276" w:lineRule="auto"/>
        <w:rPr>
          <w:rFonts w:cs="Arial"/>
          <w:color w:val="142F50"/>
          <w:sz w:val="22"/>
          <w:szCs w:val="22"/>
          <w:lang w:val="sr-Latn-RS"/>
        </w:rPr>
      </w:pPr>
    </w:p>
    <w:p w:rsidR="006C472A" w:rsidRPr="00C25AAD" w:rsidRDefault="006C472A" w:rsidP="006C472A">
      <w:pPr>
        <w:spacing w:line="276" w:lineRule="auto"/>
        <w:rPr>
          <w:rFonts w:cs="Arial"/>
          <w:color w:val="142F50"/>
          <w:sz w:val="22"/>
          <w:szCs w:val="22"/>
          <w:lang w:val="sr-Latn-RS"/>
        </w:rPr>
      </w:pPr>
      <w:r w:rsidRPr="00C25AAD">
        <w:rPr>
          <w:rFonts w:cs="Arial"/>
          <w:color w:val="142F50"/>
          <w:sz w:val="22"/>
          <w:szCs w:val="22"/>
          <w:lang w:val="sr-Cyrl-RS"/>
        </w:rPr>
        <w:t>Такође,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</w:t>
      </w:r>
      <w:r w:rsidRPr="00C25AAD">
        <w:rPr>
          <w:rFonts w:cs="Arial"/>
          <w:color w:val="142F50"/>
          <w:sz w:val="22"/>
          <w:szCs w:val="22"/>
          <w:lang w:val="sr-Cyrl-ME"/>
        </w:rPr>
        <w:t>Друштво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је уговори</w:t>
      </w:r>
      <w:r w:rsidRPr="00C25AAD">
        <w:rPr>
          <w:rFonts w:cs="Arial"/>
          <w:color w:val="142F50"/>
          <w:sz w:val="22"/>
          <w:szCs w:val="22"/>
          <w:lang w:val="sr-Cyrl-RS"/>
        </w:rPr>
        <w:t>л</w:t>
      </w:r>
      <w:r w:rsidRPr="00C25AAD">
        <w:rPr>
          <w:rFonts w:cs="Arial"/>
          <w:color w:val="142F50"/>
          <w:sz w:val="22"/>
          <w:szCs w:val="22"/>
          <w:lang w:val="sr-Latn-RS"/>
        </w:rPr>
        <w:t>о и заштиту по догађају:</w:t>
      </w:r>
    </w:p>
    <w:p w:rsidR="006C472A" w:rsidRPr="00C25AAD" w:rsidRDefault="006C472A" w:rsidP="006C472A">
      <w:pPr>
        <w:spacing w:line="120" w:lineRule="auto"/>
        <w:rPr>
          <w:rFonts w:cs="Arial"/>
          <w:color w:val="142F50"/>
          <w:sz w:val="22"/>
          <w:szCs w:val="22"/>
          <w:lang w:val="sr-Latn-RS"/>
        </w:rPr>
      </w:pPr>
    </w:p>
    <w:p w:rsidR="006C472A" w:rsidRPr="00C25AAD" w:rsidRDefault="006C472A" w:rsidP="006C472A">
      <w:pPr>
        <w:numPr>
          <w:ilvl w:val="0"/>
          <w:numId w:val="50"/>
        </w:numPr>
        <w:spacing w:line="276" w:lineRule="auto"/>
        <w:contextualSpacing/>
        <w:rPr>
          <w:rFonts w:cs="Arial"/>
          <w:color w:val="142F50"/>
          <w:sz w:val="22"/>
          <w:szCs w:val="22"/>
          <w:lang w:val="sr-Cyrl-ME"/>
        </w:rPr>
      </w:pPr>
      <w:r w:rsidRPr="00C25AAD">
        <w:rPr>
          <w:rFonts w:cs="Arial"/>
          <w:color w:val="142F50"/>
          <w:sz w:val="22"/>
          <w:szCs w:val="22"/>
          <w:lang w:val="sr-Latn-RS"/>
        </w:rPr>
        <w:t xml:space="preserve">CAT XL уговор </w:t>
      </w:r>
      <w:r w:rsidRPr="00C25AAD">
        <w:rPr>
          <w:rFonts w:cs="Arial"/>
          <w:color w:val="142F50"/>
          <w:sz w:val="22"/>
          <w:szCs w:val="22"/>
          <w:lang w:val="sr-Cyrl-ME"/>
        </w:rPr>
        <w:t>са структуром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</w:t>
      </w:r>
      <w:r w:rsidR="00C25AAD" w:rsidRPr="00C25AAD">
        <w:rPr>
          <w:rFonts w:cs="Arial"/>
          <w:color w:val="142F50"/>
          <w:sz w:val="22"/>
          <w:szCs w:val="22"/>
          <w:lang w:val="sr-Cyrl-RS"/>
        </w:rPr>
        <w:t>5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.500.000 EUR </w:t>
      </w:r>
      <w:r w:rsidRPr="00C25AAD">
        <w:rPr>
          <w:rFonts w:cs="Arial"/>
          <w:color w:val="142F50"/>
          <w:sz w:val="22"/>
          <w:szCs w:val="22"/>
          <w:lang w:val="sr-Cyrl-ME"/>
        </w:rPr>
        <w:t>у вишку изнад</w:t>
      </w:r>
      <w:r w:rsidRPr="00C25AAD">
        <w:rPr>
          <w:rFonts w:cs="Arial"/>
          <w:color w:val="142F50"/>
          <w:sz w:val="22"/>
          <w:szCs w:val="22"/>
          <w:lang w:val="sr-Latn-RS"/>
        </w:rPr>
        <w:t xml:space="preserve"> 1.500.000 EUR</w:t>
      </w:r>
      <w:r w:rsidRPr="00C25AAD">
        <w:rPr>
          <w:rFonts w:cs="Arial"/>
          <w:color w:val="142F50"/>
          <w:sz w:val="22"/>
          <w:szCs w:val="22"/>
          <w:lang w:val="sr-Cyrl-ME"/>
        </w:rPr>
        <w:t>.</w:t>
      </w:r>
    </w:p>
    <w:p w:rsidR="00590F43" w:rsidRDefault="00590F43" w:rsidP="00590F43">
      <w:pPr>
        <w:spacing w:line="240" w:lineRule="auto"/>
        <w:rPr>
          <w:rFonts w:cs="Arial"/>
          <w:color w:val="142F50"/>
          <w:sz w:val="22"/>
          <w:szCs w:val="22"/>
          <w:lang w:val="sr-Cyrl-RS"/>
        </w:rPr>
      </w:pPr>
    </w:p>
    <w:p w:rsidR="006C472A" w:rsidRPr="00B23DB0" w:rsidRDefault="006C472A" w:rsidP="006C472A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t>С о</w:t>
      </w:r>
      <w:r w:rsidRPr="00B23DB0">
        <w:rPr>
          <w:rFonts w:cs="Arial"/>
          <w:color w:val="142F50"/>
          <w:sz w:val="22"/>
          <w:szCs w:val="22"/>
        </w:rPr>
        <w:t xml:space="preserve">бзиром на висину 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и структуру </w:t>
      </w:r>
      <w:r w:rsidRPr="00B23DB0">
        <w:rPr>
          <w:rFonts w:cs="Arial"/>
          <w:color w:val="142F50"/>
          <w:sz w:val="22"/>
          <w:szCs w:val="22"/>
        </w:rPr>
        <w:t xml:space="preserve">портфеља Друштва, у циљу заштите интереса реосигуравача, осигуравача и осигураника оправдан је утврђени ниво самопридржаја и </w:t>
      </w:r>
      <w:r w:rsidRPr="00B23DB0">
        <w:rPr>
          <w:rFonts w:cs="Arial"/>
          <w:color w:val="142F50"/>
          <w:sz w:val="22"/>
          <w:szCs w:val="22"/>
        </w:rPr>
        <w:lastRenderedPageBreak/>
        <w:t>пренос вишка ризика изнад њега, као и типови уговора о ретроцесији за појед</w:t>
      </w:r>
      <w:r w:rsidR="0080263C" w:rsidRPr="00B23DB0">
        <w:rPr>
          <w:rFonts w:cs="Arial"/>
          <w:color w:val="142F50"/>
          <w:sz w:val="22"/>
          <w:szCs w:val="22"/>
          <w:lang w:val="sr-Cyrl-RS"/>
        </w:rPr>
        <w:t>и</w:t>
      </w:r>
      <w:r w:rsidRPr="00B23DB0">
        <w:rPr>
          <w:rFonts w:cs="Arial"/>
          <w:color w:val="142F50"/>
          <w:sz w:val="22"/>
          <w:szCs w:val="22"/>
        </w:rPr>
        <w:t>не врсте осигурања</w:t>
      </w:r>
      <w:r w:rsidRPr="00B23DB0">
        <w:rPr>
          <w:rFonts w:cs="Arial"/>
          <w:color w:val="142F50"/>
          <w:sz w:val="22"/>
          <w:szCs w:val="22"/>
          <w:lang w:val="sr-Cyrl-ME"/>
        </w:rPr>
        <w:t xml:space="preserve"> и за заштиту портфеља</w:t>
      </w:r>
      <w:r w:rsidRPr="00B23DB0">
        <w:rPr>
          <w:rFonts w:cs="Arial"/>
          <w:color w:val="142F50"/>
          <w:sz w:val="22"/>
          <w:szCs w:val="22"/>
        </w:rPr>
        <w:t>.</w:t>
      </w:r>
    </w:p>
    <w:p w:rsidR="00053D99" w:rsidRPr="00B23DB0" w:rsidRDefault="00053D99" w:rsidP="00F93CC8">
      <w:pPr>
        <w:widowControl w:val="0"/>
        <w:spacing w:line="240" w:lineRule="auto"/>
        <w:contextualSpacing/>
        <w:rPr>
          <w:color w:val="142F50"/>
          <w:sz w:val="22"/>
          <w:szCs w:val="22"/>
          <w:lang w:val="sr-Cyrl-ME"/>
        </w:rPr>
      </w:pPr>
    </w:p>
    <w:p w:rsidR="007F022D" w:rsidRPr="00B23DB0" w:rsidRDefault="007F022D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 xml:space="preserve">Имајући у виду однос предложеног максималног самопридржаја и основног капитала, однос максималног самопридржаја и гарантне резерве, као и њихово кретање у претходном периоду, податке о оствареној премији и штетама у претходном периоду и </w:t>
      </w:r>
      <w:r w:rsidR="00BA0622" w:rsidRPr="00B23DB0">
        <w:rPr>
          <w:rFonts w:cs="Arial"/>
          <w:color w:val="142F50"/>
          <w:sz w:val="22"/>
          <w:szCs w:val="22"/>
          <w:lang w:val="sr-Cyrl-RS"/>
        </w:rPr>
        <w:t>планираним вредностима</w:t>
      </w:r>
      <w:r w:rsidRPr="00B23DB0">
        <w:rPr>
          <w:rFonts w:cs="Arial"/>
          <w:color w:val="142F50"/>
          <w:sz w:val="22"/>
          <w:szCs w:val="22"/>
        </w:rPr>
        <w:t xml:space="preserve">, њихов однос исказан кроз рацио штета по врстама осигурања укупног портфеља и у самопридржају, </w:t>
      </w:r>
      <w:r w:rsidRPr="00B23DB0">
        <w:rPr>
          <w:rFonts w:cs="Arial"/>
          <w:color w:val="142F50"/>
          <w:sz w:val="22"/>
          <w:szCs w:val="22"/>
          <w:lang w:val="sr-Cyrl-RS"/>
        </w:rPr>
        <w:t>уговоре о ретроцесији</w:t>
      </w:r>
      <w:r w:rsidR="001454D3" w:rsidRPr="00B23DB0">
        <w:rPr>
          <w:rFonts w:cs="Arial"/>
          <w:color w:val="142F50"/>
          <w:sz w:val="22"/>
          <w:szCs w:val="22"/>
          <w:lang w:val="sr-Cyrl-RS"/>
        </w:rPr>
        <w:t xml:space="preserve"> по врстама осигурања и уговоре о заштити</w:t>
      </w:r>
      <w:r w:rsidR="00E453AF" w:rsidRPr="00B23DB0">
        <w:rPr>
          <w:rFonts w:cs="Arial"/>
          <w:color w:val="142F50"/>
          <w:sz w:val="22"/>
          <w:szCs w:val="22"/>
          <w:lang w:val="sr-Cyrl-RS"/>
        </w:rPr>
        <w:t xml:space="preserve"> самопридржаја</w:t>
      </w:r>
      <w:r w:rsidRPr="00B23DB0">
        <w:rPr>
          <w:rFonts w:cs="Arial"/>
          <w:color w:val="142F50"/>
          <w:sz w:val="22"/>
          <w:szCs w:val="22"/>
        </w:rPr>
        <w:t xml:space="preserve">, чињеницу да ће се </w:t>
      </w:r>
      <w:r w:rsidRPr="00B23DB0">
        <w:rPr>
          <w:rFonts w:cs="Arial"/>
          <w:color w:val="142F50"/>
          <w:sz w:val="22"/>
          <w:szCs w:val="22"/>
          <w:lang w:val="sr-Cyrl-RS"/>
        </w:rPr>
        <w:t>Друштво</w:t>
      </w:r>
      <w:r w:rsidRPr="00B23DB0">
        <w:rPr>
          <w:rFonts w:cs="Arial"/>
          <w:color w:val="142F50"/>
          <w:sz w:val="22"/>
          <w:szCs w:val="22"/>
        </w:rPr>
        <w:t xml:space="preserve"> и у будућем периоду бавити свим врстама осигурања, односно дисперзију ризика и структуру портфеља осигурања и друге показатеље, предложени износ максималног самопридржаја по врстама осигурања је адекватан да обезбеди сигурност и стабилност пословања.</w:t>
      </w:r>
    </w:p>
    <w:p w:rsidR="00B95D29" w:rsidRPr="00B23DB0" w:rsidRDefault="00B95D29" w:rsidP="00F93CC8">
      <w:pPr>
        <w:spacing w:line="240" w:lineRule="auto"/>
        <w:rPr>
          <w:rFonts w:cs="Arial"/>
          <w:b/>
          <w:i/>
          <w:color w:val="142F50"/>
          <w:sz w:val="22"/>
          <w:szCs w:val="22"/>
        </w:rPr>
      </w:pPr>
    </w:p>
    <w:p w:rsidR="00B95D29" w:rsidRPr="00B23DB0" w:rsidRDefault="00F7043A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 xml:space="preserve">У наставку се даје преглед максимално могуће </w:t>
      </w:r>
      <w:r w:rsidR="00E453AF" w:rsidRPr="00B23DB0">
        <w:rPr>
          <w:rFonts w:cs="Arial"/>
          <w:color w:val="142F50"/>
          <w:sz w:val="22"/>
          <w:szCs w:val="22"/>
          <w:lang w:val="sr-Cyrl-RS"/>
        </w:rPr>
        <w:t xml:space="preserve">изложености </w:t>
      </w:r>
      <w:r w:rsidR="00151833">
        <w:rPr>
          <w:rFonts w:cs="Arial"/>
          <w:color w:val="142F50"/>
          <w:sz w:val="22"/>
          <w:szCs w:val="22"/>
          <w:lang w:val="sr-Cyrl-RS"/>
        </w:rPr>
        <w:t>Д</w:t>
      </w:r>
      <w:r w:rsidR="009C461D">
        <w:rPr>
          <w:rFonts w:cs="Arial"/>
          <w:color w:val="142F50"/>
          <w:sz w:val="22"/>
          <w:szCs w:val="22"/>
          <w:lang w:val="sr-Cyrl-RS"/>
        </w:rPr>
        <w:t xml:space="preserve">руштва </w:t>
      </w:r>
      <w:r w:rsidRPr="00B23DB0">
        <w:rPr>
          <w:rFonts w:cs="Arial"/>
          <w:color w:val="142F50"/>
          <w:sz w:val="22"/>
          <w:szCs w:val="22"/>
        </w:rPr>
        <w:t>по врстама осигурања</w:t>
      </w:r>
      <w:r w:rsidR="00A93224" w:rsidRPr="00B23DB0">
        <w:rPr>
          <w:rFonts w:cs="Arial"/>
          <w:color w:val="142F50"/>
          <w:sz w:val="22"/>
          <w:szCs w:val="22"/>
          <w:lang w:val="sr-Cyrl-RS"/>
        </w:rPr>
        <w:t>.</w:t>
      </w:r>
    </w:p>
    <w:p w:rsidR="001945C0" w:rsidRPr="00B23DB0" w:rsidRDefault="001945C0" w:rsidP="00F93CC8">
      <w:pPr>
        <w:spacing w:line="240" w:lineRule="auto"/>
        <w:rPr>
          <w:rFonts w:cs="Arial"/>
          <w:color w:val="142F50"/>
          <w:sz w:val="22"/>
          <w:szCs w:val="22"/>
        </w:rPr>
      </w:pPr>
    </w:p>
    <w:p w:rsidR="00AA1095" w:rsidRDefault="00AA1095" w:rsidP="005572D3">
      <w:pPr>
        <w:spacing w:line="480" w:lineRule="auto"/>
        <w:jc w:val="center"/>
        <w:rPr>
          <w:rFonts w:cs="Arial"/>
          <w:b/>
          <w:i/>
          <w:color w:val="142F50"/>
          <w:sz w:val="22"/>
          <w:szCs w:val="22"/>
        </w:rPr>
      </w:pPr>
      <w:r w:rsidRPr="00B013C8">
        <w:rPr>
          <w:rFonts w:cs="Arial"/>
          <w:b/>
          <w:i/>
          <w:color w:val="142F50"/>
          <w:sz w:val="22"/>
          <w:szCs w:val="22"/>
        </w:rPr>
        <w:t>Очекивана максимална изложеност по преузетим ризицима и врстама осигурања</w:t>
      </w:r>
    </w:p>
    <w:p w:rsidR="00B013C8" w:rsidRDefault="00B013C8" w:rsidP="00F93CC8">
      <w:pPr>
        <w:jc w:val="center"/>
        <w:rPr>
          <w:rFonts w:cs="Arial"/>
          <w:b/>
          <w:i/>
          <w:color w:val="142F50"/>
          <w:sz w:val="22"/>
          <w:szCs w:val="22"/>
        </w:rPr>
      </w:pPr>
      <w:r w:rsidRPr="00B013C8">
        <w:rPr>
          <w:noProof/>
          <w:lang w:val="en-US"/>
        </w:rPr>
        <w:drawing>
          <wp:inline distT="0" distB="0" distL="0" distR="0">
            <wp:extent cx="4536000" cy="4068970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0" cy="406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224" w:rsidRPr="00B23DB0" w:rsidRDefault="00A93224" w:rsidP="00F93CC8">
      <w:pPr>
        <w:spacing w:line="240" w:lineRule="auto"/>
        <w:rPr>
          <w:rFonts w:cs="Arial"/>
          <w:color w:val="142F50"/>
          <w:sz w:val="22"/>
          <w:szCs w:val="22"/>
          <w:lang w:val="sl-SI"/>
        </w:rPr>
      </w:pPr>
    </w:p>
    <w:p w:rsidR="005A21C3" w:rsidRPr="00B23DB0" w:rsidRDefault="005A21C3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t>Све изнад наведеног Друштво је пренело у ретроцесију.</w:t>
      </w:r>
    </w:p>
    <w:p w:rsidR="005A21C3" w:rsidRPr="00B23DB0" w:rsidRDefault="005A21C3" w:rsidP="00F93CC8">
      <w:pPr>
        <w:spacing w:line="240" w:lineRule="auto"/>
        <w:rPr>
          <w:rFonts w:cs="Arial"/>
          <w:color w:val="142F50"/>
          <w:sz w:val="22"/>
          <w:szCs w:val="22"/>
          <w:lang w:val="sl-SI"/>
        </w:rPr>
      </w:pPr>
    </w:p>
    <w:p w:rsidR="00AA1095" w:rsidRPr="00B23DB0" w:rsidRDefault="00AA1095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  <w:lang w:val="sl-SI"/>
        </w:rPr>
        <w:t xml:space="preserve">Друштво </w:t>
      </w:r>
      <w:r w:rsidR="00D70F9B" w:rsidRPr="00B23DB0">
        <w:rPr>
          <w:rFonts w:cs="Arial"/>
          <w:color w:val="142F50"/>
          <w:sz w:val="22"/>
          <w:szCs w:val="22"/>
          <w:lang w:val="sr-Cyrl-RS"/>
        </w:rPr>
        <w:t xml:space="preserve">је опрезно преузимало ризике </w:t>
      </w:r>
      <w:r w:rsidR="00F121DB" w:rsidRPr="00B23DB0">
        <w:rPr>
          <w:rFonts w:cs="Arial"/>
          <w:color w:val="142F50"/>
          <w:sz w:val="22"/>
          <w:szCs w:val="22"/>
          <w:lang w:val="sr-Cyrl-RS"/>
        </w:rPr>
        <w:t>односно вршило њихов пренос путем квалитетних</w:t>
      </w:r>
      <w:r w:rsidRPr="00B23DB0">
        <w:rPr>
          <w:rFonts w:cs="Arial"/>
          <w:color w:val="142F50"/>
          <w:sz w:val="22"/>
          <w:szCs w:val="22"/>
          <w:lang w:val="sl-SI"/>
        </w:rPr>
        <w:t xml:space="preserve"> </w:t>
      </w:r>
      <w:r w:rsidRPr="00B23DB0">
        <w:rPr>
          <w:rFonts w:cs="Arial"/>
          <w:color w:val="142F50"/>
          <w:sz w:val="22"/>
          <w:szCs w:val="22"/>
        </w:rPr>
        <w:t>пропорционалн</w:t>
      </w:r>
      <w:r w:rsidR="001D12F7" w:rsidRPr="00B23DB0">
        <w:rPr>
          <w:rFonts w:cs="Arial"/>
          <w:color w:val="142F50"/>
          <w:sz w:val="22"/>
          <w:szCs w:val="22"/>
          <w:lang w:val="sr-Cyrl-RS"/>
        </w:rPr>
        <w:t>их</w:t>
      </w:r>
      <w:r w:rsidR="00D70F9B" w:rsidRPr="00B23DB0">
        <w:rPr>
          <w:rFonts w:cs="Arial"/>
          <w:color w:val="142F50"/>
          <w:sz w:val="22"/>
          <w:szCs w:val="22"/>
        </w:rPr>
        <w:t xml:space="preserve"> </w:t>
      </w:r>
      <w:r w:rsidR="001945C0" w:rsidRPr="00B23DB0">
        <w:rPr>
          <w:rFonts w:cs="Arial"/>
          <w:color w:val="142F50"/>
          <w:sz w:val="22"/>
          <w:szCs w:val="22"/>
        </w:rPr>
        <w:t>и непропорционалн</w:t>
      </w:r>
      <w:r w:rsidR="001D12F7" w:rsidRPr="00B23DB0">
        <w:rPr>
          <w:rFonts w:cs="Arial"/>
          <w:color w:val="142F50"/>
          <w:sz w:val="22"/>
          <w:szCs w:val="22"/>
          <w:lang w:val="sr-Cyrl-RS"/>
        </w:rPr>
        <w:t>их</w:t>
      </w:r>
      <w:r w:rsidR="001945C0" w:rsidRPr="00B23DB0">
        <w:rPr>
          <w:rFonts w:cs="Arial"/>
          <w:color w:val="142F50"/>
          <w:sz w:val="22"/>
          <w:szCs w:val="22"/>
        </w:rPr>
        <w:t xml:space="preserve"> ретроцесиј</w:t>
      </w:r>
      <w:r w:rsidR="001D12F7" w:rsidRPr="00B23DB0">
        <w:rPr>
          <w:rFonts w:cs="Arial"/>
          <w:color w:val="142F50"/>
          <w:sz w:val="22"/>
          <w:szCs w:val="22"/>
          <w:lang w:val="sr-Cyrl-RS"/>
        </w:rPr>
        <w:t>а</w:t>
      </w:r>
      <w:r w:rsidR="001945C0" w:rsidRPr="00B23DB0">
        <w:rPr>
          <w:rFonts w:cs="Arial"/>
          <w:color w:val="142F50"/>
          <w:sz w:val="22"/>
          <w:szCs w:val="22"/>
        </w:rPr>
        <w:t>.</w:t>
      </w:r>
    </w:p>
    <w:p w:rsidR="00273DBD" w:rsidRPr="00B23DB0" w:rsidRDefault="00273DBD" w:rsidP="00F93CC8">
      <w:pPr>
        <w:spacing w:line="240" w:lineRule="auto"/>
        <w:rPr>
          <w:rFonts w:cs="Arial"/>
          <w:color w:val="142F50"/>
          <w:sz w:val="22"/>
          <w:szCs w:val="22"/>
          <w:lang w:val="sr-Cyrl-CS"/>
        </w:rPr>
      </w:pPr>
    </w:p>
    <w:p w:rsidR="00AA1095" w:rsidRPr="00B23DB0" w:rsidRDefault="001945C0" w:rsidP="009F4AE3">
      <w:pPr>
        <w:spacing w:line="276" w:lineRule="auto"/>
        <w:rPr>
          <w:rFonts w:cs="Arial"/>
          <w:color w:val="142F50"/>
          <w:sz w:val="22"/>
          <w:szCs w:val="22"/>
          <w:lang w:val="sr-Cyrl-CS"/>
        </w:rPr>
      </w:pPr>
      <w:r w:rsidRPr="00B23DB0">
        <w:rPr>
          <w:rFonts w:cs="Arial"/>
          <w:color w:val="142F50"/>
          <w:sz w:val="22"/>
          <w:szCs w:val="22"/>
          <w:lang w:val="sr-Cyrl-CS"/>
        </w:rPr>
        <w:t>Током 201</w:t>
      </w:r>
      <w:r w:rsidR="0063182B">
        <w:rPr>
          <w:rFonts w:cs="Arial"/>
          <w:color w:val="142F50"/>
          <w:sz w:val="22"/>
          <w:szCs w:val="22"/>
          <w:lang w:val="sr-Cyrl-CS"/>
        </w:rPr>
        <w:t>9</w:t>
      </w:r>
      <w:r w:rsidRPr="00B23DB0">
        <w:rPr>
          <w:rFonts w:cs="Arial"/>
          <w:color w:val="142F50"/>
          <w:sz w:val="22"/>
          <w:szCs w:val="22"/>
          <w:lang w:val="sr-Cyrl-CS"/>
        </w:rPr>
        <w:t>. године Друштво је спроводило одговорну и опрезну политику ретроцесије вишкова ризика, тако да током године нису забележени случајеви да је у портфељу задржан ризик изнад нивоа самопридржаја.</w:t>
      </w:r>
    </w:p>
    <w:p w:rsidR="00683E41" w:rsidRPr="00B23DB0" w:rsidRDefault="00683E41" w:rsidP="00F93CC8">
      <w:pPr>
        <w:spacing w:line="240" w:lineRule="auto"/>
        <w:rPr>
          <w:rFonts w:cs="Arial"/>
          <w:color w:val="142F50"/>
          <w:sz w:val="22"/>
          <w:szCs w:val="22"/>
          <w:lang w:val="sr-Cyrl-CS"/>
        </w:rPr>
      </w:pPr>
    </w:p>
    <w:p w:rsidR="009E6A95" w:rsidRDefault="009E6A95" w:rsidP="009F4AE3">
      <w:pPr>
        <w:pStyle w:val="BodyText"/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color w:val="142F50"/>
          <w:sz w:val="22"/>
          <w:szCs w:val="22"/>
        </w:rPr>
      </w:pPr>
      <w:r w:rsidRPr="00B23DB0">
        <w:rPr>
          <w:rFonts w:ascii="Arial" w:hAnsi="Arial" w:cs="Arial"/>
          <w:b/>
          <w:color w:val="142F50"/>
          <w:sz w:val="22"/>
          <w:szCs w:val="22"/>
        </w:rPr>
        <w:t>Имајући у виду напред наведено</w:t>
      </w:r>
      <w:r w:rsidR="007D3743" w:rsidRPr="00B23DB0">
        <w:rPr>
          <w:rFonts w:ascii="Arial" w:hAnsi="Arial" w:cs="Arial"/>
          <w:b/>
          <w:color w:val="142F50"/>
          <w:sz w:val="22"/>
          <w:szCs w:val="22"/>
          <w:lang w:val="sr-Cyrl-RS"/>
        </w:rPr>
        <w:t>,</w:t>
      </w:r>
      <w:r w:rsidRPr="00B23DB0">
        <w:rPr>
          <w:rFonts w:ascii="Arial" w:hAnsi="Arial" w:cs="Arial"/>
          <w:b/>
          <w:color w:val="142F50"/>
          <w:sz w:val="22"/>
          <w:szCs w:val="22"/>
        </w:rPr>
        <w:t xml:space="preserve"> ниво самопридржаја </w:t>
      </w:r>
      <w:r w:rsidR="004233C7" w:rsidRPr="00B23DB0">
        <w:rPr>
          <w:rFonts w:ascii="Arial" w:hAnsi="Arial" w:cs="Arial"/>
          <w:b/>
          <w:color w:val="142F50"/>
          <w:sz w:val="22"/>
          <w:szCs w:val="22"/>
        </w:rPr>
        <w:t>је</w:t>
      </w:r>
      <w:r w:rsidRPr="00B23DB0">
        <w:rPr>
          <w:rFonts w:ascii="Arial" w:hAnsi="Arial" w:cs="Arial"/>
          <w:b/>
          <w:color w:val="142F50"/>
          <w:sz w:val="22"/>
          <w:szCs w:val="22"/>
        </w:rPr>
        <w:t xml:space="preserve"> </w:t>
      </w:r>
      <w:r w:rsidR="00DA56C6" w:rsidRPr="00B23DB0">
        <w:rPr>
          <w:rFonts w:ascii="Arial" w:hAnsi="Arial" w:cs="Arial"/>
          <w:b/>
          <w:color w:val="142F50"/>
          <w:sz w:val="22"/>
          <w:szCs w:val="22"/>
        </w:rPr>
        <w:t xml:space="preserve">адекватно одређен и </w:t>
      </w:r>
      <w:r w:rsidRPr="00B23DB0">
        <w:rPr>
          <w:rFonts w:ascii="Arial" w:hAnsi="Arial" w:cs="Arial"/>
          <w:b/>
          <w:color w:val="142F50"/>
          <w:sz w:val="22"/>
          <w:szCs w:val="22"/>
        </w:rPr>
        <w:t xml:space="preserve">усклађен </w:t>
      </w:r>
      <w:r w:rsidR="00DA56C6" w:rsidRPr="00B23DB0">
        <w:rPr>
          <w:rFonts w:ascii="Arial" w:hAnsi="Arial" w:cs="Arial"/>
          <w:b/>
          <w:color w:val="142F50"/>
          <w:sz w:val="22"/>
          <w:szCs w:val="22"/>
        </w:rPr>
        <w:t xml:space="preserve">је </w:t>
      </w:r>
      <w:r w:rsidRPr="00B23DB0">
        <w:rPr>
          <w:rFonts w:ascii="Arial" w:hAnsi="Arial" w:cs="Arial"/>
          <w:b/>
          <w:color w:val="142F50"/>
          <w:sz w:val="22"/>
          <w:szCs w:val="22"/>
        </w:rPr>
        <w:t>са спремношћу Друштва за преузимање ризика.</w:t>
      </w:r>
    </w:p>
    <w:p w:rsidR="00B013C8" w:rsidRDefault="00B013C8" w:rsidP="009F4AE3">
      <w:pPr>
        <w:pStyle w:val="BodyText"/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color w:val="142F50"/>
          <w:sz w:val="22"/>
          <w:szCs w:val="22"/>
        </w:rPr>
      </w:pPr>
    </w:p>
    <w:p w:rsidR="00F7043A" w:rsidRPr="00B23DB0" w:rsidRDefault="00D544F3" w:rsidP="00475859">
      <w:pPr>
        <w:keepNext/>
        <w:spacing w:line="276" w:lineRule="auto"/>
        <w:rPr>
          <w:rFonts w:cs="Arial"/>
          <w:b/>
          <w:i/>
          <w:color w:val="142F50"/>
          <w:sz w:val="22"/>
          <w:szCs w:val="22"/>
        </w:rPr>
      </w:pPr>
      <w:r w:rsidRPr="00B62496">
        <w:rPr>
          <w:rFonts w:cs="Arial"/>
          <w:b/>
          <w:i/>
          <w:color w:val="142F50"/>
          <w:sz w:val="22"/>
          <w:szCs w:val="22"/>
        </w:rPr>
        <w:t>2.</w:t>
      </w:r>
      <w:r w:rsidR="00F7043A" w:rsidRPr="00B62496">
        <w:rPr>
          <w:rFonts w:cs="Arial"/>
          <w:b/>
          <w:i/>
          <w:color w:val="142F50"/>
          <w:sz w:val="22"/>
          <w:szCs w:val="22"/>
        </w:rPr>
        <w:t xml:space="preserve"> УГОВОРИ О РЕОСИГУРАЊУ И САРЕОСИГУРАЊУ</w:t>
      </w:r>
    </w:p>
    <w:p w:rsidR="00F7043A" w:rsidRPr="00B23DB0" w:rsidRDefault="00F7043A" w:rsidP="00475859">
      <w:pPr>
        <w:keepNext/>
        <w:spacing w:line="276" w:lineRule="auto"/>
        <w:rPr>
          <w:rFonts w:cs="Arial"/>
          <w:color w:val="142F50"/>
          <w:sz w:val="22"/>
          <w:szCs w:val="22"/>
        </w:rPr>
      </w:pPr>
    </w:p>
    <w:p w:rsidR="00A74B97" w:rsidRPr="00B23DB0" w:rsidRDefault="00A74B97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У извештајном периоду Друштво није имало закључен ни један уговор о сареосигурању.</w:t>
      </w:r>
    </w:p>
    <w:p w:rsidR="00A74B97" w:rsidRPr="00B23DB0" w:rsidRDefault="00A74B97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B013C8" w:rsidRPr="00B013C8" w:rsidRDefault="00B013C8" w:rsidP="00B013C8">
      <w:pPr>
        <w:spacing w:line="276" w:lineRule="auto"/>
        <w:rPr>
          <w:color w:val="1F3864" w:themeColor="accent5" w:themeShade="80"/>
          <w:sz w:val="22"/>
          <w:szCs w:val="22"/>
          <w:lang w:val="sr-Cyrl-RS"/>
        </w:rPr>
      </w:pPr>
      <w:r w:rsidRPr="00B013C8">
        <w:rPr>
          <w:color w:val="1F3864" w:themeColor="accent5" w:themeShade="80"/>
          <w:sz w:val="22"/>
          <w:szCs w:val="22"/>
        </w:rPr>
        <w:t xml:space="preserve">Укупан број закључених уговора </w:t>
      </w:r>
      <w:r w:rsidRPr="00B013C8">
        <w:rPr>
          <w:color w:val="1F3864" w:themeColor="accent5" w:themeShade="80"/>
          <w:sz w:val="22"/>
          <w:szCs w:val="22"/>
          <w:lang w:val="sr-Cyrl-RS"/>
        </w:rPr>
        <w:t>у 2019.</w:t>
      </w:r>
      <w:r w:rsidRPr="00B013C8">
        <w:rPr>
          <w:color w:val="1F3864" w:themeColor="accent5" w:themeShade="80"/>
          <w:sz w:val="22"/>
          <w:szCs w:val="22"/>
        </w:rPr>
        <w:t xml:space="preserve"> је </w:t>
      </w:r>
      <w:r w:rsidRPr="00B013C8">
        <w:rPr>
          <w:color w:val="1F3864" w:themeColor="accent5" w:themeShade="80"/>
          <w:sz w:val="22"/>
          <w:szCs w:val="22"/>
          <w:lang w:val="sr-Cyrl-RS"/>
        </w:rPr>
        <w:t>1.446</w:t>
      </w:r>
      <w:r w:rsidRPr="00B013C8">
        <w:rPr>
          <w:color w:val="1F3864" w:themeColor="accent5" w:themeShade="80"/>
          <w:sz w:val="22"/>
          <w:szCs w:val="22"/>
        </w:rPr>
        <w:t xml:space="preserve">, од тога </w:t>
      </w:r>
      <w:r w:rsidRPr="00B013C8">
        <w:rPr>
          <w:color w:val="1F3864" w:themeColor="accent5" w:themeShade="80"/>
          <w:sz w:val="22"/>
          <w:szCs w:val="22"/>
          <w:lang w:val="sr-Cyrl-RS"/>
        </w:rPr>
        <w:t>793</w:t>
      </w:r>
      <w:r w:rsidRPr="00B013C8">
        <w:rPr>
          <w:color w:val="1F3864" w:themeColor="accent5" w:themeShade="80"/>
          <w:sz w:val="22"/>
          <w:szCs w:val="22"/>
        </w:rPr>
        <w:t xml:space="preserve"> активних и </w:t>
      </w:r>
      <w:r w:rsidRPr="00B013C8">
        <w:rPr>
          <w:color w:val="1F3864" w:themeColor="accent5" w:themeShade="80"/>
          <w:sz w:val="22"/>
          <w:szCs w:val="22"/>
          <w:lang w:val="sr-Cyrl-RS"/>
        </w:rPr>
        <w:t>653</w:t>
      </w:r>
      <w:r w:rsidRPr="00B013C8">
        <w:rPr>
          <w:color w:val="1F3864" w:themeColor="accent5" w:themeShade="80"/>
          <w:sz w:val="22"/>
          <w:szCs w:val="22"/>
        </w:rPr>
        <w:t xml:space="preserve"> пасивних. Укупан број истеклих уговора у </w:t>
      </w:r>
      <w:r w:rsidRPr="00B013C8">
        <w:rPr>
          <w:color w:val="1F3864" w:themeColor="accent5" w:themeShade="80"/>
          <w:sz w:val="22"/>
          <w:szCs w:val="22"/>
          <w:lang w:val="sr-Cyrl-RS"/>
        </w:rPr>
        <w:t>2019.</w:t>
      </w:r>
      <w:r w:rsidRPr="00B013C8">
        <w:rPr>
          <w:color w:val="1F3864" w:themeColor="accent5" w:themeShade="80"/>
          <w:sz w:val="22"/>
          <w:szCs w:val="22"/>
        </w:rPr>
        <w:t xml:space="preserve"> је </w:t>
      </w:r>
      <w:r w:rsidRPr="00B013C8">
        <w:rPr>
          <w:color w:val="1F3864" w:themeColor="accent5" w:themeShade="80"/>
          <w:sz w:val="22"/>
          <w:szCs w:val="22"/>
          <w:lang w:val="sr-Cyrl-RS"/>
        </w:rPr>
        <w:t>336</w:t>
      </w:r>
      <w:r w:rsidRPr="00B013C8">
        <w:rPr>
          <w:color w:val="1F3864" w:themeColor="accent5" w:themeShade="80"/>
          <w:sz w:val="22"/>
          <w:szCs w:val="22"/>
        </w:rPr>
        <w:t xml:space="preserve">, од тога </w:t>
      </w:r>
      <w:r w:rsidRPr="00B013C8">
        <w:rPr>
          <w:color w:val="1F3864" w:themeColor="accent5" w:themeShade="80"/>
          <w:sz w:val="22"/>
          <w:szCs w:val="22"/>
          <w:lang w:val="sr-Cyrl-RS"/>
        </w:rPr>
        <w:t>191</w:t>
      </w:r>
      <w:r w:rsidRPr="00B013C8">
        <w:rPr>
          <w:color w:val="1F3864" w:themeColor="accent5" w:themeShade="80"/>
          <w:sz w:val="22"/>
          <w:szCs w:val="22"/>
        </w:rPr>
        <w:t xml:space="preserve"> актив</w:t>
      </w:r>
      <w:r w:rsidRPr="00B013C8">
        <w:rPr>
          <w:color w:val="1F3864" w:themeColor="accent5" w:themeShade="80"/>
          <w:sz w:val="22"/>
          <w:szCs w:val="22"/>
          <w:lang w:val="sr-Cyrl-RS"/>
        </w:rPr>
        <w:t>а</w:t>
      </w:r>
      <w:r w:rsidRPr="00B013C8">
        <w:rPr>
          <w:color w:val="1F3864" w:themeColor="accent5" w:themeShade="80"/>
          <w:sz w:val="22"/>
          <w:szCs w:val="22"/>
        </w:rPr>
        <w:t xml:space="preserve">н и </w:t>
      </w:r>
      <w:r w:rsidRPr="00B013C8">
        <w:rPr>
          <w:color w:val="1F3864" w:themeColor="accent5" w:themeShade="80"/>
          <w:sz w:val="22"/>
          <w:szCs w:val="22"/>
          <w:lang w:val="sr-Cyrl-RS"/>
        </w:rPr>
        <w:t>145</w:t>
      </w:r>
      <w:r w:rsidRPr="00B013C8">
        <w:rPr>
          <w:color w:val="1F3864" w:themeColor="accent5" w:themeShade="80"/>
          <w:sz w:val="22"/>
          <w:szCs w:val="22"/>
        </w:rPr>
        <w:t xml:space="preserve"> пасивних</w:t>
      </w:r>
      <w:r w:rsidRPr="00B013C8">
        <w:rPr>
          <w:color w:val="1F3864" w:themeColor="accent5" w:themeShade="80"/>
          <w:sz w:val="22"/>
          <w:szCs w:val="22"/>
          <w:lang w:val="sr-Cyrl-RS"/>
        </w:rPr>
        <w:t xml:space="preserve"> уговора</w:t>
      </w:r>
      <w:r w:rsidRPr="00B013C8">
        <w:rPr>
          <w:color w:val="1F3864" w:themeColor="accent5" w:themeShade="80"/>
          <w:sz w:val="22"/>
          <w:szCs w:val="22"/>
        </w:rPr>
        <w:t>.</w:t>
      </w:r>
      <w:r w:rsidRPr="00B013C8">
        <w:rPr>
          <w:color w:val="1F3864" w:themeColor="accent5" w:themeShade="80"/>
          <w:sz w:val="22"/>
          <w:szCs w:val="22"/>
          <w:lang w:val="sr-Cyrl-RS"/>
        </w:rPr>
        <w:t xml:space="preserve"> Укупан број раскинутих уговора у истом периоду је 9 (5 активних и 4 пасивна).</w:t>
      </w:r>
    </w:p>
    <w:p w:rsidR="00B013C8" w:rsidRPr="00B013C8" w:rsidRDefault="00B013C8" w:rsidP="00B013C8">
      <w:pPr>
        <w:spacing w:line="276" w:lineRule="auto"/>
        <w:rPr>
          <w:rFonts w:cs="Arial"/>
          <w:color w:val="1F3864" w:themeColor="accent5" w:themeShade="80"/>
          <w:sz w:val="22"/>
          <w:szCs w:val="22"/>
          <w:lang w:val="sr-Cyrl-ME"/>
        </w:rPr>
      </w:pPr>
    </w:p>
    <w:p w:rsidR="00B013C8" w:rsidRPr="00F5200A" w:rsidRDefault="00B013C8" w:rsidP="00B013C8">
      <w:pPr>
        <w:spacing w:line="276" w:lineRule="auto"/>
        <w:rPr>
          <w:rFonts w:cs="Arial"/>
          <w:color w:val="1F3864" w:themeColor="accent5" w:themeShade="80"/>
          <w:sz w:val="22"/>
          <w:szCs w:val="22"/>
        </w:rPr>
      </w:pPr>
      <w:r w:rsidRPr="00B013C8">
        <w:rPr>
          <w:rFonts w:cs="Arial"/>
          <w:color w:val="1F3864" w:themeColor="accent5" w:themeShade="80"/>
          <w:sz w:val="22"/>
          <w:szCs w:val="22"/>
        </w:rPr>
        <w:t>Уговори о реосигурању и ретроцесији су пропорционални уговори на бази ексцедента и квоте као и непропорционални уговори на бази exces of loss и stop loss. Уговорима о реосигурању и ретроцесији обухваћена су животна и неживотна осигурања.</w:t>
      </w:r>
    </w:p>
    <w:p w:rsidR="00B013C8" w:rsidRDefault="00B013C8" w:rsidP="009F4AE3">
      <w:pPr>
        <w:pStyle w:val="BodyText"/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142F50"/>
          <w:sz w:val="22"/>
          <w:szCs w:val="22"/>
        </w:rPr>
      </w:pPr>
    </w:p>
    <w:p w:rsidR="00B013C8" w:rsidRPr="00B23DB0" w:rsidRDefault="00B013C8" w:rsidP="009F4AE3">
      <w:pPr>
        <w:pStyle w:val="BodyText"/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142F50"/>
          <w:sz w:val="22"/>
          <w:szCs w:val="22"/>
        </w:rPr>
      </w:pPr>
    </w:p>
    <w:p w:rsidR="00661E6B" w:rsidRPr="00B23DB0" w:rsidRDefault="00820FFD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  <w:r w:rsidRPr="005572D3">
        <w:rPr>
          <w:rFonts w:cs="Arial"/>
          <w:b/>
          <w:i/>
          <w:color w:val="142F50"/>
          <w:sz w:val="22"/>
          <w:szCs w:val="22"/>
        </w:rPr>
        <w:t>3</w:t>
      </w:r>
      <w:r w:rsidR="00661E6B" w:rsidRPr="005572D3">
        <w:rPr>
          <w:rFonts w:cs="Arial"/>
          <w:b/>
          <w:i/>
          <w:color w:val="142F50"/>
          <w:sz w:val="22"/>
          <w:szCs w:val="22"/>
        </w:rPr>
        <w:t xml:space="preserve">. УТИЦАЈ </w:t>
      </w:r>
      <w:r w:rsidR="00FA2634" w:rsidRPr="005572D3">
        <w:rPr>
          <w:rFonts w:cs="Arial"/>
          <w:b/>
          <w:i/>
          <w:color w:val="142F50"/>
          <w:sz w:val="22"/>
          <w:szCs w:val="22"/>
        </w:rPr>
        <w:t xml:space="preserve">ПРИХВАТАЊА И </w:t>
      </w:r>
      <w:r w:rsidR="00661E6B" w:rsidRPr="005572D3">
        <w:rPr>
          <w:rFonts w:cs="Arial"/>
          <w:b/>
          <w:i/>
          <w:color w:val="142F50"/>
          <w:sz w:val="22"/>
          <w:szCs w:val="22"/>
        </w:rPr>
        <w:t>ПРЕНОСА РИЗИКА У РЕ</w:t>
      </w:r>
      <w:r w:rsidR="00106DF3" w:rsidRPr="005572D3">
        <w:rPr>
          <w:rFonts w:cs="Arial"/>
          <w:b/>
          <w:i/>
          <w:color w:val="142F50"/>
          <w:sz w:val="22"/>
          <w:szCs w:val="22"/>
        </w:rPr>
        <w:t>ОСИГУРАЊЕ</w:t>
      </w:r>
      <w:r w:rsidR="00661E6B" w:rsidRPr="00B23DB0">
        <w:rPr>
          <w:rFonts w:cs="Arial"/>
          <w:b/>
          <w:i/>
          <w:color w:val="142F50"/>
          <w:sz w:val="22"/>
          <w:szCs w:val="22"/>
        </w:rPr>
        <w:t xml:space="preserve"> </w:t>
      </w:r>
    </w:p>
    <w:p w:rsidR="000520C6" w:rsidRPr="00B23DB0" w:rsidRDefault="000520C6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C02BD6" w:rsidRPr="00B23DB0" w:rsidRDefault="00A74B97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</w:rPr>
        <w:t>Друштво је у 201</w:t>
      </w:r>
      <w:r w:rsidR="00253EBB">
        <w:rPr>
          <w:rFonts w:cs="Arial"/>
          <w:color w:val="142F50"/>
          <w:sz w:val="22"/>
          <w:szCs w:val="22"/>
          <w:lang w:val="sr-Cyrl-RS"/>
        </w:rPr>
        <w:t>9</w:t>
      </w:r>
      <w:r w:rsidR="00C02BD6" w:rsidRPr="00B23DB0">
        <w:rPr>
          <w:rFonts w:cs="Arial"/>
          <w:color w:val="142F50"/>
          <w:sz w:val="22"/>
          <w:szCs w:val="22"/>
        </w:rPr>
        <w:t xml:space="preserve">. години по активном послу реосигурања остварило </w:t>
      </w:r>
      <w:r w:rsidR="00C02BD6" w:rsidRPr="00B23DB0">
        <w:rPr>
          <w:rFonts w:cs="Arial"/>
          <w:color w:val="142F50"/>
          <w:sz w:val="22"/>
          <w:szCs w:val="22"/>
          <w:lang w:val="sr-Latn-CS"/>
        </w:rPr>
        <w:t>укуп</w:t>
      </w:r>
      <w:r w:rsidR="00C02BD6" w:rsidRPr="00B23DB0">
        <w:rPr>
          <w:rFonts w:cs="Arial"/>
          <w:color w:val="142F50"/>
          <w:sz w:val="22"/>
          <w:szCs w:val="22"/>
        </w:rPr>
        <w:t>н</w:t>
      </w:r>
      <w:r w:rsidR="00C02BD6" w:rsidRPr="00B23DB0">
        <w:rPr>
          <w:rFonts w:cs="Arial"/>
          <w:color w:val="142F50"/>
          <w:sz w:val="22"/>
          <w:szCs w:val="22"/>
          <w:lang w:val="sr-Latn-CS"/>
        </w:rPr>
        <w:t xml:space="preserve">у премију у износу од </w:t>
      </w:r>
      <w:r w:rsidR="00253EBB">
        <w:rPr>
          <w:rFonts w:cs="Arial"/>
          <w:color w:val="142F50"/>
          <w:sz w:val="22"/>
          <w:szCs w:val="22"/>
          <w:lang w:val="sr-Cyrl-RS"/>
        </w:rPr>
        <w:t>4</w:t>
      </w:r>
      <w:r w:rsidRPr="00B23DB0">
        <w:rPr>
          <w:rFonts w:cs="Arial"/>
          <w:bCs/>
          <w:color w:val="142F50"/>
          <w:sz w:val="22"/>
          <w:szCs w:val="22"/>
          <w:lang w:val="sr-Cyrl-RS"/>
        </w:rPr>
        <w:t>.</w:t>
      </w:r>
      <w:r w:rsidR="00253EBB">
        <w:rPr>
          <w:rFonts w:cs="Arial"/>
          <w:bCs/>
          <w:color w:val="142F50"/>
          <w:sz w:val="22"/>
          <w:szCs w:val="22"/>
          <w:lang w:val="sr-Cyrl-RS"/>
        </w:rPr>
        <w:t>785</w:t>
      </w:r>
      <w:r w:rsidRPr="00B23DB0">
        <w:rPr>
          <w:rFonts w:cs="Arial"/>
          <w:bCs/>
          <w:color w:val="142F50"/>
          <w:sz w:val="22"/>
          <w:szCs w:val="22"/>
          <w:lang w:val="sr-Cyrl-RS"/>
        </w:rPr>
        <w:t>.</w:t>
      </w:r>
      <w:r w:rsidR="00253EBB">
        <w:rPr>
          <w:rFonts w:cs="Arial"/>
          <w:bCs/>
          <w:color w:val="142F50"/>
          <w:sz w:val="22"/>
          <w:szCs w:val="22"/>
          <w:lang w:val="sr-Cyrl-RS"/>
        </w:rPr>
        <w:t>880</w:t>
      </w:r>
      <w:r w:rsidRPr="00B23DB0">
        <w:rPr>
          <w:rFonts w:cs="Arial"/>
          <w:bCs/>
          <w:color w:val="142F50"/>
          <w:sz w:val="22"/>
          <w:szCs w:val="22"/>
          <w:lang w:val="sr-Cyrl-RS"/>
        </w:rPr>
        <w:t xml:space="preserve"> хиљада</w:t>
      </w:r>
      <w:r w:rsidR="00C02BD6" w:rsidRPr="00B23DB0">
        <w:rPr>
          <w:rFonts w:cs="Arial"/>
          <w:bCs/>
          <w:color w:val="142F50"/>
          <w:sz w:val="22"/>
          <w:szCs w:val="22"/>
        </w:rPr>
        <w:t xml:space="preserve"> </w:t>
      </w:r>
      <w:r w:rsidR="00C02BD6" w:rsidRPr="00B23DB0">
        <w:rPr>
          <w:rFonts w:cs="Arial"/>
          <w:color w:val="142F50"/>
          <w:sz w:val="22"/>
          <w:szCs w:val="22"/>
          <w:lang w:val="sr-Latn-CS"/>
        </w:rPr>
        <w:t xml:space="preserve">динара, и то у неживотним осигурањима </w:t>
      </w:r>
      <w:r w:rsidR="00253EBB">
        <w:rPr>
          <w:rFonts w:cs="Arial"/>
          <w:color w:val="142F50"/>
          <w:sz w:val="22"/>
          <w:szCs w:val="22"/>
          <w:lang w:val="sr-Cyrl-RS"/>
        </w:rPr>
        <w:t>4</w:t>
      </w:r>
      <w:r w:rsidR="00AB2EDA" w:rsidRPr="00B23DB0">
        <w:rPr>
          <w:rFonts w:cs="Arial"/>
          <w:bCs/>
          <w:color w:val="142F50"/>
          <w:sz w:val="22"/>
          <w:szCs w:val="22"/>
          <w:lang w:val="sr-Cyrl-RS"/>
        </w:rPr>
        <w:t>.</w:t>
      </w:r>
      <w:r w:rsidR="00253EBB">
        <w:rPr>
          <w:rFonts w:cs="Arial"/>
          <w:bCs/>
          <w:color w:val="142F50"/>
          <w:sz w:val="22"/>
          <w:szCs w:val="22"/>
          <w:lang w:val="sr-Cyrl-RS"/>
        </w:rPr>
        <w:t>652</w:t>
      </w:r>
      <w:r w:rsidR="00AB2EDA" w:rsidRPr="00B23DB0">
        <w:rPr>
          <w:rFonts w:cs="Arial"/>
          <w:bCs/>
          <w:color w:val="142F50"/>
          <w:sz w:val="22"/>
          <w:szCs w:val="22"/>
          <w:lang w:val="sr-Cyrl-RS"/>
        </w:rPr>
        <w:t>.</w:t>
      </w:r>
      <w:r w:rsidR="00253EBB">
        <w:rPr>
          <w:rFonts w:cs="Arial"/>
          <w:bCs/>
          <w:color w:val="142F50"/>
          <w:sz w:val="22"/>
          <w:szCs w:val="22"/>
          <w:lang w:val="sr-Cyrl-RS"/>
        </w:rPr>
        <w:t>118</w:t>
      </w:r>
      <w:r w:rsidR="00AB2EDA" w:rsidRPr="00B23DB0">
        <w:rPr>
          <w:rFonts w:cs="Arial"/>
          <w:bCs/>
          <w:color w:val="142F50"/>
          <w:sz w:val="22"/>
          <w:szCs w:val="22"/>
          <w:lang w:val="sr-Cyrl-RS"/>
        </w:rPr>
        <w:t xml:space="preserve"> хиљад</w:t>
      </w:r>
      <w:r w:rsidR="00253EBB">
        <w:rPr>
          <w:rFonts w:cs="Arial"/>
          <w:bCs/>
          <w:color w:val="142F50"/>
          <w:sz w:val="22"/>
          <w:szCs w:val="22"/>
          <w:lang w:val="sr-Cyrl-RS"/>
        </w:rPr>
        <w:t>а</w:t>
      </w:r>
      <w:r w:rsidR="00AB2EDA" w:rsidRPr="00B23DB0">
        <w:rPr>
          <w:rFonts w:cs="Arial"/>
          <w:bCs/>
          <w:color w:val="142F50"/>
          <w:sz w:val="22"/>
          <w:szCs w:val="22"/>
          <w:lang w:val="sr-Cyrl-RS"/>
        </w:rPr>
        <w:t xml:space="preserve"> динара</w:t>
      </w:r>
      <w:r w:rsidR="00C02BD6" w:rsidRPr="00B23DB0">
        <w:rPr>
          <w:rFonts w:cs="Arial"/>
          <w:color w:val="142F50"/>
          <w:sz w:val="22"/>
          <w:szCs w:val="22"/>
          <w:lang w:val="sr-Latn-CS"/>
        </w:rPr>
        <w:t xml:space="preserve"> 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>а</w:t>
      </w:r>
      <w:r w:rsidR="00C02BD6" w:rsidRPr="00B23DB0">
        <w:rPr>
          <w:rFonts w:cs="Arial"/>
          <w:color w:val="142F50"/>
          <w:sz w:val="22"/>
          <w:szCs w:val="22"/>
          <w:lang w:val="sr-Latn-CS"/>
        </w:rPr>
        <w:t xml:space="preserve"> </w:t>
      </w:r>
      <w:r w:rsidR="00AB2EDA" w:rsidRPr="00B23DB0">
        <w:rPr>
          <w:rFonts w:cs="Arial"/>
          <w:color w:val="142F50"/>
          <w:sz w:val="22"/>
          <w:szCs w:val="22"/>
          <w:lang w:val="sr-Cyrl-RS"/>
        </w:rPr>
        <w:t xml:space="preserve">у </w:t>
      </w:r>
      <w:r w:rsidR="00C02BD6" w:rsidRPr="00B23DB0">
        <w:rPr>
          <w:rFonts w:cs="Arial"/>
          <w:color w:val="142F50"/>
          <w:sz w:val="22"/>
          <w:szCs w:val="22"/>
          <w:lang w:val="sr-Latn-CS"/>
        </w:rPr>
        <w:t xml:space="preserve">животним осигурањима </w:t>
      </w:r>
      <w:r w:rsidR="00AB2EDA" w:rsidRPr="00B23DB0">
        <w:rPr>
          <w:rFonts w:cs="Arial"/>
          <w:color w:val="142F50"/>
          <w:sz w:val="22"/>
          <w:szCs w:val="22"/>
          <w:lang w:val="sr-Cyrl-RS"/>
        </w:rPr>
        <w:t>1</w:t>
      </w:r>
      <w:r w:rsidR="00253EBB">
        <w:rPr>
          <w:rFonts w:cs="Arial"/>
          <w:color w:val="142F50"/>
          <w:sz w:val="22"/>
          <w:szCs w:val="22"/>
          <w:lang w:val="sr-Cyrl-RS"/>
        </w:rPr>
        <w:t>33</w:t>
      </w:r>
      <w:r w:rsidR="00AB2EDA"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253EBB">
        <w:rPr>
          <w:rFonts w:cs="Arial"/>
          <w:color w:val="142F50"/>
          <w:sz w:val="22"/>
          <w:szCs w:val="22"/>
          <w:lang w:val="sr-Cyrl-RS"/>
        </w:rPr>
        <w:t>762</w:t>
      </w:r>
      <w:r w:rsidR="00AB2EDA"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253EBB">
        <w:rPr>
          <w:rFonts w:cs="Arial"/>
          <w:color w:val="142F50"/>
          <w:sz w:val="22"/>
          <w:szCs w:val="22"/>
          <w:lang w:val="sr-Cyrl-RS"/>
        </w:rPr>
        <w:t>е</w:t>
      </w:r>
      <w:r w:rsidR="00C02BD6" w:rsidRPr="00B23DB0">
        <w:rPr>
          <w:rFonts w:cs="Arial"/>
          <w:color w:val="142F50"/>
          <w:sz w:val="22"/>
          <w:szCs w:val="22"/>
          <w:lang w:val="sr-Latn-CS"/>
        </w:rPr>
        <w:t xml:space="preserve"> динара</w:t>
      </w:r>
      <w:r w:rsidR="00C02BD6" w:rsidRPr="00B23DB0">
        <w:rPr>
          <w:rFonts w:cs="Arial"/>
          <w:color w:val="142F50"/>
          <w:sz w:val="22"/>
          <w:szCs w:val="22"/>
        </w:rPr>
        <w:t xml:space="preserve">. </w:t>
      </w:r>
      <w:r w:rsidR="00AB2EDA" w:rsidRPr="00B23DB0">
        <w:rPr>
          <w:rFonts w:cs="Arial"/>
          <w:color w:val="142F50"/>
          <w:sz w:val="22"/>
          <w:szCs w:val="22"/>
          <w:lang w:val="sr-Cyrl-RS"/>
        </w:rPr>
        <w:t>У истом периоду у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 xml:space="preserve">купна премија у самопридржају износи </w:t>
      </w:r>
      <w:r w:rsidR="00253EBB">
        <w:rPr>
          <w:rFonts w:cs="Arial"/>
          <w:color w:val="142F50"/>
          <w:sz w:val="22"/>
          <w:szCs w:val="22"/>
          <w:lang w:val="sr-Cyrl-RS"/>
        </w:rPr>
        <w:t>1.002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253EBB">
        <w:rPr>
          <w:rFonts w:cs="Arial"/>
          <w:color w:val="142F50"/>
          <w:sz w:val="22"/>
          <w:szCs w:val="22"/>
          <w:lang w:val="sr-Cyrl-RS"/>
        </w:rPr>
        <w:t>572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253EBB">
        <w:rPr>
          <w:rFonts w:cs="Arial"/>
          <w:color w:val="142F50"/>
          <w:sz w:val="22"/>
          <w:szCs w:val="22"/>
          <w:lang w:val="sr-Cyrl-RS"/>
        </w:rPr>
        <w:t>е</w:t>
      </w:r>
      <w:r w:rsidR="00911BC8" w:rsidRPr="00B23DB0">
        <w:rPr>
          <w:rFonts w:cs="Arial"/>
          <w:color w:val="142F50"/>
          <w:sz w:val="22"/>
          <w:szCs w:val="22"/>
          <w:lang w:val="sr-Cyrl-RS"/>
        </w:rPr>
        <w:t xml:space="preserve"> динара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 xml:space="preserve"> (2</w:t>
      </w:r>
      <w:r w:rsidR="00253EBB">
        <w:rPr>
          <w:rFonts w:cs="Arial"/>
          <w:color w:val="142F50"/>
          <w:sz w:val="22"/>
          <w:szCs w:val="22"/>
          <w:lang w:val="sr-Cyrl-RS"/>
        </w:rPr>
        <w:t>0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253EBB">
        <w:rPr>
          <w:rFonts w:cs="Arial"/>
          <w:color w:val="142F50"/>
          <w:sz w:val="22"/>
          <w:szCs w:val="22"/>
          <w:lang w:val="sr-Cyrl-RS"/>
        </w:rPr>
        <w:t>95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 xml:space="preserve">% укупне активне премије), и то у неживотним осигурањима </w:t>
      </w:r>
      <w:r w:rsidR="00A15036">
        <w:rPr>
          <w:rFonts w:cs="Arial"/>
          <w:color w:val="142F50"/>
          <w:sz w:val="22"/>
          <w:szCs w:val="22"/>
          <w:lang w:val="sr-Cyrl-RS"/>
        </w:rPr>
        <w:t>986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A15036">
        <w:rPr>
          <w:rFonts w:cs="Arial"/>
          <w:color w:val="142F50"/>
          <w:sz w:val="22"/>
          <w:szCs w:val="22"/>
          <w:lang w:val="sr-Cyrl-RS"/>
        </w:rPr>
        <w:t>779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A15036">
        <w:rPr>
          <w:rFonts w:cs="Arial"/>
          <w:color w:val="142F50"/>
          <w:sz w:val="22"/>
          <w:szCs w:val="22"/>
          <w:lang w:val="sr-Cyrl-RS"/>
        </w:rPr>
        <w:t>а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 xml:space="preserve"> динара (2</w:t>
      </w:r>
      <w:r w:rsidR="00A15036">
        <w:rPr>
          <w:rFonts w:cs="Arial"/>
          <w:color w:val="142F50"/>
          <w:sz w:val="22"/>
          <w:szCs w:val="22"/>
          <w:lang w:val="sr-Cyrl-RS"/>
        </w:rPr>
        <w:t>1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A15036">
        <w:rPr>
          <w:rFonts w:cs="Arial"/>
          <w:color w:val="142F50"/>
          <w:sz w:val="22"/>
          <w:szCs w:val="22"/>
          <w:lang w:val="sr-Cyrl-RS"/>
        </w:rPr>
        <w:t>21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% активне премије неживотних осигурања), односно у животним осигурањима 1</w:t>
      </w:r>
      <w:r w:rsidR="00A15036">
        <w:rPr>
          <w:rFonts w:cs="Arial"/>
          <w:color w:val="142F50"/>
          <w:sz w:val="22"/>
          <w:szCs w:val="22"/>
          <w:lang w:val="sr-Cyrl-RS"/>
        </w:rPr>
        <w:t>5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A15036">
        <w:rPr>
          <w:rFonts w:cs="Arial"/>
          <w:color w:val="142F50"/>
          <w:sz w:val="22"/>
          <w:szCs w:val="22"/>
          <w:lang w:val="sr-Cyrl-RS"/>
        </w:rPr>
        <w:t>793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 xml:space="preserve"> хиљаде динара (1</w:t>
      </w:r>
      <w:r w:rsidR="00911BC8" w:rsidRPr="00B23DB0">
        <w:rPr>
          <w:rFonts w:cs="Arial"/>
          <w:color w:val="142F50"/>
          <w:sz w:val="22"/>
          <w:szCs w:val="22"/>
          <w:lang w:val="sr-Cyrl-RS"/>
        </w:rPr>
        <w:t>1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A15036">
        <w:rPr>
          <w:rFonts w:cs="Arial"/>
          <w:color w:val="142F50"/>
          <w:sz w:val="22"/>
          <w:szCs w:val="22"/>
          <w:lang w:val="sr-Cyrl-RS"/>
        </w:rPr>
        <w:t>81</w:t>
      </w:r>
      <w:r w:rsidR="00A46C9F" w:rsidRPr="00B23DB0">
        <w:rPr>
          <w:rFonts w:cs="Arial"/>
          <w:color w:val="142F50"/>
          <w:sz w:val="22"/>
          <w:szCs w:val="22"/>
          <w:lang w:val="sr-Cyrl-RS"/>
        </w:rPr>
        <w:t>% активне премије животних осигурања).</w:t>
      </w:r>
      <w:r w:rsidR="00A15036">
        <w:rPr>
          <w:rFonts w:cs="Arial"/>
          <w:color w:val="142F50"/>
          <w:sz w:val="22"/>
          <w:szCs w:val="22"/>
          <w:lang w:val="sr-Cyrl-RS"/>
        </w:rPr>
        <w:t xml:space="preserve"> Раст 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>премиј</w:t>
      </w:r>
      <w:r w:rsidR="00A15036">
        <w:rPr>
          <w:rFonts w:cs="Arial"/>
          <w:color w:val="142F50"/>
          <w:sz w:val="22"/>
          <w:szCs w:val="22"/>
          <w:lang w:val="sr-Cyrl-RS"/>
        </w:rPr>
        <w:t>е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 xml:space="preserve"> у самопридржају у 201</w:t>
      </w:r>
      <w:r w:rsidR="00A15036">
        <w:rPr>
          <w:rFonts w:cs="Arial"/>
          <w:color w:val="142F50"/>
          <w:sz w:val="22"/>
          <w:szCs w:val="22"/>
          <w:lang w:val="sr-Cyrl-RS"/>
        </w:rPr>
        <w:t>9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>. години у односу на 201</w:t>
      </w:r>
      <w:r w:rsidR="00A15036">
        <w:rPr>
          <w:rFonts w:cs="Arial"/>
          <w:color w:val="142F50"/>
          <w:sz w:val="22"/>
          <w:szCs w:val="22"/>
          <w:lang w:val="sr-Cyrl-RS"/>
        </w:rPr>
        <w:t>8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 xml:space="preserve">. годину је </w:t>
      </w:r>
      <w:r w:rsidR="005572D3">
        <w:rPr>
          <w:rFonts w:cs="Arial"/>
          <w:color w:val="142F50"/>
          <w:sz w:val="22"/>
          <w:szCs w:val="22"/>
          <w:lang w:val="sr-Cyrl-RS"/>
        </w:rPr>
        <w:t>25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>,9</w:t>
      </w:r>
      <w:r w:rsidR="005572D3">
        <w:rPr>
          <w:rFonts w:cs="Arial"/>
          <w:color w:val="142F50"/>
          <w:sz w:val="22"/>
          <w:szCs w:val="22"/>
          <w:lang w:val="sr-Cyrl-RS"/>
        </w:rPr>
        <w:t>5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>%.</w:t>
      </w:r>
    </w:p>
    <w:p w:rsidR="00485FE7" w:rsidRPr="00B23DB0" w:rsidRDefault="00485FE7" w:rsidP="00D313AC">
      <w:pPr>
        <w:spacing w:line="240" w:lineRule="auto"/>
        <w:rPr>
          <w:rFonts w:cs="Arial"/>
          <w:b/>
          <w:i/>
          <w:color w:val="142F50"/>
          <w:sz w:val="22"/>
          <w:szCs w:val="22"/>
        </w:rPr>
      </w:pPr>
    </w:p>
    <w:p w:rsidR="000152B7" w:rsidRPr="00B23DB0" w:rsidRDefault="000152B7" w:rsidP="00400B9D">
      <w:pPr>
        <w:keepNext/>
        <w:spacing w:line="480" w:lineRule="auto"/>
        <w:jc w:val="center"/>
        <w:rPr>
          <w:rFonts w:cs="Arial"/>
          <w:b/>
          <w:color w:val="142F50"/>
          <w:sz w:val="22"/>
          <w:szCs w:val="22"/>
        </w:rPr>
      </w:pPr>
      <w:r w:rsidRPr="00B23DB0">
        <w:rPr>
          <w:rFonts w:cs="Arial"/>
          <w:b/>
          <w:color w:val="142F50"/>
          <w:sz w:val="22"/>
          <w:szCs w:val="22"/>
        </w:rPr>
        <w:t xml:space="preserve">Премија по активном и пасивном послу </w:t>
      </w:r>
      <w:r w:rsidR="005B3E48" w:rsidRPr="00B23DB0">
        <w:rPr>
          <w:rFonts w:cs="Arial"/>
          <w:b/>
          <w:color w:val="142F50"/>
          <w:sz w:val="22"/>
          <w:szCs w:val="22"/>
        </w:rPr>
        <w:t>и премија у самопридржају</w:t>
      </w:r>
    </w:p>
    <w:p w:rsidR="005B3E48" w:rsidRPr="00B23DB0" w:rsidRDefault="00F800BB" w:rsidP="007F5832">
      <w:pPr>
        <w:spacing w:line="480" w:lineRule="auto"/>
        <w:jc w:val="center"/>
        <w:rPr>
          <w:rFonts w:cs="Arial"/>
          <w:b/>
          <w:color w:val="142F50"/>
          <w:sz w:val="22"/>
          <w:szCs w:val="22"/>
        </w:rPr>
      </w:pPr>
      <w:r w:rsidRPr="00F800BB">
        <w:rPr>
          <w:noProof/>
          <w:lang w:val="en-US"/>
        </w:rPr>
        <w:drawing>
          <wp:inline distT="0" distB="0" distL="0" distR="0">
            <wp:extent cx="5256000" cy="3710601"/>
            <wp:effectExtent l="0" t="0" r="190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0" cy="3710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082" w:rsidRPr="00B23DB0" w:rsidRDefault="00C90082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У 201</w:t>
      </w:r>
      <w:r w:rsidR="00F800BB">
        <w:rPr>
          <w:rFonts w:cs="Arial"/>
          <w:color w:val="142F50"/>
          <w:sz w:val="22"/>
          <w:szCs w:val="22"/>
        </w:rPr>
        <w:t>9</w:t>
      </w:r>
      <w:r w:rsidRPr="00B23DB0">
        <w:rPr>
          <w:rFonts w:cs="Arial"/>
          <w:color w:val="142F50"/>
          <w:sz w:val="22"/>
          <w:szCs w:val="22"/>
        </w:rPr>
        <w:t xml:space="preserve">. години највеће </w:t>
      </w:r>
      <w:r w:rsidR="00F1687C" w:rsidRPr="00B23DB0">
        <w:rPr>
          <w:rFonts w:cs="Arial"/>
          <w:color w:val="142F50"/>
          <w:sz w:val="22"/>
          <w:szCs w:val="22"/>
        </w:rPr>
        <w:t xml:space="preserve">номинално </w:t>
      </w:r>
      <w:r w:rsidRPr="00B23DB0">
        <w:rPr>
          <w:rFonts w:cs="Arial"/>
          <w:color w:val="142F50"/>
          <w:sz w:val="22"/>
          <w:szCs w:val="22"/>
        </w:rPr>
        <w:t xml:space="preserve">учешће </w:t>
      </w:r>
      <w:r w:rsidR="003E5311" w:rsidRPr="00B23DB0">
        <w:rPr>
          <w:rFonts w:cs="Arial"/>
          <w:color w:val="142F50"/>
          <w:sz w:val="22"/>
          <w:szCs w:val="22"/>
        </w:rPr>
        <w:t xml:space="preserve">ретроцесионара </w:t>
      </w:r>
      <w:r w:rsidRPr="00B23DB0">
        <w:rPr>
          <w:rFonts w:cs="Arial"/>
          <w:color w:val="142F50"/>
          <w:sz w:val="22"/>
          <w:szCs w:val="22"/>
        </w:rPr>
        <w:t xml:space="preserve">у премији </w:t>
      </w:r>
      <w:r w:rsidR="003E5311" w:rsidRPr="00B23DB0">
        <w:rPr>
          <w:rFonts w:cs="Arial"/>
          <w:color w:val="142F50"/>
          <w:sz w:val="22"/>
          <w:szCs w:val="22"/>
        </w:rPr>
        <w:t>бележи се у</w:t>
      </w:r>
      <w:r w:rsidRPr="00B23DB0">
        <w:rPr>
          <w:rFonts w:cs="Arial"/>
          <w:color w:val="142F50"/>
          <w:sz w:val="22"/>
          <w:szCs w:val="22"/>
        </w:rPr>
        <w:t xml:space="preserve"> </w:t>
      </w:r>
      <w:r w:rsidR="00FE00A2" w:rsidRPr="00B23DB0">
        <w:rPr>
          <w:rFonts w:cs="Arial"/>
          <w:color w:val="142F50"/>
          <w:sz w:val="22"/>
          <w:szCs w:val="22"/>
        </w:rPr>
        <w:t>врста</w:t>
      </w:r>
      <w:r w:rsidR="00F1687C" w:rsidRPr="00B23DB0">
        <w:rPr>
          <w:rFonts w:cs="Arial"/>
          <w:color w:val="142F50"/>
          <w:sz w:val="22"/>
          <w:szCs w:val="22"/>
        </w:rPr>
        <w:t>ма: осигурање</w:t>
      </w:r>
      <w:r w:rsidRPr="00B23DB0">
        <w:rPr>
          <w:rFonts w:cs="Arial"/>
          <w:color w:val="142F50"/>
          <w:sz w:val="22"/>
          <w:szCs w:val="22"/>
        </w:rPr>
        <w:t xml:space="preserve"> имовине од пожара и других опасности</w:t>
      </w:r>
      <w:r w:rsidR="00D72144" w:rsidRPr="00B23DB0">
        <w:rPr>
          <w:rFonts w:cs="Arial"/>
          <w:color w:val="142F50"/>
          <w:sz w:val="22"/>
          <w:szCs w:val="22"/>
          <w:lang w:val="sr-Cyrl-RS"/>
        </w:rPr>
        <w:t xml:space="preserve"> и </w:t>
      </w:r>
      <w:r w:rsidR="005B3E48" w:rsidRPr="00B23DB0">
        <w:rPr>
          <w:rFonts w:cs="Arial"/>
          <w:color w:val="142F50"/>
          <w:sz w:val="22"/>
          <w:szCs w:val="22"/>
          <w:lang w:val="sr-Cyrl-RS"/>
        </w:rPr>
        <w:t>остала осигурања имовине</w:t>
      </w:r>
      <w:r w:rsidR="00BB5B9E" w:rsidRPr="00B23DB0">
        <w:rPr>
          <w:rFonts w:cs="Arial"/>
          <w:color w:val="142F50"/>
          <w:sz w:val="22"/>
          <w:szCs w:val="22"/>
          <w:lang w:val="sr-Cyrl-RS"/>
        </w:rPr>
        <w:t>,</w:t>
      </w:r>
      <w:r w:rsidRPr="00B23DB0">
        <w:rPr>
          <w:rFonts w:cs="Arial"/>
          <w:color w:val="142F50"/>
          <w:sz w:val="22"/>
          <w:szCs w:val="22"/>
        </w:rPr>
        <w:t xml:space="preserve"> кој</w:t>
      </w:r>
      <w:r w:rsidR="001E2503" w:rsidRPr="00B23DB0">
        <w:rPr>
          <w:rFonts w:cs="Arial"/>
          <w:color w:val="142F50"/>
          <w:sz w:val="22"/>
          <w:szCs w:val="22"/>
        </w:rPr>
        <w:t>а</w:t>
      </w:r>
      <w:r w:rsidR="00F1687C" w:rsidRPr="00B23DB0">
        <w:rPr>
          <w:rFonts w:cs="Arial"/>
          <w:color w:val="142F50"/>
          <w:sz w:val="22"/>
          <w:szCs w:val="22"/>
        </w:rPr>
        <w:t xml:space="preserve"> су и најзаступљеније врсте и по активном послу.</w:t>
      </w:r>
      <w:r w:rsidRPr="00B23DB0">
        <w:rPr>
          <w:rFonts w:cs="Arial"/>
          <w:color w:val="142F50"/>
          <w:sz w:val="22"/>
          <w:szCs w:val="22"/>
        </w:rPr>
        <w:t xml:space="preserve"> Код ових врста осигурања уговарају </w:t>
      </w:r>
      <w:r w:rsidR="003B2D1A" w:rsidRPr="00B23DB0">
        <w:rPr>
          <w:rFonts w:cs="Arial"/>
          <w:color w:val="142F50"/>
          <w:sz w:val="22"/>
          <w:szCs w:val="22"/>
        </w:rPr>
        <w:t xml:space="preserve">се </w:t>
      </w:r>
      <w:r w:rsidRPr="00B23DB0">
        <w:rPr>
          <w:rFonts w:cs="Arial"/>
          <w:color w:val="142F50"/>
          <w:sz w:val="22"/>
          <w:szCs w:val="22"/>
        </w:rPr>
        <w:t xml:space="preserve">највише </w:t>
      </w:r>
      <w:r w:rsidRPr="00B23DB0">
        <w:rPr>
          <w:rFonts w:cs="Arial"/>
          <w:color w:val="142F50"/>
          <w:sz w:val="22"/>
          <w:szCs w:val="22"/>
        </w:rPr>
        <w:lastRenderedPageBreak/>
        <w:t>суме осигурања</w:t>
      </w:r>
      <w:r w:rsidR="00181CBC" w:rsidRPr="00B23DB0">
        <w:rPr>
          <w:rFonts w:cs="Arial"/>
          <w:color w:val="142F50"/>
          <w:sz w:val="22"/>
          <w:szCs w:val="22"/>
          <w:lang w:val="sr-Cyrl-RS"/>
        </w:rPr>
        <w:t>,</w:t>
      </w:r>
      <w:r w:rsidRPr="00B23DB0">
        <w:rPr>
          <w:rFonts w:cs="Arial"/>
          <w:color w:val="142F50"/>
          <w:sz w:val="22"/>
          <w:szCs w:val="22"/>
        </w:rPr>
        <w:t xml:space="preserve"> па се самим тим и најчешће преносе у ре</w:t>
      </w:r>
      <w:r w:rsidR="00705CA3" w:rsidRPr="00B23DB0">
        <w:rPr>
          <w:rFonts w:cs="Arial"/>
          <w:color w:val="142F50"/>
          <w:sz w:val="22"/>
          <w:szCs w:val="22"/>
        </w:rPr>
        <w:t>троцесију</w:t>
      </w:r>
      <w:r w:rsidRPr="00B23DB0">
        <w:rPr>
          <w:rFonts w:cs="Arial"/>
          <w:color w:val="142F50"/>
          <w:sz w:val="22"/>
          <w:szCs w:val="22"/>
        </w:rPr>
        <w:t xml:space="preserve">, тако да су оне најзаступљеније </w:t>
      </w:r>
      <w:r w:rsidR="00705CA3" w:rsidRPr="00B23DB0">
        <w:rPr>
          <w:rFonts w:cs="Arial"/>
          <w:color w:val="142F50"/>
          <w:sz w:val="22"/>
          <w:szCs w:val="22"/>
        </w:rPr>
        <w:t xml:space="preserve">и </w:t>
      </w:r>
      <w:r w:rsidRPr="00B23DB0">
        <w:rPr>
          <w:rFonts w:cs="Arial"/>
          <w:color w:val="142F50"/>
          <w:sz w:val="22"/>
          <w:szCs w:val="22"/>
        </w:rPr>
        <w:t xml:space="preserve">у </w:t>
      </w:r>
      <w:r w:rsidR="00F1687C" w:rsidRPr="00B23DB0">
        <w:rPr>
          <w:rFonts w:cs="Arial"/>
          <w:color w:val="142F50"/>
          <w:sz w:val="22"/>
          <w:szCs w:val="22"/>
        </w:rPr>
        <w:t xml:space="preserve">активном и </w:t>
      </w:r>
      <w:r w:rsidR="00705CA3" w:rsidRPr="00B23DB0">
        <w:rPr>
          <w:rFonts w:cs="Arial"/>
          <w:color w:val="142F50"/>
          <w:sz w:val="22"/>
          <w:szCs w:val="22"/>
        </w:rPr>
        <w:t xml:space="preserve">у </w:t>
      </w:r>
      <w:r w:rsidR="00F1687C" w:rsidRPr="00B23DB0">
        <w:rPr>
          <w:rFonts w:cs="Arial"/>
          <w:color w:val="142F50"/>
          <w:sz w:val="22"/>
          <w:szCs w:val="22"/>
        </w:rPr>
        <w:t xml:space="preserve">пасивном </w:t>
      </w:r>
      <w:r w:rsidRPr="00B23DB0">
        <w:rPr>
          <w:rFonts w:cs="Arial"/>
          <w:color w:val="142F50"/>
          <w:sz w:val="22"/>
          <w:szCs w:val="22"/>
        </w:rPr>
        <w:t xml:space="preserve">портфељу. </w:t>
      </w:r>
      <w:r w:rsidR="007F5412" w:rsidRPr="00B23DB0">
        <w:rPr>
          <w:rFonts w:cs="Arial"/>
          <w:color w:val="142F50"/>
          <w:sz w:val="22"/>
          <w:szCs w:val="22"/>
        </w:rPr>
        <w:t>Наведене</w:t>
      </w:r>
      <w:r w:rsidRPr="00B23DB0">
        <w:rPr>
          <w:rFonts w:cs="Arial"/>
          <w:color w:val="142F50"/>
          <w:sz w:val="22"/>
          <w:szCs w:val="22"/>
        </w:rPr>
        <w:t xml:space="preserve"> врсте осигурања су имале највеће учешће и у </w:t>
      </w:r>
      <w:r w:rsidR="00F1687C" w:rsidRPr="00B23DB0">
        <w:rPr>
          <w:rFonts w:cs="Arial"/>
          <w:color w:val="142F50"/>
          <w:sz w:val="22"/>
          <w:szCs w:val="22"/>
        </w:rPr>
        <w:t>претходним пословним годинама</w:t>
      </w:r>
      <w:r w:rsidRPr="00B23DB0">
        <w:rPr>
          <w:rFonts w:cs="Arial"/>
          <w:color w:val="142F50"/>
          <w:sz w:val="22"/>
          <w:szCs w:val="22"/>
        </w:rPr>
        <w:t xml:space="preserve">. </w:t>
      </w:r>
      <w:r w:rsidR="00123A8C" w:rsidRPr="00B23DB0">
        <w:rPr>
          <w:rFonts w:cs="Arial"/>
          <w:color w:val="142F50"/>
          <w:sz w:val="22"/>
          <w:szCs w:val="22"/>
        </w:rPr>
        <w:t>Премија ове две врсте чини</w:t>
      </w:r>
      <w:r w:rsidR="00AB1C8D" w:rsidRPr="00B23DB0">
        <w:rPr>
          <w:rFonts w:cs="Arial"/>
          <w:color w:val="142F50"/>
          <w:sz w:val="22"/>
          <w:szCs w:val="22"/>
        </w:rPr>
        <w:t xml:space="preserve"> </w:t>
      </w:r>
      <w:r w:rsidR="00C362B3">
        <w:rPr>
          <w:rFonts w:cs="Arial"/>
          <w:color w:val="142F50"/>
          <w:sz w:val="22"/>
          <w:szCs w:val="22"/>
        </w:rPr>
        <w:t>63</w:t>
      </w:r>
      <w:r w:rsidR="00181CBC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C362B3">
        <w:rPr>
          <w:rFonts w:cs="Arial"/>
          <w:color w:val="142F50"/>
          <w:sz w:val="22"/>
          <w:szCs w:val="22"/>
          <w:lang w:val="sr-Latn-RS"/>
        </w:rPr>
        <w:t>94</w:t>
      </w:r>
      <w:r w:rsidR="00FF4D34" w:rsidRPr="00B23DB0">
        <w:rPr>
          <w:rFonts w:cs="Arial"/>
          <w:color w:val="142F50"/>
          <w:sz w:val="22"/>
          <w:szCs w:val="22"/>
        </w:rPr>
        <w:t xml:space="preserve">% активне премије и </w:t>
      </w:r>
      <w:r w:rsidR="00C362B3">
        <w:rPr>
          <w:rFonts w:cs="Arial"/>
          <w:color w:val="142F50"/>
          <w:sz w:val="22"/>
          <w:szCs w:val="22"/>
        </w:rPr>
        <w:t>65</w:t>
      </w:r>
      <w:r w:rsidR="00181CBC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C362B3">
        <w:rPr>
          <w:rFonts w:cs="Arial"/>
          <w:color w:val="142F50"/>
          <w:sz w:val="22"/>
          <w:szCs w:val="22"/>
          <w:lang w:val="sr-Latn-RS"/>
        </w:rPr>
        <w:t>49</w:t>
      </w:r>
      <w:r w:rsidR="00FF4D34" w:rsidRPr="00B23DB0">
        <w:rPr>
          <w:rFonts w:cs="Arial"/>
          <w:color w:val="142F50"/>
          <w:sz w:val="22"/>
          <w:szCs w:val="22"/>
        </w:rPr>
        <w:t xml:space="preserve">% </w:t>
      </w:r>
      <w:r w:rsidR="00123A8C" w:rsidRPr="00B23DB0">
        <w:rPr>
          <w:rFonts w:cs="Arial"/>
          <w:color w:val="142F50"/>
          <w:sz w:val="22"/>
          <w:szCs w:val="22"/>
        </w:rPr>
        <w:t>пасивне премије</w:t>
      </w:r>
      <w:r w:rsidR="00AB1C8D" w:rsidRPr="00B23DB0">
        <w:rPr>
          <w:rFonts w:cs="Arial"/>
          <w:color w:val="142F50"/>
          <w:sz w:val="22"/>
          <w:szCs w:val="22"/>
        </w:rPr>
        <w:t>.</w:t>
      </w:r>
    </w:p>
    <w:p w:rsidR="007129F3" w:rsidRPr="00B23DB0" w:rsidRDefault="007129F3" w:rsidP="006C3D26">
      <w:pPr>
        <w:spacing w:line="240" w:lineRule="auto"/>
        <w:rPr>
          <w:rFonts w:cs="Arial"/>
          <w:color w:val="142F50"/>
          <w:sz w:val="22"/>
          <w:szCs w:val="22"/>
        </w:rPr>
      </w:pPr>
    </w:p>
    <w:p w:rsidR="007129F3" w:rsidRPr="00B23DB0" w:rsidRDefault="007129F3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F5573E">
        <w:rPr>
          <w:rFonts w:cs="Arial"/>
          <w:color w:val="142F50"/>
          <w:sz w:val="22"/>
          <w:szCs w:val="22"/>
          <w:lang w:val="sr-Cyrl-RS"/>
        </w:rPr>
        <w:t>Укупно ликвидиране штете по активном послу у 201</w:t>
      </w:r>
      <w:r w:rsidR="00F5573E">
        <w:rPr>
          <w:rFonts w:cs="Arial"/>
          <w:color w:val="142F50"/>
          <w:sz w:val="22"/>
          <w:szCs w:val="22"/>
          <w:lang w:val="sr-Latn-RS"/>
        </w:rPr>
        <w:t>9</w:t>
      </w:r>
      <w:r w:rsidRPr="00F5573E">
        <w:rPr>
          <w:rFonts w:cs="Arial"/>
          <w:color w:val="142F50"/>
          <w:sz w:val="22"/>
          <w:szCs w:val="22"/>
          <w:lang w:val="sr-Cyrl-RS"/>
        </w:rPr>
        <w:t xml:space="preserve">. години износе </w:t>
      </w:r>
      <w:r w:rsidR="00F5573E">
        <w:rPr>
          <w:rFonts w:cs="Arial"/>
          <w:color w:val="142F50"/>
          <w:sz w:val="22"/>
          <w:szCs w:val="22"/>
          <w:lang w:val="sr-Latn-RS"/>
        </w:rPr>
        <w:t>970</w:t>
      </w:r>
      <w:r w:rsidRPr="00F5573E">
        <w:rPr>
          <w:rFonts w:cs="Arial"/>
          <w:color w:val="142F50"/>
          <w:sz w:val="22"/>
          <w:szCs w:val="22"/>
          <w:lang w:val="sr-Cyrl-RS"/>
        </w:rPr>
        <w:t>.</w:t>
      </w:r>
      <w:r w:rsidR="00F5573E">
        <w:rPr>
          <w:rFonts w:cs="Arial"/>
          <w:color w:val="142F50"/>
          <w:sz w:val="22"/>
          <w:szCs w:val="22"/>
          <w:lang w:val="sr-Latn-RS"/>
        </w:rPr>
        <w:t>771</w:t>
      </w:r>
      <w:r w:rsidRPr="00F5573E">
        <w:rPr>
          <w:rFonts w:cs="Arial"/>
          <w:color w:val="142F50"/>
          <w:sz w:val="22"/>
          <w:szCs w:val="22"/>
          <w:lang w:val="sr-Cyrl-RS"/>
        </w:rPr>
        <w:t xml:space="preserve"> хиљада динара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и </w:t>
      </w:r>
      <w:r w:rsidR="00BD0B73" w:rsidRPr="00B23DB0">
        <w:rPr>
          <w:rFonts w:cs="Arial"/>
          <w:color w:val="142F50"/>
          <w:sz w:val="22"/>
          <w:szCs w:val="22"/>
          <w:lang w:val="sr-Cyrl-RS"/>
        </w:rPr>
        <w:t xml:space="preserve">више 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су за </w:t>
      </w:r>
      <w:r w:rsidR="00F5573E">
        <w:rPr>
          <w:rFonts w:cs="Arial"/>
          <w:color w:val="142F50"/>
          <w:sz w:val="22"/>
          <w:szCs w:val="22"/>
          <w:lang w:val="sr-Latn-RS"/>
        </w:rPr>
        <w:t>34</w:t>
      </w:r>
      <w:r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F5573E">
        <w:rPr>
          <w:rFonts w:cs="Arial"/>
          <w:color w:val="142F50"/>
          <w:sz w:val="22"/>
          <w:szCs w:val="22"/>
          <w:lang w:val="sr-Latn-RS"/>
        </w:rPr>
        <w:t>5</w:t>
      </w:r>
      <w:r w:rsidR="00BD0B73" w:rsidRPr="00B23DB0">
        <w:rPr>
          <w:rFonts w:cs="Arial"/>
          <w:color w:val="142F50"/>
          <w:sz w:val="22"/>
          <w:szCs w:val="22"/>
          <w:lang w:val="sr-Cyrl-RS"/>
        </w:rPr>
        <w:t>6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% у односу на исти период претходне године. У самопридржају за исти период укупно ликвидиране штете износе </w:t>
      </w:r>
      <w:r w:rsidR="00F5573E">
        <w:rPr>
          <w:rFonts w:cs="Arial"/>
          <w:color w:val="142F50"/>
          <w:sz w:val="22"/>
          <w:szCs w:val="22"/>
          <w:lang w:val="sr-Latn-RS"/>
        </w:rPr>
        <w:t>502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F5573E">
        <w:rPr>
          <w:rFonts w:cs="Arial"/>
          <w:color w:val="142F50"/>
          <w:sz w:val="22"/>
          <w:szCs w:val="22"/>
          <w:lang w:val="sr-Latn-RS"/>
        </w:rPr>
        <w:t>285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хиљада динара и </w:t>
      </w:r>
      <w:r w:rsidR="00A722E2" w:rsidRPr="00B23DB0">
        <w:rPr>
          <w:rFonts w:cs="Arial"/>
          <w:color w:val="142F50"/>
          <w:sz w:val="22"/>
          <w:szCs w:val="22"/>
          <w:lang w:val="sr-Cyrl-RS"/>
        </w:rPr>
        <w:t>више су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за </w:t>
      </w:r>
      <w:r w:rsidR="00F5573E">
        <w:rPr>
          <w:rFonts w:cs="Arial"/>
          <w:color w:val="142F50"/>
          <w:sz w:val="22"/>
          <w:szCs w:val="22"/>
          <w:lang w:val="sr-Latn-RS"/>
        </w:rPr>
        <w:t>47</w:t>
      </w:r>
      <w:r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F5573E">
        <w:rPr>
          <w:rFonts w:cs="Arial"/>
          <w:color w:val="142F50"/>
          <w:sz w:val="22"/>
          <w:szCs w:val="22"/>
          <w:lang w:val="sr-Latn-RS"/>
        </w:rPr>
        <w:t>5</w:t>
      </w:r>
      <w:r w:rsidR="00A722E2" w:rsidRPr="00B23DB0">
        <w:rPr>
          <w:rFonts w:cs="Arial"/>
          <w:color w:val="142F50"/>
          <w:sz w:val="22"/>
          <w:szCs w:val="22"/>
          <w:lang w:val="sr-Cyrl-RS"/>
        </w:rPr>
        <w:t>6</w:t>
      </w:r>
      <w:r w:rsidRPr="00B23DB0">
        <w:rPr>
          <w:rFonts w:cs="Arial"/>
          <w:color w:val="142F50"/>
          <w:sz w:val="22"/>
          <w:szCs w:val="22"/>
          <w:lang w:val="sr-Cyrl-RS"/>
        </w:rPr>
        <w:t>% у односу на 201</w:t>
      </w:r>
      <w:r w:rsidR="00F5573E">
        <w:rPr>
          <w:rFonts w:cs="Arial"/>
          <w:color w:val="142F50"/>
          <w:sz w:val="22"/>
          <w:szCs w:val="22"/>
          <w:lang w:val="sr-Latn-RS"/>
        </w:rPr>
        <w:t>8</w:t>
      </w:r>
      <w:r w:rsidRPr="00B23DB0">
        <w:rPr>
          <w:rFonts w:cs="Arial"/>
          <w:color w:val="142F50"/>
          <w:sz w:val="22"/>
          <w:szCs w:val="22"/>
          <w:lang w:val="sr-Cyrl-RS"/>
        </w:rPr>
        <w:t>. годину.</w:t>
      </w:r>
    </w:p>
    <w:p w:rsidR="00D72144" w:rsidRPr="00B23DB0" w:rsidRDefault="00D72144" w:rsidP="006C3D26">
      <w:pPr>
        <w:spacing w:line="240" w:lineRule="auto"/>
        <w:rPr>
          <w:rFonts w:cs="Arial"/>
          <w:color w:val="142F50"/>
          <w:sz w:val="22"/>
          <w:szCs w:val="22"/>
          <w:highlight w:val="green"/>
          <w:lang w:val="sr-Cyrl-RS"/>
        </w:rPr>
      </w:pPr>
    </w:p>
    <w:p w:rsidR="007129F3" w:rsidRPr="00B23DB0" w:rsidRDefault="007129F3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t>Резервисане пријављене не</w:t>
      </w:r>
      <w:r w:rsidR="00604D1A">
        <w:rPr>
          <w:rFonts w:cs="Arial"/>
          <w:color w:val="142F50"/>
          <w:sz w:val="22"/>
          <w:szCs w:val="22"/>
          <w:lang w:val="sr-Cyrl-RS"/>
        </w:rPr>
        <w:t>решене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штете по активним пословима на дан 31.12.201</w:t>
      </w:r>
      <w:r w:rsidR="00F5573E">
        <w:rPr>
          <w:rFonts w:cs="Arial"/>
          <w:color w:val="142F50"/>
          <w:sz w:val="22"/>
          <w:szCs w:val="22"/>
          <w:lang w:val="sr-Latn-RS"/>
        </w:rPr>
        <w:t>9</w:t>
      </w:r>
      <w:r w:rsidRPr="00B23DB0">
        <w:rPr>
          <w:rFonts w:cs="Arial"/>
          <w:color w:val="142F50"/>
          <w:sz w:val="22"/>
          <w:szCs w:val="22"/>
          <w:lang w:val="sr-Cyrl-RS"/>
        </w:rPr>
        <w:t>. износе 1.</w:t>
      </w:r>
      <w:r w:rsidR="00F5573E">
        <w:rPr>
          <w:rFonts w:cs="Arial"/>
          <w:color w:val="142F50"/>
          <w:sz w:val="22"/>
          <w:szCs w:val="22"/>
          <w:lang w:val="sr-Latn-RS"/>
        </w:rPr>
        <w:t>507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F5573E">
        <w:rPr>
          <w:rFonts w:cs="Arial"/>
          <w:color w:val="142F50"/>
          <w:sz w:val="22"/>
          <w:szCs w:val="22"/>
          <w:lang w:val="sr-Latn-RS"/>
        </w:rPr>
        <w:t>894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A722E2" w:rsidRPr="00B23DB0">
        <w:rPr>
          <w:rFonts w:cs="Arial"/>
          <w:color w:val="142F50"/>
          <w:sz w:val="22"/>
          <w:szCs w:val="22"/>
          <w:lang w:val="sr-Cyrl-RS"/>
        </w:rPr>
        <w:t>а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динара (</w:t>
      </w:r>
      <w:r w:rsidR="00F5573E">
        <w:rPr>
          <w:rFonts w:cs="Arial"/>
          <w:color w:val="142F50"/>
          <w:sz w:val="22"/>
          <w:szCs w:val="22"/>
          <w:lang w:val="sr-Cyrl-RS"/>
        </w:rPr>
        <w:t xml:space="preserve">повећање 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од </w:t>
      </w:r>
      <w:r w:rsidR="00F5573E">
        <w:rPr>
          <w:rFonts w:cs="Arial"/>
          <w:color w:val="142F50"/>
          <w:sz w:val="22"/>
          <w:szCs w:val="22"/>
          <w:lang w:val="sr-Cyrl-RS"/>
        </w:rPr>
        <w:t>11</w:t>
      </w:r>
      <w:r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F5573E">
        <w:rPr>
          <w:rFonts w:cs="Arial"/>
          <w:color w:val="142F50"/>
          <w:sz w:val="22"/>
          <w:szCs w:val="22"/>
          <w:lang w:val="sr-Cyrl-RS"/>
        </w:rPr>
        <w:t>36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%), док у самопридржају износе </w:t>
      </w:r>
      <w:r w:rsidR="00F5573E">
        <w:rPr>
          <w:rFonts w:cs="Arial"/>
          <w:color w:val="142F50"/>
          <w:sz w:val="22"/>
          <w:szCs w:val="22"/>
          <w:lang w:val="sr-Cyrl-RS"/>
        </w:rPr>
        <w:t>605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F5573E">
        <w:rPr>
          <w:rFonts w:cs="Arial"/>
          <w:color w:val="142F50"/>
          <w:sz w:val="22"/>
          <w:szCs w:val="22"/>
          <w:lang w:val="sr-Cyrl-RS"/>
        </w:rPr>
        <w:t>953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C1407E" w:rsidRPr="00B23DB0">
        <w:rPr>
          <w:rFonts w:cs="Arial"/>
          <w:color w:val="142F50"/>
          <w:sz w:val="22"/>
          <w:szCs w:val="22"/>
          <w:lang w:val="sr-Cyrl-RS"/>
        </w:rPr>
        <w:t>е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динара (повећање за </w:t>
      </w:r>
      <w:r w:rsidR="0075174E" w:rsidRPr="00B23DB0">
        <w:rPr>
          <w:rFonts w:cs="Arial"/>
          <w:color w:val="142F50"/>
          <w:sz w:val="22"/>
          <w:szCs w:val="22"/>
          <w:lang w:val="sr-Cyrl-RS"/>
        </w:rPr>
        <w:t>1</w:t>
      </w:r>
      <w:r w:rsidR="00291F36">
        <w:rPr>
          <w:rFonts w:cs="Arial"/>
          <w:color w:val="142F50"/>
          <w:sz w:val="22"/>
          <w:szCs w:val="22"/>
          <w:lang w:val="sr-Cyrl-RS"/>
        </w:rPr>
        <w:t>1</w:t>
      </w:r>
      <w:r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291F36">
        <w:rPr>
          <w:rFonts w:cs="Arial"/>
          <w:color w:val="142F50"/>
          <w:sz w:val="22"/>
          <w:szCs w:val="22"/>
          <w:lang w:val="sr-Cyrl-RS"/>
        </w:rPr>
        <w:t>1</w:t>
      </w:r>
      <w:r w:rsidR="0075174E" w:rsidRPr="00B23DB0">
        <w:rPr>
          <w:rFonts w:cs="Arial"/>
          <w:color w:val="142F50"/>
          <w:sz w:val="22"/>
          <w:szCs w:val="22"/>
          <w:lang w:val="sr-Cyrl-RS"/>
        </w:rPr>
        <w:t>7</w:t>
      </w:r>
      <w:r w:rsidRPr="00B23DB0">
        <w:rPr>
          <w:rFonts w:cs="Arial"/>
          <w:color w:val="142F50"/>
          <w:sz w:val="22"/>
          <w:szCs w:val="22"/>
          <w:lang w:val="sr-Cyrl-RS"/>
        </w:rPr>
        <w:t>%).</w:t>
      </w:r>
    </w:p>
    <w:p w:rsidR="00E55983" w:rsidRPr="00B23DB0" w:rsidRDefault="00E55983" w:rsidP="006C3D26">
      <w:pPr>
        <w:spacing w:line="240" w:lineRule="auto"/>
        <w:rPr>
          <w:rFonts w:cs="Arial"/>
          <w:color w:val="142F50"/>
          <w:sz w:val="22"/>
          <w:szCs w:val="22"/>
        </w:rPr>
      </w:pPr>
    </w:p>
    <w:p w:rsidR="004F6163" w:rsidRPr="00B23DB0" w:rsidRDefault="00E55983" w:rsidP="004F6163">
      <w:pPr>
        <w:spacing w:line="276" w:lineRule="auto"/>
        <w:jc w:val="center"/>
        <w:rPr>
          <w:rFonts w:cs="Arial"/>
          <w:b/>
          <w:i/>
          <w:color w:val="142F50"/>
          <w:sz w:val="22"/>
          <w:szCs w:val="22"/>
        </w:rPr>
      </w:pPr>
      <w:r w:rsidRPr="00B23DB0">
        <w:rPr>
          <w:rFonts w:cs="Arial"/>
          <w:b/>
          <w:i/>
          <w:color w:val="142F50"/>
          <w:sz w:val="22"/>
          <w:szCs w:val="22"/>
        </w:rPr>
        <w:t>Премија,</w:t>
      </w:r>
      <w:r w:rsidR="00BC6DF5" w:rsidRPr="00B23DB0">
        <w:rPr>
          <w:rFonts w:cs="Arial"/>
          <w:b/>
          <w:i/>
          <w:color w:val="142F50"/>
          <w:sz w:val="22"/>
          <w:szCs w:val="22"/>
        </w:rPr>
        <w:t xml:space="preserve"> решене </w:t>
      </w:r>
      <w:r w:rsidRPr="00B23DB0">
        <w:rPr>
          <w:rFonts w:cs="Arial"/>
          <w:b/>
          <w:i/>
          <w:color w:val="142F50"/>
          <w:sz w:val="22"/>
          <w:szCs w:val="22"/>
          <w:lang w:val="sr-Cyrl-RS"/>
        </w:rPr>
        <w:t>и резервисане</w:t>
      </w:r>
      <w:r w:rsidR="00425912" w:rsidRPr="00B23DB0">
        <w:rPr>
          <w:rFonts w:cs="Arial"/>
          <w:b/>
          <w:i/>
          <w:color w:val="142F50"/>
          <w:sz w:val="22"/>
          <w:szCs w:val="22"/>
          <w:lang w:val="sr-Cyrl-RS"/>
        </w:rPr>
        <w:t xml:space="preserve"> пријављене</w:t>
      </w:r>
      <w:r w:rsidRPr="00B23DB0">
        <w:rPr>
          <w:rFonts w:cs="Arial"/>
          <w:b/>
          <w:i/>
          <w:color w:val="142F50"/>
          <w:sz w:val="22"/>
          <w:szCs w:val="22"/>
          <w:lang w:val="sr-Cyrl-RS"/>
        </w:rPr>
        <w:t xml:space="preserve"> </w:t>
      </w:r>
      <w:r w:rsidR="00BC6DF5" w:rsidRPr="00B23DB0">
        <w:rPr>
          <w:rFonts w:cs="Arial"/>
          <w:b/>
          <w:i/>
          <w:color w:val="142F50"/>
          <w:sz w:val="22"/>
          <w:szCs w:val="22"/>
        </w:rPr>
        <w:t>штете и у</w:t>
      </w:r>
      <w:r w:rsidR="00CC222C" w:rsidRPr="00B23DB0">
        <w:rPr>
          <w:rFonts w:cs="Arial"/>
          <w:b/>
          <w:i/>
          <w:color w:val="142F50"/>
          <w:sz w:val="22"/>
          <w:szCs w:val="22"/>
        </w:rPr>
        <w:t>чешће ретроцесије</w:t>
      </w:r>
    </w:p>
    <w:p w:rsidR="00E56B9F" w:rsidRPr="00B23DB0" w:rsidRDefault="005C756B" w:rsidP="004F6163">
      <w:pPr>
        <w:spacing w:line="276" w:lineRule="auto"/>
        <w:jc w:val="center"/>
        <w:rPr>
          <w:rFonts w:cs="Arial"/>
          <w:b/>
          <w:i/>
          <w:color w:val="142F50"/>
          <w:sz w:val="22"/>
          <w:szCs w:val="22"/>
        </w:rPr>
      </w:pPr>
      <w:r w:rsidRPr="00B23DB0">
        <w:rPr>
          <w:rFonts w:cs="Arial"/>
          <w:b/>
          <w:i/>
          <w:color w:val="142F50"/>
          <w:sz w:val="22"/>
          <w:szCs w:val="22"/>
        </w:rPr>
        <w:t>у 201</w:t>
      </w:r>
      <w:r w:rsidR="00E4490D">
        <w:rPr>
          <w:rFonts w:cs="Arial"/>
          <w:b/>
          <w:i/>
          <w:color w:val="142F50"/>
          <w:sz w:val="22"/>
          <w:szCs w:val="22"/>
          <w:lang w:val="sr-Cyrl-RS"/>
        </w:rPr>
        <w:t>9</w:t>
      </w:r>
      <w:r w:rsidR="00E55983" w:rsidRPr="00B23DB0">
        <w:rPr>
          <w:rFonts w:cs="Arial"/>
          <w:b/>
          <w:i/>
          <w:color w:val="142F50"/>
          <w:sz w:val="22"/>
          <w:szCs w:val="22"/>
        </w:rPr>
        <w:t>.</w:t>
      </w:r>
      <w:r w:rsidRPr="00B23DB0">
        <w:rPr>
          <w:rFonts w:cs="Arial"/>
          <w:b/>
          <w:i/>
          <w:color w:val="142F50"/>
          <w:sz w:val="22"/>
          <w:szCs w:val="22"/>
        </w:rPr>
        <w:t xml:space="preserve"> и 201</w:t>
      </w:r>
      <w:r w:rsidR="00E4490D">
        <w:rPr>
          <w:rFonts w:cs="Arial"/>
          <w:b/>
          <w:i/>
          <w:color w:val="142F50"/>
          <w:sz w:val="22"/>
          <w:szCs w:val="22"/>
          <w:lang w:val="sr-Cyrl-RS"/>
        </w:rPr>
        <w:t>8</w:t>
      </w:r>
      <w:r w:rsidR="00E55983" w:rsidRPr="00B23DB0">
        <w:rPr>
          <w:rFonts w:cs="Arial"/>
          <w:b/>
          <w:i/>
          <w:color w:val="142F50"/>
          <w:sz w:val="22"/>
          <w:szCs w:val="22"/>
        </w:rPr>
        <w:t>.</w:t>
      </w:r>
      <w:r w:rsidRPr="00B23DB0">
        <w:rPr>
          <w:rFonts w:cs="Arial"/>
          <w:b/>
          <w:i/>
          <w:color w:val="142F50"/>
          <w:sz w:val="22"/>
          <w:szCs w:val="22"/>
        </w:rPr>
        <w:t xml:space="preserve"> </w:t>
      </w:r>
      <w:r w:rsidR="003B2D1A" w:rsidRPr="00B23DB0">
        <w:rPr>
          <w:rFonts w:cs="Arial"/>
          <w:b/>
          <w:i/>
          <w:color w:val="142F50"/>
          <w:sz w:val="22"/>
          <w:szCs w:val="22"/>
        </w:rPr>
        <w:t>г</w:t>
      </w:r>
      <w:r w:rsidRPr="00B23DB0">
        <w:rPr>
          <w:rFonts w:cs="Arial"/>
          <w:b/>
          <w:i/>
          <w:color w:val="142F50"/>
          <w:sz w:val="22"/>
          <w:szCs w:val="22"/>
        </w:rPr>
        <w:t>одини</w:t>
      </w:r>
    </w:p>
    <w:p w:rsidR="003B2D1A" w:rsidRPr="00B23DB0" w:rsidRDefault="003B2D1A" w:rsidP="006C3D26">
      <w:pPr>
        <w:spacing w:line="120" w:lineRule="auto"/>
        <w:rPr>
          <w:rFonts w:cs="Arial"/>
          <w:b/>
          <w:i/>
          <w:color w:val="142F50"/>
          <w:sz w:val="22"/>
          <w:szCs w:val="22"/>
        </w:rPr>
      </w:pPr>
    </w:p>
    <w:tbl>
      <w:tblPr>
        <w:tblW w:w="9018" w:type="dxa"/>
        <w:tblInd w:w="340" w:type="dxa"/>
        <w:tblLook w:val="04A0" w:firstRow="1" w:lastRow="0" w:firstColumn="1" w:lastColumn="0" w:noHBand="0" w:noVBand="1"/>
      </w:tblPr>
      <w:tblGrid>
        <w:gridCol w:w="953"/>
        <w:gridCol w:w="518"/>
        <w:gridCol w:w="261"/>
        <w:gridCol w:w="203"/>
        <w:gridCol w:w="320"/>
        <w:gridCol w:w="261"/>
        <w:gridCol w:w="685"/>
        <w:gridCol w:w="457"/>
        <w:gridCol w:w="261"/>
        <w:gridCol w:w="547"/>
        <w:gridCol w:w="147"/>
        <w:gridCol w:w="236"/>
        <w:gridCol w:w="263"/>
        <w:gridCol w:w="665"/>
        <w:gridCol w:w="393"/>
        <w:gridCol w:w="557"/>
        <w:gridCol w:w="236"/>
        <w:gridCol w:w="873"/>
        <w:gridCol w:w="242"/>
        <w:gridCol w:w="639"/>
        <w:gridCol w:w="301"/>
      </w:tblGrid>
      <w:tr w:rsidR="00683E41" w:rsidRPr="00B23DB0" w:rsidTr="00F5573E">
        <w:trPr>
          <w:trHeight w:val="335"/>
        </w:trPr>
        <w:tc>
          <w:tcPr>
            <w:tcW w:w="9018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55983" w:rsidRPr="00B23DB0" w:rsidRDefault="00E55983" w:rsidP="00425912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20"/>
                <w:szCs w:val="20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20"/>
                <w:szCs w:val="20"/>
                <w:lang w:val="en-US"/>
              </w:rPr>
              <w:t>ПРЕМИЈА (износ у 000 дин)</w:t>
            </w:r>
          </w:p>
        </w:tc>
      </w:tr>
      <w:tr w:rsidR="00683E41" w:rsidRPr="00B23DB0" w:rsidTr="00F5573E">
        <w:trPr>
          <w:trHeight w:val="283"/>
        </w:trPr>
        <w:tc>
          <w:tcPr>
            <w:tcW w:w="446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  <w:t>АКТИВАН ПОСАО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416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  <w:t>У САМОПРИДРЖАЈУ</w:t>
            </w:r>
          </w:p>
        </w:tc>
      </w:tr>
      <w:tr w:rsidR="007E3793" w:rsidRPr="00B23DB0" w:rsidTr="00F5573E">
        <w:trPr>
          <w:trHeight w:val="33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номинална промена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индекс промене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номинална промена</w:t>
            </w:r>
          </w:p>
        </w:tc>
        <w:tc>
          <w:tcPr>
            <w:tcW w:w="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индекс промене</w:t>
            </w:r>
          </w:p>
        </w:tc>
      </w:tr>
      <w:tr w:rsidR="007E3793" w:rsidRPr="00B23DB0" w:rsidTr="00F5573E">
        <w:trPr>
          <w:trHeight w:val="283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4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785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880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3.122.259</w:t>
            </w: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1.663.621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53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,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%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1.002.572</w:t>
            </w:r>
          </w:p>
        </w:tc>
        <w:tc>
          <w:tcPr>
            <w:tcW w:w="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796.026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206.546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3793" w:rsidRPr="00B23DB0" w:rsidRDefault="007E3793" w:rsidP="007E3793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25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,9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%</w:t>
            </w:r>
          </w:p>
        </w:tc>
      </w:tr>
      <w:tr w:rsidR="00683E41" w:rsidRPr="00B23DB0" w:rsidTr="00F5573E">
        <w:trPr>
          <w:trHeight w:val="227"/>
        </w:trPr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6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6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</w:tr>
      <w:tr w:rsidR="00683E41" w:rsidRPr="00B23DB0" w:rsidTr="00F5573E">
        <w:trPr>
          <w:trHeight w:val="335"/>
        </w:trPr>
        <w:tc>
          <w:tcPr>
            <w:tcW w:w="9018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55983" w:rsidRPr="00B23DB0" w:rsidRDefault="00E55983" w:rsidP="00425912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20"/>
                <w:szCs w:val="20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20"/>
                <w:szCs w:val="20"/>
                <w:lang w:val="en-US"/>
              </w:rPr>
              <w:t>РЕШЕНЕ ШТЕТЕ (износ у 000 дин)</w:t>
            </w:r>
          </w:p>
        </w:tc>
      </w:tr>
      <w:tr w:rsidR="00683E41" w:rsidRPr="00B23DB0" w:rsidTr="00F5573E">
        <w:trPr>
          <w:trHeight w:val="283"/>
        </w:trPr>
        <w:tc>
          <w:tcPr>
            <w:tcW w:w="446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  <w:t>АКТИВАН ПОСАО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416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  <w:t>У САМОПРИДРЖАЈУ</w:t>
            </w:r>
          </w:p>
        </w:tc>
      </w:tr>
      <w:tr w:rsidR="004921F0" w:rsidRPr="00B23DB0" w:rsidTr="00F5573E">
        <w:trPr>
          <w:trHeight w:val="33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номинална промена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индекс промене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номинална промена</w:t>
            </w:r>
          </w:p>
        </w:tc>
        <w:tc>
          <w:tcPr>
            <w:tcW w:w="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индекс промене</w:t>
            </w:r>
          </w:p>
        </w:tc>
      </w:tr>
      <w:tr w:rsidR="004921F0" w:rsidRPr="00B23DB0" w:rsidTr="00F5573E">
        <w:trPr>
          <w:trHeight w:val="283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970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771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721.450</w:t>
            </w: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49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321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34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,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6%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502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285</w:t>
            </w:r>
          </w:p>
        </w:tc>
        <w:tc>
          <w:tcPr>
            <w:tcW w:w="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340.387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161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898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21F0" w:rsidRPr="00B23DB0" w:rsidRDefault="004921F0" w:rsidP="004921F0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147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,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56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%</w:t>
            </w:r>
          </w:p>
        </w:tc>
      </w:tr>
      <w:tr w:rsidR="00683E41" w:rsidRPr="00B23DB0" w:rsidTr="00F5573E">
        <w:trPr>
          <w:gridAfter w:val="1"/>
          <w:wAfter w:w="301" w:type="dxa"/>
          <w:trHeight w:val="227"/>
        </w:trPr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95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88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</w:tr>
      <w:tr w:rsidR="00683E41" w:rsidRPr="00B23DB0" w:rsidTr="00F5573E">
        <w:trPr>
          <w:trHeight w:val="335"/>
        </w:trPr>
        <w:tc>
          <w:tcPr>
            <w:tcW w:w="9018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55983" w:rsidRPr="00B23DB0" w:rsidRDefault="00E55983" w:rsidP="000E2B20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20"/>
                <w:szCs w:val="20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20"/>
                <w:szCs w:val="20"/>
                <w:lang w:val="en-US"/>
              </w:rPr>
              <w:t>РЕЗЕРВИСАНЕ</w:t>
            </w:r>
            <w:r w:rsidR="00425912" w:rsidRPr="00B23DB0">
              <w:rPr>
                <w:rFonts w:cs="Arial"/>
                <w:b/>
                <w:bCs/>
                <w:i/>
                <w:color w:val="142F50"/>
                <w:sz w:val="20"/>
                <w:szCs w:val="20"/>
                <w:lang w:val="sr-Cyrl-RS"/>
              </w:rPr>
              <w:t xml:space="preserve"> ПРИЈАВЉЕНЕ</w:t>
            </w:r>
            <w:r w:rsidRPr="00B23DB0">
              <w:rPr>
                <w:rFonts w:cs="Arial"/>
                <w:b/>
                <w:bCs/>
                <w:i/>
                <w:color w:val="142F50"/>
                <w:sz w:val="20"/>
                <w:szCs w:val="20"/>
                <w:lang w:val="en-US"/>
              </w:rPr>
              <w:t xml:space="preserve"> ШТЕТЕ </w:t>
            </w:r>
            <w:r w:rsidR="000E2B20" w:rsidRPr="00B23DB0">
              <w:rPr>
                <w:rFonts w:cs="Arial"/>
                <w:b/>
                <w:bCs/>
                <w:i/>
                <w:color w:val="142F50"/>
                <w:sz w:val="20"/>
                <w:szCs w:val="20"/>
                <w:lang w:val="sr-Cyrl-RS"/>
              </w:rPr>
              <w:t xml:space="preserve">31. децембра  </w:t>
            </w:r>
            <w:r w:rsidRPr="00B23DB0">
              <w:rPr>
                <w:rFonts w:cs="Arial"/>
                <w:b/>
                <w:bCs/>
                <w:i/>
                <w:color w:val="142F50"/>
                <w:sz w:val="20"/>
                <w:szCs w:val="20"/>
                <w:lang w:val="en-US"/>
              </w:rPr>
              <w:t>(износ у 000 дин)</w:t>
            </w:r>
          </w:p>
        </w:tc>
      </w:tr>
      <w:tr w:rsidR="00683E41" w:rsidRPr="00B23DB0" w:rsidTr="00F5573E">
        <w:trPr>
          <w:trHeight w:val="283"/>
        </w:trPr>
        <w:tc>
          <w:tcPr>
            <w:tcW w:w="446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  <w:t>АКТИВАН ПОСАО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416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  <w:t>У САМОПРИДРЖАЈУ</w:t>
            </w:r>
          </w:p>
        </w:tc>
      </w:tr>
      <w:tr w:rsidR="005B4AC9" w:rsidRPr="00B23DB0" w:rsidTr="00F5573E">
        <w:trPr>
          <w:trHeight w:val="33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номинална промена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индекс промене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2018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номинална промена</w:t>
            </w:r>
          </w:p>
        </w:tc>
        <w:tc>
          <w:tcPr>
            <w:tcW w:w="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индекс промене</w:t>
            </w:r>
          </w:p>
        </w:tc>
      </w:tr>
      <w:tr w:rsidR="005B4AC9" w:rsidRPr="00B23DB0" w:rsidTr="00F5573E">
        <w:trPr>
          <w:trHeight w:val="283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507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894</w:t>
            </w:r>
          </w:p>
        </w:tc>
        <w:tc>
          <w:tcPr>
            <w:tcW w:w="98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1.354.108</w:t>
            </w: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153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786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111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,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6%</w:t>
            </w: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605.953</w:t>
            </w:r>
          </w:p>
        </w:tc>
        <w:tc>
          <w:tcPr>
            <w:tcW w:w="9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545.074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6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0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879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4AC9" w:rsidRPr="00B23DB0" w:rsidRDefault="005B4AC9" w:rsidP="005B4AC9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11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,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1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7%</w:t>
            </w:r>
          </w:p>
        </w:tc>
      </w:tr>
      <w:tr w:rsidR="00683E41" w:rsidRPr="00B23DB0" w:rsidTr="00F5573E">
        <w:trPr>
          <w:trHeight w:val="227"/>
        </w:trPr>
        <w:tc>
          <w:tcPr>
            <w:tcW w:w="14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gridAfter w:val="1"/>
          <w:wAfter w:w="301" w:type="dxa"/>
          <w:trHeight w:val="335"/>
        </w:trPr>
        <w:tc>
          <w:tcPr>
            <w:tcW w:w="46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en-US"/>
              </w:rPr>
              <w:t>УЧEШЋE РETРOЦEСИJE У ПРEMИJИ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gridAfter w:val="1"/>
          <w:wAfter w:w="301" w:type="dxa"/>
          <w:trHeight w:val="283"/>
        </w:trPr>
        <w:tc>
          <w:tcPr>
            <w:tcW w:w="225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201</w:t>
            </w:r>
            <w:r w:rsidR="00F5573E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9</w:t>
            </w:r>
            <w:r w:rsidR="00664D73" w:rsidRPr="00B23DB0"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235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201</w:t>
            </w:r>
            <w:r w:rsidR="00F5573E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8</w:t>
            </w:r>
            <w:r w:rsidR="00664D73" w:rsidRPr="00B23DB0"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F5573E" w:rsidRPr="00B23DB0" w:rsidTr="00F5573E">
        <w:trPr>
          <w:gridAfter w:val="1"/>
          <w:wAfter w:w="301" w:type="dxa"/>
          <w:trHeight w:val="335"/>
        </w:trPr>
        <w:tc>
          <w:tcPr>
            <w:tcW w:w="1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изнoс</w:t>
            </w:r>
          </w:p>
        </w:tc>
        <w:tc>
          <w:tcPr>
            <w:tcW w:w="7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у %</w:t>
            </w:r>
          </w:p>
        </w:tc>
        <w:tc>
          <w:tcPr>
            <w:tcW w:w="14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изнoс</w:t>
            </w:r>
          </w:p>
        </w:tc>
        <w:tc>
          <w:tcPr>
            <w:tcW w:w="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у 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F5573E" w:rsidRPr="00B23DB0" w:rsidTr="00F5573E">
        <w:trPr>
          <w:gridAfter w:val="1"/>
          <w:wAfter w:w="301" w:type="dxa"/>
          <w:trHeight w:val="283"/>
        </w:trPr>
        <w:tc>
          <w:tcPr>
            <w:tcW w:w="1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783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308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9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,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05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%</w:t>
            </w:r>
          </w:p>
        </w:tc>
        <w:tc>
          <w:tcPr>
            <w:tcW w:w="14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2.326.23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74,50%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trHeight w:val="227"/>
        </w:trPr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trHeight w:val="319"/>
        </w:trPr>
        <w:tc>
          <w:tcPr>
            <w:tcW w:w="4613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jc w:val="center"/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en-US"/>
              </w:rPr>
              <w:t>УЧEШЋE РETРOЦEСИJE У РЕШЕНИМ ШТЕТАМА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trHeight w:val="283"/>
        </w:trPr>
        <w:tc>
          <w:tcPr>
            <w:tcW w:w="22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201</w:t>
            </w:r>
            <w:r w:rsidR="00F5573E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9</w:t>
            </w:r>
            <w:r w:rsidR="00664D73" w:rsidRPr="00B23DB0"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23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2</w:t>
            </w:r>
            <w:r w:rsidR="00664D73"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01</w:t>
            </w:r>
            <w:r w:rsidR="00F5573E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8</w:t>
            </w:r>
            <w:r w:rsidR="00664D73"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F5573E" w:rsidRPr="00B23DB0" w:rsidTr="00F5573E">
        <w:trPr>
          <w:trHeight w:val="319"/>
        </w:trPr>
        <w:tc>
          <w:tcPr>
            <w:tcW w:w="1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изнoс</w:t>
            </w:r>
          </w:p>
        </w:tc>
        <w:tc>
          <w:tcPr>
            <w:tcW w:w="7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у %</w:t>
            </w:r>
          </w:p>
        </w:tc>
        <w:tc>
          <w:tcPr>
            <w:tcW w:w="14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изнoс</w:t>
            </w:r>
          </w:p>
        </w:tc>
        <w:tc>
          <w:tcPr>
            <w:tcW w:w="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у 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F5573E" w:rsidRPr="00B23DB0" w:rsidTr="00F5573E">
        <w:trPr>
          <w:trHeight w:val="283"/>
        </w:trPr>
        <w:tc>
          <w:tcPr>
            <w:tcW w:w="1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468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486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48,26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%</w:t>
            </w:r>
          </w:p>
        </w:tc>
        <w:tc>
          <w:tcPr>
            <w:tcW w:w="14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381.063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52,82%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trHeight w:val="227"/>
        </w:trPr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trHeight w:val="319"/>
        </w:trPr>
        <w:tc>
          <w:tcPr>
            <w:tcW w:w="4613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01BCD" w:rsidRPr="00B23DB0" w:rsidRDefault="00A01BCD" w:rsidP="00BB0FE9">
            <w:pPr>
              <w:spacing w:line="300" w:lineRule="auto"/>
              <w:jc w:val="center"/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en-US"/>
              </w:rPr>
              <w:t xml:space="preserve">УЧEШЋE РETРOЦEСИJE РЕЗЕРВИСАНИМ </w:t>
            </w:r>
            <w:r w:rsidR="00AF6D18" w:rsidRPr="00B23DB0"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sr-Cyrl-RS"/>
              </w:rPr>
              <w:t xml:space="preserve">ПРИЈАВЉЕНИМ </w:t>
            </w:r>
            <w:r w:rsidRPr="00B23DB0"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en-US"/>
              </w:rPr>
              <w:t>ШТЕТАМА</w:t>
            </w:r>
            <w:r w:rsidR="000E2B20" w:rsidRPr="00B23DB0">
              <w:rPr>
                <w:rFonts w:cs="Arial"/>
                <w:b/>
                <w:bCs/>
                <w:i/>
                <w:color w:val="142F50"/>
                <w:sz w:val="18"/>
                <w:szCs w:val="18"/>
                <w:lang w:val="sr-Cyrl-RS"/>
              </w:rPr>
              <w:t xml:space="preserve"> 31. децембра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bCs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683E41" w:rsidRPr="00B23DB0" w:rsidTr="00F5573E">
        <w:trPr>
          <w:trHeight w:val="283"/>
        </w:trPr>
        <w:tc>
          <w:tcPr>
            <w:tcW w:w="22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201</w:t>
            </w:r>
            <w:r w:rsidR="00F5573E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9</w:t>
            </w:r>
            <w:r w:rsidR="006476FA" w:rsidRPr="00B23DB0"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23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201</w:t>
            </w:r>
            <w:r w:rsidR="00F5573E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8</w:t>
            </w:r>
            <w:r w:rsidR="006476FA" w:rsidRPr="00B23DB0">
              <w:rPr>
                <w:rFonts w:cs="Arial"/>
                <w:b/>
                <w:i/>
                <w:color w:val="142F50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BCD" w:rsidRPr="00B23DB0" w:rsidRDefault="00A01BCD" w:rsidP="00425912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F5573E" w:rsidRPr="00B23DB0" w:rsidTr="00F5573E">
        <w:trPr>
          <w:trHeight w:val="319"/>
        </w:trPr>
        <w:tc>
          <w:tcPr>
            <w:tcW w:w="1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изнoс</w:t>
            </w:r>
          </w:p>
        </w:tc>
        <w:tc>
          <w:tcPr>
            <w:tcW w:w="7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у %</w:t>
            </w:r>
          </w:p>
        </w:tc>
        <w:tc>
          <w:tcPr>
            <w:tcW w:w="14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изнoс</w:t>
            </w:r>
          </w:p>
        </w:tc>
        <w:tc>
          <w:tcPr>
            <w:tcW w:w="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center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  <w:t>у 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  <w:tr w:rsidR="00F5573E" w:rsidRPr="00B23DB0" w:rsidTr="00F5573E">
        <w:trPr>
          <w:trHeight w:val="283"/>
        </w:trPr>
        <w:tc>
          <w:tcPr>
            <w:tcW w:w="14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F5573E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Latn-RS"/>
              </w:rPr>
            </w:pP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Latn-RS"/>
              </w:rPr>
              <w:t>901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.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Latn-RS"/>
              </w:rPr>
              <w:t>941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59,</w:t>
            </w:r>
            <w:r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81</w:t>
            </w: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%</w:t>
            </w:r>
          </w:p>
        </w:tc>
        <w:tc>
          <w:tcPr>
            <w:tcW w:w="14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  <w:lang w:val="sr-Cyrl-RS"/>
              </w:rPr>
              <w:t>809.034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jc w:val="right"/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</w:pPr>
            <w:r w:rsidRPr="00B23DB0">
              <w:rPr>
                <w:rFonts w:cs="Arial"/>
                <w:b/>
                <w:bCs/>
                <w:i/>
                <w:iCs/>
                <w:color w:val="142F50"/>
                <w:sz w:val="16"/>
                <w:szCs w:val="16"/>
              </w:rPr>
              <w:t>59,75%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573E" w:rsidRPr="00B23DB0" w:rsidRDefault="00F5573E" w:rsidP="00F5573E">
            <w:pPr>
              <w:spacing w:line="240" w:lineRule="auto"/>
              <w:rPr>
                <w:rFonts w:cs="Arial"/>
                <w:b/>
                <w:i/>
                <w:color w:val="142F50"/>
                <w:sz w:val="16"/>
                <w:szCs w:val="16"/>
                <w:lang w:val="en-US"/>
              </w:rPr>
            </w:pPr>
          </w:p>
        </w:tc>
      </w:tr>
    </w:tbl>
    <w:p w:rsidR="00E56B9F" w:rsidRPr="00B23DB0" w:rsidRDefault="00E56B9F" w:rsidP="006C3D26">
      <w:pPr>
        <w:spacing w:line="276" w:lineRule="auto"/>
        <w:rPr>
          <w:rFonts w:cs="Arial"/>
          <w:color w:val="142F50"/>
          <w:lang w:val="sr-Latn-CS"/>
        </w:rPr>
      </w:pPr>
    </w:p>
    <w:p w:rsidR="00D06EF4" w:rsidRPr="00B23DB0" w:rsidRDefault="00D06EF4" w:rsidP="00D06EF4">
      <w:pPr>
        <w:keepNext/>
        <w:spacing w:after="120" w:line="276" w:lineRule="auto"/>
        <w:jc w:val="center"/>
        <w:rPr>
          <w:rFonts w:cs="Arial"/>
          <w:b/>
          <w:color w:val="142F50"/>
          <w:sz w:val="22"/>
          <w:szCs w:val="22"/>
        </w:rPr>
      </w:pPr>
      <w:r w:rsidRPr="00B23DB0">
        <w:rPr>
          <w:rFonts w:cs="Arial"/>
          <w:b/>
          <w:color w:val="142F50"/>
          <w:sz w:val="22"/>
          <w:szCs w:val="22"/>
        </w:rPr>
        <w:lastRenderedPageBreak/>
        <w:t>Међугодишње промене рациа штета, трошкова и комбинованог</w:t>
      </w:r>
      <w:r w:rsidRPr="00B23DB0">
        <w:rPr>
          <w:rFonts w:cs="Arial"/>
          <w:b/>
          <w:color w:val="142F50"/>
          <w:sz w:val="22"/>
          <w:szCs w:val="22"/>
          <w:lang w:val="sr-Cyrl-RS"/>
        </w:rPr>
        <w:t>,</w:t>
      </w:r>
      <w:r w:rsidRPr="00B23DB0">
        <w:rPr>
          <w:rFonts w:cs="Arial"/>
          <w:b/>
          <w:color w:val="142F50"/>
          <w:sz w:val="22"/>
          <w:szCs w:val="22"/>
        </w:rPr>
        <w:t xml:space="preserve"> по активном послу</w:t>
      </w:r>
    </w:p>
    <w:p w:rsidR="00D06EF4" w:rsidRPr="00B23DB0" w:rsidRDefault="00F113D4" w:rsidP="00E56B9F">
      <w:pPr>
        <w:rPr>
          <w:rFonts w:cs="Arial"/>
          <w:color w:val="142F50"/>
          <w:lang w:val="sr-Latn-CS"/>
        </w:rPr>
      </w:pPr>
      <w:r w:rsidRPr="00F113D4">
        <w:rPr>
          <w:noProof/>
          <w:lang w:val="en-US"/>
        </w:rPr>
        <w:drawing>
          <wp:inline distT="0" distB="0" distL="0" distR="0">
            <wp:extent cx="6120765" cy="42506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25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EF4" w:rsidRPr="00B23DB0" w:rsidRDefault="00D06EF4" w:rsidP="00D313AC">
      <w:pPr>
        <w:spacing w:line="240" w:lineRule="auto"/>
        <w:rPr>
          <w:rFonts w:cs="Arial"/>
          <w:color w:val="142F50"/>
          <w:lang w:val="sr-Latn-CS"/>
        </w:rPr>
      </w:pPr>
    </w:p>
    <w:p w:rsidR="00D06EF4" w:rsidRPr="00B23DB0" w:rsidRDefault="00D06EF4" w:rsidP="00D06EF4">
      <w:pPr>
        <w:keepNext/>
        <w:spacing w:after="120" w:line="276" w:lineRule="auto"/>
        <w:jc w:val="left"/>
        <w:rPr>
          <w:rFonts w:cs="Arial"/>
          <w:b/>
          <w:color w:val="142F50"/>
          <w:sz w:val="22"/>
          <w:szCs w:val="22"/>
        </w:rPr>
      </w:pPr>
      <w:r w:rsidRPr="00B23DB0">
        <w:rPr>
          <w:rFonts w:cs="Arial"/>
          <w:b/>
          <w:color w:val="142F50"/>
          <w:sz w:val="22"/>
          <w:szCs w:val="22"/>
        </w:rPr>
        <w:t>Међугодишње промене рациа штета, трошкова и комбинованог рациа у самопридржају</w:t>
      </w:r>
    </w:p>
    <w:p w:rsidR="006C3D26" w:rsidRPr="00F113D4" w:rsidRDefault="00F113D4" w:rsidP="006C3D26">
      <w:pPr>
        <w:spacing w:line="276" w:lineRule="auto"/>
        <w:jc w:val="left"/>
        <w:rPr>
          <w:rFonts w:cs="Arial"/>
          <w:color w:val="142F50"/>
          <w:sz w:val="22"/>
          <w:szCs w:val="22"/>
        </w:rPr>
      </w:pPr>
      <w:r w:rsidRPr="00F113D4">
        <w:rPr>
          <w:noProof/>
          <w:lang w:val="en-US"/>
        </w:rPr>
        <w:drawing>
          <wp:inline distT="0" distB="0" distL="0" distR="0">
            <wp:extent cx="6120765" cy="42506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25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D26" w:rsidRPr="00B23DB0" w:rsidRDefault="006C3D26" w:rsidP="006C3D26">
      <w:pPr>
        <w:spacing w:line="276" w:lineRule="auto"/>
        <w:jc w:val="left"/>
        <w:rPr>
          <w:rFonts w:cs="Arial"/>
          <w:color w:val="142F50"/>
          <w:sz w:val="22"/>
          <w:szCs w:val="22"/>
          <w:highlight w:val="green"/>
        </w:rPr>
      </w:pPr>
    </w:p>
    <w:p w:rsidR="006667FF" w:rsidRPr="00B23DB0" w:rsidRDefault="006667FF" w:rsidP="00820C55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</w:rPr>
        <w:t>Комбиновани раци</w:t>
      </w:r>
      <w:r w:rsidR="00820C55" w:rsidRPr="00B23DB0">
        <w:rPr>
          <w:rFonts w:cs="Arial"/>
          <w:color w:val="142F50"/>
          <w:sz w:val="22"/>
          <w:szCs w:val="22"/>
          <w:lang w:val="sr-Cyrl-RS"/>
        </w:rPr>
        <w:t>о бројеви</w:t>
      </w:r>
      <w:r w:rsidRPr="00B23DB0">
        <w:rPr>
          <w:rFonts w:cs="Arial"/>
          <w:color w:val="142F50"/>
          <w:sz w:val="22"/>
          <w:szCs w:val="22"/>
        </w:rPr>
        <w:t xml:space="preserve"> за неживотна осигурања и по активном послу и у самопридржају</w:t>
      </w:r>
      <w:r w:rsidR="006B4D17" w:rsidRPr="00B23DB0">
        <w:rPr>
          <w:rFonts w:cs="Arial"/>
          <w:color w:val="142F50"/>
          <w:sz w:val="22"/>
          <w:szCs w:val="22"/>
        </w:rPr>
        <w:t xml:space="preserve"> су </w:t>
      </w:r>
      <w:r w:rsidR="00F113D4">
        <w:rPr>
          <w:rFonts w:cs="Arial"/>
          <w:color w:val="142F50"/>
          <w:sz w:val="22"/>
          <w:szCs w:val="22"/>
          <w:lang w:val="sr-Cyrl-RS"/>
        </w:rPr>
        <w:t>повољни</w:t>
      </w:r>
      <w:r w:rsidR="006B4D17" w:rsidRPr="00B23DB0">
        <w:rPr>
          <w:rFonts w:cs="Arial"/>
          <w:color w:val="142F50"/>
          <w:sz w:val="22"/>
          <w:szCs w:val="22"/>
        </w:rPr>
        <w:t xml:space="preserve"> (</w:t>
      </w:r>
      <w:r w:rsidR="00467D21" w:rsidRPr="00B23DB0">
        <w:rPr>
          <w:rFonts w:cs="Arial"/>
          <w:color w:val="142F50"/>
          <w:sz w:val="22"/>
          <w:szCs w:val="22"/>
          <w:lang w:val="sr-Cyrl-RS"/>
        </w:rPr>
        <w:t xml:space="preserve">значајно </w:t>
      </w:r>
      <w:r w:rsidR="006B4D17" w:rsidRPr="00B23DB0">
        <w:rPr>
          <w:rFonts w:cs="Arial"/>
          <w:color w:val="142F50"/>
          <w:sz w:val="22"/>
          <w:szCs w:val="22"/>
        </w:rPr>
        <w:t>испод 100%).</w:t>
      </w:r>
      <w:r w:rsidR="00D8603C" w:rsidRPr="00B23DB0">
        <w:rPr>
          <w:rFonts w:cs="Arial"/>
          <w:color w:val="142F50"/>
          <w:sz w:val="22"/>
          <w:szCs w:val="22"/>
          <w:lang w:val="sr-Cyrl-RS"/>
        </w:rPr>
        <w:t xml:space="preserve"> У односу на претходну годину комбиновани рацио </w:t>
      </w:r>
      <w:r w:rsidR="00254C58" w:rsidRPr="00B23DB0">
        <w:rPr>
          <w:rFonts w:cs="Arial"/>
          <w:color w:val="142F50"/>
          <w:sz w:val="22"/>
          <w:szCs w:val="22"/>
          <w:lang w:val="sr-Cyrl-RS"/>
        </w:rPr>
        <w:t xml:space="preserve">неживотних осигурања </w:t>
      </w:r>
      <w:r w:rsidR="00820C55" w:rsidRPr="00B23DB0">
        <w:rPr>
          <w:rFonts w:cs="Arial"/>
          <w:color w:val="142F50"/>
          <w:sz w:val="22"/>
          <w:szCs w:val="22"/>
          <w:lang w:val="sr-Cyrl-RS"/>
        </w:rPr>
        <w:t>по активном послу</w:t>
      </w:r>
      <w:r w:rsidR="00D8603C" w:rsidRPr="00B23DB0">
        <w:rPr>
          <w:rFonts w:cs="Arial"/>
          <w:color w:val="142F50"/>
          <w:sz w:val="22"/>
          <w:szCs w:val="22"/>
          <w:lang w:val="sr-Cyrl-RS"/>
        </w:rPr>
        <w:t xml:space="preserve"> је </w:t>
      </w:r>
      <w:r w:rsidR="00F113D4">
        <w:rPr>
          <w:rFonts w:cs="Arial"/>
          <w:color w:val="142F50"/>
          <w:sz w:val="22"/>
          <w:szCs w:val="22"/>
          <w:lang w:val="sr-Cyrl-RS"/>
        </w:rPr>
        <w:t>не</w:t>
      </w:r>
      <w:r w:rsidR="00820C55" w:rsidRPr="00B23DB0">
        <w:rPr>
          <w:rFonts w:cs="Arial"/>
          <w:color w:val="142F50"/>
          <w:sz w:val="22"/>
          <w:szCs w:val="22"/>
          <w:lang w:val="sr-Cyrl-RS"/>
        </w:rPr>
        <w:t xml:space="preserve">повољнији </w:t>
      </w:r>
      <w:r w:rsidR="00D8603C" w:rsidRPr="00B23DB0">
        <w:rPr>
          <w:rFonts w:cs="Arial"/>
          <w:color w:val="142F50"/>
          <w:sz w:val="22"/>
          <w:szCs w:val="22"/>
          <w:lang w:val="sr-Cyrl-RS"/>
        </w:rPr>
        <w:t xml:space="preserve">за </w:t>
      </w:r>
      <w:r w:rsidR="007C0C2E" w:rsidRPr="00B23DB0">
        <w:rPr>
          <w:rFonts w:cs="Arial"/>
          <w:color w:val="142F50"/>
          <w:sz w:val="22"/>
          <w:szCs w:val="22"/>
          <w:lang w:val="sr-Cyrl-RS"/>
        </w:rPr>
        <w:t>1</w:t>
      </w:r>
      <w:r w:rsidR="00F113D4">
        <w:rPr>
          <w:rFonts w:cs="Arial"/>
          <w:color w:val="142F50"/>
          <w:sz w:val="22"/>
          <w:szCs w:val="22"/>
          <w:lang w:val="sr-Cyrl-RS"/>
        </w:rPr>
        <w:t>0</w:t>
      </w:r>
      <w:r w:rsidR="00D8603C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F113D4">
        <w:rPr>
          <w:rFonts w:cs="Arial"/>
          <w:color w:val="142F50"/>
          <w:sz w:val="22"/>
          <w:szCs w:val="22"/>
          <w:lang w:val="sr-Cyrl-RS"/>
        </w:rPr>
        <w:t>31</w:t>
      </w:r>
      <w:r w:rsidR="00D8603C" w:rsidRPr="00B23DB0">
        <w:rPr>
          <w:rFonts w:cs="Arial"/>
          <w:color w:val="142F50"/>
          <w:sz w:val="22"/>
          <w:szCs w:val="22"/>
          <w:lang w:val="sr-Cyrl-RS"/>
        </w:rPr>
        <w:t>%</w:t>
      </w:r>
      <w:r w:rsidR="00820C55" w:rsidRPr="00B23DB0">
        <w:rPr>
          <w:rFonts w:cs="Arial"/>
          <w:color w:val="142F50"/>
          <w:sz w:val="22"/>
          <w:szCs w:val="22"/>
          <w:lang w:val="sr-Cyrl-RS"/>
        </w:rPr>
        <w:t>, док је комбиновани рацио у самопридржају неповољнији за 6,</w:t>
      </w:r>
      <w:r w:rsidR="00F113D4">
        <w:rPr>
          <w:rFonts w:cs="Arial"/>
          <w:color w:val="142F50"/>
          <w:sz w:val="22"/>
          <w:szCs w:val="22"/>
          <w:lang w:val="sr-Cyrl-RS"/>
        </w:rPr>
        <w:t>6</w:t>
      </w:r>
      <w:r w:rsidR="00820C55" w:rsidRPr="00B23DB0">
        <w:rPr>
          <w:rFonts w:cs="Arial"/>
          <w:color w:val="142F50"/>
          <w:sz w:val="22"/>
          <w:szCs w:val="22"/>
          <w:lang w:val="sr-Cyrl-RS"/>
        </w:rPr>
        <w:t>3%</w:t>
      </w:r>
      <w:r w:rsidR="00D8603C" w:rsidRPr="00B23DB0">
        <w:rPr>
          <w:rFonts w:cs="Arial"/>
          <w:color w:val="142F50"/>
          <w:sz w:val="22"/>
          <w:szCs w:val="22"/>
          <w:lang w:val="sr-Cyrl-RS"/>
        </w:rPr>
        <w:t>.</w:t>
      </w:r>
    </w:p>
    <w:p w:rsidR="006667FF" w:rsidRPr="00B23DB0" w:rsidRDefault="006667FF" w:rsidP="009F4AE3">
      <w:pPr>
        <w:spacing w:line="276" w:lineRule="auto"/>
        <w:rPr>
          <w:rFonts w:cs="Arial"/>
          <w:b/>
          <w:color w:val="142F50"/>
          <w:sz w:val="22"/>
          <w:szCs w:val="22"/>
        </w:rPr>
      </w:pPr>
    </w:p>
    <w:p w:rsidR="00521D1E" w:rsidRPr="00B23DB0" w:rsidRDefault="003C07FC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t>Виша вредност комбинованог рациа у самопридржају у односу на укупан портфељ последица је вођења опрезне, конзервативе политике прихвата и преноса ризика, односно одсуства значајних штета у условима обезбеђене квалитетне ретроцесије ризика.</w:t>
      </w:r>
    </w:p>
    <w:p w:rsidR="00B40BED" w:rsidRPr="00B23DB0" w:rsidRDefault="00B40BED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EE3767" w:rsidRPr="00B23DB0" w:rsidRDefault="00EE3767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820C55" w:rsidRPr="00B23DB0" w:rsidRDefault="00935DBC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  <w:r w:rsidRPr="00B23DB0">
        <w:rPr>
          <w:rFonts w:cs="Arial"/>
          <w:b/>
          <w:i/>
          <w:color w:val="142F50"/>
          <w:sz w:val="22"/>
          <w:szCs w:val="22"/>
        </w:rPr>
        <w:t>4</w:t>
      </w:r>
      <w:r w:rsidR="000C1DD4" w:rsidRPr="00B23DB0">
        <w:rPr>
          <w:rFonts w:cs="Arial"/>
          <w:b/>
          <w:i/>
          <w:color w:val="142F50"/>
          <w:sz w:val="22"/>
          <w:szCs w:val="22"/>
        </w:rPr>
        <w:t>. УТИЦАЈ ПРЕНОСА РИЗИКА У РЕОСИГУРАЊЕ НА УТВРЂИВАЊЕ ИЗНОСА ТЕХНИЧКИХ</w:t>
      </w:r>
    </w:p>
    <w:p w:rsidR="00FA2634" w:rsidRPr="00B23DB0" w:rsidRDefault="000C1DD4" w:rsidP="00820C55">
      <w:pPr>
        <w:spacing w:line="276" w:lineRule="auto"/>
        <w:ind w:firstLine="284"/>
        <w:rPr>
          <w:rFonts w:cs="Arial"/>
          <w:b/>
          <w:i/>
          <w:color w:val="142F50"/>
          <w:sz w:val="22"/>
          <w:szCs w:val="22"/>
        </w:rPr>
      </w:pPr>
      <w:r w:rsidRPr="00B23DB0">
        <w:rPr>
          <w:rFonts w:cs="Arial"/>
          <w:b/>
          <w:i/>
          <w:color w:val="142F50"/>
          <w:sz w:val="22"/>
          <w:szCs w:val="22"/>
        </w:rPr>
        <w:t xml:space="preserve">РЕЗЕРВИ У САМОПРИДРЖАЈУ </w:t>
      </w:r>
    </w:p>
    <w:p w:rsidR="00EE7C43" w:rsidRPr="00B23DB0" w:rsidRDefault="00EE7C43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D57DAE" w:rsidRPr="00B23DB0" w:rsidRDefault="00D57DAE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Прeнoсoм вишкa ризикa изнaд сaмoпридржaja утврђeнo je и учeшћe рe</w:t>
      </w:r>
      <w:r w:rsidR="00A22077" w:rsidRPr="00B23DB0">
        <w:rPr>
          <w:rFonts w:cs="Arial"/>
          <w:color w:val="142F50"/>
          <w:sz w:val="22"/>
          <w:szCs w:val="22"/>
        </w:rPr>
        <w:t>троцесионара</w:t>
      </w:r>
      <w:r w:rsidRPr="00B23DB0">
        <w:rPr>
          <w:rFonts w:cs="Arial"/>
          <w:color w:val="142F50"/>
          <w:sz w:val="22"/>
          <w:szCs w:val="22"/>
        </w:rPr>
        <w:t xml:space="preserve"> у тeхничким рeзeрвaмa и тo у прeнoснoj прeмиjи</w:t>
      </w:r>
      <w:r w:rsidR="00A22077" w:rsidRPr="00B23DB0">
        <w:rPr>
          <w:rFonts w:cs="Arial"/>
          <w:color w:val="142F50"/>
          <w:sz w:val="22"/>
          <w:szCs w:val="22"/>
        </w:rPr>
        <w:t xml:space="preserve"> неживотних осигурања,</w:t>
      </w:r>
      <w:r w:rsidRPr="00B23DB0">
        <w:rPr>
          <w:rFonts w:cs="Arial"/>
          <w:color w:val="142F50"/>
          <w:sz w:val="22"/>
          <w:szCs w:val="22"/>
        </w:rPr>
        <w:t xml:space="preserve"> </w:t>
      </w:r>
      <w:r w:rsidR="00A22077" w:rsidRPr="00B23DB0">
        <w:rPr>
          <w:rFonts w:cs="Arial"/>
          <w:color w:val="142F50"/>
          <w:sz w:val="22"/>
          <w:szCs w:val="22"/>
        </w:rPr>
        <w:t>прeнoснoj прeмиjи кao сaстaвнo</w:t>
      </w:r>
      <w:r w:rsidR="00E75A5F" w:rsidRPr="00B23DB0">
        <w:rPr>
          <w:rFonts w:cs="Arial"/>
          <w:color w:val="142F50"/>
          <w:sz w:val="22"/>
          <w:szCs w:val="22"/>
        </w:rPr>
        <w:t>м дeлу</w:t>
      </w:r>
      <w:r w:rsidR="00A22077" w:rsidRPr="00B23DB0">
        <w:rPr>
          <w:rFonts w:cs="Arial"/>
          <w:color w:val="142F50"/>
          <w:sz w:val="22"/>
          <w:szCs w:val="22"/>
        </w:rPr>
        <w:t xml:space="preserve"> мaтeмaтичкe рeзeрвe животних осигурања </w:t>
      </w:r>
      <w:r w:rsidRPr="00B23DB0">
        <w:rPr>
          <w:rFonts w:cs="Arial"/>
          <w:color w:val="142F50"/>
          <w:sz w:val="22"/>
          <w:szCs w:val="22"/>
        </w:rPr>
        <w:t>и у рeзeрвисaним штeтaмa.</w:t>
      </w:r>
    </w:p>
    <w:p w:rsidR="00492677" w:rsidRPr="00B23DB0" w:rsidRDefault="00492677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282755" w:rsidRPr="00B23DB0" w:rsidRDefault="00492677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Све техничке резерве обрачунавају се у складу са Правилницима Друштва, законском регулативом, актуарском струком и струком осигурања.</w:t>
      </w:r>
    </w:p>
    <w:p w:rsidR="00282755" w:rsidRPr="00B23DB0" w:rsidRDefault="00282755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282755" w:rsidRPr="00B23DB0" w:rsidRDefault="00282755" w:rsidP="009F4AE3">
      <w:pPr>
        <w:spacing w:line="276" w:lineRule="auto"/>
        <w:rPr>
          <w:rFonts w:cs="Arial"/>
          <w:bCs/>
          <w:color w:val="142F50"/>
          <w:sz w:val="22"/>
          <w:szCs w:val="22"/>
        </w:rPr>
      </w:pPr>
      <w:r w:rsidRPr="00B23DB0">
        <w:rPr>
          <w:rFonts w:cs="Arial"/>
          <w:bCs/>
          <w:color w:val="142F50"/>
          <w:sz w:val="22"/>
          <w:szCs w:val="22"/>
          <w:lang w:val="sr-Latn-CS"/>
        </w:rPr>
        <w:t>Maтeмaтичкa рeзeрвa</w:t>
      </w:r>
      <w:r w:rsidRPr="00B23DB0">
        <w:rPr>
          <w:rFonts w:cs="Arial"/>
          <w:bCs/>
          <w:color w:val="142F50"/>
          <w:sz w:val="22"/>
          <w:szCs w:val="22"/>
        </w:rPr>
        <w:t xml:space="preserve">, преноснa прeмијa и RBNS сe утврђују </w:t>
      </w:r>
      <w:r w:rsidR="00C9217F" w:rsidRPr="00B23DB0">
        <w:rPr>
          <w:rFonts w:cs="Arial"/>
          <w:bCs/>
          <w:color w:val="142F50"/>
          <w:sz w:val="22"/>
          <w:szCs w:val="22"/>
          <w:lang w:val="sr-Cyrl-RS"/>
        </w:rPr>
        <w:t>на основу података цедента и уговора о реосигурању</w:t>
      </w:r>
      <w:r w:rsidRPr="00B23DB0">
        <w:rPr>
          <w:rFonts w:cs="Arial"/>
          <w:bCs/>
          <w:color w:val="142F50"/>
          <w:sz w:val="22"/>
          <w:szCs w:val="22"/>
        </w:rPr>
        <w:t>. На основу ових података, утврђеног самопридржаја Друштва и закључених уговора по пасивном послу обрачунава се учешће ретроцесионара у наведеним техничим резервама.</w:t>
      </w:r>
    </w:p>
    <w:p w:rsidR="000E67D4" w:rsidRPr="00B23DB0" w:rsidRDefault="000E67D4" w:rsidP="009F4AE3">
      <w:pPr>
        <w:spacing w:line="276" w:lineRule="auto"/>
        <w:rPr>
          <w:rFonts w:cs="Arial"/>
          <w:bCs/>
          <w:color w:val="142F50"/>
          <w:sz w:val="22"/>
          <w:szCs w:val="22"/>
        </w:rPr>
      </w:pPr>
    </w:p>
    <w:p w:rsidR="00282755" w:rsidRPr="00B23DB0" w:rsidRDefault="00282755" w:rsidP="009F4AE3">
      <w:pPr>
        <w:spacing w:line="276" w:lineRule="auto"/>
        <w:rPr>
          <w:rFonts w:cs="Arial"/>
          <w:bCs/>
          <w:color w:val="142F50"/>
          <w:sz w:val="22"/>
          <w:szCs w:val="22"/>
        </w:rPr>
      </w:pPr>
      <w:r w:rsidRPr="00B23DB0">
        <w:rPr>
          <w:rFonts w:cs="Arial"/>
          <w:bCs/>
          <w:color w:val="142F50"/>
          <w:sz w:val="22"/>
          <w:szCs w:val="22"/>
        </w:rPr>
        <w:t xml:space="preserve">Обрачун IBNR по активном послу се врши на </w:t>
      </w:r>
      <w:r w:rsidRPr="00B23DB0">
        <w:rPr>
          <w:rFonts w:cs="Arial"/>
          <w:bCs/>
          <w:color w:val="142F50"/>
          <w:sz w:val="22"/>
          <w:szCs w:val="22"/>
          <w:lang w:val="sr-Latn-CS"/>
        </w:rPr>
        <w:t xml:space="preserve">oснoву </w:t>
      </w:r>
      <w:r w:rsidR="00F548E4" w:rsidRPr="00B23DB0">
        <w:rPr>
          <w:rFonts w:cs="Arial"/>
          <w:bCs/>
          <w:color w:val="142F50"/>
          <w:sz w:val="22"/>
          <w:szCs w:val="22"/>
          <w:lang w:val="sr-Cyrl-RS"/>
        </w:rPr>
        <w:t xml:space="preserve">историјских </w:t>
      </w:r>
      <w:r w:rsidRPr="00B23DB0">
        <w:rPr>
          <w:rFonts w:cs="Arial"/>
          <w:bCs/>
          <w:color w:val="142F50"/>
          <w:sz w:val="22"/>
          <w:szCs w:val="22"/>
          <w:lang w:val="sr-Latn-CS"/>
        </w:rPr>
        <w:t xml:space="preserve">пoдaтaкa o штeтaмa </w:t>
      </w:r>
      <w:r w:rsidR="00F548E4" w:rsidRPr="00B23DB0">
        <w:rPr>
          <w:rFonts w:cs="Arial"/>
          <w:bCs/>
          <w:color w:val="142F50"/>
          <w:sz w:val="22"/>
          <w:szCs w:val="22"/>
          <w:lang w:val="sr-Cyrl-RS"/>
        </w:rPr>
        <w:t>Друштва</w:t>
      </w:r>
      <w:r w:rsidRPr="00B23DB0">
        <w:rPr>
          <w:rFonts w:cs="Arial"/>
          <w:bCs/>
          <w:color w:val="142F50"/>
          <w:sz w:val="22"/>
          <w:szCs w:val="22"/>
        </w:rPr>
        <w:t xml:space="preserve"> и утврђује се на нивоу врсте осигурања. </w:t>
      </w:r>
    </w:p>
    <w:p w:rsidR="00AF6D18" w:rsidRPr="00B23DB0" w:rsidRDefault="00AF6D18" w:rsidP="009F4AE3">
      <w:pPr>
        <w:spacing w:line="276" w:lineRule="auto"/>
        <w:rPr>
          <w:rFonts w:cs="Arial"/>
          <w:bCs/>
          <w:color w:val="142F50"/>
          <w:sz w:val="22"/>
          <w:szCs w:val="22"/>
        </w:rPr>
      </w:pPr>
    </w:p>
    <w:p w:rsidR="00282755" w:rsidRPr="00B23DB0" w:rsidRDefault="00282755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bCs/>
          <w:color w:val="142F50"/>
          <w:sz w:val="22"/>
          <w:szCs w:val="22"/>
        </w:rPr>
        <w:t>Учешће ретроцесије у укупним IBNR штетама обрачунава се на основу податак</w:t>
      </w:r>
      <w:r w:rsidR="00880F71" w:rsidRPr="00B23DB0">
        <w:rPr>
          <w:rFonts w:cs="Arial"/>
          <w:bCs/>
          <w:color w:val="142F50"/>
          <w:sz w:val="22"/>
          <w:szCs w:val="22"/>
        </w:rPr>
        <w:t>а о решеним и RBNS штетама по па</w:t>
      </w:r>
      <w:r w:rsidRPr="00B23DB0">
        <w:rPr>
          <w:rFonts w:cs="Arial"/>
          <w:bCs/>
          <w:color w:val="142F50"/>
          <w:sz w:val="22"/>
          <w:szCs w:val="22"/>
        </w:rPr>
        <w:t>сивном послу</w:t>
      </w:r>
      <w:r w:rsidR="006031EC" w:rsidRPr="00B23DB0">
        <w:rPr>
          <w:rFonts w:cs="Arial"/>
          <w:bCs/>
          <w:color w:val="142F50"/>
          <w:sz w:val="22"/>
          <w:szCs w:val="22"/>
          <w:lang w:val="sr-Cyrl-RS"/>
        </w:rPr>
        <w:t>, на нивоу врсте осигурања</w:t>
      </w:r>
      <w:r w:rsidRPr="00B23DB0">
        <w:rPr>
          <w:rFonts w:cs="Arial"/>
          <w:bCs/>
          <w:color w:val="142F50"/>
          <w:sz w:val="22"/>
          <w:szCs w:val="22"/>
        </w:rPr>
        <w:t>.</w:t>
      </w:r>
    </w:p>
    <w:p w:rsidR="00D57DAE" w:rsidRPr="00B23DB0" w:rsidRDefault="00D57DAE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D57DAE" w:rsidRPr="00B23DB0" w:rsidRDefault="00D57DAE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У склaду сa Прaвилницимa Друштвa o oбрaзoвaњу тeхничких рeзeрви нe oбрaчунaвa сe учeшћe рe</w:t>
      </w:r>
      <w:r w:rsidR="00935DBC" w:rsidRPr="00B23DB0">
        <w:rPr>
          <w:rFonts w:cs="Arial"/>
          <w:color w:val="142F50"/>
          <w:sz w:val="22"/>
          <w:szCs w:val="22"/>
        </w:rPr>
        <w:t>троцесионара</w:t>
      </w:r>
      <w:r w:rsidRPr="00B23DB0">
        <w:rPr>
          <w:rFonts w:cs="Arial"/>
          <w:color w:val="142F50"/>
          <w:sz w:val="22"/>
          <w:szCs w:val="22"/>
        </w:rPr>
        <w:t xml:space="preserve"> у</w:t>
      </w:r>
      <w:r w:rsidR="000716EE" w:rsidRPr="00B23DB0">
        <w:rPr>
          <w:rFonts w:cs="Arial"/>
          <w:color w:val="142F50"/>
          <w:sz w:val="22"/>
          <w:szCs w:val="22"/>
        </w:rPr>
        <w:t xml:space="preserve"> резервама за изравнавање ризика,</w:t>
      </w:r>
      <w:r w:rsidRPr="00B23DB0">
        <w:rPr>
          <w:rFonts w:cs="Arial"/>
          <w:color w:val="142F50"/>
          <w:sz w:val="22"/>
          <w:szCs w:val="22"/>
        </w:rPr>
        <w:t xml:space="preserve"> рeзeрвaмa зa нeистeклe ризикe и рeзeрвaмa зa бoнусe и пoпустe.</w:t>
      </w:r>
    </w:p>
    <w:p w:rsidR="00EE3767" w:rsidRPr="00B23DB0" w:rsidRDefault="00EE3767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492677" w:rsidRPr="00B23DB0" w:rsidRDefault="00492677" w:rsidP="00243FA6">
      <w:pPr>
        <w:keepNext/>
        <w:spacing w:line="480" w:lineRule="auto"/>
        <w:jc w:val="center"/>
        <w:rPr>
          <w:rFonts w:cs="Arial"/>
          <w:b/>
          <w:bCs/>
          <w:color w:val="142F50"/>
          <w:sz w:val="22"/>
          <w:szCs w:val="22"/>
          <w:lang w:val="sr-Cyrl-RS"/>
        </w:rPr>
      </w:pPr>
      <w:r w:rsidRPr="00B23DB0">
        <w:rPr>
          <w:rFonts w:cs="Arial"/>
          <w:b/>
          <w:bCs/>
          <w:color w:val="142F50"/>
          <w:sz w:val="22"/>
          <w:szCs w:val="22"/>
          <w:lang w:val="sr-Cyrl-RS"/>
        </w:rPr>
        <w:t>Укупне техничке резерве по активном послу, пасивном послу и у самопридржају</w:t>
      </w:r>
    </w:p>
    <w:tbl>
      <w:tblPr>
        <w:tblW w:w="9576" w:type="dxa"/>
        <w:tblInd w:w="149" w:type="dxa"/>
        <w:tblLook w:val="04A0" w:firstRow="1" w:lastRow="0" w:firstColumn="1" w:lastColumn="0" w:noHBand="0" w:noVBand="1"/>
      </w:tblPr>
      <w:tblGrid>
        <w:gridCol w:w="1076"/>
        <w:gridCol w:w="2860"/>
        <w:gridCol w:w="1547"/>
        <w:gridCol w:w="1946"/>
        <w:gridCol w:w="2147"/>
      </w:tblGrid>
      <w:tr w:rsidR="006031EC" w:rsidRPr="00B23DB0" w:rsidTr="006031EC">
        <w:trPr>
          <w:trHeight w:val="516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  <w:t>Ред.бр.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  <w:t>Врста техничких резерви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  <w:t>УКУПНЕ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  <w:t>Удео ретроцесионара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  <w:t>У САМОПРИДРЖАЈУ</w:t>
            </w:r>
          </w:p>
        </w:tc>
      </w:tr>
      <w:tr w:rsidR="00435232" w:rsidRPr="00B23DB0" w:rsidTr="00013391">
        <w:trPr>
          <w:trHeight w:val="329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1.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 xml:space="preserve">Преносна премија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  <w:lang w:val="en-US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1.094.588.209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  <w:lang w:val="en-US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997.549.587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  <w:lang w:val="en-US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97.038.622</w:t>
            </w:r>
          </w:p>
        </w:tc>
      </w:tr>
      <w:tr w:rsidR="00435232" w:rsidRPr="00B23DB0" w:rsidTr="00013391">
        <w:trPr>
          <w:trHeight w:val="329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2.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Укупно резервисане штете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1.983.619.974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1.179.348.137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804.271.837</w:t>
            </w:r>
          </w:p>
        </w:tc>
      </w:tr>
      <w:tr w:rsidR="00435232" w:rsidRPr="00B23DB0" w:rsidTr="00013391">
        <w:trPr>
          <w:trHeight w:val="329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3.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Математичка резерва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19.438.014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15.808.960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3.629.054</w:t>
            </w:r>
          </w:p>
        </w:tc>
      </w:tr>
      <w:tr w:rsidR="00435232" w:rsidRPr="00B23DB0" w:rsidTr="00013391">
        <w:trPr>
          <w:trHeight w:val="329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4.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Резерве за неистекле ризике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4.073.513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Pr="00B23DB0" w:rsidRDefault="00435232" w:rsidP="00435232">
            <w:pPr>
              <w:spacing w:line="240" w:lineRule="auto"/>
              <w:jc w:val="right"/>
              <w:rPr>
                <w:color w:val="142F50"/>
                <w:sz w:val="18"/>
                <w:szCs w:val="18"/>
              </w:rPr>
            </w:pPr>
            <w:r w:rsidRPr="00B23DB0">
              <w:rPr>
                <w:color w:val="142F50"/>
                <w:sz w:val="18"/>
                <w:szCs w:val="18"/>
              </w:rPr>
              <w:t>0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4.073.513</w:t>
            </w:r>
          </w:p>
        </w:tc>
      </w:tr>
      <w:tr w:rsidR="00435232" w:rsidRPr="00B23DB0" w:rsidTr="00013391">
        <w:trPr>
          <w:trHeight w:val="329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5.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232" w:rsidRPr="00B23DB0" w:rsidRDefault="00435232" w:rsidP="00435232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РЗИР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1.253.472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Pr="00B23DB0" w:rsidRDefault="00435232" w:rsidP="00435232">
            <w:pPr>
              <w:spacing w:line="240" w:lineRule="auto"/>
              <w:jc w:val="right"/>
              <w:rPr>
                <w:color w:val="142F50"/>
                <w:sz w:val="18"/>
                <w:szCs w:val="18"/>
              </w:rPr>
            </w:pPr>
            <w:r w:rsidRPr="00B23DB0">
              <w:rPr>
                <w:color w:val="142F50"/>
                <w:sz w:val="18"/>
                <w:szCs w:val="18"/>
              </w:rPr>
              <w:t>0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232" w:rsidRDefault="00435232" w:rsidP="00435232">
            <w:pPr>
              <w:spacing w:line="240" w:lineRule="auto"/>
              <w:jc w:val="right"/>
              <w:rPr>
                <w:rFonts w:cs="Arial"/>
                <w:color w:val="0F243E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1.253.472</w:t>
            </w:r>
          </w:p>
        </w:tc>
      </w:tr>
      <w:tr w:rsidR="006031EC" w:rsidRPr="00B23DB0" w:rsidTr="006031EC">
        <w:trPr>
          <w:trHeight w:val="329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6.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Резерве за бонусе и попусте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1EC" w:rsidRPr="00B23DB0" w:rsidRDefault="006031EC" w:rsidP="00435232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1EC" w:rsidRPr="00B23DB0" w:rsidRDefault="006031EC" w:rsidP="00435232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1EC" w:rsidRPr="00B23DB0" w:rsidRDefault="006031EC" w:rsidP="00435232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</w:tr>
      <w:tr w:rsidR="006031EC" w:rsidRPr="00B23DB0" w:rsidTr="006031EC">
        <w:trPr>
          <w:trHeight w:val="329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31EC" w:rsidRPr="00B23DB0" w:rsidRDefault="006031EC" w:rsidP="0080263C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en-US"/>
              </w:rPr>
              <w:t>УКУПНО: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031EC" w:rsidRPr="00B23DB0" w:rsidRDefault="00435232" w:rsidP="00435232">
            <w:pPr>
              <w:spacing w:line="240" w:lineRule="auto"/>
              <w:jc w:val="right"/>
              <w:rPr>
                <w:b/>
                <w:color w:val="142F5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F243E"/>
                <w:sz w:val="18"/>
                <w:szCs w:val="18"/>
              </w:rPr>
              <w:t>3.102.973.182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031EC" w:rsidRPr="00435232" w:rsidRDefault="00435232" w:rsidP="00435232">
            <w:pPr>
              <w:spacing w:line="240" w:lineRule="auto"/>
              <w:jc w:val="right"/>
              <w:rPr>
                <w:rFonts w:cs="Arial"/>
                <w:b/>
                <w:bCs/>
                <w:color w:val="0F243E"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bCs/>
                <w:color w:val="0F243E"/>
                <w:sz w:val="18"/>
                <w:szCs w:val="18"/>
              </w:rPr>
              <w:t>2.192.706.684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031EC" w:rsidRPr="00B23DB0" w:rsidRDefault="00435232" w:rsidP="00435232">
            <w:pPr>
              <w:spacing w:line="240" w:lineRule="auto"/>
              <w:jc w:val="right"/>
              <w:rPr>
                <w:b/>
                <w:color w:val="142F5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F243E"/>
                <w:sz w:val="18"/>
                <w:szCs w:val="18"/>
              </w:rPr>
              <w:t>910.266.498</w:t>
            </w:r>
          </w:p>
        </w:tc>
      </w:tr>
    </w:tbl>
    <w:p w:rsidR="006B4D17" w:rsidRPr="00B23DB0" w:rsidRDefault="006B4D17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03216D" w:rsidRPr="00B23DB0" w:rsidRDefault="00075D92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lastRenderedPageBreak/>
        <w:t>Укупне техничке резерве на дан 31.12.201</w:t>
      </w:r>
      <w:r w:rsidR="00987465">
        <w:rPr>
          <w:rFonts w:cs="Arial"/>
          <w:color w:val="142F50"/>
          <w:sz w:val="22"/>
          <w:szCs w:val="22"/>
          <w:lang w:val="sr-Cyrl-RS"/>
        </w:rPr>
        <w:t>9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. износе </w:t>
      </w:r>
      <w:r w:rsidR="00987465">
        <w:rPr>
          <w:rFonts w:cs="Arial"/>
          <w:color w:val="142F50"/>
          <w:sz w:val="22"/>
          <w:szCs w:val="22"/>
          <w:lang w:val="sr-Cyrl-RS"/>
        </w:rPr>
        <w:t>3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987465">
        <w:rPr>
          <w:rFonts w:cs="Arial"/>
          <w:color w:val="142F50"/>
          <w:sz w:val="22"/>
          <w:szCs w:val="22"/>
          <w:lang w:val="sr-Cyrl-RS"/>
        </w:rPr>
        <w:t>102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987465">
        <w:rPr>
          <w:rFonts w:cs="Arial"/>
          <w:color w:val="142F50"/>
          <w:sz w:val="22"/>
          <w:szCs w:val="22"/>
          <w:lang w:val="sr-Cyrl-RS"/>
        </w:rPr>
        <w:t>973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987465">
        <w:rPr>
          <w:rFonts w:cs="Arial"/>
          <w:color w:val="142F50"/>
          <w:sz w:val="22"/>
          <w:szCs w:val="22"/>
          <w:lang w:val="sr-Cyrl-RS"/>
        </w:rPr>
        <w:t>е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динара, док у самопридржају износе </w:t>
      </w:r>
      <w:r w:rsidR="001C2073">
        <w:rPr>
          <w:rFonts w:cs="Arial"/>
          <w:color w:val="142F50"/>
          <w:sz w:val="22"/>
          <w:szCs w:val="22"/>
          <w:lang w:val="sr-Cyrl-RS"/>
        </w:rPr>
        <w:t>910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1C2073">
        <w:rPr>
          <w:rFonts w:cs="Arial"/>
          <w:color w:val="142F50"/>
          <w:sz w:val="22"/>
          <w:szCs w:val="22"/>
          <w:lang w:val="sr-Cyrl-RS"/>
        </w:rPr>
        <w:t>266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CA194A" w:rsidRPr="00B23DB0">
        <w:rPr>
          <w:rFonts w:cs="Arial"/>
          <w:color w:val="142F50"/>
          <w:sz w:val="22"/>
          <w:szCs w:val="22"/>
          <w:lang w:val="sr-Cyrl-RS"/>
        </w:rPr>
        <w:t>а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динара, док су на исти датум претходне године респективно износиле </w:t>
      </w:r>
      <w:r w:rsidR="00D005C5" w:rsidRPr="00B23DB0">
        <w:rPr>
          <w:rFonts w:cs="Arial"/>
          <w:color w:val="142F50"/>
          <w:sz w:val="22"/>
          <w:szCs w:val="22"/>
          <w:lang w:val="sr-Cyrl-RS"/>
        </w:rPr>
        <w:t>2.399.217</w:t>
      </w:r>
      <w:r w:rsidR="00D005C5">
        <w:rPr>
          <w:rFonts w:cs="Arial"/>
          <w:color w:val="142F50"/>
          <w:sz w:val="22"/>
          <w:szCs w:val="22"/>
          <w:lang w:val="sr-Cyrl-RS"/>
        </w:rPr>
        <w:t xml:space="preserve"> </w:t>
      </w:r>
      <w:r w:rsidRPr="00B23DB0">
        <w:rPr>
          <w:rFonts w:cs="Arial"/>
          <w:color w:val="142F50"/>
          <w:sz w:val="22"/>
          <w:szCs w:val="22"/>
          <w:lang w:val="sr-Cyrl-RS"/>
        </w:rPr>
        <w:t>хиљад</w:t>
      </w:r>
      <w:r w:rsidR="00D005C5">
        <w:rPr>
          <w:rFonts w:cs="Arial"/>
          <w:color w:val="142F50"/>
          <w:sz w:val="22"/>
          <w:szCs w:val="22"/>
          <w:lang w:val="sr-Cyrl-RS"/>
        </w:rPr>
        <w:t>а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динара и </w:t>
      </w:r>
      <w:r w:rsidR="00D005C5" w:rsidRPr="00B23DB0">
        <w:rPr>
          <w:rFonts w:cs="Arial"/>
          <w:color w:val="142F50"/>
          <w:sz w:val="22"/>
          <w:szCs w:val="22"/>
          <w:lang w:val="sr-Cyrl-RS"/>
        </w:rPr>
        <w:t>789.429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622B36" w:rsidRPr="00B23DB0">
        <w:rPr>
          <w:rFonts w:cs="Arial"/>
          <w:color w:val="142F50"/>
          <w:sz w:val="22"/>
          <w:szCs w:val="22"/>
          <w:lang w:val="sr-Cyrl-RS"/>
        </w:rPr>
        <w:t>а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динара. Ово представља </w:t>
      </w:r>
      <w:r w:rsidR="00442840">
        <w:rPr>
          <w:rFonts w:cs="Arial"/>
          <w:color w:val="142F50"/>
          <w:sz w:val="22"/>
          <w:szCs w:val="22"/>
          <w:lang w:val="sr-Cyrl-RS"/>
        </w:rPr>
        <w:t>повећање</w:t>
      </w:r>
      <w:r w:rsidR="00842216" w:rsidRPr="00B23DB0">
        <w:rPr>
          <w:rFonts w:cs="Arial"/>
          <w:color w:val="142F50"/>
          <w:sz w:val="22"/>
          <w:szCs w:val="22"/>
          <w:lang w:val="sr-Cyrl-RS"/>
        </w:rPr>
        <w:t xml:space="preserve"> од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</w:t>
      </w:r>
      <w:r w:rsidR="00442840">
        <w:rPr>
          <w:rFonts w:cs="Arial"/>
          <w:color w:val="142F50"/>
          <w:sz w:val="22"/>
          <w:szCs w:val="22"/>
          <w:lang w:val="sr-Cyrl-RS"/>
        </w:rPr>
        <w:t>29</w:t>
      </w:r>
      <w:r w:rsidR="00842216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442840">
        <w:rPr>
          <w:rFonts w:cs="Arial"/>
          <w:color w:val="142F50"/>
          <w:sz w:val="22"/>
          <w:szCs w:val="22"/>
          <w:lang w:val="sr-Cyrl-RS"/>
        </w:rPr>
        <w:t>33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% на нивоу </w:t>
      </w:r>
      <w:r w:rsidR="00842216" w:rsidRPr="00B23DB0">
        <w:rPr>
          <w:rFonts w:cs="Arial"/>
          <w:color w:val="142F50"/>
          <w:sz w:val="22"/>
          <w:szCs w:val="22"/>
          <w:lang w:val="sr-Cyrl-RS"/>
        </w:rPr>
        <w:t>активног посла</w:t>
      </w:r>
      <w:r w:rsidR="00442840">
        <w:rPr>
          <w:rFonts w:cs="Arial"/>
          <w:color w:val="142F50"/>
          <w:sz w:val="22"/>
          <w:szCs w:val="22"/>
          <w:lang w:val="sr-Cyrl-RS"/>
        </w:rPr>
        <w:t xml:space="preserve"> односно од</w:t>
      </w:r>
      <w:r w:rsidR="00842216" w:rsidRPr="00B23DB0">
        <w:rPr>
          <w:rFonts w:cs="Arial"/>
          <w:color w:val="142F50"/>
          <w:sz w:val="22"/>
          <w:szCs w:val="22"/>
          <w:lang w:val="sr-Cyrl-RS"/>
        </w:rPr>
        <w:t xml:space="preserve"> </w:t>
      </w:r>
      <w:r w:rsidR="00442840">
        <w:rPr>
          <w:rFonts w:cs="Arial"/>
          <w:color w:val="142F50"/>
          <w:sz w:val="22"/>
          <w:szCs w:val="22"/>
          <w:lang w:val="sr-Cyrl-RS"/>
        </w:rPr>
        <w:t>15</w:t>
      </w:r>
      <w:r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442840">
        <w:rPr>
          <w:rFonts w:cs="Arial"/>
          <w:color w:val="142F50"/>
          <w:sz w:val="22"/>
          <w:szCs w:val="22"/>
          <w:lang w:val="sr-Cyrl-RS"/>
        </w:rPr>
        <w:t>31</w:t>
      </w:r>
      <w:r w:rsidRPr="00B23DB0">
        <w:rPr>
          <w:rFonts w:cs="Arial"/>
          <w:color w:val="142F50"/>
          <w:sz w:val="22"/>
          <w:szCs w:val="22"/>
          <w:lang w:val="sr-Cyrl-RS"/>
        </w:rPr>
        <w:t>% у самопридржају.</w:t>
      </w:r>
    </w:p>
    <w:p w:rsidR="006031EC" w:rsidRPr="00B23DB0" w:rsidRDefault="006031EC" w:rsidP="009F4AE3">
      <w:pPr>
        <w:spacing w:line="276" w:lineRule="auto"/>
        <w:rPr>
          <w:rFonts w:cs="Arial"/>
          <w:b/>
          <w:bCs/>
          <w:color w:val="142F50"/>
          <w:sz w:val="22"/>
          <w:szCs w:val="22"/>
        </w:rPr>
      </w:pPr>
    </w:p>
    <w:p w:rsidR="00D07BA2" w:rsidRPr="00B23DB0" w:rsidRDefault="00D07BA2" w:rsidP="00243FA6">
      <w:pPr>
        <w:keepNext/>
        <w:spacing w:line="480" w:lineRule="auto"/>
        <w:jc w:val="center"/>
        <w:rPr>
          <w:rFonts w:cs="Arial"/>
          <w:b/>
          <w:i/>
          <w:color w:val="142F50"/>
          <w:sz w:val="22"/>
          <w:szCs w:val="22"/>
        </w:rPr>
      </w:pPr>
      <w:r w:rsidRPr="00B23DB0">
        <w:rPr>
          <w:rFonts w:cs="Arial"/>
          <w:b/>
          <w:i/>
          <w:color w:val="142F50"/>
          <w:sz w:val="22"/>
          <w:szCs w:val="22"/>
        </w:rPr>
        <w:t>Учешће ретроцесионара у укупним техничким резервама</w:t>
      </w:r>
    </w:p>
    <w:tbl>
      <w:tblPr>
        <w:tblW w:w="8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60"/>
        <w:gridCol w:w="1440"/>
        <w:gridCol w:w="1440"/>
        <w:gridCol w:w="960"/>
        <w:gridCol w:w="960"/>
      </w:tblGrid>
      <w:tr w:rsidR="0064019D" w:rsidRPr="00B23DB0" w:rsidTr="000367F4">
        <w:trPr>
          <w:trHeight w:val="615"/>
          <w:jc w:val="center"/>
        </w:trPr>
        <w:tc>
          <w:tcPr>
            <w:tcW w:w="960" w:type="dxa"/>
            <w:shd w:val="clear" w:color="auto" w:fill="D9D9D9" w:themeFill="background1" w:themeFillShade="D9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Рeд.бр</w:t>
            </w:r>
          </w:p>
        </w:tc>
        <w:tc>
          <w:tcPr>
            <w:tcW w:w="2860" w:type="dxa"/>
            <w:shd w:val="clear" w:color="auto" w:fill="D9D9D9" w:themeFill="background1" w:themeFillShade="D9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Teхничкe рeзeрвe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center"/>
            <w:hideMark/>
          </w:tcPr>
          <w:p w:rsidR="0064019D" w:rsidRPr="00D10EF4" w:rsidRDefault="0064019D" w:rsidP="00D10EF4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31.12.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201</w:t>
            </w:r>
            <w:r w:rsidR="00D10EF4">
              <w:rPr>
                <w:rFonts w:cs="Arial"/>
                <w:color w:val="142F50"/>
                <w:sz w:val="18"/>
                <w:szCs w:val="18"/>
                <w:lang w:val="sr-Cyrl-RS"/>
              </w:rPr>
              <w:t>9</w:t>
            </w:r>
            <w:r w:rsidR="00F52A02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31.12.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201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8</w:t>
            </w:r>
            <w:r w:rsidR="00F52A02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vAlign w:val="center"/>
            <w:hideMark/>
          </w:tcPr>
          <w:p w:rsidR="0064019D" w:rsidRPr="00286F99" w:rsidRDefault="0064019D" w:rsidP="00286F99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 xml:space="preserve">Учешће 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201</w:t>
            </w:r>
            <w:r w:rsidR="00286F99">
              <w:rPr>
                <w:rFonts w:cs="Arial"/>
                <w:color w:val="142F50"/>
                <w:sz w:val="18"/>
                <w:szCs w:val="18"/>
                <w:lang w:val="sr-Cyrl-RS"/>
              </w:rPr>
              <w:t>9</w:t>
            </w:r>
            <w:r w:rsidR="00F52A02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 xml:space="preserve">Учешће 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201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8</w:t>
            </w:r>
            <w:r w:rsidR="00F52A02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1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860" w:type="dxa"/>
            <w:shd w:val="clear" w:color="auto" w:fill="FFFFFF" w:themeFill="background1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 xml:space="preserve">Прeнoснa прeмиja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286F99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997.549.587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576.674.298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F52A02" w:rsidRDefault="00F52A02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91,13%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89,29%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2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 xml:space="preserve"> (</w:t>
            </w:r>
            <w:r w:rsidRPr="00B23DB0">
              <w:rPr>
                <w:rFonts w:cs="Arial"/>
                <w:i/>
                <w:color w:val="142F50"/>
                <w:sz w:val="18"/>
                <w:szCs w:val="18"/>
                <w:lang w:val="en-US"/>
              </w:rPr>
              <w:t>a+b+c)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Укупнo рeзeрвисaнe штeтe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387AB4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1.179.348.137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1.017.512.119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F52A02" w:rsidRDefault="00F52A02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59,45%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58,76%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i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i/>
                <w:color w:val="142F50"/>
                <w:sz w:val="18"/>
                <w:szCs w:val="18"/>
                <w:lang w:val="sr-Cyrl-RS"/>
              </w:rPr>
              <w:t xml:space="preserve">        </w:t>
            </w:r>
            <w:r w:rsidRPr="00B23DB0">
              <w:rPr>
                <w:rFonts w:cs="Arial"/>
                <w:i/>
                <w:color w:val="142F50"/>
                <w:sz w:val="18"/>
                <w:szCs w:val="18"/>
                <w:lang w:val="en-US"/>
              </w:rPr>
              <w:t>a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i/>
                <w:color w:val="142F50"/>
                <w:sz w:val="18"/>
                <w:szCs w:val="18"/>
                <w:lang w:val="sr-Cyrl-RS"/>
              </w:rPr>
              <w:t xml:space="preserve">       - </w:t>
            </w:r>
            <w:r w:rsidRPr="00B23DB0">
              <w:rPr>
                <w:rFonts w:cs="Arial"/>
                <w:i/>
                <w:color w:val="142F50"/>
                <w:sz w:val="18"/>
                <w:szCs w:val="18"/>
                <w:lang w:val="en-US"/>
              </w:rPr>
              <w:t>RBNS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EA54C2" w:rsidRDefault="00EA54C2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  <w:lang w:val="sr-Latn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901.940</w:t>
            </w:r>
            <w:r>
              <w:rPr>
                <w:rFonts w:cs="Arial"/>
                <w:color w:val="142F50"/>
                <w:sz w:val="18"/>
                <w:szCs w:val="18"/>
                <w:lang w:val="sr-Latn-RS"/>
              </w:rPr>
              <w:t>.941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809.034.657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EA12F2" w:rsidRDefault="00EA12F2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59,81%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59,75%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i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i/>
                <w:color w:val="142F50"/>
                <w:sz w:val="18"/>
                <w:szCs w:val="18"/>
                <w:lang w:val="sr-Cyrl-RS"/>
              </w:rPr>
              <w:t xml:space="preserve">        </w:t>
            </w:r>
            <w:r w:rsidRPr="00B23DB0">
              <w:rPr>
                <w:rFonts w:cs="Arial"/>
                <w:i/>
                <w:color w:val="142F50"/>
                <w:sz w:val="18"/>
                <w:szCs w:val="18"/>
                <w:lang w:val="en-US"/>
              </w:rPr>
              <w:t>b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i/>
                <w:color w:val="142F50"/>
                <w:sz w:val="18"/>
                <w:szCs w:val="18"/>
                <w:lang w:val="sr-Cyrl-RS"/>
              </w:rPr>
              <w:t xml:space="preserve">       - </w:t>
            </w:r>
            <w:r w:rsidRPr="00B23DB0">
              <w:rPr>
                <w:rFonts w:cs="Arial"/>
                <w:i/>
                <w:color w:val="142F50"/>
                <w:sz w:val="18"/>
                <w:szCs w:val="18"/>
                <w:lang w:val="en-US"/>
              </w:rPr>
              <w:t>IBNR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EA54C2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>
              <w:rPr>
                <w:rFonts w:cs="Arial"/>
                <w:color w:val="142F50"/>
                <w:sz w:val="18"/>
                <w:szCs w:val="18"/>
              </w:rPr>
              <w:t>277.407.196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208.477.462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AA5505" w:rsidRDefault="00AA5505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62,52%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62,16%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i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i/>
                <w:color w:val="142F50"/>
                <w:sz w:val="18"/>
                <w:szCs w:val="18"/>
                <w:lang w:val="sr-Cyrl-RS"/>
              </w:rPr>
              <w:t xml:space="preserve">       </w:t>
            </w:r>
            <w:r w:rsidRPr="00B23DB0">
              <w:rPr>
                <w:rFonts w:cs="Arial"/>
                <w:i/>
                <w:color w:val="142F50"/>
                <w:sz w:val="18"/>
                <w:szCs w:val="18"/>
                <w:lang w:val="en-US"/>
              </w:rPr>
              <w:t>c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i/>
                <w:color w:val="142F50"/>
                <w:sz w:val="18"/>
                <w:szCs w:val="18"/>
                <w:lang w:val="sr-Cyrl-RS"/>
              </w:rPr>
              <w:t xml:space="preserve">       -  </w:t>
            </w:r>
            <w:r w:rsidRPr="00B23DB0">
              <w:rPr>
                <w:rFonts w:cs="Arial"/>
                <w:i/>
                <w:color w:val="142F50"/>
                <w:sz w:val="18"/>
                <w:szCs w:val="18"/>
                <w:lang w:val="en-US"/>
              </w:rPr>
              <w:t>Резервација трош.ликв.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EA12F2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3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Maтeмaтичкa рeзeрвa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286F99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>
              <w:rPr>
                <w:rFonts w:cs="Arial"/>
                <w:color w:val="0F243E"/>
                <w:sz w:val="18"/>
                <w:szCs w:val="18"/>
              </w:rPr>
              <w:t>15.808.960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15.602.053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335D1B" w:rsidRDefault="00335D1B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81,33%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81,21%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4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Рeзeрвe зa нeистeклe ризикe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EA12F2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5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РЗИР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EA12F2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</w:tr>
      <w:tr w:rsidR="0064019D" w:rsidRPr="00B23DB0" w:rsidTr="000367F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6</w:t>
            </w:r>
            <w:r w:rsidRPr="00B23DB0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64019D" w:rsidRPr="00B23DB0" w:rsidRDefault="0064019D" w:rsidP="0064019D">
            <w:pPr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Рeзeрвe зa бoнусe и пoпустe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019D" w:rsidRPr="00B23DB0" w:rsidRDefault="0064019D" w:rsidP="0064019D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EA12F2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4019D" w:rsidRPr="00B23DB0" w:rsidRDefault="0064019D" w:rsidP="0064019D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</w:rPr>
            </w:pPr>
            <w:r w:rsidRPr="00B23DB0">
              <w:rPr>
                <w:rFonts w:cs="Arial"/>
                <w:color w:val="142F50"/>
                <w:sz w:val="18"/>
                <w:szCs w:val="18"/>
              </w:rPr>
              <w:t>0,00%</w:t>
            </w:r>
          </w:p>
        </w:tc>
      </w:tr>
      <w:tr w:rsidR="000367F4" w:rsidRPr="00B23DB0" w:rsidTr="000367F4">
        <w:trPr>
          <w:trHeight w:val="315"/>
          <w:jc w:val="center"/>
        </w:trPr>
        <w:tc>
          <w:tcPr>
            <w:tcW w:w="3820" w:type="dxa"/>
            <w:gridSpan w:val="2"/>
            <w:shd w:val="clear" w:color="auto" w:fill="D9D9D9" w:themeFill="background1" w:themeFillShade="D9"/>
            <w:vAlign w:val="center"/>
            <w:hideMark/>
          </w:tcPr>
          <w:p w:rsidR="007E6526" w:rsidRPr="00B23DB0" w:rsidRDefault="007E6526" w:rsidP="007E6526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Укупн</w:t>
            </w:r>
            <w:r w:rsidRPr="00B23DB0">
              <w:rPr>
                <w:rFonts w:cs="Arial"/>
                <w:color w:val="142F50"/>
                <w:sz w:val="18"/>
                <w:szCs w:val="18"/>
              </w:rPr>
              <w:t>о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000000" w:fill="D9D9D9"/>
            <w:noWrap/>
            <w:vAlign w:val="center"/>
          </w:tcPr>
          <w:p w:rsidR="007E6526" w:rsidRPr="00387AB4" w:rsidRDefault="00387AB4" w:rsidP="00652D77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387AB4">
              <w:rPr>
                <w:rFonts w:cs="Arial"/>
                <w:bCs/>
                <w:color w:val="0F243E"/>
                <w:sz w:val="18"/>
                <w:szCs w:val="18"/>
              </w:rPr>
              <w:t>2.192.706.684</w:t>
            </w:r>
          </w:p>
        </w:tc>
        <w:tc>
          <w:tcPr>
            <w:tcW w:w="1440" w:type="dxa"/>
            <w:shd w:val="clear" w:color="000000" w:fill="D9D9D9"/>
            <w:noWrap/>
            <w:vAlign w:val="center"/>
          </w:tcPr>
          <w:p w:rsidR="007E6526" w:rsidRPr="00387AB4" w:rsidRDefault="0064019D" w:rsidP="007E6526">
            <w:pPr>
              <w:spacing w:line="240" w:lineRule="auto"/>
              <w:jc w:val="righ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387AB4">
              <w:rPr>
                <w:rFonts w:cs="Arial"/>
                <w:color w:val="142F50"/>
                <w:sz w:val="18"/>
                <w:szCs w:val="18"/>
                <w:lang w:val="sr-Cyrl-RS"/>
              </w:rPr>
              <w:t>1.609.788.470</w:t>
            </w:r>
          </w:p>
        </w:tc>
        <w:tc>
          <w:tcPr>
            <w:tcW w:w="960" w:type="dxa"/>
            <w:shd w:val="clear" w:color="000000" w:fill="D9D9D9"/>
            <w:noWrap/>
            <w:vAlign w:val="center"/>
          </w:tcPr>
          <w:p w:rsidR="007E6526" w:rsidRPr="008D4CF9" w:rsidRDefault="008D4CF9" w:rsidP="00652D77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70,66%</w:t>
            </w:r>
          </w:p>
        </w:tc>
        <w:tc>
          <w:tcPr>
            <w:tcW w:w="960" w:type="dxa"/>
            <w:shd w:val="clear" w:color="000000" w:fill="D9D9D9"/>
            <w:noWrap/>
            <w:vAlign w:val="center"/>
          </w:tcPr>
          <w:p w:rsidR="007E6526" w:rsidRPr="00B23DB0" w:rsidRDefault="0064019D" w:rsidP="007E6526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67,10%</w:t>
            </w:r>
          </w:p>
        </w:tc>
      </w:tr>
    </w:tbl>
    <w:p w:rsidR="00E043F8" w:rsidRPr="00B23DB0" w:rsidRDefault="00E043F8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8410D0" w:rsidRPr="00B23DB0" w:rsidRDefault="008410D0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t>П</w:t>
      </w:r>
      <w:r w:rsidRPr="00B23DB0">
        <w:rPr>
          <w:rFonts w:cs="Arial"/>
          <w:color w:val="142F50"/>
          <w:sz w:val="22"/>
          <w:szCs w:val="22"/>
        </w:rPr>
        <w:t xml:space="preserve">рeнoс вишкa ризикa у рeтроцесију има знaчajaн утицaj нa изнoс тeхничких рeзeрви у сaмoпридржajу. Укупнo учeшћe рeтроцесионара у тeхничким рeзeрвaмa </w:t>
      </w:r>
      <w:r w:rsidRPr="00B23DB0">
        <w:rPr>
          <w:rFonts w:cs="Arial"/>
          <w:color w:val="142F50"/>
          <w:sz w:val="22"/>
          <w:szCs w:val="22"/>
          <w:lang w:val="en-US"/>
        </w:rPr>
        <w:t>je</w:t>
      </w:r>
      <w:r w:rsidRPr="00B23DB0">
        <w:rPr>
          <w:rFonts w:cs="Arial"/>
          <w:color w:val="142F50"/>
          <w:sz w:val="22"/>
          <w:szCs w:val="22"/>
        </w:rPr>
        <w:t xml:space="preserve"> </w:t>
      </w:r>
      <w:r w:rsidR="00243FA6">
        <w:rPr>
          <w:rFonts w:cs="Arial"/>
          <w:color w:val="142F50"/>
          <w:sz w:val="22"/>
          <w:szCs w:val="22"/>
          <w:lang w:val="sr-Cyrl-RS"/>
        </w:rPr>
        <w:t>2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243FA6">
        <w:rPr>
          <w:rFonts w:cs="Arial"/>
          <w:color w:val="142F50"/>
          <w:sz w:val="22"/>
          <w:szCs w:val="22"/>
          <w:lang w:val="sr-Cyrl-RS"/>
        </w:rPr>
        <w:t>192</w:t>
      </w:r>
      <w:r w:rsidRPr="00B23DB0">
        <w:rPr>
          <w:rFonts w:cs="Arial"/>
          <w:color w:val="142F50"/>
          <w:sz w:val="22"/>
          <w:szCs w:val="22"/>
          <w:lang w:val="sr-Cyrl-RS"/>
        </w:rPr>
        <w:t>.</w:t>
      </w:r>
      <w:r w:rsidR="00243FA6">
        <w:rPr>
          <w:rFonts w:cs="Arial"/>
          <w:color w:val="142F50"/>
          <w:sz w:val="22"/>
          <w:szCs w:val="22"/>
          <w:lang w:val="sr-Cyrl-RS"/>
        </w:rPr>
        <w:t>707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хиљад</w:t>
      </w:r>
      <w:r w:rsidR="000367F4" w:rsidRPr="00B23DB0">
        <w:rPr>
          <w:rFonts w:cs="Arial"/>
          <w:color w:val="142F50"/>
          <w:sz w:val="22"/>
          <w:szCs w:val="22"/>
          <w:lang w:val="sr-Cyrl-RS"/>
        </w:rPr>
        <w:t>а</w:t>
      </w:r>
      <w:r w:rsidRPr="00B23DB0">
        <w:rPr>
          <w:rFonts w:cs="Arial"/>
          <w:color w:val="142F50"/>
          <w:sz w:val="22"/>
          <w:szCs w:val="22"/>
        </w:rPr>
        <w:t xml:space="preserve"> динaрa, 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што представља </w:t>
      </w:r>
      <w:r w:rsidR="00243FA6">
        <w:rPr>
          <w:rFonts w:cs="Arial"/>
          <w:color w:val="142F50"/>
          <w:sz w:val="22"/>
          <w:szCs w:val="22"/>
          <w:lang w:val="sr-Cyrl-RS"/>
        </w:rPr>
        <w:t>70</w:t>
      </w:r>
      <w:r w:rsidR="00652D77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243FA6">
        <w:rPr>
          <w:rFonts w:cs="Arial"/>
          <w:color w:val="142F50"/>
          <w:sz w:val="22"/>
          <w:szCs w:val="22"/>
          <w:lang w:val="sr-Cyrl-RS"/>
        </w:rPr>
        <w:t>66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% укупних техничких резерви. </w:t>
      </w:r>
      <w:r w:rsidR="000367F4" w:rsidRPr="00B23DB0">
        <w:rPr>
          <w:rFonts w:cs="Arial"/>
          <w:color w:val="142F50"/>
          <w:sz w:val="22"/>
          <w:szCs w:val="22"/>
          <w:lang w:val="sr-Cyrl-RS"/>
        </w:rPr>
        <w:t xml:space="preserve">Учешће ретроцесионара се </w:t>
      </w:r>
      <w:r w:rsidR="00243FA6">
        <w:rPr>
          <w:rFonts w:cs="Arial"/>
          <w:color w:val="142F50"/>
          <w:sz w:val="22"/>
          <w:szCs w:val="22"/>
          <w:lang w:val="sr-Cyrl-RS"/>
        </w:rPr>
        <w:t>повећало</w:t>
      </w:r>
      <w:r w:rsidR="000F08BE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0367F4" w:rsidRPr="00B23DB0">
        <w:rPr>
          <w:rFonts w:cs="Arial"/>
          <w:color w:val="142F50"/>
          <w:sz w:val="22"/>
          <w:szCs w:val="22"/>
          <w:lang w:val="sr-Cyrl-RS"/>
        </w:rPr>
        <w:t xml:space="preserve"> и у процентуалном и у апсолутном износу</w:t>
      </w:r>
      <w:r w:rsidR="000F08BE" w:rsidRPr="00B23DB0">
        <w:rPr>
          <w:rFonts w:cs="Arial"/>
          <w:color w:val="142F50"/>
          <w:sz w:val="22"/>
          <w:szCs w:val="22"/>
          <w:lang w:val="sr-Cyrl-RS"/>
        </w:rPr>
        <w:t>,</w:t>
      </w:r>
      <w:r w:rsidR="000367F4" w:rsidRPr="00B23DB0">
        <w:rPr>
          <w:rFonts w:cs="Arial"/>
          <w:color w:val="142F50"/>
          <w:sz w:val="22"/>
          <w:szCs w:val="22"/>
          <w:lang w:val="sr-Cyrl-RS"/>
        </w:rPr>
        <w:t xml:space="preserve"> у односу на </w:t>
      </w:r>
      <w:r w:rsidR="0024553D" w:rsidRPr="00B23DB0">
        <w:rPr>
          <w:rFonts w:cs="Arial"/>
          <w:color w:val="142F50"/>
          <w:sz w:val="22"/>
          <w:szCs w:val="22"/>
          <w:lang w:val="sr-Cyrl-RS"/>
        </w:rPr>
        <w:t>31.12.201</w:t>
      </w:r>
      <w:r w:rsidR="00243FA6">
        <w:rPr>
          <w:rFonts w:cs="Arial"/>
          <w:color w:val="142F50"/>
          <w:sz w:val="22"/>
          <w:szCs w:val="22"/>
          <w:lang w:val="sr-Cyrl-RS"/>
        </w:rPr>
        <w:t>8</w:t>
      </w:r>
      <w:r w:rsidR="0024553D" w:rsidRPr="00B23DB0">
        <w:rPr>
          <w:rFonts w:cs="Arial"/>
          <w:color w:val="142F50"/>
          <w:sz w:val="22"/>
          <w:szCs w:val="22"/>
          <w:lang w:val="sr-Cyrl-RS"/>
        </w:rPr>
        <w:t>.</w:t>
      </w:r>
    </w:p>
    <w:p w:rsidR="000367F4" w:rsidRPr="00B23DB0" w:rsidRDefault="000367F4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</w:p>
    <w:p w:rsidR="00D800D6" w:rsidRPr="00B23DB0" w:rsidRDefault="00D800D6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t>С обзиром на рејтинг који имају ретроцесионари и дисперзију</w:t>
      </w:r>
      <w:r w:rsidR="00BC41B9" w:rsidRPr="00B23DB0">
        <w:rPr>
          <w:rFonts w:cs="Arial"/>
          <w:color w:val="142F50"/>
          <w:sz w:val="22"/>
          <w:szCs w:val="22"/>
          <w:lang w:val="sr-Cyrl-RS"/>
        </w:rPr>
        <w:t xml:space="preserve"> ризика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</w:t>
      </w:r>
      <w:r w:rsidR="00BC41B9" w:rsidRPr="00B23DB0">
        <w:rPr>
          <w:rFonts w:cs="Arial"/>
          <w:color w:val="142F50"/>
          <w:sz w:val="22"/>
          <w:szCs w:val="22"/>
          <w:lang w:val="sr-Cyrl-RS"/>
        </w:rPr>
        <w:t>између ретроцесионара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 остварен је висок степен квалитета </w:t>
      </w:r>
      <w:r w:rsidR="00E4075A" w:rsidRPr="00B23DB0">
        <w:rPr>
          <w:rFonts w:cs="Arial"/>
          <w:color w:val="142F50"/>
          <w:sz w:val="22"/>
          <w:szCs w:val="22"/>
          <w:lang w:val="sr-Cyrl-RS"/>
        </w:rPr>
        <w:t xml:space="preserve">значајног дела </w:t>
      </w:r>
      <w:r w:rsidRPr="00B23DB0">
        <w:rPr>
          <w:rFonts w:cs="Arial"/>
          <w:color w:val="142F50"/>
          <w:sz w:val="22"/>
          <w:szCs w:val="22"/>
          <w:lang w:val="sr-Cyrl-RS"/>
        </w:rPr>
        <w:t xml:space="preserve">активе која </w:t>
      </w:r>
      <w:r w:rsidR="00E4075A" w:rsidRPr="00B23DB0">
        <w:rPr>
          <w:rFonts w:cs="Arial"/>
          <w:color w:val="142F50"/>
          <w:sz w:val="22"/>
          <w:szCs w:val="22"/>
          <w:lang w:val="sr-Cyrl-RS"/>
        </w:rPr>
        <w:t>учествује у покрићу техничких резерви.</w:t>
      </w:r>
    </w:p>
    <w:p w:rsidR="00D800D6" w:rsidRPr="00B23DB0" w:rsidRDefault="00D800D6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8442F0" w:rsidRPr="00B23DB0" w:rsidRDefault="003C29A2" w:rsidP="009F4AE3">
      <w:pPr>
        <w:spacing w:line="276" w:lineRule="auto"/>
        <w:rPr>
          <w:rFonts w:cs="Arial"/>
          <w:bCs/>
          <w:color w:val="142F50"/>
          <w:sz w:val="22"/>
          <w:szCs w:val="22"/>
          <w:lang w:val="sr-Cyrl-RS"/>
        </w:rPr>
      </w:pPr>
      <w:r w:rsidRPr="00B23DB0">
        <w:rPr>
          <w:rFonts w:cs="Arial"/>
          <w:color w:val="142F50"/>
          <w:sz w:val="22"/>
          <w:szCs w:val="22"/>
          <w:lang w:val="sr-Cyrl-RS"/>
        </w:rPr>
        <w:t>Повећање техничких резерви у самопридржају резултат су јачања капацитета Друштва за прихват ризика.</w:t>
      </w:r>
    </w:p>
    <w:p w:rsidR="00D77465" w:rsidRPr="00B23DB0" w:rsidRDefault="00D77465" w:rsidP="009F4AE3">
      <w:pPr>
        <w:spacing w:line="276" w:lineRule="auto"/>
        <w:rPr>
          <w:rFonts w:cs="Arial"/>
          <w:bCs/>
          <w:color w:val="142F50"/>
          <w:sz w:val="22"/>
          <w:szCs w:val="22"/>
        </w:rPr>
      </w:pPr>
    </w:p>
    <w:p w:rsidR="008442F0" w:rsidRPr="00B23DB0" w:rsidRDefault="008442F0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0A0BF5" w:rsidRPr="00B23DB0" w:rsidRDefault="00B95D29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  <w:r w:rsidRPr="00B23DB0">
        <w:rPr>
          <w:rFonts w:cs="Arial"/>
          <w:b/>
          <w:i/>
          <w:color w:val="142F50"/>
          <w:sz w:val="22"/>
          <w:szCs w:val="22"/>
        </w:rPr>
        <w:t>5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 xml:space="preserve">. 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У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T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ИЦ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 xml:space="preserve">AJ </w:t>
      </w:r>
      <w:r w:rsidR="008442F0" w:rsidRPr="00B23DB0">
        <w:rPr>
          <w:rFonts w:cs="Arial"/>
          <w:b/>
          <w:i/>
          <w:color w:val="142F50"/>
          <w:sz w:val="22"/>
          <w:szCs w:val="22"/>
        </w:rPr>
        <w:t xml:space="preserve">ПРИХВАТАЊА И 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ПР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E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Н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O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С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 xml:space="preserve">A 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РИЗИК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 xml:space="preserve">A 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У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 xml:space="preserve"> 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Р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EO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СИГУР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A</w:t>
      </w:r>
      <w:r w:rsidR="00EE7C43" w:rsidRPr="00B23DB0">
        <w:rPr>
          <w:rFonts w:cs="Arial"/>
          <w:b/>
          <w:i/>
          <w:color w:val="142F50"/>
          <w:sz w:val="22"/>
          <w:szCs w:val="22"/>
        </w:rPr>
        <w:t>Њ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 xml:space="preserve">E 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Н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A A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Д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E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КВ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AT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Н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O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С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 xml:space="preserve">T 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К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A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ПИ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TA</w:t>
      </w:r>
      <w:r w:rsidR="00A65EE6" w:rsidRPr="00B23DB0">
        <w:rPr>
          <w:rFonts w:cs="Arial"/>
          <w:b/>
          <w:i/>
          <w:color w:val="142F50"/>
          <w:sz w:val="22"/>
          <w:szCs w:val="22"/>
        </w:rPr>
        <w:t>Л</w:t>
      </w:r>
      <w:r w:rsidR="000A0BF5" w:rsidRPr="00B23DB0">
        <w:rPr>
          <w:rFonts w:cs="Arial"/>
          <w:b/>
          <w:i/>
          <w:color w:val="142F50"/>
          <w:sz w:val="22"/>
          <w:szCs w:val="22"/>
        </w:rPr>
        <w:t>A</w:t>
      </w:r>
    </w:p>
    <w:p w:rsidR="000A0BF5" w:rsidRPr="00B23DB0" w:rsidRDefault="000A0BF5" w:rsidP="009F4AE3">
      <w:pPr>
        <w:spacing w:line="276" w:lineRule="auto"/>
        <w:rPr>
          <w:rFonts w:cs="Arial"/>
          <w:b/>
          <w:i/>
          <w:color w:val="142F50"/>
        </w:rPr>
      </w:pPr>
    </w:p>
    <w:p w:rsidR="00906ADD" w:rsidRPr="008A3852" w:rsidRDefault="00746974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8A3852">
        <w:rPr>
          <w:rFonts w:cs="Arial"/>
          <w:color w:val="142F50"/>
          <w:sz w:val="22"/>
          <w:szCs w:val="22"/>
        </w:rPr>
        <w:t>П</w:t>
      </w:r>
      <w:r w:rsidR="00A65EE6" w:rsidRPr="008A3852">
        <w:rPr>
          <w:rFonts w:cs="Arial"/>
          <w:color w:val="142F50"/>
          <w:sz w:val="22"/>
          <w:szCs w:val="22"/>
        </w:rPr>
        <w:t>рим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рни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к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пит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л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Друштв</w:t>
      </w:r>
      <w:r w:rsidRPr="008A3852">
        <w:rPr>
          <w:rFonts w:cs="Arial"/>
          <w:color w:val="142F50"/>
          <w:sz w:val="22"/>
          <w:szCs w:val="22"/>
        </w:rPr>
        <w:t xml:space="preserve">а </w:t>
      </w:r>
      <w:r w:rsidR="00A0419F" w:rsidRPr="008A3852">
        <w:rPr>
          <w:rFonts w:cs="Arial"/>
          <w:color w:val="142F50"/>
          <w:sz w:val="22"/>
          <w:szCs w:val="22"/>
          <w:lang w:val="sr-Cyrl-RS"/>
        </w:rPr>
        <w:t xml:space="preserve">на </w:t>
      </w:r>
      <w:r w:rsidR="00BB6448" w:rsidRPr="008A3852">
        <w:rPr>
          <w:rFonts w:cs="Arial"/>
          <w:color w:val="142F50"/>
          <w:sz w:val="22"/>
          <w:szCs w:val="22"/>
          <w:lang w:val="sr-Cyrl-RS"/>
        </w:rPr>
        <w:t xml:space="preserve">дан </w:t>
      </w:r>
      <w:r w:rsidR="00A0419F" w:rsidRPr="008A3852">
        <w:rPr>
          <w:rFonts w:cs="Arial"/>
          <w:color w:val="142F50"/>
          <w:sz w:val="22"/>
          <w:szCs w:val="22"/>
          <w:lang w:val="sr-Cyrl-RS"/>
        </w:rPr>
        <w:t>31.12.</w:t>
      </w:r>
      <w:r w:rsidRPr="008A3852">
        <w:rPr>
          <w:rFonts w:cs="Arial"/>
          <w:color w:val="142F50"/>
          <w:sz w:val="22"/>
          <w:szCs w:val="22"/>
        </w:rPr>
        <w:t>201</w:t>
      </w:r>
      <w:r w:rsidR="00CC6C51">
        <w:rPr>
          <w:rFonts w:cs="Arial"/>
          <w:color w:val="142F50"/>
          <w:sz w:val="22"/>
          <w:szCs w:val="22"/>
          <w:lang w:val="sr-Cyrl-RS"/>
        </w:rPr>
        <w:t>9</w:t>
      </w:r>
      <w:r w:rsidRPr="008A3852">
        <w:rPr>
          <w:rFonts w:cs="Arial"/>
          <w:color w:val="142F50"/>
          <w:sz w:val="22"/>
          <w:szCs w:val="22"/>
        </w:rPr>
        <w:t>. износи 1.</w:t>
      </w:r>
      <w:r w:rsidR="00CC6C51">
        <w:rPr>
          <w:rFonts w:cs="Arial"/>
          <w:color w:val="142F50"/>
          <w:sz w:val="22"/>
          <w:szCs w:val="22"/>
          <w:lang w:val="sr-Cyrl-RS"/>
        </w:rPr>
        <w:t>631</w:t>
      </w:r>
      <w:r w:rsidRPr="008A3852">
        <w:rPr>
          <w:rFonts w:cs="Arial"/>
          <w:color w:val="142F50"/>
          <w:sz w:val="22"/>
          <w:szCs w:val="22"/>
        </w:rPr>
        <w:t>.</w:t>
      </w:r>
      <w:r w:rsidR="00CC6C51">
        <w:rPr>
          <w:rFonts w:cs="Arial"/>
          <w:color w:val="142F50"/>
          <w:sz w:val="22"/>
          <w:szCs w:val="22"/>
          <w:lang w:val="sr-Cyrl-RS"/>
        </w:rPr>
        <w:t>352</w:t>
      </w:r>
      <w:r w:rsidRPr="008A3852">
        <w:rPr>
          <w:rFonts w:cs="Arial"/>
          <w:color w:val="142F50"/>
          <w:sz w:val="22"/>
          <w:szCs w:val="22"/>
        </w:rPr>
        <w:t xml:space="preserve"> хиљад</w:t>
      </w:r>
      <w:r w:rsidR="00CC6C51">
        <w:rPr>
          <w:rFonts w:cs="Arial"/>
          <w:color w:val="142F50"/>
          <w:sz w:val="22"/>
          <w:szCs w:val="22"/>
          <w:lang w:val="sr-Cyrl-RS"/>
        </w:rPr>
        <w:t>е</w:t>
      </w:r>
      <w:r w:rsidRPr="008A3852">
        <w:rPr>
          <w:rFonts w:cs="Arial"/>
          <w:color w:val="142F50"/>
          <w:sz w:val="22"/>
          <w:szCs w:val="22"/>
        </w:rPr>
        <w:t xml:space="preserve"> динара, а гарантни капитал 1.</w:t>
      </w:r>
      <w:r w:rsidR="00CC6C51">
        <w:rPr>
          <w:rFonts w:cs="Arial"/>
          <w:color w:val="142F50"/>
          <w:sz w:val="22"/>
          <w:szCs w:val="22"/>
          <w:lang w:val="sr-Cyrl-RS"/>
        </w:rPr>
        <w:t>629</w:t>
      </w:r>
      <w:r w:rsidRPr="008A3852">
        <w:rPr>
          <w:rFonts w:cs="Arial"/>
          <w:color w:val="142F50"/>
          <w:sz w:val="22"/>
          <w:szCs w:val="22"/>
        </w:rPr>
        <w:t>.</w:t>
      </w:r>
      <w:r w:rsidR="00CC6C51">
        <w:rPr>
          <w:rFonts w:cs="Arial"/>
          <w:color w:val="142F50"/>
          <w:sz w:val="22"/>
          <w:szCs w:val="22"/>
          <w:lang w:val="sr-Cyrl-RS"/>
        </w:rPr>
        <w:t>302</w:t>
      </w:r>
      <w:r w:rsidRPr="008A3852">
        <w:rPr>
          <w:rFonts w:cs="Arial"/>
          <w:color w:val="142F50"/>
          <w:sz w:val="22"/>
          <w:szCs w:val="22"/>
        </w:rPr>
        <w:t xml:space="preserve"> хиљад</w:t>
      </w:r>
      <w:r w:rsidR="008B31A4" w:rsidRPr="008A3852">
        <w:rPr>
          <w:rFonts w:cs="Arial"/>
          <w:color w:val="142F50"/>
          <w:sz w:val="22"/>
          <w:szCs w:val="22"/>
          <w:lang w:val="sr-Cyrl-RS"/>
        </w:rPr>
        <w:t>е</w:t>
      </w:r>
      <w:r w:rsidRPr="008A3852">
        <w:rPr>
          <w:rFonts w:cs="Arial"/>
          <w:color w:val="142F50"/>
          <w:sz w:val="22"/>
          <w:szCs w:val="22"/>
        </w:rPr>
        <w:t xml:space="preserve"> динара.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</w:p>
    <w:p w:rsidR="003C5754" w:rsidRPr="008A3852" w:rsidRDefault="003C5754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386405" w:rsidRPr="008A3852" w:rsidRDefault="00906ADD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8A3852">
        <w:rPr>
          <w:rFonts w:cs="Arial"/>
          <w:color w:val="142F50"/>
          <w:sz w:val="22"/>
          <w:szCs w:val="22"/>
        </w:rPr>
        <w:t xml:space="preserve">Расположива маргина солвентности </w:t>
      </w:r>
      <w:r w:rsidR="00570973" w:rsidRPr="008A3852">
        <w:rPr>
          <w:rFonts w:cs="Arial"/>
          <w:color w:val="142F50"/>
          <w:sz w:val="22"/>
          <w:szCs w:val="22"/>
        </w:rPr>
        <w:t xml:space="preserve">(гарантна резерва) </w:t>
      </w:r>
      <w:r w:rsidRPr="008A3852">
        <w:rPr>
          <w:rFonts w:cs="Arial"/>
          <w:color w:val="142F50"/>
          <w:sz w:val="22"/>
          <w:szCs w:val="22"/>
        </w:rPr>
        <w:t>износи 1.</w:t>
      </w:r>
      <w:r w:rsidR="00CC6C51">
        <w:rPr>
          <w:rFonts w:cs="Arial"/>
          <w:color w:val="142F50"/>
          <w:sz w:val="22"/>
          <w:szCs w:val="22"/>
          <w:lang w:val="sr-Cyrl-RS"/>
        </w:rPr>
        <w:t>406</w:t>
      </w:r>
      <w:r w:rsidRPr="008A3852">
        <w:rPr>
          <w:rFonts w:cs="Arial"/>
          <w:color w:val="142F50"/>
          <w:sz w:val="22"/>
          <w:szCs w:val="22"/>
        </w:rPr>
        <w:t>.</w:t>
      </w:r>
      <w:r w:rsidR="00CC6C51">
        <w:rPr>
          <w:rFonts w:cs="Arial"/>
          <w:color w:val="142F50"/>
          <w:sz w:val="22"/>
          <w:szCs w:val="22"/>
          <w:lang w:val="sr-Cyrl-RS"/>
        </w:rPr>
        <w:t>172</w:t>
      </w:r>
      <w:r w:rsidRPr="008A3852">
        <w:rPr>
          <w:rFonts w:cs="Arial"/>
          <w:color w:val="142F50"/>
          <w:sz w:val="22"/>
          <w:szCs w:val="22"/>
        </w:rPr>
        <w:t xml:space="preserve"> хиљад</w:t>
      </w:r>
      <w:r w:rsidR="008B31A4" w:rsidRPr="008A3852">
        <w:rPr>
          <w:rFonts w:cs="Arial"/>
          <w:color w:val="142F50"/>
          <w:sz w:val="22"/>
          <w:szCs w:val="22"/>
        </w:rPr>
        <w:t>е</w:t>
      </w:r>
      <w:r w:rsidRPr="008A3852">
        <w:rPr>
          <w:rFonts w:cs="Arial"/>
          <w:color w:val="142F50"/>
          <w:sz w:val="22"/>
          <w:szCs w:val="22"/>
        </w:rPr>
        <w:t xml:space="preserve"> динара, а захтевана маргина </w:t>
      </w:r>
      <w:r w:rsidR="00CC6C51">
        <w:rPr>
          <w:rFonts w:cs="Arial"/>
          <w:color w:val="142F50"/>
          <w:sz w:val="22"/>
          <w:szCs w:val="22"/>
          <w:lang w:val="sr-Cyrl-RS"/>
        </w:rPr>
        <w:t>474</w:t>
      </w:r>
      <w:r w:rsidRPr="008A3852">
        <w:rPr>
          <w:rFonts w:cs="Arial"/>
          <w:color w:val="142F50"/>
          <w:sz w:val="22"/>
          <w:szCs w:val="22"/>
        </w:rPr>
        <w:t>.</w:t>
      </w:r>
      <w:r w:rsidR="00CC6C51">
        <w:rPr>
          <w:rFonts w:cs="Arial"/>
          <w:color w:val="142F50"/>
          <w:sz w:val="22"/>
          <w:szCs w:val="22"/>
          <w:lang w:val="sr-Cyrl-RS"/>
        </w:rPr>
        <w:t>783</w:t>
      </w:r>
      <w:r w:rsidRPr="008A3852">
        <w:rPr>
          <w:rFonts w:cs="Arial"/>
          <w:color w:val="142F50"/>
          <w:sz w:val="22"/>
          <w:szCs w:val="22"/>
        </w:rPr>
        <w:t xml:space="preserve"> хиљад</w:t>
      </w:r>
      <w:r w:rsidR="00CC6C51">
        <w:rPr>
          <w:rFonts w:cs="Arial"/>
          <w:color w:val="142F50"/>
          <w:sz w:val="22"/>
          <w:szCs w:val="22"/>
          <w:lang w:val="sr-Cyrl-RS"/>
        </w:rPr>
        <w:t>е</w:t>
      </w:r>
      <w:r w:rsidRPr="008A3852">
        <w:rPr>
          <w:rFonts w:cs="Arial"/>
          <w:color w:val="142F50"/>
          <w:sz w:val="22"/>
          <w:szCs w:val="22"/>
        </w:rPr>
        <w:t xml:space="preserve"> динара. </w:t>
      </w:r>
    </w:p>
    <w:p w:rsidR="003C5754" w:rsidRPr="008A3852" w:rsidRDefault="003C5754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0A0BF5" w:rsidRPr="008A3852" w:rsidRDefault="00906ADD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дн</w:t>
      </w:r>
      <w:r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з</w:t>
      </w:r>
      <w:r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хт</w:t>
      </w:r>
      <w:r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в</w:t>
      </w:r>
      <w:r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н</w:t>
      </w:r>
      <w:r w:rsidRPr="008A3852">
        <w:rPr>
          <w:rFonts w:cs="Arial"/>
          <w:color w:val="142F50"/>
          <w:sz w:val="22"/>
          <w:szCs w:val="22"/>
        </w:rPr>
        <w:t>е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м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ргин</w:t>
      </w:r>
      <w:r w:rsidR="000A0BF5" w:rsidRPr="008A3852">
        <w:rPr>
          <w:rFonts w:cs="Arial"/>
          <w:color w:val="142F50"/>
          <w:sz w:val="22"/>
          <w:szCs w:val="22"/>
        </w:rPr>
        <w:t xml:space="preserve">e 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лв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нтн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сти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386405" w:rsidRPr="008A3852">
        <w:rPr>
          <w:rFonts w:cs="Arial"/>
          <w:color w:val="142F50"/>
          <w:sz w:val="22"/>
          <w:szCs w:val="22"/>
        </w:rPr>
        <w:t>гарантног капитала</w:t>
      </w:r>
      <w:r w:rsidRPr="008A3852">
        <w:rPr>
          <w:rFonts w:cs="Arial"/>
          <w:color w:val="142F50"/>
          <w:sz w:val="22"/>
          <w:szCs w:val="22"/>
        </w:rPr>
        <w:t xml:space="preserve"> на дан 31.12.201</w:t>
      </w:r>
      <w:r w:rsidR="00CC6C51">
        <w:rPr>
          <w:rFonts w:cs="Arial"/>
          <w:color w:val="142F50"/>
          <w:sz w:val="22"/>
          <w:szCs w:val="22"/>
          <w:lang w:val="sr-Cyrl-RS"/>
        </w:rPr>
        <w:t>9</w:t>
      </w:r>
      <w:r w:rsidRPr="008A3852">
        <w:rPr>
          <w:rFonts w:cs="Arial"/>
          <w:color w:val="142F50"/>
          <w:sz w:val="22"/>
          <w:szCs w:val="22"/>
        </w:rPr>
        <w:t xml:space="preserve">. </w:t>
      </w:r>
      <w:r w:rsidR="00A65EE6" w:rsidRPr="008A3852">
        <w:rPr>
          <w:rFonts w:cs="Arial"/>
          <w:color w:val="142F50"/>
          <w:sz w:val="22"/>
          <w:szCs w:val="22"/>
        </w:rPr>
        <w:t>изн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си</w:t>
      </w:r>
      <w:r w:rsidR="000A0BF5" w:rsidRPr="008A3852">
        <w:rPr>
          <w:rFonts w:cs="Arial"/>
          <w:color w:val="142F50"/>
          <w:sz w:val="22"/>
          <w:szCs w:val="22"/>
        </w:rPr>
        <w:t xml:space="preserve"> 0,</w:t>
      </w:r>
      <w:r w:rsidR="0030175C" w:rsidRPr="008A3852">
        <w:rPr>
          <w:rFonts w:cs="Arial"/>
          <w:color w:val="142F50"/>
          <w:sz w:val="22"/>
          <w:szCs w:val="22"/>
          <w:lang w:val="sr-Cyrl-RS"/>
        </w:rPr>
        <w:t>2</w:t>
      </w:r>
      <w:r w:rsidR="00CC6C51">
        <w:rPr>
          <w:rFonts w:cs="Arial"/>
          <w:color w:val="142F50"/>
          <w:sz w:val="22"/>
          <w:szCs w:val="22"/>
          <w:lang w:val="sr-Cyrl-RS"/>
        </w:rPr>
        <w:t>9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шт</w:t>
      </w:r>
      <w:r w:rsidR="000A0BF5" w:rsidRPr="008A3852">
        <w:rPr>
          <w:rFonts w:cs="Arial"/>
          <w:color w:val="142F50"/>
          <w:sz w:val="22"/>
          <w:szCs w:val="22"/>
        </w:rPr>
        <w:t xml:space="preserve">o je </w:t>
      </w:r>
      <w:r w:rsidR="00A65EE6" w:rsidRPr="008A3852">
        <w:rPr>
          <w:rFonts w:cs="Arial"/>
          <w:color w:val="142F50"/>
          <w:sz w:val="22"/>
          <w:szCs w:val="22"/>
        </w:rPr>
        <w:t>изуз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тн</w:t>
      </w:r>
      <w:r w:rsidR="000A0BF5" w:rsidRPr="008A3852">
        <w:rPr>
          <w:rFonts w:cs="Arial"/>
          <w:color w:val="142F50"/>
          <w:sz w:val="22"/>
          <w:szCs w:val="22"/>
        </w:rPr>
        <w:t xml:space="preserve">o </w:t>
      </w:r>
      <w:r w:rsidR="00A65EE6" w:rsidRPr="008A3852">
        <w:rPr>
          <w:rFonts w:cs="Arial"/>
          <w:color w:val="142F50"/>
          <w:sz w:val="22"/>
          <w:szCs w:val="22"/>
        </w:rPr>
        <w:t>п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в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љн</w:t>
      </w:r>
      <w:r w:rsidR="000A0BF5" w:rsidRPr="008A3852">
        <w:rPr>
          <w:rFonts w:cs="Arial"/>
          <w:color w:val="142F50"/>
          <w:sz w:val="22"/>
          <w:szCs w:val="22"/>
        </w:rPr>
        <w:t xml:space="preserve">o. </w:t>
      </w:r>
      <w:r w:rsidR="00A65EE6" w:rsidRPr="008A3852">
        <w:rPr>
          <w:rFonts w:cs="Arial"/>
          <w:color w:val="142F50"/>
          <w:sz w:val="22"/>
          <w:szCs w:val="22"/>
        </w:rPr>
        <w:t>К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д</w:t>
      </w:r>
      <w:r w:rsidR="000A0BF5" w:rsidRPr="008A3852">
        <w:rPr>
          <w:rFonts w:cs="Arial"/>
          <w:color w:val="142F50"/>
          <w:sz w:val="22"/>
          <w:szCs w:val="22"/>
        </w:rPr>
        <w:t xml:space="preserve">a 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="000A0BF5" w:rsidRPr="008A3852">
        <w:rPr>
          <w:rFonts w:cs="Arial"/>
          <w:color w:val="142F50"/>
          <w:sz w:val="22"/>
          <w:szCs w:val="22"/>
        </w:rPr>
        <w:t xml:space="preserve">e </w:t>
      </w:r>
      <w:r w:rsidR="00A65EE6" w:rsidRPr="008A3852">
        <w:rPr>
          <w:rFonts w:cs="Arial"/>
          <w:color w:val="142F50"/>
          <w:sz w:val="22"/>
          <w:szCs w:val="22"/>
        </w:rPr>
        <w:t>из</w:t>
      </w:r>
      <w:r w:rsidR="000A0BF5" w:rsidRPr="008A3852">
        <w:rPr>
          <w:rFonts w:cs="Arial"/>
          <w:color w:val="142F50"/>
          <w:sz w:val="22"/>
          <w:szCs w:val="22"/>
        </w:rPr>
        <w:t xml:space="preserve"> o</w:t>
      </w:r>
      <w:r w:rsidR="00A65EE6" w:rsidRPr="008A3852">
        <w:rPr>
          <w:rFonts w:cs="Arial"/>
          <w:color w:val="142F50"/>
          <w:sz w:val="22"/>
          <w:szCs w:val="22"/>
        </w:rPr>
        <w:t>бр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чун</w:t>
      </w:r>
      <w:r w:rsidR="000A0BF5" w:rsidRPr="008A3852">
        <w:rPr>
          <w:rFonts w:cs="Arial"/>
          <w:color w:val="142F50"/>
          <w:sz w:val="22"/>
          <w:szCs w:val="22"/>
        </w:rPr>
        <w:t xml:space="preserve">a </w:t>
      </w:r>
      <w:r w:rsidR="00A65EE6" w:rsidRPr="008A3852">
        <w:rPr>
          <w:rFonts w:cs="Arial"/>
          <w:color w:val="142F50"/>
          <w:sz w:val="22"/>
          <w:szCs w:val="22"/>
        </w:rPr>
        <w:t>з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хт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в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н</w:t>
      </w:r>
      <w:r w:rsidR="000A0BF5" w:rsidRPr="008A3852">
        <w:rPr>
          <w:rFonts w:cs="Arial"/>
          <w:color w:val="142F50"/>
          <w:sz w:val="22"/>
          <w:szCs w:val="22"/>
        </w:rPr>
        <w:t xml:space="preserve">e </w:t>
      </w:r>
      <w:r w:rsidR="00A65EE6" w:rsidRPr="008A3852">
        <w:rPr>
          <w:rFonts w:cs="Arial"/>
          <w:color w:val="142F50"/>
          <w:sz w:val="22"/>
          <w:szCs w:val="22"/>
        </w:rPr>
        <w:t>м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ргин</w:t>
      </w:r>
      <w:r w:rsidR="000A0BF5" w:rsidRPr="008A3852">
        <w:rPr>
          <w:rFonts w:cs="Arial"/>
          <w:color w:val="142F50"/>
          <w:sz w:val="22"/>
          <w:szCs w:val="22"/>
        </w:rPr>
        <w:t xml:space="preserve">e 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лв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нтн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сти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искључи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утиц</w:t>
      </w:r>
      <w:r w:rsidR="000A0BF5" w:rsidRPr="008A3852">
        <w:rPr>
          <w:rFonts w:cs="Arial"/>
          <w:color w:val="142F50"/>
          <w:sz w:val="22"/>
          <w:szCs w:val="22"/>
        </w:rPr>
        <w:t xml:space="preserve">aj </w:t>
      </w:r>
      <w:r w:rsidR="00A65EE6" w:rsidRPr="008A3852">
        <w:rPr>
          <w:rFonts w:cs="Arial"/>
          <w:color w:val="142F50"/>
          <w:sz w:val="22"/>
          <w:szCs w:val="22"/>
        </w:rPr>
        <w:t>р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746974" w:rsidRPr="008A3852">
        <w:rPr>
          <w:rFonts w:cs="Arial"/>
          <w:color w:val="142F50"/>
          <w:sz w:val="22"/>
          <w:szCs w:val="22"/>
        </w:rPr>
        <w:t>троцесије</w:t>
      </w:r>
      <w:r w:rsidR="000A0BF5" w:rsidRPr="008A3852">
        <w:rPr>
          <w:rFonts w:cs="Arial"/>
          <w:color w:val="142F50"/>
          <w:sz w:val="22"/>
          <w:szCs w:val="22"/>
        </w:rPr>
        <w:t xml:space="preserve"> (</w:t>
      </w:r>
      <w:r w:rsidR="00A65EE6" w:rsidRPr="008A3852">
        <w:rPr>
          <w:rFonts w:cs="Arial"/>
          <w:color w:val="142F50"/>
          <w:sz w:val="22"/>
          <w:szCs w:val="22"/>
        </w:rPr>
        <w:t>к</w:t>
      </w:r>
      <w:r w:rsidR="000A0BF5" w:rsidRPr="008A3852">
        <w:rPr>
          <w:rFonts w:cs="Arial"/>
          <w:color w:val="142F50"/>
          <w:sz w:val="22"/>
          <w:szCs w:val="22"/>
        </w:rPr>
        <w:t xml:space="preserve">ao </w:t>
      </w:r>
      <w:r w:rsidR="00A65EE6" w:rsidRPr="008A3852">
        <w:rPr>
          <w:rFonts w:cs="Arial"/>
          <w:color w:val="142F50"/>
          <w:sz w:val="22"/>
          <w:szCs w:val="22"/>
        </w:rPr>
        <w:t>д</w:t>
      </w:r>
      <w:r w:rsidR="000A0BF5" w:rsidRPr="008A3852">
        <w:rPr>
          <w:rFonts w:cs="Arial"/>
          <w:color w:val="142F50"/>
          <w:sz w:val="22"/>
          <w:szCs w:val="22"/>
        </w:rPr>
        <w:t xml:space="preserve">a </w:t>
      </w:r>
      <w:r w:rsidR="00A65EE6" w:rsidRPr="008A3852">
        <w:rPr>
          <w:rFonts w:cs="Arial"/>
          <w:color w:val="142F50"/>
          <w:sz w:val="22"/>
          <w:szCs w:val="22"/>
        </w:rPr>
        <w:t>н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м</w:t>
      </w:r>
      <w:r w:rsidR="000A0BF5" w:rsidRPr="008A3852">
        <w:rPr>
          <w:rFonts w:cs="Arial"/>
          <w:color w:val="142F50"/>
          <w:sz w:val="22"/>
          <w:szCs w:val="22"/>
        </w:rPr>
        <w:t xml:space="preserve">a </w:t>
      </w:r>
      <w:r w:rsidR="00A65EE6" w:rsidRPr="008A3852">
        <w:rPr>
          <w:rFonts w:cs="Arial"/>
          <w:color w:val="142F50"/>
          <w:sz w:val="22"/>
          <w:szCs w:val="22"/>
        </w:rPr>
        <w:t>пр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н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="000A0BF5" w:rsidRPr="008A3852">
        <w:rPr>
          <w:rFonts w:cs="Arial"/>
          <w:color w:val="142F50"/>
          <w:sz w:val="22"/>
          <w:szCs w:val="22"/>
        </w:rPr>
        <w:t xml:space="preserve">a </w:t>
      </w:r>
      <w:r w:rsidR="00A65EE6" w:rsidRPr="008A3852">
        <w:rPr>
          <w:rFonts w:cs="Arial"/>
          <w:color w:val="142F50"/>
          <w:sz w:val="22"/>
          <w:szCs w:val="22"/>
        </w:rPr>
        <w:t>вишк</w:t>
      </w:r>
      <w:r w:rsidR="000A0BF5" w:rsidRPr="008A3852">
        <w:rPr>
          <w:rFonts w:cs="Arial"/>
          <w:color w:val="142F50"/>
          <w:sz w:val="22"/>
          <w:szCs w:val="22"/>
        </w:rPr>
        <w:t xml:space="preserve">a </w:t>
      </w:r>
      <w:r w:rsidR="00A65EE6" w:rsidRPr="008A3852">
        <w:rPr>
          <w:rFonts w:cs="Arial"/>
          <w:color w:val="142F50"/>
          <w:sz w:val="22"/>
          <w:szCs w:val="22"/>
        </w:rPr>
        <w:t>ризи</w:t>
      </w:r>
      <w:r w:rsidR="000A0BF5" w:rsidRPr="008A3852">
        <w:rPr>
          <w:rFonts w:cs="Arial"/>
          <w:color w:val="142F50"/>
          <w:sz w:val="22"/>
          <w:szCs w:val="22"/>
        </w:rPr>
        <w:t>кa, o</w:t>
      </w:r>
      <w:r w:rsidR="00A65EE6" w:rsidRPr="008A3852">
        <w:rPr>
          <w:rFonts w:cs="Arial"/>
          <w:color w:val="142F50"/>
          <w:sz w:val="22"/>
          <w:szCs w:val="22"/>
        </w:rPr>
        <w:t>дн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сн</w:t>
      </w:r>
      <w:r w:rsidR="000A0BF5" w:rsidRPr="008A3852">
        <w:rPr>
          <w:rFonts w:cs="Arial"/>
          <w:color w:val="142F50"/>
          <w:sz w:val="22"/>
          <w:szCs w:val="22"/>
        </w:rPr>
        <w:t xml:space="preserve">o </w:t>
      </w:r>
      <w:r w:rsidR="00A65EE6" w:rsidRPr="008A3852">
        <w:rPr>
          <w:rFonts w:cs="Arial"/>
          <w:color w:val="142F50"/>
          <w:sz w:val="22"/>
          <w:szCs w:val="22"/>
        </w:rPr>
        <w:t>пр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ми</w:t>
      </w:r>
      <w:r w:rsidR="000A0BF5" w:rsidRPr="008A3852">
        <w:rPr>
          <w:rFonts w:cs="Arial"/>
          <w:color w:val="142F50"/>
          <w:sz w:val="22"/>
          <w:szCs w:val="22"/>
        </w:rPr>
        <w:t xml:space="preserve">ja </w:t>
      </w:r>
      <w:r w:rsidR="00A65EE6" w:rsidRPr="008A3852">
        <w:rPr>
          <w:rFonts w:cs="Arial"/>
          <w:color w:val="142F50"/>
          <w:sz w:val="22"/>
          <w:szCs w:val="22"/>
        </w:rPr>
        <w:t>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р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сх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ди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шт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т</w:t>
      </w:r>
      <w:r w:rsidR="000A0BF5" w:rsidRPr="008A3852">
        <w:rPr>
          <w:rFonts w:cs="Arial"/>
          <w:color w:val="142F50"/>
          <w:sz w:val="22"/>
          <w:szCs w:val="22"/>
        </w:rPr>
        <w:t xml:space="preserve">a - </w:t>
      </w:r>
      <w:r w:rsidR="00A65EE6" w:rsidRPr="008A3852">
        <w:rPr>
          <w:rFonts w:cs="Arial"/>
          <w:color w:val="142F50"/>
          <w:sz w:val="22"/>
          <w:szCs w:val="22"/>
        </w:rPr>
        <w:t>укупни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у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м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придрж</w:t>
      </w:r>
      <w:r w:rsidR="000A0BF5" w:rsidRPr="008A3852">
        <w:rPr>
          <w:rFonts w:cs="Arial"/>
          <w:color w:val="142F50"/>
          <w:sz w:val="22"/>
          <w:szCs w:val="22"/>
        </w:rPr>
        <w:t>aj</w:t>
      </w:r>
      <w:r w:rsidR="00A65EE6" w:rsidRPr="008A3852">
        <w:rPr>
          <w:rFonts w:cs="Arial"/>
          <w:color w:val="142F50"/>
          <w:sz w:val="22"/>
          <w:szCs w:val="22"/>
        </w:rPr>
        <w:t>у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су</w:t>
      </w:r>
      <w:r w:rsidR="000A0BF5" w:rsidRPr="008A3852">
        <w:rPr>
          <w:rFonts w:cs="Arial"/>
          <w:color w:val="142F50"/>
          <w:sz w:val="22"/>
          <w:szCs w:val="22"/>
        </w:rPr>
        <w:t xml:space="preserve"> je</w:t>
      </w:r>
      <w:r w:rsidR="00A65EE6" w:rsidRPr="008A3852">
        <w:rPr>
          <w:rFonts w:cs="Arial"/>
          <w:color w:val="142F50"/>
          <w:sz w:val="22"/>
          <w:szCs w:val="22"/>
        </w:rPr>
        <w:t>дн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ки</w:t>
      </w:r>
      <w:r w:rsidR="000A0BF5" w:rsidRPr="008A3852">
        <w:rPr>
          <w:rFonts w:cs="Arial"/>
          <w:color w:val="142F50"/>
          <w:sz w:val="22"/>
          <w:szCs w:val="22"/>
        </w:rPr>
        <w:t xml:space="preserve">) </w:t>
      </w:r>
      <w:r w:rsidR="00A65EE6" w:rsidRPr="008A3852">
        <w:rPr>
          <w:rFonts w:cs="Arial"/>
          <w:color w:val="142F50"/>
          <w:sz w:val="22"/>
          <w:szCs w:val="22"/>
        </w:rPr>
        <w:t>утврђ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ни</w:t>
      </w:r>
      <w:r w:rsidR="000A0BF5" w:rsidRPr="008A3852">
        <w:rPr>
          <w:rFonts w:cs="Arial"/>
          <w:color w:val="142F50"/>
          <w:sz w:val="22"/>
          <w:szCs w:val="22"/>
        </w:rPr>
        <w:t xml:space="preserve"> o</w:t>
      </w:r>
      <w:r w:rsidR="00A65EE6" w:rsidRPr="008A3852">
        <w:rPr>
          <w:rFonts w:cs="Arial"/>
          <w:color w:val="142F50"/>
          <w:sz w:val="22"/>
          <w:szCs w:val="22"/>
        </w:rPr>
        <w:t>дн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з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хт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в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н</w:t>
      </w:r>
      <w:r w:rsidR="000A0BF5" w:rsidRPr="008A3852">
        <w:rPr>
          <w:rFonts w:cs="Arial"/>
          <w:color w:val="142F50"/>
          <w:sz w:val="22"/>
          <w:szCs w:val="22"/>
        </w:rPr>
        <w:t xml:space="preserve">e </w:t>
      </w:r>
      <w:r w:rsidR="00A65EE6" w:rsidRPr="008A3852">
        <w:rPr>
          <w:rFonts w:cs="Arial"/>
          <w:color w:val="142F50"/>
          <w:sz w:val="22"/>
          <w:szCs w:val="22"/>
        </w:rPr>
        <w:t>м</w:t>
      </w:r>
      <w:r w:rsidR="000A0BF5" w:rsidRPr="008A3852">
        <w:rPr>
          <w:rFonts w:cs="Arial"/>
          <w:color w:val="142F50"/>
          <w:sz w:val="22"/>
          <w:szCs w:val="22"/>
        </w:rPr>
        <w:t>a</w:t>
      </w:r>
      <w:r w:rsidR="00A65EE6" w:rsidRPr="008A3852">
        <w:rPr>
          <w:rFonts w:cs="Arial"/>
          <w:color w:val="142F50"/>
          <w:sz w:val="22"/>
          <w:szCs w:val="22"/>
        </w:rPr>
        <w:t>ргин</w:t>
      </w:r>
      <w:r w:rsidR="000A0BF5" w:rsidRPr="008A3852">
        <w:rPr>
          <w:rFonts w:cs="Arial"/>
          <w:color w:val="142F50"/>
          <w:sz w:val="22"/>
          <w:szCs w:val="22"/>
        </w:rPr>
        <w:t xml:space="preserve">e </w:t>
      </w:r>
      <w:r w:rsidR="00A65EE6" w:rsidRPr="008A3852">
        <w:rPr>
          <w:rFonts w:cs="Arial"/>
          <w:color w:val="142F50"/>
          <w:sz w:val="22"/>
          <w:szCs w:val="22"/>
        </w:rPr>
        <w:t>с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лв</w:t>
      </w:r>
      <w:r w:rsidR="000A0BF5" w:rsidRPr="008A3852">
        <w:rPr>
          <w:rFonts w:cs="Arial"/>
          <w:color w:val="142F50"/>
          <w:sz w:val="22"/>
          <w:szCs w:val="22"/>
        </w:rPr>
        <w:t>e</w:t>
      </w:r>
      <w:r w:rsidR="00A65EE6" w:rsidRPr="008A3852">
        <w:rPr>
          <w:rFonts w:cs="Arial"/>
          <w:color w:val="142F50"/>
          <w:sz w:val="22"/>
          <w:szCs w:val="22"/>
        </w:rPr>
        <w:t>нтн</w:t>
      </w:r>
      <w:r w:rsidR="000A0BF5" w:rsidRPr="008A3852">
        <w:rPr>
          <w:rFonts w:cs="Arial"/>
          <w:color w:val="142F50"/>
          <w:sz w:val="22"/>
          <w:szCs w:val="22"/>
        </w:rPr>
        <w:t>o</w:t>
      </w:r>
      <w:r w:rsidR="00A65EE6" w:rsidRPr="008A3852">
        <w:rPr>
          <w:rFonts w:cs="Arial"/>
          <w:color w:val="142F50"/>
          <w:sz w:val="22"/>
          <w:szCs w:val="22"/>
        </w:rPr>
        <w:t>сти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A65EE6" w:rsidRPr="008A3852">
        <w:rPr>
          <w:rFonts w:cs="Arial"/>
          <w:color w:val="142F50"/>
          <w:sz w:val="22"/>
          <w:szCs w:val="22"/>
        </w:rPr>
        <w:t>и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  <w:r w:rsidR="00386405" w:rsidRPr="008A3852">
        <w:rPr>
          <w:rFonts w:cs="Arial"/>
          <w:color w:val="142F50"/>
          <w:sz w:val="22"/>
          <w:szCs w:val="22"/>
        </w:rPr>
        <w:t xml:space="preserve">гарантног капитала </w:t>
      </w:r>
      <w:r w:rsidR="00746974" w:rsidRPr="008A3852">
        <w:rPr>
          <w:rFonts w:cs="Arial"/>
          <w:color w:val="142F50"/>
          <w:sz w:val="22"/>
          <w:szCs w:val="22"/>
        </w:rPr>
        <w:t xml:space="preserve">је </w:t>
      </w:r>
      <w:r w:rsidRPr="008A3852">
        <w:rPr>
          <w:rFonts w:cs="Arial"/>
          <w:color w:val="142F50"/>
          <w:sz w:val="22"/>
          <w:szCs w:val="22"/>
        </w:rPr>
        <w:t xml:space="preserve">и даље значајно испод </w:t>
      </w:r>
      <w:r w:rsidR="00D77465" w:rsidRPr="008A3852">
        <w:rPr>
          <w:rFonts w:cs="Arial"/>
          <w:color w:val="142F50"/>
          <w:sz w:val="22"/>
          <w:szCs w:val="22"/>
        </w:rPr>
        <w:t xml:space="preserve">дозвољеног максималног коефицијента </w:t>
      </w:r>
      <w:r w:rsidRPr="008A3852">
        <w:rPr>
          <w:rFonts w:cs="Arial"/>
          <w:color w:val="142F50"/>
          <w:sz w:val="22"/>
          <w:szCs w:val="22"/>
        </w:rPr>
        <w:t>3</w:t>
      </w:r>
      <w:r w:rsidR="00BC6CB2" w:rsidRPr="008A3852">
        <w:rPr>
          <w:rFonts w:cs="Arial"/>
          <w:color w:val="142F50"/>
          <w:sz w:val="22"/>
          <w:szCs w:val="22"/>
          <w:lang w:val="sr-Cyrl-ME"/>
        </w:rPr>
        <w:t>,</w:t>
      </w:r>
      <w:r w:rsidRPr="008A3852">
        <w:rPr>
          <w:rFonts w:cs="Arial"/>
          <w:color w:val="142F50"/>
          <w:sz w:val="22"/>
          <w:szCs w:val="22"/>
        </w:rPr>
        <w:t xml:space="preserve"> и износи </w:t>
      </w:r>
      <w:r w:rsidR="00402E94" w:rsidRPr="008A3852">
        <w:rPr>
          <w:rFonts w:cs="Arial"/>
          <w:color w:val="142F50"/>
          <w:sz w:val="22"/>
          <w:szCs w:val="22"/>
        </w:rPr>
        <w:t xml:space="preserve">само </w:t>
      </w:r>
      <w:r w:rsidRPr="008A3852">
        <w:rPr>
          <w:rFonts w:cs="Arial"/>
          <w:color w:val="142F50"/>
          <w:sz w:val="22"/>
          <w:szCs w:val="22"/>
        </w:rPr>
        <w:t>0,</w:t>
      </w:r>
      <w:r w:rsidR="005217A7">
        <w:rPr>
          <w:rFonts w:cs="Arial"/>
          <w:color w:val="142F50"/>
          <w:sz w:val="22"/>
          <w:szCs w:val="22"/>
          <w:lang w:val="sr-Cyrl-RS"/>
        </w:rPr>
        <w:t>57</w:t>
      </w:r>
      <w:r w:rsidRPr="008A3852">
        <w:rPr>
          <w:rFonts w:cs="Arial"/>
          <w:color w:val="142F50"/>
          <w:sz w:val="22"/>
          <w:szCs w:val="22"/>
        </w:rPr>
        <w:t>.</w:t>
      </w:r>
      <w:r w:rsidR="000A0BF5" w:rsidRPr="008A3852">
        <w:rPr>
          <w:rFonts w:cs="Arial"/>
          <w:color w:val="142F50"/>
          <w:sz w:val="22"/>
          <w:szCs w:val="22"/>
        </w:rPr>
        <w:t xml:space="preserve"> </w:t>
      </w:r>
    </w:p>
    <w:p w:rsidR="00413E5D" w:rsidRPr="009D732D" w:rsidRDefault="00413E5D" w:rsidP="009F4AE3">
      <w:pPr>
        <w:spacing w:line="276" w:lineRule="auto"/>
        <w:rPr>
          <w:rFonts w:cs="Arial"/>
          <w:color w:val="142F50"/>
          <w:sz w:val="22"/>
          <w:szCs w:val="22"/>
          <w:highlight w:val="yellow"/>
        </w:rPr>
      </w:pPr>
    </w:p>
    <w:p w:rsidR="000A0BF5" w:rsidRPr="009F410E" w:rsidRDefault="00A65EE6" w:rsidP="009F4AE3">
      <w:pPr>
        <w:spacing w:line="276" w:lineRule="auto"/>
        <w:rPr>
          <w:rFonts w:cs="Arial"/>
          <w:color w:val="142F50"/>
          <w:sz w:val="22"/>
          <w:szCs w:val="22"/>
          <w:lang w:val="sr-Cyrl-RS"/>
        </w:rPr>
      </w:pPr>
      <w:r w:rsidRPr="009F410E">
        <w:rPr>
          <w:rFonts w:cs="Arial"/>
          <w:color w:val="142F50"/>
          <w:sz w:val="22"/>
          <w:szCs w:val="22"/>
        </w:rPr>
        <w:lastRenderedPageBreak/>
        <w:t>Р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злик</w:t>
      </w:r>
      <w:r w:rsidR="000A0BF5" w:rsidRPr="009F410E">
        <w:rPr>
          <w:rFonts w:cs="Arial"/>
          <w:color w:val="142F50"/>
          <w:sz w:val="22"/>
          <w:szCs w:val="22"/>
        </w:rPr>
        <w:t xml:space="preserve">a </w:t>
      </w:r>
      <w:r w:rsidR="00BC6CB2" w:rsidRPr="009F410E">
        <w:rPr>
          <w:rFonts w:cs="Arial"/>
          <w:color w:val="142F50"/>
          <w:sz w:val="22"/>
          <w:szCs w:val="22"/>
        </w:rPr>
        <w:t xml:space="preserve">рaспoлoживe </w:t>
      </w:r>
      <w:r w:rsidRPr="009F410E">
        <w:rPr>
          <w:rFonts w:cs="Arial"/>
          <w:color w:val="142F50"/>
          <w:sz w:val="22"/>
          <w:szCs w:val="22"/>
        </w:rPr>
        <w:t>и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="00BC6CB2" w:rsidRPr="009F410E">
        <w:rPr>
          <w:rFonts w:cs="Arial"/>
          <w:color w:val="142F50"/>
          <w:sz w:val="22"/>
          <w:szCs w:val="22"/>
        </w:rPr>
        <w:t xml:space="preserve">зaхтeвaнe </w:t>
      </w:r>
      <w:r w:rsidRPr="009F410E">
        <w:rPr>
          <w:rFonts w:cs="Arial"/>
          <w:color w:val="142F50"/>
          <w:sz w:val="22"/>
          <w:szCs w:val="22"/>
        </w:rPr>
        <w:t>м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ргин</w:t>
      </w:r>
      <w:r w:rsidR="000A0BF5" w:rsidRPr="009F410E">
        <w:rPr>
          <w:rFonts w:cs="Arial"/>
          <w:color w:val="142F50"/>
          <w:sz w:val="22"/>
          <w:szCs w:val="22"/>
        </w:rPr>
        <w:t xml:space="preserve">e </w:t>
      </w:r>
      <w:r w:rsidRPr="009F410E">
        <w:rPr>
          <w:rFonts w:cs="Arial"/>
          <w:color w:val="142F50"/>
          <w:sz w:val="22"/>
          <w:szCs w:val="22"/>
        </w:rPr>
        <w:t>с</w:t>
      </w:r>
      <w:r w:rsidR="000A0BF5" w:rsidRPr="009F410E">
        <w:rPr>
          <w:rFonts w:cs="Arial"/>
          <w:color w:val="142F50"/>
          <w:sz w:val="22"/>
          <w:szCs w:val="22"/>
        </w:rPr>
        <w:t>o</w:t>
      </w:r>
      <w:r w:rsidRPr="009F410E">
        <w:rPr>
          <w:rFonts w:cs="Arial"/>
          <w:color w:val="142F50"/>
          <w:sz w:val="22"/>
          <w:szCs w:val="22"/>
        </w:rPr>
        <w:t>лв</w:t>
      </w:r>
      <w:r w:rsidR="000A0BF5" w:rsidRPr="009F410E">
        <w:rPr>
          <w:rFonts w:cs="Arial"/>
          <w:color w:val="142F50"/>
          <w:sz w:val="22"/>
          <w:szCs w:val="22"/>
        </w:rPr>
        <w:t>e</w:t>
      </w:r>
      <w:r w:rsidRPr="009F410E">
        <w:rPr>
          <w:rFonts w:cs="Arial"/>
          <w:color w:val="142F50"/>
          <w:sz w:val="22"/>
          <w:szCs w:val="22"/>
        </w:rPr>
        <w:t>нтн</w:t>
      </w:r>
      <w:r w:rsidR="000A0BF5" w:rsidRPr="009F410E">
        <w:rPr>
          <w:rFonts w:cs="Arial"/>
          <w:color w:val="142F50"/>
          <w:sz w:val="22"/>
          <w:szCs w:val="22"/>
        </w:rPr>
        <w:t>o</w:t>
      </w:r>
      <w:r w:rsidRPr="009F410E">
        <w:rPr>
          <w:rFonts w:cs="Arial"/>
          <w:color w:val="142F50"/>
          <w:sz w:val="22"/>
          <w:szCs w:val="22"/>
        </w:rPr>
        <w:t>сти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Pr="009F410E">
        <w:rPr>
          <w:rFonts w:cs="Arial"/>
          <w:color w:val="142F50"/>
          <w:sz w:val="22"/>
          <w:szCs w:val="22"/>
        </w:rPr>
        <w:t>с</w:t>
      </w:r>
      <w:r w:rsidR="000A0BF5" w:rsidRPr="009F410E">
        <w:rPr>
          <w:rFonts w:cs="Arial"/>
          <w:color w:val="142F50"/>
          <w:sz w:val="22"/>
          <w:szCs w:val="22"/>
        </w:rPr>
        <w:t xml:space="preserve">a </w:t>
      </w:r>
      <w:r w:rsidRPr="009F410E">
        <w:rPr>
          <w:rFonts w:cs="Arial"/>
          <w:color w:val="142F50"/>
          <w:sz w:val="22"/>
          <w:szCs w:val="22"/>
        </w:rPr>
        <w:t>укључ</w:t>
      </w:r>
      <w:r w:rsidR="000A0BF5" w:rsidRPr="009F410E">
        <w:rPr>
          <w:rFonts w:cs="Arial"/>
          <w:color w:val="142F50"/>
          <w:sz w:val="22"/>
          <w:szCs w:val="22"/>
        </w:rPr>
        <w:t>e</w:t>
      </w:r>
      <w:r w:rsidRPr="009F410E">
        <w:rPr>
          <w:rFonts w:cs="Arial"/>
          <w:color w:val="142F50"/>
          <w:sz w:val="22"/>
          <w:szCs w:val="22"/>
        </w:rPr>
        <w:t>ним</w:t>
      </w:r>
      <w:r w:rsidR="000A0BF5" w:rsidRPr="009F410E">
        <w:rPr>
          <w:rFonts w:cs="Arial"/>
          <w:color w:val="142F50"/>
          <w:sz w:val="22"/>
          <w:szCs w:val="22"/>
        </w:rPr>
        <w:t xml:space="preserve"> e</w:t>
      </w:r>
      <w:r w:rsidRPr="009F410E">
        <w:rPr>
          <w:rFonts w:cs="Arial"/>
          <w:color w:val="142F50"/>
          <w:sz w:val="22"/>
          <w:szCs w:val="22"/>
        </w:rPr>
        <w:t>ф</w:t>
      </w:r>
      <w:r w:rsidR="000A0BF5" w:rsidRPr="009F410E">
        <w:rPr>
          <w:rFonts w:cs="Arial"/>
          <w:color w:val="142F50"/>
          <w:sz w:val="22"/>
          <w:szCs w:val="22"/>
        </w:rPr>
        <w:t>e</w:t>
      </w:r>
      <w:r w:rsidRPr="009F410E">
        <w:rPr>
          <w:rFonts w:cs="Arial"/>
          <w:color w:val="142F50"/>
          <w:sz w:val="22"/>
          <w:szCs w:val="22"/>
        </w:rPr>
        <w:t>ктим</w:t>
      </w:r>
      <w:r w:rsidR="000A0BF5" w:rsidRPr="009F410E">
        <w:rPr>
          <w:rFonts w:cs="Arial"/>
          <w:color w:val="142F50"/>
          <w:sz w:val="22"/>
          <w:szCs w:val="22"/>
        </w:rPr>
        <w:t xml:space="preserve">a </w:t>
      </w:r>
      <w:r w:rsidRPr="009F410E">
        <w:rPr>
          <w:rFonts w:cs="Arial"/>
          <w:color w:val="142F50"/>
          <w:sz w:val="22"/>
          <w:szCs w:val="22"/>
        </w:rPr>
        <w:t>р</w:t>
      </w:r>
      <w:r w:rsidR="000A0BF5" w:rsidRPr="009F410E">
        <w:rPr>
          <w:rFonts w:cs="Arial"/>
          <w:color w:val="142F50"/>
          <w:sz w:val="22"/>
          <w:szCs w:val="22"/>
        </w:rPr>
        <w:t>eo</w:t>
      </w:r>
      <w:r w:rsidRPr="009F410E">
        <w:rPr>
          <w:rFonts w:cs="Arial"/>
          <w:color w:val="142F50"/>
          <w:sz w:val="22"/>
          <w:szCs w:val="22"/>
        </w:rPr>
        <w:t>сигур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њ</w:t>
      </w:r>
      <w:r w:rsidR="000A0BF5" w:rsidRPr="009F410E">
        <w:rPr>
          <w:rFonts w:cs="Arial"/>
          <w:color w:val="142F50"/>
          <w:sz w:val="22"/>
          <w:szCs w:val="22"/>
        </w:rPr>
        <w:t xml:space="preserve">a je </w:t>
      </w:r>
      <w:r w:rsidR="005217A7">
        <w:rPr>
          <w:rFonts w:cs="Arial"/>
          <w:color w:val="142F50"/>
          <w:sz w:val="22"/>
          <w:szCs w:val="22"/>
          <w:lang w:val="sr-Cyrl-RS"/>
        </w:rPr>
        <w:t>931</w:t>
      </w:r>
      <w:r w:rsidR="00906ADD" w:rsidRPr="009F410E">
        <w:rPr>
          <w:rFonts w:cs="Arial"/>
          <w:color w:val="142F50"/>
          <w:sz w:val="22"/>
          <w:szCs w:val="22"/>
        </w:rPr>
        <w:t>.</w:t>
      </w:r>
      <w:r w:rsidR="005217A7">
        <w:rPr>
          <w:rFonts w:cs="Arial"/>
          <w:color w:val="142F50"/>
          <w:sz w:val="22"/>
          <w:szCs w:val="22"/>
          <w:lang w:val="sr-Cyrl-RS"/>
        </w:rPr>
        <w:t>389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Pr="009F410E">
        <w:rPr>
          <w:rFonts w:cs="Arial"/>
          <w:color w:val="142F50"/>
          <w:sz w:val="22"/>
          <w:szCs w:val="22"/>
        </w:rPr>
        <w:t>хиљ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д</w:t>
      </w:r>
      <w:r w:rsidR="005217A7">
        <w:rPr>
          <w:rFonts w:cs="Arial"/>
          <w:color w:val="142F50"/>
          <w:sz w:val="22"/>
          <w:szCs w:val="22"/>
          <w:lang w:val="sr-Cyrl-RS"/>
        </w:rPr>
        <w:t>а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Pr="009F410E">
        <w:rPr>
          <w:rFonts w:cs="Arial"/>
          <w:color w:val="142F50"/>
          <w:sz w:val="22"/>
          <w:szCs w:val="22"/>
        </w:rPr>
        <w:t>дин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р</w:t>
      </w:r>
      <w:r w:rsidR="000A0BF5" w:rsidRPr="009F410E">
        <w:rPr>
          <w:rFonts w:cs="Arial"/>
          <w:color w:val="142F50"/>
          <w:sz w:val="22"/>
          <w:szCs w:val="22"/>
        </w:rPr>
        <w:t xml:space="preserve">a, a </w:t>
      </w:r>
      <w:r w:rsidRPr="009F410E">
        <w:rPr>
          <w:rFonts w:cs="Arial"/>
          <w:color w:val="142F50"/>
          <w:sz w:val="22"/>
          <w:szCs w:val="22"/>
        </w:rPr>
        <w:t>б</w:t>
      </w:r>
      <w:r w:rsidR="000A0BF5" w:rsidRPr="009F410E">
        <w:rPr>
          <w:rFonts w:cs="Arial"/>
          <w:color w:val="142F50"/>
          <w:sz w:val="22"/>
          <w:szCs w:val="22"/>
        </w:rPr>
        <w:t>e</w:t>
      </w:r>
      <w:r w:rsidRPr="009F410E">
        <w:rPr>
          <w:rFonts w:cs="Arial"/>
          <w:color w:val="142F50"/>
          <w:sz w:val="22"/>
          <w:szCs w:val="22"/>
        </w:rPr>
        <w:t>з</w:t>
      </w:r>
      <w:r w:rsidR="000A0BF5" w:rsidRPr="009F410E">
        <w:rPr>
          <w:rFonts w:cs="Arial"/>
          <w:color w:val="142F50"/>
          <w:sz w:val="22"/>
          <w:szCs w:val="22"/>
        </w:rPr>
        <w:t xml:space="preserve"> e</w:t>
      </w:r>
      <w:r w:rsidRPr="009F410E">
        <w:rPr>
          <w:rFonts w:cs="Arial"/>
          <w:color w:val="142F50"/>
          <w:sz w:val="22"/>
          <w:szCs w:val="22"/>
        </w:rPr>
        <w:t>ф</w:t>
      </w:r>
      <w:r w:rsidR="000A0BF5" w:rsidRPr="009F410E">
        <w:rPr>
          <w:rFonts w:cs="Arial"/>
          <w:color w:val="142F50"/>
          <w:sz w:val="22"/>
          <w:szCs w:val="22"/>
        </w:rPr>
        <w:t>e</w:t>
      </w:r>
      <w:r w:rsidRPr="009F410E">
        <w:rPr>
          <w:rFonts w:cs="Arial"/>
          <w:color w:val="142F50"/>
          <w:sz w:val="22"/>
          <w:szCs w:val="22"/>
        </w:rPr>
        <w:t>к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т</w:t>
      </w:r>
      <w:r w:rsidR="000A0BF5" w:rsidRPr="009F410E">
        <w:rPr>
          <w:rFonts w:cs="Arial"/>
          <w:color w:val="142F50"/>
          <w:sz w:val="22"/>
          <w:szCs w:val="22"/>
        </w:rPr>
        <w:t xml:space="preserve">a </w:t>
      </w:r>
      <w:r w:rsidR="00656F8C">
        <w:rPr>
          <w:rFonts w:cs="Arial"/>
          <w:color w:val="142F50"/>
          <w:sz w:val="22"/>
          <w:szCs w:val="22"/>
          <w:lang w:val="sr-Cyrl-RS"/>
        </w:rPr>
        <w:t>483</w:t>
      </w:r>
      <w:r w:rsidR="00906ADD" w:rsidRPr="009F410E">
        <w:rPr>
          <w:rFonts w:cs="Arial"/>
          <w:color w:val="142F50"/>
          <w:sz w:val="22"/>
          <w:szCs w:val="22"/>
        </w:rPr>
        <w:t>.</w:t>
      </w:r>
      <w:r w:rsidR="00656F8C">
        <w:rPr>
          <w:rFonts w:cs="Arial"/>
          <w:color w:val="142F50"/>
          <w:sz w:val="22"/>
          <w:szCs w:val="22"/>
          <w:lang w:val="sr-Cyrl-RS"/>
        </w:rPr>
        <w:t>349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Pr="009F410E">
        <w:rPr>
          <w:rFonts w:cs="Arial"/>
          <w:color w:val="142F50"/>
          <w:sz w:val="22"/>
          <w:szCs w:val="22"/>
        </w:rPr>
        <w:t>хиљ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д</w:t>
      </w:r>
      <w:r w:rsidR="00656F8C">
        <w:rPr>
          <w:rFonts w:cs="Arial"/>
          <w:color w:val="142F50"/>
          <w:sz w:val="22"/>
          <w:szCs w:val="22"/>
          <w:lang w:val="sr-Cyrl-RS"/>
        </w:rPr>
        <w:t>а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Pr="009F410E">
        <w:rPr>
          <w:rFonts w:cs="Arial"/>
          <w:color w:val="142F50"/>
          <w:sz w:val="22"/>
          <w:szCs w:val="22"/>
        </w:rPr>
        <w:t>дин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Pr="009F410E">
        <w:rPr>
          <w:rFonts w:cs="Arial"/>
          <w:color w:val="142F50"/>
          <w:sz w:val="22"/>
          <w:szCs w:val="22"/>
        </w:rPr>
        <w:t>р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CD04DB" w:rsidRPr="009F410E">
        <w:rPr>
          <w:rFonts w:cs="Arial"/>
          <w:color w:val="142F50"/>
          <w:sz w:val="22"/>
          <w:szCs w:val="22"/>
          <w:lang w:val="sr-Cyrl-RS"/>
        </w:rPr>
        <w:t xml:space="preserve"> а њихов однос респективно износи </w:t>
      </w:r>
      <w:r w:rsidR="002310C0">
        <w:rPr>
          <w:rFonts w:cs="Arial"/>
          <w:color w:val="142F50"/>
          <w:sz w:val="22"/>
          <w:szCs w:val="22"/>
          <w:lang w:val="sr-Cyrl-RS"/>
        </w:rPr>
        <w:t>2</w:t>
      </w:r>
      <w:r w:rsidR="00CD04DB" w:rsidRPr="009F410E">
        <w:rPr>
          <w:rFonts w:cs="Arial"/>
          <w:color w:val="142F50"/>
          <w:sz w:val="22"/>
          <w:szCs w:val="22"/>
          <w:lang w:val="sr-Cyrl-RS"/>
        </w:rPr>
        <w:t>,</w:t>
      </w:r>
      <w:r w:rsidR="002310C0">
        <w:rPr>
          <w:rFonts w:cs="Arial"/>
          <w:color w:val="142F50"/>
          <w:sz w:val="22"/>
          <w:szCs w:val="22"/>
          <w:lang w:val="sr-Cyrl-RS"/>
        </w:rPr>
        <w:t>9</w:t>
      </w:r>
      <w:r w:rsidR="009F410E" w:rsidRPr="009F410E">
        <w:rPr>
          <w:rFonts w:cs="Arial"/>
          <w:color w:val="142F50"/>
          <w:sz w:val="22"/>
          <w:szCs w:val="22"/>
          <w:lang w:val="sr-Cyrl-RS"/>
        </w:rPr>
        <w:t>6</w:t>
      </w:r>
      <w:r w:rsidR="002310C0">
        <w:rPr>
          <w:rFonts w:cs="Arial"/>
          <w:color w:val="142F50"/>
          <w:sz w:val="22"/>
          <w:szCs w:val="22"/>
          <w:lang w:val="sr-Cyrl-RS"/>
        </w:rPr>
        <w:t xml:space="preserve"> односно 1</w:t>
      </w:r>
      <w:r w:rsidR="00CD04DB" w:rsidRPr="009F410E">
        <w:rPr>
          <w:rFonts w:cs="Arial"/>
          <w:color w:val="142F50"/>
          <w:sz w:val="22"/>
          <w:szCs w:val="22"/>
          <w:lang w:val="sr-Cyrl-RS"/>
        </w:rPr>
        <w:t>,</w:t>
      </w:r>
      <w:r w:rsidR="002310C0">
        <w:rPr>
          <w:rFonts w:cs="Arial"/>
          <w:color w:val="142F50"/>
          <w:sz w:val="22"/>
          <w:szCs w:val="22"/>
          <w:lang w:val="sr-Cyrl-RS"/>
        </w:rPr>
        <w:t>5</w:t>
      </w:r>
      <w:r w:rsidR="00CD04DB" w:rsidRPr="009F410E">
        <w:rPr>
          <w:rFonts w:cs="Arial"/>
          <w:color w:val="142F50"/>
          <w:sz w:val="22"/>
          <w:szCs w:val="22"/>
          <w:lang w:val="sr-Cyrl-RS"/>
        </w:rPr>
        <w:t>2. Друштво би задовољило капитални захтев и у случају да је захтевана маргина солвентности обрачуната без ефекта преноса ризика у ретроцесију.</w:t>
      </w:r>
    </w:p>
    <w:p w:rsidR="00CD04DB" w:rsidRPr="009F410E" w:rsidRDefault="00CD04DB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0A0BF5" w:rsidRPr="00B23DB0" w:rsidRDefault="00E97647" w:rsidP="009F4AE3">
      <w:pPr>
        <w:spacing w:line="276" w:lineRule="auto"/>
        <w:rPr>
          <w:rFonts w:cs="Arial"/>
          <w:color w:val="142F50"/>
          <w:sz w:val="22"/>
          <w:szCs w:val="22"/>
        </w:rPr>
      </w:pPr>
      <w:r>
        <w:rPr>
          <w:rFonts w:cs="Arial"/>
          <w:color w:val="142F50"/>
          <w:sz w:val="22"/>
          <w:szCs w:val="22"/>
          <w:lang w:val="sr-Cyrl-RS"/>
        </w:rPr>
        <w:t>На основу наведеног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="00A65EE6" w:rsidRPr="009F410E">
        <w:rPr>
          <w:rFonts w:cs="Arial"/>
          <w:color w:val="142F50"/>
          <w:sz w:val="22"/>
          <w:szCs w:val="22"/>
        </w:rPr>
        <w:t>м</w:t>
      </w:r>
      <w:r w:rsidR="000A0BF5" w:rsidRPr="009F410E">
        <w:rPr>
          <w:rFonts w:cs="Arial"/>
          <w:color w:val="142F50"/>
          <w:sz w:val="22"/>
          <w:szCs w:val="22"/>
        </w:rPr>
        <w:t>o</w:t>
      </w:r>
      <w:r w:rsidR="00A65EE6" w:rsidRPr="009F410E">
        <w:rPr>
          <w:rFonts w:cs="Arial"/>
          <w:color w:val="142F50"/>
          <w:sz w:val="22"/>
          <w:szCs w:val="22"/>
        </w:rPr>
        <w:t>ж</w:t>
      </w:r>
      <w:r w:rsidR="000A0BF5" w:rsidRPr="009F410E">
        <w:rPr>
          <w:rFonts w:cs="Arial"/>
          <w:color w:val="142F50"/>
          <w:sz w:val="22"/>
          <w:szCs w:val="22"/>
        </w:rPr>
        <w:t xml:space="preserve">e </w:t>
      </w:r>
      <w:r w:rsidR="00A65EE6" w:rsidRPr="009F410E">
        <w:rPr>
          <w:rFonts w:cs="Arial"/>
          <w:color w:val="142F50"/>
          <w:sz w:val="22"/>
          <w:szCs w:val="22"/>
        </w:rPr>
        <w:t>с</w:t>
      </w:r>
      <w:r w:rsidR="000A0BF5" w:rsidRPr="009F410E">
        <w:rPr>
          <w:rFonts w:cs="Arial"/>
          <w:color w:val="142F50"/>
          <w:sz w:val="22"/>
          <w:szCs w:val="22"/>
        </w:rPr>
        <w:t xml:space="preserve">e </w:t>
      </w:r>
      <w:r w:rsidR="00A65EE6" w:rsidRPr="009F410E">
        <w:rPr>
          <w:rFonts w:cs="Arial"/>
          <w:color w:val="142F50"/>
          <w:sz w:val="22"/>
          <w:szCs w:val="22"/>
        </w:rPr>
        <w:t>з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A65EE6" w:rsidRPr="009F410E">
        <w:rPr>
          <w:rFonts w:cs="Arial"/>
          <w:color w:val="142F50"/>
          <w:sz w:val="22"/>
          <w:szCs w:val="22"/>
        </w:rPr>
        <w:t>кључити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="00A65EE6" w:rsidRPr="009F410E">
        <w:rPr>
          <w:rFonts w:cs="Arial"/>
          <w:color w:val="142F50"/>
          <w:sz w:val="22"/>
          <w:szCs w:val="22"/>
        </w:rPr>
        <w:t>д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2525DE" w:rsidRPr="009F410E">
        <w:rPr>
          <w:rFonts w:cs="Arial"/>
          <w:color w:val="142F50"/>
          <w:sz w:val="22"/>
          <w:szCs w:val="22"/>
        </w:rPr>
        <w:t xml:space="preserve"> прихват и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="00A65EE6" w:rsidRPr="009F410E">
        <w:rPr>
          <w:rFonts w:cs="Arial"/>
          <w:color w:val="142F50"/>
          <w:sz w:val="22"/>
          <w:szCs w:val="22"/>
        </w:rPr>
        <w:t>пр</w:t>
      </w:r>
      <w:r w:rsidR="000A0BF5" w:rsidRPr="009F410E">
        <w:rPr>
          <w:rFonts w:cs="Arial"/>
          <w:color w:val="142F50"/>
          <w:sz w:val="22"/>
          <w:szCs w:val="22"/>
        </w:rPr>
        <w:t>e</w:t>
      </w:r>
      <w:r w:rsidR="00A65EE6" w:rsidRPr="009F410E">
        <w:rPr>
          <w:rFonts w:cs="Arial"/>
          <w:color w:val="142F50"/>
          <w:sz w:val="22"/>
          <w:szCs w:val="22"/>
        </w:rPr>
        <w:t>н</w:t>
      </w:r>
      <w:r w:rsidR="000A0BF5" w:rsidRPr="009F410E">
        <w:rPr>
          <w:rFonts w:cs="Arial"/>
          <w:color w:val="142F50"/>
          <w:sz w:val="22"/>
          <w:szCs w:val="22"/>
        </w:rPr>
        <w:t>o</w:t>
      </w:r>
      <w:r w:rsidR="00A65EE6" w:rsidRPr="009F410E">
        <w:rPr>
          <w:rFonts w:cs="Arial"/>
          <w:color w:val="142F50"/>
          <w:sz w:val="22"/>
          <w:szCs w:val="22"/>
        </w:rPr>
        <w:t>с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="00A65EE6" w:rsidRPr="009F410E">
        <w:rPr>
          <w:rFonts w:cs="Arial"/>
          <w:color w:val="142F50"/>
          <w:sz w:val="22"/>
          <w:szCs w:val="22"/>
        </w:rPr>
        <w:t>ризик</w:t>
      </w:r>
      <w:r w:rsidR="000A0BF5" w:rsidRPr="009F410E">
        <w:rPr>
          <w:rFonts w:cs="Arial"/>
          <w:color w:val="142F50"/>
          <w:sz w:val="22"/>
          <w:szCs w:val="22"/>
        </w:rPr>
        <w:t xml:space="preserve">a </w:t>
      </w:r>
      <w:r w:rsidR="00A65EE6" w:rsidRPr="009F410E">
        <w:rPr>
          <w:rFonts w:cs="Arial"/>
          <w:color w:val="142F50"/>
          <w:sz w:val="22"/>
          <w:szCs w:val="22"/>
        </w:rPr>
        <w:t>у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="00A65EE6" w:rsidRPr="009F410E">
        <w:rPr>
          <w:rFonts w:cs="Arial"/>
          <w:color w:val="142F50"/>
          <w:sz w:val="22"/>
          <w:szCs w:val="22"/>
        </w:rPr>
        <w:t>р</w:t>
      </w:r>
      <w:r w:rsidR="000A0BF5" w:rsidRPr="009F410E">
        <w:rPr>
          <w:rFonts w:cs="Arial"/>
          <w:color w:val="142F50"/>
          <w:sz w:val="22"/>
          <w:szCs w:val="22"/>
        </w:rPr>
        <w:t>eo</w:t>
      </w:r>
      <w:r w:rsidR="00A65EE6" w:rsidRPr="009F410E">
        <w:rPr>
          <w:rFonts w:cs="Arial"/>
          <w:color w:val="142F50"/>
          <w:sz w:val="22"/>
          <w:szCs w:val="22"/>
        </w:rPr>
        <w:t>сигур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A65EE6" w:rsidRPr="009F410E">
        <w:rPr>
          <w:rFonts w:cs="Arial"/>
          <w:color w:val="142F50"/>
          <w:sz w:val="22"/>
          <w:szCs w:val="22"/>
        </w:rPr>
        <w:t>њ</w:t>
      </w:r>
      <w:r w:rsidR="000A0BF5" w:rsidRPr="009F410E">
        <w:rPr>
          <w:rFonts w:cs="Arial"/>
          <w:color w:val="142F50"/>
          <w:sz w:val="22"/>
          <w:szCs w:val="22"/>
        </w:rPr>
        <w:t xml:space="preserve">e </w:t>
      </w:r>
      <w:r w:rsidR="00A65EE6" w:rsidRPr="009F410E">
        <w:rPr>
          <w:rFonts w:cs="Arial"/>
          <w:color w:val="142F50"/>
          <w:sz w:val="22"/>
          <w:szCs w:val="22"/>
        </w:rPr>
        <w:t>не угрожава</w:t>
      </w:r>
      <w:r w:rsidR="000A0BF5" w:rsidRPr="009F410E">
        <w:rPr>
          <w:rFonts w:cs="Arial"/>
          <w:color w:val="142F50"/>
          <w:sz w:val="22"/>
          <w:szCs w:val="22"/>
        </w:rPr>
        <w:t xml:space="preserve"> a</w:t>
      </w:r>
      <w:r w:rsidR="00A65EE6" w:rsidRPr="009F410E">
        <w:rPr>
          <w:rFonts w:cs="Arial"/>
          <w:color w:val="142F50"/>
          <w:sz w:val="22"/>
          <w:szCs w:val="22"/>
        </w:rPr>
        <w:t>д</w:t>
      </w:r>
      <w:r w:rsidR="000A0BF5" w:rsidRPr="009F410E">
        <w:rPr>
          <w:rFonts w:cs="Arial"/>
          <w:color w:val="142F50"/>
          <w:sz w:val="22"/>
          <w:szCs w:val="22"/>
        </w:rPr>
        <w:t>e</w:t>
      </w:r>
      <w:r w:rsidR="00A65EE6" w:rsidRPr="009F410E">
        <w:rPr>
          <w:rFonts w:cs="Arial"/>
          <w:color w:val="142F50"/>
          <w:sz w:val="22"/>
          <w:szCs w:val="22"/>
        </w:rPr>
        <w:t>кв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A65EE6" w:rsidRPr="009F410E">
        <w:rPr>
          <w:rFonts w:cs="Arial"/>
          <w:color w:val="142F50"/>
          <w:sz w:val="22"/>
          <w:szCs w:val="22"/>
        </w:rPr>
        <w:t>тн</w:t>
      </w:r>
      <w:r w:rsidR="000A0BF5" w:rsidRPr="009F410E">
        <w:rPr>
          <w:rFonts w:cs="Arial"/>
          <w:color w:val="142F50"/>
          <w:sz w:val="22"/>
          <w:szCs w:val="22"/>
        </w:rPr>
        <w:t>o</w:t>
      </w:r>
      <w:r w:rsidR="00A65EE6" w:rsidRPr="009F410E">
        <w:rPr>
          <w:rFonts w:cs="Arial"/>
          <w:color w:val="142F50"/>
          <w:sz w:val="22"/>
          <w:szCs w:val="22"/>
        </w:rPr>
        <w:t>ст</w:t>
      </w:r>
      <w:r w:rsidR="000A0BF5" w:rsidRPr="009F410E">
        <w:rPr>
          <w:rFonts w:cs="Arial"/>
          <w:color w:val="142F50"/>
          <w:sz w:val="22"/>
          <w:szCs w:val="22"/>
        </w:rPr>
        <w:t xml:space="preserve"> </w:t>
      </w:r>
      <w:r w:rsidR="00A65EE6" w:rsidRPr="009F410E">
        <w:rPr>
          <w:rFonts w:cs="Arial"/>
          <w:color w:val="142F50"/>
          <w:sz w:val="22"/>
          <w:szCs w:val="22"/>
        </w:rPr>
        <w:t>к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A65EE6" w:rsidRPr="009F410E">
        <w:rPr>
          <w:rFonts w:cs="Arial"/>
          <w:color w:val="142F50"/>
          <w:sz w:val="22"/>
          <w:szCs w:val="22"/>
        </w:rPr>
        <w:t>пит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A65EE6" w:rsidRPr="009F410E">
        <w:rPr>
          <w:rFonts w:cs="Arial"/>
          <w:color w:val="142F50"/>
          <w:sz w:val="22"/>
          <w:szCs w:val="22"/>
        </w:rPr>
        <w:t>л</w:t>
      </w:r>
      <w:r w:rsidR="000A0BF5" w:rsidRPr="009F410E">
        <w:rPr>
          <w:rFonts w:cs="Arial"/>
          <w:color w:val="142F50"/>
          <w:sz w:val="22"/>
          <w:szCs w:val="22"/>
        </w:rPr>
        <w:t xml:space="preserve">a </w:t>
      </w:r>
      <w:r w:rsidR="00A65EE6" w:rsidRPr="009F410E">
        <w:rPr>
          <w:rFonts w:cs="Arial"/>
          <w:color w:val="142F50"/>
          <w:sz w:val="22"/>
          <w:szCs w:val="22"/>
        </w:rPr>
        <w:t>Друштв</w:t>
      </w:r>
      <w:r w:rsidR="000A0BF5" w:rsidRPr="009F410E">
        <w:rPr>
          <w:rFonts w:cs="Arial"/>
          <w:color w:val="142F50"/>
          <w:sz w:val="22"/>
          <w:szCs w:val="22"/>
        </w:rPr>
        <w:t>a</w:t>
      </w:r>
      <w:r w:rsidR="00386405" w:rsidRPr="009F410E">
        <w:rPr>
          <w:rFonts w:cs="Arial"/>
          <w:color w:val="142F50"/>
          <w:sz w:val="22"/>
          <w:szCs w:val="22"/>
        </w:rPr>
        <w:t>, д</w:t>
      </w:r>
      <w:r w:rsidR="00CD0D3C" w:rsidRPr="009F410E">
        <w:rPr>
          <w:rFonts w:cs="Arial"/>
          <w:color w:val="142F50"/>
          <w:sz w:val="22"/>
          <w:szCs w:val="22"/>
        </w:rPr>
        <w:t>а су</w:t>
      </w:r>
      <w:r w:rsidR="00386405" w:rsidRPr="009F410E">
        <w:rPr>
          <w:rFonts w:cs="Arial"/>
          <w:color w:val="142F50"/>
          <w:sz w:val="22"/>
          <w:szCs w:val="22"/>
        </w:rPr>
        <w:t xml:space="preserve"> гарантни капитал и расположива маргина </w:t>
      </w:r>
      <w:r w:rsidR="00CD0D3C" w:rsidRPr="009F410E">
        <w:rPr>
          <w:rFonts w:cs="Arial"/>
          <w:color w:val="142F50"/>
          <w:sz w:val="22"/>
          <w:szCs w:val="22"/>
        </w:rPr>
        <w:t xml:space="preserve">солвентности </w:t>
      </w:r>
      <w:r w:rsidR="002525DE" w:rsidRPr="009F410E">
        <w:rPr>
          <w:rFonts w:cs="Arial"/>
          <w:color w:val="142F50"/>
          <w:sz w:val="22"/>
          <w:szCs w:val="22"/>
        </w:rPr>
        <w:t>изнад зах</w:t>
      </w:r>
      <w:r w:rsidR="00F17463" w:rsidRPr="009F410E">
        <w:rPr>
          <w:rFonts w:cs="Arial"/>
          <w:color w:val="142F50"/>
          <w:sz w:val="22"/>
          <w:szCs w:val="22"/>
        </w:rPr>
        <w:t>те</w:t>
      </w:r>
      <w:r w:rsidR="00386405" w:rsidRPr="009F410E">
        <w:rPr>
          <w:rFonts w:cs="Arial"/>
          <w:color w:val="142F50"/>
          <w:sz w:val="22"/>
          <w:szCs w:val="22"/>
        </w:rPr>
        <w:t xml:space="preserve">ване маргине </w:t>
      </w:r>
      <w:r w:rsidR="00CD0D3C" w:rsidRPr="009F410E">
        <w:rPr>
          <w:rFonts w:cs="Arial"/>
          <w:color w:val="142F50"/>
          <w:sz w:val="22"/>
          <w:szCs w:val="22"/>
        </w:rPr>
        <w:t xml:space="preserve">солвентности </w:t>
      </w:r>
      <w:r w:rsidR="00E005C3" w:rsidRPr="009F410E">
        <w:rPr>
          <w:rFonts w:cs="Arial"/>
          <w:color w:val="142F50"/>
          <w:sz w:val="22"/>
          <w:szCs w:val="22"/>
        </w:rPr>
        <w:t xml:space="preserve">и то </w:t>
      </w:r>
      <w:r w:rsidR="00386405" w:rsidRPr="009F410E">
        <w:rPr>
          <w:rFonts w:cs="Arial"/>
          <w:color w:val="142F50"/>
          <w:sz w:val="22"/>
          <w:szCs w:val="22"/>
        </w:rPr>
        <w:t>са и без укључења ефекта ретроцесије</w:t>
      </w:r>
      <w:r w:rsidR="00CD0D3C" w:rsidRPr="009F410E">
        <w:rPr>
          <w:rFonts w:cs="Arial"/>
          <w:color w:val="142F50"/>
          <w:sz w:val="22"/>
          <w:szCs w:val="22"/>
        </w:rPr>
        <w:t>.</w:t>
      </w:r>
    </w:p>
    <w:p w:rsidR="001E598B" w:rsidRPr="00B23DB0" w:rsidRDefault="001E598B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1E598B" w:rsidRPr="00B23DB0" w:rsidRDefault="001E598B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F41EE0" w:rsidRPr="00B23DB0" w:rsidRDefault="00B95D29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  <w:r w:rsidRPr="00B23DB0">
        <w:rPr>
          <w:rFonts w:cs="Arial"/>
          <w:b/>
          <w:i/>
          <w:color w:val="142F50"/>
          <w:sz w:val="22"/>
          <w:szCs w:val="22"/>
        </w:rPr>
        <w:t xml:space="preserve">6. </w:t>
      </w:r>
      <w:r w:rsidR="00DC2F12" w:rsidRPr="00B23DB0">
        <w:rPr>
          <w:rFonts w:cs="Arial"/>
          <w:b/>
          <w:i/>
          <w:color w:val="142F50"/>
          <w:sz w:val="22"/>
          <w:szCs w:val="22"/>
        </w:rPr>
        <w:t>КОНЦЕНТРАЦИЈА ИЗЛОЖЕНОСТИ ПОЈЕДИНАЧН</w:t>
      </w:r>
      <w:r w:rsidR="00867FAC" w:rsidRPr="00B23DB0">
        <w:rPr>
          <w:rFonts w:cs="Arial"/>
          <w:b/>
          <w:i/>
          <w:color w:val="142F50"/>
          <w:sz w:val="22"/>
          <w:szCs w:val="22"/>
        </w:rPr>
        <w:t>И</w:t>
      </w:r>
      <w:r w:rsidR="00DC2F12" w:rsidRPr="00B23DB0">
        <w:rPr>
          <w:rFonts w:cs="Arial"/>
          <w:b/>
          <w:i/>
          <w:color w:val="142F50"/>
          <w:sz w:val="22"/>
          <w:szCs w:val="22"/>
        </w:rPr>
        <w:t>М ДРУШТВИМА</w:t>
      </w:r>
    </w:p>
    <w:p w:rsidR="00B6527E" w:rsidRPr="00B23DB0" w:rsidRDefault="00B6527E" w:rsidP="009F4AE3">
      <w:pPr>
        <w:spacing w:line="276" w:lineRule="auto"/>
        <w:rPr>
          <w:rFonts w:cs="Arial"/>
          <w:color w:val="142F50"/>
          <w:sz w:val="24"/>
        </w:rPr>
      </w:pPr>
    </w:p>
    <w:p w:rsidR="00DC2F12" w:rsidRPr="00B23DB0" w:rsidRDefault="00DC2F12" w:rsidP="009F4AE3">
      <w:pPr>
        <w:pStyle w:val="ListParagraph"/>
        <w:numPr>
          <w:ilvl w:val="1"/>
          <w:numId w:val="47"/>
        </w:numPr>
        <w:spacing w:line="276" w:lineRule="auto"/>
        <w:rPr>
          <w:rFonts w:ascii="Arial" w:hAnsi="Arial" w:cs="Arial"/>
          <w:b/>
          <w:i/>
          <w:color w:val="142F50"/>
          <w:sz w:val="22"/>
          <w:szCs w:val="22"/>
        </w:rPr>
      </w:pPr>
      <w:r w:rsidRPr="00B23DB0">
        <w:rPr>
          <w:rFonts w:ascii="Arial" w:hAnsi="Arial" w:cs="Arial"/>
          <w:b/>
          <w:i/>
          <w:color w:val="142F50"/>
          <w:sz w:val="22"/>
          <w:szCs w:val="22"/>
        </w:rPr>
        <w:t xml:space="preserve">Друштва од којих се прихватају ризици </w:t>
      </w:r>
    </w:p>
    <w:p w:rsidR="00DC2F12" w:rsidRPr="00B23DB0" w:rsidRDefault="00DC2F12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0D1B93" w:rsidRPr="009D732D" w:rsidRDefault="000D1B93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  <w:lang w:val="sr-Cyrl-RS"/>
        </w:rPr>
      </w:pPr>
      <w:r w:rsidRPr="00CE246B">
        <w:rPr>
          <w:rFonts w:ascii="Arial" w:hAnsi="Arial" w:cs="Arial"/>
          <w:color w:val="142F50"/>
          <w:sz w:val="22"/>
          <w:szCs w:val="22"/>
          <w:lang w:val="sr-Cyrl-RS"/>
        </w:rPr>
        <w:t>У 201</w:t>
      </w:r>
      <w:r w:rsidR="00CD04C0" w:rsidRPr="00CE246B">
        <w:rPr>
          <w:rFonts w:ascii="Arial" w:hAnsi="Arial" w:cs="Arial"/>
          <w:color w:val="142F50"/>
          <w:sz w:val="22"/>
          <w:szCs w:val="22"/>
          <w:lang w:val="sr-Cyrl-RS"/>
        </w:rPr>
        <w:t>9</w:t>
      </w:r>
      <w:r w:rsidRPr="00CE246B">
        <w:rPr>
          <w:rFonts w:ascii="Arial" w:hAnsi="Arial" w:cs="Arial"/>
          <w:color w:val="142F50"/>
          <w:sz w:val="22"/>
          <w:szCs w:val="22"/>
          <w:lang w:val="sr-Cyrl-RS"/>
        </w:rPr>
        <w:t xml:space="preserve">. години друштво је преузимало ризике од </w:t>
      </w:r>
      <w:r w:rsidR="00CE246B" w:rsidRPr="00CE246B">
        <w:rPr>
          <w:rFonts w:ascii="Arial" w:hAnsi="Arial" w:cs="Arial"/>
          <w:color w:val="142F50"/>
          <w:sz w:val="22"/>
          <w:szCs w:val="22"/>
          <w:lang w:val="sr-Cyrl-RS"/>
        </w:rPr>
        <w:t>53</w:t>
      </w:r>
      <w:r w:rsidRPr="00CE246B">
        <w:rPr>
          <w:rFonts w:ascii="Arial" w:hAnsi="Arial" w:cs="Arial"/>
          <w:color w:val="142F50"/>
          <w:sz w:val="22"/>
          <w:szCs w:val="22"/>
          <w:lang w:val="sr-Cyrl-RS"/>
        </w:rPr>
        <w:t xml:space="preserve"> цедената.</w:t>
      </w:r>
    </w:p>
    <w:p w:rsidR="000D1B93" w:rsidRPr="00B45827" w:rsidRDefault="000D1B93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  <w:highlight w:val="cyan"/>
          <w:lang w:val="sr-Cyrl-RS"/>
        </w:rPr>
      </w:pPr>
    </w:p>
    <w:p w:rsidR="00DC2F12" w:rsidRPr="00917D7E" w:rsidRDefault="00DC2F12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  <w:lang w:val="sr-Cyrl-RS"/>
        </w:rPr>
      </w:pPr>
      <w:r w:rsidRPr="00917D7E">
        <w:rPr>
          <w:rFonts w:ascii="Arial" w:hAnsi="Arial" w:cs="Arial"/>
          <w:color w:val="142F50"/>
          <w:sz w:val="22"/>
          <w:szCs w:val="22"/>
        </w:rPr>
        <w:t>Увидом у концентрацију изложености појединим друштвима</w:t>
      </w:r>
      <w:r w:rsidR="00A8333F" w:rsidRPr="00917D7E">
        <w:rPr>
          <w:rFonts w:ascii="Arial" w:hAnsi="Arial" w:cs="Arial"/>
          <w:color w:val="142F50"/>
          <w:sz w:val="22"/>
          <w:szCs w:val="22"/>
        </w:rPr>
        <w:t xml:space="preserve"> од којих се преузимају ризици</w:t>
      </w:r>
      <w:r w:rsidRPr="00917D7E">
        <w:rPr>
          <w:rFonts w:ascii="Arial" w:hAnsi="Arial" w:cs="Arial"/>
          <w:color w:val="142F50"/>
          <w:sz w:val="22"/>
          <w:szCs w:val="22"/>
        </w:rPr>
        <w:t xml:space="preserve"> мерено износом премије, уочава се да матична Компанија Дунав осигурање</w:t>
      </w:r>
      <w:r w:rsidR="00E65219" w:rsidRPr="00917D7E">
        <w:rPr>
          <w:rFonts w:ascii="Arial" w:hAnsi="Arial" w:cs="Arial"/>
          <w:color w:val="142F50"/>
          <w:sz w:val="22"/>
          <w:szCs w:val="22"/>
        </w:rPr>
        <w:t xml:space="preserve"> а.д.о. Београд</w:t>
      </w:r>
      <w:r w:rsidRPr="00917D7E">
        <w:rPr>
          <w:rFonts w:ascii="Arial" w:hAnsi="Arial" w:cs="Arial"/>
          <w:color w:val="142F50"/>
          <w:sz w:val="22"/>
          <w:szCs w:val="22"/>
        </w:rPr>
        <w:t xml:space="preserve"> има највеће учешће у премији – </w:t>
      </w:r>
      <w:r w:rsidR="00917D7E">
        <w:rPr>
          <w:rFonts w:ascii="Arial" w:hAnsi="Arial" w:cs="Arial"/>
          <w:color w:val="142F50"/>
          <w:sz w:val="22"/>
          <w:szCs w:val="22"/>
          <w:lang w:val="sr-Cyrl-RS"/>
        </w:rPr>
        <w:t>38</w:t>
      </w:r>
      <w:r w:rsidR="00B546CF" w:rsidRPr="00917D7E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917D7E">
        <w:rPr>
          <w:rFonts w:ascii="Arial" w:hAnsi="Arial" w:cs="Arial"/>
          <w:color w:val="142F50"/>
          <w:sz w:val="22"/>
          <w:szCs w:val="22"/>
          <w:lang w:val="sr-Cyrl-RS"/>
        </w:rPr>
        <w:t>12</w:t>
      </w:r>
      <w:r w:rsidRPr="00917D7E">
        <w:rPr>
          <w:rFonts w:ascii="Arial" w:hAnsi="Arial" w:cs="Arial"/>
          <w:color w:val="142F50"/>
          <w:sz w:val="22"/>
          <w:szCs w:val="22"/>
        </w:rPr>
        <w:t xml:space="preserve">%. Ово је очекивано, имајући у виду да је Компанија Дунав осигурање лидер на тржишту осигурања, са највећим портфељом, а да као матична компанија цедира ризике Друштву. </w:t>
      </w:r>
      <w:r w:rsidR="00092652" w:rsidRPr="00917D7E">
        <w:rPr>
          <w:rFonts w:ascii="Arial" w:hAnsi="Arial" w:cs="Arial"/>
          <w:color w:val="142F50"/>
          <w:sz w:val="22"/>
          <w:szCs w:val="22"/>
        </w:rPr>
        <w:t xml:space="preserve">Учешће Компаније 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Дунав осигурање </w:t>
      </w:r>
      <w:r w:rsidR="00092652" w:rsidRPr="00917D7E">
        <w:rPr>
          <w:rFonts w:ascii="Arial" w:hAnsi="Arial" w:cs="Arial"/>
          <w:color w:val="142F50"/>
          <w:sz w:val="22"/>
          <w:szCs w:val="22"/>
        </w:rPr>
        <w:t>у активној премији је смањено за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 </w:t>
      </w:r>
      <w:r w:rsidR="00917D7E">
        <w:rPr>
          <w:rFonts w:ascii="Arial" w:hAnsi="Arial" w:cs="Arial"/>
          <w:color w:val="142F50"/>
          <w:sz w:val="22"/>
          <w:szCs w:val="22"/>
          <w:lang w:val="sr-Cyrl-RS"/>
        </w:rPr>
        <w:t>4</w:t>
      </w:r>
      <w:r w:rsidR="00B546CF" w:rsidRPr="00917D7E">
        <w:rPr>
          <w:rFonts w:ascii="Arial" w:hAnsi="Arial" w:cs="Arial"/>
          <w:color w:val="142F50"/>
          <w:sz w:val="22"/>
          <w:szCs w:val="22"/>
          <w:lang w:val="sr-Latn-RS"/>
        </w:rPr>
        <w:t>,</w:t>
      </w:r>
      <w:r w:rsidR="00917D7E">
        <w:rPr>
          <w:rFonts w:ascii="Arial" w:hAnsi="Arial" w:cs="Arial"/>
          <w:color w:val="142F50"/>
          <w:sz w:val="22"/>
          <w:szCs w:val="22"/>
          <w:lang w:val="sr-Cyrl-RS"/>
        </w:rPr>
        <w:t>42</w:t>
      </w:r>
      <w:r w:rsidR="00B0699E" w:rsidRPr="00917D7E">
        <w:rPr>
          <w:rFonts w:ascii="Arial" w:hAnsi="Arial" w:cs="Arial"/>
          <w:color w:val="142F50"/>
          <w:sz w:val="22"/>
          <w:szCs w:val="22"/>
        </w:rPr>
        <w:t xml:space="preserve">% у односу на претходну годину, </w:t>
      </w:r>
      <w:r w:rsidR="00C03B08">
        <w:rPr>
          <w:rFonts w:ascii="Arial" w:hAnsi="Arial" w:cs="Arial"/>
          <w:color w:val="142F50"/>
          <w:sz w:val="22"/>
          <w:szCs w:val="22"/>
          <w:lang w:val="sr-Cyrl-RS"/>
        </w:rPr>
        <w:t>иако је премија овог цедента порасла за 37,35% односно за</w:t>
      </w:r>
      <w:r w:rsidR="00247856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 </w:t>
      </w:r>
      <w:r w:rsidR="00917D7E">
        <w:rPr>
          <w:rFonts w:ascii="Arial" w:hAnsi="Arial" w:cs="Arial"/>
          <w:color w:val="142F50"/>
          <w:sz w:val="22"/>
          <w:szCs w:val="22"/>
          <w:lang w:val="sr-Cyrl-RS"/>
        </w:rPr>
        <w:t>496.</w:t>
      </w:r>
      <w:r w:rsidR="00C25AAD">
        <w:rPr>
          <w:rFonts w:ascii="Arial" w:hAnsi="Arial" w:cs="Arial"/>
          <w:color w:val="142F50"/>
          <w:sz w:val="22"/>
          <w:szCs w:val="22"/>
          <w:lang w:val="sr-Cyrl-RS"/>
        </w:rPr>
        <w:t>253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 хиљад</w:t>
      </w:r>
      <w:r w:rsidR="00917D7E">
        <w:rPr>
          <w:rFonts w:ascii="Arial" w:hAnsi="Arial" w:cs="Arial"/>
          <w:color w:val="142F50"/>
          <w:sz w:val="22"/>
          <w:szCs w:val="22"/>
          <w:lang w:val="sr-Cyrl-RS"/>
        </w:rPr>
        <w:t>е</w:t>
      </w:r>
      <w:r w:rsidR="00C25AAD">
        <w:rPr>
          <w:rFonts w:ascii="Arial" w:hAnsi="Arial" w:cs="Arial"/>
          <w:color w:val="142F50"/>
          <w:sz w:val="22"/>
          <w:szCs w:val="22"/>
          <w:lang w:val="sr-Cyrl-RS"/>
        </w:rPr>
        <w:t xml:space="preserve"> динара. Са друге стра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не активна премија осталих цедената је расла за </w:t>
      </w:r>
      <w:r w:rsidR="00C03B08">
        <w:rPr>
          <w:rFonts w:ascii="Arial" w:hAnsi="Arial" w:cs="Arial"/>
          <w:color w:val="142F50"/>
          <w:sz w:val="22"/>
          <w:szCs w:val="22"/>
          <w:lang w:val="sr-Cyrl-RS"/>
        </w:rPr>
        <w:t>6</w:t>
      </w:r>
      <w:r w:rsidR="00C25AAD">
        <w:rPr>
          <w:rFonts w:ascii="Arial" w:hAnsi="Arial" w:cs="Arial"/>
          <w:color w:val="142F50"/>
          <w:sz w:val="22"/>
          <w:szCs w:val="22"/>
          <w:lang w:val="sr-Cyrl-RS"/>
        </w:rPr>
        <w:t>0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C25AAD">
        <w:rPr>
          <w:rFonts w:ascii="Arial" w:hAnsi="Arial" w:cs="Arial"/>
          <w:color w:val="142F50"/>
          <w:sz w:val="22"/>
          <w:szCs w:val="22"/>
          <w:lang w:val="sr-Cyrl-RS"/>
        </w:rPr>
        <w:t>5</w:t>
      </w:r>
      <w:r w:rsidR="00C03B08">
        <w:rPr>
          <w:rFonts w:ascii="Arial" w:hAnsi="Arial" w:cs="Arial"/>
          <w:color w:val="142F50"/>
          <w:sz w:val="22"/>
          <w:szCs w:val="22"/>
          <w:lang w:val="sr-Cyrl-RS"/>
        </w:rPr>
        <w:t>8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% односно </w:t>
      </w:r>
      <w:r w:rsidR="00C03B08">
        <w:rPr>
          <w:rFonts w:ascii="Arial" w:hAnsi="Arial" w:cs="Arial"/>
          <w:color w:val="142F50"/>
          <w:sz w:val="22"/>
          <w:szCs w:val="22"/>
          <w:lang w:val="sr-Cyrl-RS"/>
        </w:rPr>
        <w:t>1.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>1</w:t>
      </w:r>
      <w:r w:rsidR="00C03B08">
        <w:rPr>
          <w:rFonts w:ascii="Arial" w:hAnsi="Arial" w:cs="Arial"/>
          <w:color w:val="142F50"/>
          <w:sz w:val="22"/>
          <w:szCs w:val="22"/>
          <w:lang w:val="sr-Cyrl-RS"/>
        </w:rPr>
        <w:t>67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>.</w:t>
      </w:r>
      <w:r w:rsidR="00C25AAD">
        <w:rPr>
          <w:rFonts w:ascii="Arial" w:hAnsi="Arial" w:cs="Arial"/>
          <w:color w:val="142F50"/>
          <w:sz w:val="22"/>
          <w:szCs w:val="22"/>
          <w:lang w:val="sr-Cyrl-RS"/>
        </w:rPr>
        <w:t>367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 хиљад</w:t>
      </w:r>
      <w:r w:rsidR="00C03B08">
        <w:rPr>
          <w:rFonts w:ascii="Arial" w:hAnsi="Arial" w:cs="Arial"/>
          <w:color w:val="142F50"/>
          <w:sz w:val="22"/>
          <w:szCs w:val="22"/>
          <w:lang w:val="sr-Cyrl-RS"/>
        </w:rPr>
        <w:t>а</w:t>
      </w:r>
      <w:r w:rsidR="00E015F4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 динара.</w:t>
      </w:r>
    </w:p>
    <w:p w:rsidR="00DC2F12" w:rsidRPr="00917D7E" w:rsidRDefault="000D1B93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917D7E">
        <w:rPr>
          <w:rFonts w:ascii="Arial" w:hAnsi="Arial" w:cs="Arial"/>
          <w:color w:val="142F50"/>
          <w:sz w:val="22"/>
          <w:szCs w:val="22"/>
        </w:rPr>
        <w:t> </w:t>
      </w:r>
      <w:r w:rsidR="00DC2F12" w:rsidRPr="00917D7E">
        <w:rPr>
          <w:rFonts w:ascii="Arial" w:hAnsi="Arial" w:cs="Arial"/>
          <w:color w:val="142F50"/>
          <w:sz w:val="22"/>
          <w:szCs w:val="22"/>
        </w:rPr>
        <w:t> </w:t>
      </w:r>
    </w:p>
    <w:p w:rsidR="00DC2F12" w:rsidRPr="00917D7E" w:rsidRDefault="00DC2F12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917D7E">
        <w:rPr>
          <w:rFonts w:ascii="Arial" w:hAnsi="Arial" w:cs="Arial"/>
          <w:color w:val="142F50"/>
          <w:sz w:val="22"/>
          <w:szCs w:val="22"/>
        </w:rPr>
        <w:t xml:space="preserve">Од осталих осигуравајућих </w:t>
      </w:r>
      <w:r w:rsidR="00E812D5" w:rsidRPr="00917D7E">
        <w:rPr>
          <w:rFonts w:ascii="Arial" w:hAnsi="Arial" w:cs="Arial"/>
          <w:color w:val="142F50"/>
          <w:sz w:val="22"/>
          <w:szCs w:val="22"/>
        </w:rPr>
        <w:t>друштава</w:t>
      </w:r>
      <w:r w:rsidRPr="00917D7E">
        <w:rPr>
          <w:rFonts w:ascii="Arial" w:hAnsi="Arial" w:cs="Arial"/>
          <w:color w:val="142F50"/>
          <w:sz w:val="22"/>
          <w:szCs w:val="22"/>
        </w:rPr>
        <w:t xml:space="preserve"> од којих се преузимају ризици, мерено </w:t>
      </w:r>
      <w:r w:rsidR="00E812D5" w:rsidRPr="00917D7E">
        <w:rPr>
          <w:rFonts w:ascii="Arial" w:hAnsi="Arial" w:cs="Arial"/>
          <w:color w:val="142F50"/>
          <w:sz w:val="22"/>
          <w:szCs w:val="22"/>
        </w:rPr>
        <w:t>учешћем премије у укупној активној премији</w:t>
      </w:r>
      <w:r w:rsidRPr="00917D7E">
        <w:rPr>
          <w:rFonts w:ascii="Arial" w:hAnsi="Arial" w:cs="Arial"/>
          <w:color w:val="142F50"/>
          <w:sz w:val="22"/>
          <w:szCs w:val="22"/>
        </w:rPr>
        <w:t xml:space="preserve">, следе: </w:t>
      </w:r>
    </w:p>
    <w:p w:rsidR="00DC2F12" w:rsidRPr="00917D7E" w:rsidRDefault="00DC2F12" w:rsidP="00A45FEF">
      <w:pPr>
        <w:pStyle w:val="ListParagraph"/>
        <w:spacing w:line="120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917D7E">
        <w:rPr>
          <w:rFonts w:ascii="Arial" w:hAnsi="Arial" w:cs="Arial"/>
          <w:color w:val="142F50"/>
          <w:sz w:val="22"/>
          <w:szCs w:val="22"/>
        </w:rPr>
        <w:t> </w:t>
      </w:r>
    </w:p>
    <w:p w:rsidR="00DC2F12" w:rsidRPr="00917D7E" w:rsidRDefault="006420F9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>
        <w:rPr>
          <w:rFonts w:ascii="Arial" w:hAnsi="Arial" w:cs="Arial"/>
          <w:color w:val="142F50"/>
          <w:sz w:val="22"/>
          <w:szCs w:val="22"/>
          <w:lang w:val="sr-Cyrl-RS"/>
        </w:rPr>
        <w:t>2</w:t>
      </w:r>
      <w:r w:rsidR="00DC2F12" w:rsidRPr="00917D7E">
        <w:rPr>
          <w:rFonts w:ascii="Arial" w:hAnsi="Arial" w:cs="Arial"/>
          <w:color w:val="142F50"/>
          <w:sz w:val="22"/>
          <w:szCs w:val="22"/>
        </w:rPr>
        <w:t>.</w:t>
      </w:r>
      <w:r w:rsidR="000D1B93" w:rsidRPr="00917D7E">
        <w:rPr>
          <w:rFonts w:ascii="Arial" w:hAnsi="Arial" w:cs="Arial"/>
          <w:color w:val="142F50"/>
          <w:sz w:val="22"/>
          <w:szCs w:val="22"/>
        </w:rPr>
        <w:t xml:space="preserve"> </w:t>
      </w:r>
      <w:r w:rsidR="0038100E" w:rsidRPr="00917D7E">
        <w:rPr>
          <w:rFonts w:ascii="Arial" w:hAnsi="Arial" w:cs="Arial"/>
          <w:color w:val="142F50"/>
          <w:sz w:val="22"/>
          <w:szCs w:val="22"/>
        </w:rPr>
        <w:t>Sogaz</w:t>
      </w:r>
      <w:r w:rsidR="001371AB" w:rsidRPr="00917D7E">
        <w:rPr>
          <w:rFonts w:ascii="Arial" w:hAnsi="Arial" w:cs="Arial"/>
          <w:color w:val="142F50"/>
          <w:sz w:val="22"/>
          <w:szCs w:val="22"/>
        </w:rPr>
        <w:t xml:space="preserve"> Нови Сад 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2</w:t>
      </w:r>
      <w:r w:rsidR="001371AB" w:rsidRPr="00917D7E">
        <w:rPr>
          <w:rFonts w:ascii="Arial" w:hAnsi="Arial" w:cs="Arial"/>
          <w:color w:val="142F50"/>
          <w:sz w:val="22"/>
          <w:szCs w:val="22"/>
        </w:rPr>
        <w:t>3,4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7</w:t>
      </w:r>
      <w:r w:rsidR="000D1B93" w:rsidRPr="00917D7E">
        <w:rPr>
          <w:rFonts w:ascii="Arial" w:hAnsi="Arial" w:cs="Arial"/>
          <w:color w:val="142F50"/>
          <w:sz w:val="22"/>
          <w:szCs w:val="22"/>
        </w:rPr>
        <w:t>%,</w:t>
      </w:r>
    </w:p>
    <w:p w:rsidR="001371AB" w:rsidRPr="00917D7E" w:rsidRDefault="006420F9" w:rsidP="001371AB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>
        <w:rPr>
          <w:rFonts w:ascii="Arial" w:hAnsi="Arial" w:cs="Arial"/>
          <w:color w:val="142F50"/>
          <w:sz w:val="22"/>
          <w:szCs w:val="22"/>
          <w:lang w:val="sr-Cyrl-RS"/>
        </w:rPr>
        <w:t>3</w:t>
      </w:r>
      <w:r w:rsidR="001371AB" w:rsidRPr="00917D7E">
        <w:rPr>
          <w:rFonts w:ascii="Arial" w:hAnsi="Arial" w:cs="Arial"/>
          <w:color w:val="142F50"/>
          <w:sz w:val="22"/>
          <w:szCs w:val="22"/>
        </w:rPr>
        <w:t xml:space="preserve">. Uniqa неживотно осигурање Београд 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6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4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1</w:t>
      </w:r>
      <w:r w:rsidR="001371AB" w:rsidRPr="00917D7E">
        <w:rPr>
          <w:rFonts w:ascii="Arial" w:hAnsi="Arial" w:cs="Arial"/>
          <w:color w:val="142F50"/>
          <w:sz w:val="22"/>
          <w:szCs w:val="22"/>
        </w:rPr>
        <w:t>%</w:t>
      </w:r>
    </w:p>
    <w:p w:rsidR="001371AB" w:rsidRPr="00917D7E" w:rsidRDefault="006420F9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>
        <w:rPr>
          <w:rFonts w:ascii="Arial" w:hAnsi="Arial" w:cs="Arial"/>
          <w:color w:val="142F50"/>
          <w:sz w:val="22"/>
          <w:szCs w:val="22"/>
          <w:lang w:val="sr-Cyrl-RS"/>
        </w:rPr>
        <w:t>4</w:t>
      </w:r>
      <w:r w:rsidR="001371AB" w:rsidRPr="00917D7E">
        <w:rPr>
          <w:rFonts w:ascii="Arial" w:hAnsi="Arial" w:cs="Arial"/>
          <w:color w:val="142F50"/>
          <w:sz w:val="22"/>
          <w:szCs w:val="22"/>
        </w:rPr>
        <w:t xml:space="preserve">. Сава 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неживотно </w:t>
      </w:r>
      <w:r w:rsidR="001371AB" w:rsidRPr="00917D7E">
        <w:rPr>
          <w:rFonts w:ascii="Arial" w:hAnsi="Arial" w:cs="Arial"/>
          <w:color w:val="142F50"/>
          <w:sz w:val="22"/>
          <w:szCs w:val="22"/>
        </w:rPr>
        <w:t xml:space="preserve">осигурање Београд 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5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70</w:t>
      </w:r>
      <w:r w:rsidR="001371AB" w:rsidRPr="00917D7E">
        <w:rPr>
          <w:rFonts w:ascii="Arial" w:hAnsi="Arial" w:cs="Arial"/>
          <w:color w:val="142F50"/>
          <w:sz w:val="22"/>
          <w:szCs w:val="22"/>
        </w:rPr>
        <w:t>%,</w:t>
      </w:r>
    </w:p>
    <w:p w:rsidR="000D1B93" w:rsidRPr="00917D7E" w:rsidRDefault="006420F9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  <w:lang w:val="sr-Cyrl-RS"/>
        </w:rPr>
      </w:pPr>
      <w:r>
        <w:rPr>
          <w:rFonts w:ascii="Arial" w:hAnsi="Arial" w:cs="Arial"/>
          <w:color w:val="142F50"/>
          <w:sz w:val="22"/>
          <w:szCs w:val="22"/>
          <w:lang w:val="sr-Cyrl-RS"/>
        </w:rPr>
        <w:t>5</w:t>
      </w:r>
      <w:r w:rsidR="000D1B93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. Триглав осигурање 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4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,2</w:t>
      </w:r>
      <w:r w:rsidR="000A67ED">
        <w:rPr>
          <w:rFonts w:ascii="Arial" w:hAnsi="Arial" w:cs="Arial"/>
          <w:color w:val="142F50"/>
          <w:sz w:val="22"/>
          <w:szCs w:val="22"/>
          <w:lang w:val="sr-Cyrl-RS"/>
        </w:rPr>
        <w:t>1</w:t>
      </w:r>
      <w:r w:rsidR="000D1B93" w:rsidRPr="00917D7E">
        <w:rPr>
          <w:rFonts w:ascii="Arial" w:hAnsi="Arial" w:cs="Arial"/>
          <w:color w:val="142F50"/>
          <w:sz w:val="22"/>
          <w:szCs w:val="22"/>
          <w:lang w:val="sr-Cyrl-RS"/>
        </w:rPr>
        <w:t>%</w:t>
      </w:r>
    </w:p>
    <w:p w:rsidR="00FC0F97" w:rsidRPr="00917D7E" w:rsidRDefault="00FC0F97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DC2F12" w:rsidRPr="00917D7E" w:rsidRDefault="00DC2F12" w:rsidP="009F4AE3">
      <w:pPr>
        <w:pStyle w:val="ListParagraph"/>
        <w:spacing w:line="276" w:lineRule="auto"/>
        <w:ind w:left="0"/>
        <w:jc w:val="both"/>
        <w:rPr>
          <w:rFonts w:cs="Arial"/>
          <w:color w:val="142F50"/>
          <w:sz w:val="22"/>
          <w:szCs w:val="22"/>
        </w:rPr>
      </w:pPr>
      <w:r w:rsidRPr="00917D7E">
        <w:rPr>
          <w:rFonts w:ascii="Arial" w:hAnsi="Arial" w:cs="Arial"/>
          <w:color w:val="142F50"/>
          <w:sz w:val="22"/>
          <w:szCs w:val="22"/>
        </w:rPr>
        <w:t xml:space="preserve">Ових пет осигуравајућих </w:t>
      </w:r>
      <w:r w:rsidR="00ED4FFC" w:rsidRPr="00917D7E">
        <w:rPr>
          <w:rFonts w:ascii="Arial" w:hAnsi="Arial" w:cs="Arial"/>
          <w:color w:val="142F50"/>
          <w:sz w:val="22"/>
          <w:szCs w:val="22"/>
          <w:lang w:val="sr-Cyrl-RS"/>
        </w:rPr>
        <w:t>друштава</w:t>
      </w:r>
      <w:r w:rsidRPr="00917D7E">
        <w:rPr>
          <w:rFonts w:ascii="Arial" w:hAnsi="Arial" w:cs="Arial"/>
          <w:color w:val="142F50"/>
          <w:sz w:val="22"/>
          <w:szCs w:val="22"/>
        </w:rPr>
        <w:t xml:space="preserve"> учествују </w:t>
      </w:r>
      <w:r w:rsidR="00FC0F97" w:rsidRPr="00917D7E">
        <w:rPr>
          <w:rFonts w:ascii="Arial" w:hAnsi="Arial" w:cs="Arial"/>
          <w:color w:val="142F50"/>
          <w:sz w:val="22"/>
          <w:szCs w:val="22"/>
        </w:rPr>
        <w:t xml:space="preserve">са 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7</w:t>
      </w:r>
      <w:r w:rsidR="008013B4">
        <w:rPr>
          <w:rFonts w:ascii="Arial" w:hAnsi="Arial" w:cs="Arial"/>
          <w:color w:val="142F50"/>
          <w:sz w:val="22"/>
          <w:szCs w:val="22"/>
          <w:lang w:val="sr-Cyrl-RS"/>
        </w:rPr>
        <w:t>7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8013B4">
        <w:rPr>
          <w:rFonts w:ascii="Arial" w:hAnsi="Arial" w:cs="Arial"/>
          <w:color w:val="142F50"/>
          <w:sz w:val="22"/>
          <w:szCs w:val="22"/>
          <w:lang w:val="sr-Cyrl-RS"/>
        </w:rPr>
        <w:t>91</w:t>
      </w:r>
      <w:r w:rsidRPr="00917D7E">
        <w:rPr>
          <w:rFonts w:ascii="Arial" w:hAnsi="Arial" w:cs="Arial"/>
          <w:color w:val="142F50"/>
          <w:sz w:val="22"/>
          <w:szCs w:val="22"/>
        </w:rPr>
        <w:t xml:space="preserve">% у укупној </w:t>
      </w:r>
      <w:r w:rsidR="00E812D5" w:rsidRPr="00917D7E">
        <w:rPr>
          <w:rFonts w:ascii="Arial" w:hAnsi="Arial" w:cs="Arial"/>
          <w:color w:val="142F50"/>
          <w:sz w:val="22"/>
          <w:szCs w:val="22"/>
        </w:rPr>
        <w:t xml:space="preserve">активној </w:t>
      </w:r>
      <w:r w:rsidRPr="00917D7E">
        <w:rPr>
          <w:rFonts w:ascii="Arial" w:hAnsi="Arial" w:cs="Arial"/>
          <w:color w:val="142F50"/>
          <w:sz w:val="22"/>
          <w:szCs w:val="22"/>
        </w:rPr>
        <w:t>премији Друштва.</w:t>
      </w:r>
      <w:r w:rsidR="00ED4FFC" w:rsidRPr="00917D7E">
        <w:rPr>
          <w:rFonts w:ascii="Arial" w:hAnsi="Arial" w:cs="Arial"/>
          <w:color w:val="142F50"/>
          <w:sz w:val="22"/>
          <w:szCs w:val="22"/>
        </w:rPr>
        <w:t xml:space="preserve"> </w:t>
      </w:r>
      <w:r w:rsidR="00ED4FFC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Учешће преосталих цедената износи 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2</w:t>
      </w:r>
      <w:r w:rsidR="008013B4">
        <w:rPr>
          <w:rFonts w:ascii="Arial" w:hAnsi="Arial" w:cs="Arial"/>
          <w:color w:val="142F50"/>
          <w:sz w:val="22"/>
          <w:szCs w:val="22"/>
          <w:lang w:val="sr-Cyrl-RS"/>
        </w:rPr>
        <w:t>2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8013B4">
        <w:rPr>
          <w:rFonts w:ascii="Arial" w:hAnsi="Arial" w:cs="Arial"/>
          <w:color w:val="142F50"/>
          <w:sz w:val="22"/>
          <w:szCs w:val="22"/>
          <w:lang w:val="sr-Cyrl-RS"/>
        </w:rPr>
        <w:t>09</w:t>
      </w:r>
      <w:r w:rsidR="00ED4FFC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%. </w:t>
      </w:r>
      <w:r w:rsidR="00ED4FFC" w:rsidRPr="00917D7E">
        <w:rPr>
          <w:rFonts w:ascii="Arial" w:hAnsi="Arial" w:cs="Arial"/>
          <w:color w:val="142F50"/>
          <w:sz w:val="22"/>
          <w:szCs w:val="22"/>
        </w:rPr>
        <w:t>У претходној години учеш</w:t>
      </w:r>
      <w:r w:rsidR="00092652" w:rsidRPr="00917D7E">
        <w:rPr>
          <w:rFonts w:ascii="Arial" w:hAnsi="Arial" w:cs="Arial"/>
          <w:color w:val="142F50"/>
          <w:sz w:val="22"/>
          <w:szCs w:val="22"/>
        </w:rPr>
        <w:t xml:space="preserve">ће </w:t>
      </w:r>
      <w:r w:rsidR="000D1B93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5 водећих цедената износило је 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7</w:t>
      </w:r>
      <w:r w:rsidR="005B4A11">
        <w:rPr>
          <w:rFonts w:ascii="Arial" w:hAnsi="Arial" w:cs="Arial"/>
          <w:color w:val="142F50"/>
          <w:sz w:val="22"/>
          <w:szCs w:val="22"/>
          <w:lang w:val="sr-Cyrl-RS"/>
        </w:rPr>
        <w:t>4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5B4A11">
        <w:rPr>
          <w:rFonts w:ascii="Arial" w:hAnsi="Arial" w:cs="Arial"/>
          <w:color w:val="142F50"/>
          <w:sz w:val="22"/>
          <w:szCs w:val="22"/>
          <w:lang w:val="sr-Cyrl-RS"/>
        </w:rPr>
        <w:t>22</w:t>
      </w:r>
      <w:r w:rsidR="001371AB" w:rsidRPr="00917D7E">
        <w:rPr>
          <w:rFonts w:ascii="Arial" w:hAnsi="Arial" w:cs="Arial"/>
          <w:color w:val="142F50"/>
          <w:sz w:val="22"/>
          <w:szCs w:val="22"/>
          <w:lang w:val="sr-Cyrl-RS"/>
        </w:rPr>
        <w:t>%</w:t>
      </w:r>
      <w:r w:rsidR="000D1B93" w:rsidRPr="00917D7E">
        <w:rPr>
          <w:rFonts w:ascii="Arial" w:hAnsi="Arial" w:cs="Arial"/>
          <w:color w:val="142F50"/>
          <w:sz w:val="22"/>
          <w:szCs w:val="22"/>
          <w:lang w:val="sr-Cyrl-RS"/>
        </w:rPr>
        <w:t xml:space="preserve">. </w:t>
      </w:r>
      <w:r w:rsidRPr="00917D7E">
        <w:rPr>
          <w:rFonts w:cs="Arial"/>
          <w:color w:val="142F50"/>
          <w:sz w:val="22"/>
          <w:szCs w:val="22"/>
        </w:rPr>
        <w:t> </w:t>
      </w:r>
    </w:p>
    <w:p w:rsidR="00A45FEF" w:rsidRPr="00917D7E" w:rsidRDefault="00A45FEF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C0108F" w:rsidRPr="00917D7E" w:rsidRDefault="00C0108F" w:rsidP="009F4AE3">
      <w:pPr>
        <w:autoSpaceDE w:val="0"/>
        <w:autoSpaceDN w:val="0"/>
        <w:adjustRightInd w:val="0"/>
        <w:spacing w:line="276" w:lineRule="auto"/>
        <w:rPr>
          <w:rFonts w:cs="Arial"/>
          <w:color w:val="142F50"/>
          <w:sz w:val="22"/>
          <w:szCs w:val="22"/>
          <w:lang w:eastAsia="ar-SA"/>
        </w:rPr>
      </w:pPr>
      <w:r w:rsidRPr="00917D7E">
        <w:rPr>
          <w:rFonts w:cs="Arial"/>
          <w:color w:val="142F50"/>
          <w:sz w:val="22"/>
          <w:szCs w:val="22"/>
          <w:lang w:eastAsia="ar-SA"/>
        </w:rPr>
        <w:t>Пре прихвата ризика у реосигурање, Друштво утврђује кредитну односно финансијску способност/ризичност друштв</w:t>
      </w:r>
      <w:r w:rsidR="002437F3" w:rsidRPr="00917D7E">
        <w:rPr>
          <w:rFonts w:cs="Arial"/>
          <w:color w:val="142F50"/>
          <w:sz w:val="22"/>
          <w:szCs w:val="22"/>
          <w:lang w:eastAsia="ar-SA"/>
        </w:rPr>
        <w:t>а</w:t>
      </w:r>
      <w:r w:rsidRPr="00917D7E">
        <w:rPr>
          <w:rFonts w:cs="Arial"/>
          <w:color w:val="142F50"/>
          <w:sz w:val="22"/>
          <w:szCs w:val="22"/>
          <w:lang w:eastAsia="ar-SA"/>
        </w:rPr>
        <w:t xml:space="preserve"> за осигурање које има дозволу за рад у земљи издату од стране регулаторног органа, односно кој</w:t>
      </w:r>
      <w:r w:rsidR="002437F3" w:rsidRPr="00917D7E">
        <w:rPr>
          <w:rFonts w:cs="Arial"/>
          <w:color w:val="142F50"/>
          <w:sz w:val="22"/>
          <w:szCs w:val="22"/>
          <w:lang w:eastAsia="ar-SA"/>
        </w:rPr>
        <w:t>е</w:t>
      </w:r>
      <w:r w:rsidRPr="00917D7E">
        <w:rPr>
          <w:rFonts w:cs="Arial"/>
          <w:color w:val="142F50"/>
          <w:sz w:val="22"/>
          <w:szCs w:val="22"/>
          <w:lang w:eastAsia="ar-SA"/>
        </w:rPr>
        <w:t xml:space="preserve"> мора испошт</w:t>
      </w:r>
      <w:r w:rsidR="002437F3" w:rsidRPr="00917D7E">
        <w:rPr>
          <w:rFonts w:cs="Arial"/>
          <w:color w:val="142F50"/>
          <w:sz w:val="22"/>
          <w:szCs w:val="22"/>
          <w:lang w:eastAsia="ar-SA"/>
        </w:rPr>
        <w:t>овати</w:t>
      </w:r>
      <w:r w:rsidRPr="00917D7E">
        <w:rPr>
          <w:rFonts w:cs="Arial"/>
          <w:color w:val="142F50"/>
          <w:sz w:val="22"/>
          <w:szCs w:val="22"/>
          <w:lang w:eastAsia="ar-SA"/>
        </w:rPr>
        <w:t xml:space="preserve"> законску регулативу у погледу адекватности капитала, адекватности образова</w:t>
      </w:r>
      <w:r w:rsidR="00ED4FFC" w:rsidRPr="00917D7E">
        <w:rPr>
          <w:rFonts w:cs="Arial"/>
          <w:color w:val="142F50"/>
          <w:sz w:val="22"/>
          <w:szCs w:val="22"/>
          <w:lang w:eastAsia="ar-SA"/>
        </w:rPr>
        <w:t xml:space="preserve">них средстава технички резерви </w:t>
      </w:r>
      <w:r w:rsidRPr="00917D7E">
        <w:rPr>
          <w:rFonts w:cs="Arial"/>
          <w:color w:val="142F50"/>
          <w:sz w:val="22"/>
          <w:szCs w:val="22"/>
          <w:lang w:eastAsia="ar-SA"/>
        </w:rPr>
        <w:t>и др. Све ове услове задовољавају цеденти са којим</w:t>
      </w:r>
      <w:r w:rsidR="00ED4FFC" w:rsidRPr="00917D7E">
        <w:rPr>
          <w:rFonts w:cs="Arial"/>
          <w:color w:val="142F50"/>
          <w:sz w:val="22"/>
          <w:szCs w:val="22"/>
          <w:lang w:val="sr-Cyrl-RS" w:eastAsia="ar-SA"/>
        </w:rPr>
        <w:t>а</w:t>
      </w:r>
      <w:r w:rsidRPr="00917D7E">
        <w:rPr>
          <w:rFonts w:cs="Arial"/>
          <w:color w:val="142F50"/>
          <w:sz w:val="22"/>
          <w:szCs w:val="22"/>
          <w:lang w:eastAsia="ar-SA"/>
        </w:rPr>
        <w:t xml:space="preserve"> су закључени уговори о реосигурању.</w:t>
      </w:r>
    </w:p>
    <w:p w:rsidR="00977E53" w:rsidRPr="00917D7E" w:rsidRDefault="00977E53" w:rsidP="009F4AE3">
      <w:pPr>
        <w:autoSpaceDE w:val="0"/>
        <w:autoSpaceDN w:val="0"/>
        <w:adjustRightInd w:val="0"/>
        <w:spacing w:line="276" w:lineRule="auto"/>
        <w:rPr>
          <w:rFonts w:cs="Arial"/>
          <w:color w:val="142F50"/>
          <w:sz w:val="22"/>
          <w:szCs w:val="22"/>
          <w:lang w:eastAsia="ar-SA"/>
        </w:rPr>
      </w:pPr>
    </w:p>
    <w:p w:rsidR="00977E53" w:rsidRPr="00917D7E" w:rsidRDefault="00977E53" w:rsidP="009F4AE3">
      <w:pPr>
        <w:autoSpaceDE w:val="0"/>
        <w:autoSpaceDN w:val="0"/>
        <w:adjustRightInd w:val="0"/>
        <w:spacing w:line="276" w:lineRule="auto"/>
        <w:rPr>
          <w:rFonts w:cs="Arial"/>
          <w:color w:val="142F50"/>
          <w:sz w:val="22"/>
          <w:szCs w:val="22"/>
          <w:lang w:val="sr-Cyrl-RS" w:eastAsia="ar-SA"/>
        </w:rPr>
      </w:pPr>
      <w:r w:rsidRPr="00917D7E">
        <w:rPr>
          <w:rFonts w:cs="Arial"/>
          <w:color w:val="142F50"/>
          <w:sz w:val="22"/>
          <w:szCs w:val="22"/>
          <w:lang w:val="sr-Cyrl-RS" w:eastAsia="ar-SA"/>
        </w:rPr>
        <w:t xml:space="preserve">Поред територије Републике Србије са које долази </w:t>
      </w:r>
      <w:r w:rsidR="00CA174E" w:rsidRPr="00917D7E">
        <w:rPr>
          <w:rFonts w:cs="Arial"/>
          <w:color w:val="142F50"/>
          <w:sz w:val="22"/>
          <w:szCs w:val="22"/>
          <w:lang w:val="sr-Cyrl-RS" w:eastAsia="ar-SA"/>
        </w:rPr>
        <w:t>8</w:t>
      </w:r>
      <w:r w:rsidR="00755424">
        <w:rPr>
          <w:rFonts w:cs="Arial"/>
          <w:color w:val="142F50"/>
          <w:sz w:val="22"/>
          <w:szCs w:val="22"/>
          <w:lang w:val="sr-Cyrl-RS" w:eastAsia="ar-SA"/>
        </w:rPr>
        <w:t>7</w:t>
      </w:r>
      <w:r w:rsidR="00CA174E" w:rsidRPr="00917D7E">
        <w:rPr>
          <w:rFonts w:cs="Arial"/>
          <w:color w:val="142F50"/>
          <w:sz w:val="22"/>
          <w:szCs w:val="22"/>
          <w:lang w:val="sr-Cyrl-RS" w:eastAsia="ar-SA"/>
        </w:rPr>
        <w:t>,</w:t>
      </w:r>
      <w:r w:rsidR="00755424">
        <w:rPr>
          <w:rFonts w:cs="Arial"/>
          <w:color w:val="142F50"/>
          <w:sz w:val="22"/>
          <w:szCs w:val="22"/>
          <w:lang w:val="sr-Cyrl-RS" w:eastAsia="ar-SA"/>
        </w:rPr>
        <w:t>65</w:t>
      </w:r>
      <w:r w:rsidRPr="00917D7E">
        <w:rPr>
          <w:rFonts w:cs="Arial"/>
          <w:color w:val="142F50"/>
          <w:sz w:val="22"/>
          <w:szCs w:val="22"/>
          <w:lang w:val="sr-Cyrl-RS" w:eastAsia="ar-SA"/>
        </w:rPr>
        <w:t>% износа активне премије, остатак активне премије потиче са простора бивше Југославије (</w:t>
      </w:r>
      <w:r w:rsidR="00755424">
        <w:rPr>
          <w:rFonts w:cs="Arial"/>
          <w:color w:val="142F50"/>
          <w:sz w:val="22"/>
          <w:szCs w:val="22"/>
          <w:lang w:val="sr-Cyrl-RS" w:eastAsia="ar-SA"/>
        </w:rPr>
        <w:t>6</w:t>
      </w:r>
      <w:r w:rsidR="00CA174E" w:rsidRPr="00917D7E">
        <w:rPr>
          <w:rFonts w:cs="Arial"/>
          <w:color w:val="142F50"/>
          <w:sz w:val="22"/>
          <w:szCs w:val="22"/>
          <w:lang w:val="sr-Cyrl-RS" w:eastAsia="ar-SA"/>
        </w:rPr>
        <w:t>,</w:t>
      </w:r>
      <w:r w:rsidR="00755424">
        <w:rPr>
          <w:rFonts w:cs="Arial"/>
          <w:color w:val="142F50"/>
          <w:sz w:val="22"/>
          <w:szCs w:val="22"/>
          <w:lang w:val="sr-Cyrl-RS" w:eastAsia="ar-SA"/>
        </w:rPr>
        <w:t>84</w:t>
      </w:r>
      <w:r w:rsidRPr="00917D7E">
        <w:rPr>
          <w:rFonts w:cs="Arial"/>
          <w:color w:val="142F50"/>
          <w:sz w:val="22"/>
          <w:szCs w:val="22"/>
          <w:lang w:val="sr-Cyrl-RS" w:eastAsia="ar-SA"/>
        </w:rPr>
        <w:t>%), остатка Европе (</w:t>
      </w:r>
      <w:r w:rsidR="00CA174E" w:rsidRPr="00917D7E">
        <w:rPr>
          <w:rFonts w:cs="Arial"/>
          <w:color w:val="142F50"/>
          <w:sz w:val="22"/>
          <w:szCs w:val="22"/>
          <w:lang w:val="sr-Cyrl-RS" w:eastAsia="ar-SA"/>
        </w:rPr>
        <w:t>4,6</w:t>
      </w:r>
      <w:r w:rsidR="00755424">
        <w:rPr>
          <w:rFonts w:cs="Arial"/>
          <w:color w:val="142F50"/>
          <w:sz w:val="22"/>
          <w:szCs w:val="22"/>
          <w:lang w:val="sr-Cyrl-RS" w:eastAsia="ar-SA"/>
        </w:rPr>
        <w:t>9</w:t>
      </w:r>
      <w:r w:rsidRPr="00917D7E">
        <w:rPr>
          <w:rFonts w:cs="Arial"/>
          <w:color w:val="142F50"/>
          <w:sz w:val="22"/>
          <w:szCs w:val="22"/>
          <w:lang w:val="sr-Cyrl-RS" w:eastAsia="ar-SA"/>
        </w:rPr>
        <w:t xml:space="preserve">%), </w:t>
      </w:r>
      <w:r w:rsidR="00B63A59" w:rsidRPr="00917D7E">
        <w:rPr>
          <w:rFonts w:cs="Arial"/>
          <w:color w:val="142F50"/>
          <w:sz w:val="22"/>
          <w:szCs w:val="22"/>
          <w:lang w:val="sr-Cyrl-RS" w:eastAsia="ar-SA"/>
        </w:rPr>
        <w:t>Азије (</w:t>
      </w:r>
      <w:r w:rsidR="00CA174E" w:rsidRPr="00917D7E">
        <w:rPr>
          <w:rFonts w:cs="Arial"/>
          <w:color w:val="142F50"/>
          <w:sz w:val="22"/>
          <w:szCs w:val="22"/>
          <w:lang w:val="sr-Cyrl-RS" w:eastAsia="ar-SA"/>
        </w:rPr>
        <w:t>0,6</w:t>
      </w:r>
      <w:r w:rsidR="00755424">
        <w:rPr>
          <w:rFonts w:cs="Arial"/>
          <w:color w:val="142F50"/>
          <w:sz w:val="22"/>
          <w:szCs w:val="22"/>
          <w:lang w:val="sr-Cyrl-RS" w:eastAsia="ar-SA"/>
        </w:rPr>
        <w:t>2</w:t>
      </w:r>
      <w:r w:rsidR="00CA174E" w:rsidRPr="00917D7E">
        <w:rPr>
          <w:rFonts w:cs="Arial"/>
          <w:color w:val="142F50"/>
          <w:sz w:val="22"/>
          <w:szCs w:val="22"/>
          <w:lang w:val="sr-Cyrl-RS" w:eastAsia="ar-SA"/>
        </w:rPr>
        <w:t>%) и Африке (0,2</w:t>
      </w:r>
      <w:r w:rsidR="00755424">
        <w:rPr>
          <w:rFonts w:cs="Arial"/>
          <w:color w:val="142F50"/>
          <w:sz w:val="22"/>
          <w:szCs w:val="22"/>
          <w:lang w:val="sr-Cyrl-RS" w:eastAsia="ar-SA"/>
        </w:rPr>
        <w:t>1</w:t>
      </w:r>
      <w:r w:rsidR="00B63A59" w:rsidRPr="00917D7E">
        <w:rPr>
          <w:rFonts w:cs="Arial"/>
          <w:color w:val="142F50"/>
          <w:sz w:val="22"/>
          <w:szCs w:val="22"/>
          <w:lang w:val="sr-Cyrl-RS" w:eastAsia="ar-SA"/>
        </w:rPr>
        <w:t>%).</w:t>
      </w:r>
    </w:p>
    <w:p w:rsidR="00B63A59" w:rsidRPr="00917D7E" w:rsidRDefault="00B63A59" w:rsidP="009F4AE3">
      <w:pPr>
        <w:autoSpaceDE w:val="0"/>
        <w:autoSpaceDN w:val="0"/>
        <w:adjustRightInd w:val="0"/>
        <w:spacing w:line="276" w:lineRule="auto"/>
        <w:rPr>
          <w:rFonts w:cs="Arial"/>
          <w:color w:val="142F50"/>
          <w:sz w:val="22"/>
          <w:szCs w:val="22"/>
          <w:lang w:val="sr-Cyrl-RS" w:eastAsia="ar-SA"/>
        </w:rPr>
      </w:pPr>
    </w:p>
    <w:p w:rsidR="00B63A59" w:rsidRPr="00B23DB0" w:rsidRDefault="00B63A59" w:rsidP="009F4AE3">
      <w:pPr>
        <w:autoSpaceDE w:val="0"/>
        <w:autoSpaceDN w:val="0"/>
        <w:adjustRightInd w:val="0"/>
        <w:spacing w:line="276" w:lineRule="auto"/>
        <w:rPr>
          <w:rFonts w:cs="Arial"/>
          <w:color w:val="142F50"/>
          <w:sz w:val="22"/>
          <w:szCs w:val="22"/>
          <w:lang w:val="sr-Cyrl-RS" w:eastAsia="ar-SA"/>
        </w:rPr>
      </w:pPr>
      <w:r w:rsidRPr="00917D7E">
        <w:rPr>
          <w:rFonts w:cs="Arial"/>
          <w:color w:val="142F50"/>
          <w:sz w:val="22"/>
          <w:szCs w:val="22"/>
          <w:lang w:val="sr-Cyrl-RS" w:eastAsia="ar-SA"/>
        </w:rPr>
        <w:t>Уз настојање да се обезбеди просторна диверсификација ризика, Друштво је вршило тржишну анализу и микро анализу ризичног профила цедената и прихватало искључиво оне који су оцењени задовољавајућим бонитетом.</w:t>
      </w:r>
    </w:p>
    <w:p w:rsidR="00B27EED" w:rsidRDefault="00B27EED" w:rsidP="009F4AE3">
      <w:pPr>
        <w:spacing w:line="276" w:lineRule="auto"/>
        <w:rPr>
          <w:rFonts w:cs="Arial"/>
          <w:color w:val="142F50"/>
          <w:sz w:val="22"/>
          <w:szCs w:val="22"/>
          <w:lang w:eastAsia="ar-SA"/>
        </w:rPr>
      </w:pPr>
    </w:p>
    <w:p w:rsidR="00CE0052" w:rsidRPr="00B23DB0" w:rsidRDefault="00CE0052" w:rsidP="009F4AE3">
      <w:pPr>
        <w:spacing w:line="276" w:lineRule="auto"/>
        <w:rPr>
          <w:rFonts w:cs="Arial"/>
          <w:color w:val="142F50"/>
          <w:sz w:val="22"/>
          <w:szCs w:val="22"/>
          <w:lang w:eastAsia="ar-SA"/>
        </w:rPr>
      </w:pPr>
    </w:p>
    <w:p w:rsidR="00E65219" w:rsidRPr="00B23DB0" w:rsidRDefault="00E65219" w:rsidP="009F4AE3">
      <w:pPr>
        <w:pStyle w:val="ListParagraph"/>
        <w:numPr>
          <w:ilvl w:val="1"/>
          <w:numId w:val="47"/>
        </w:numPr>
        <w:spacing w:line="276" w:lineRule="auto"/>
        <w:rPr>
          <w:rFonts w:ascii="Arial" w:hAnsi="Arial" w:cs="Arial"/>
          <w:b/>
          <w:i/>
          <w:color w:val="142F50"/>
          <w:sz w:val="22"/>
          <w:szCs w:val="22"/>
        </w:rPr>
      </w:pPr>
      <w:r w:rsidRPr="00B23DB0">
        <w:rPr>
          <w:rFonts w:ascii="Arial" w:hAnsi="Arial" w:cs="Arial"/>
          <w:b/>
          <w:i/>
          <w:color w:val="142F50"/>
          <w:sz w:val="22"/>
          <w:szCs w:val="22"/>
        </w:rPr>
        <w:t xml:space="preserve">Друштва којима се </w:t>
      </w:r>
      <w:r w:rsidR="00A8333F" w:rsidRPr="00B23DB0">
        <w:rPr>
          <w:rFonts w:ascii="Arial" w:hAnsi="Arial" w:cs="Arial"/>
          <w:b/>
          <w:i/>
          <w:color w:val="142F50"/>
          <w:sz w:val="22"/>
          <w:szCs w:val="22"/>
        </w:rPr>
        <w:t xml:space="preserve">преносе </w:t>
      </w:r>
      <w:r w:rsidRPr="00B23DB0">
        <w:rPr>
          <w:rFonts w:ascii="Arial" w:hAnsi="Arial" w:cs="Arial"/>
          <w:b/>
          <w:i/>
          <w:color w:val="142F50"/>
          <w:sz w:val="22"/>
          <w:szCs w:val="22"/>
        </w:rPr>
        <w:t xml:space="preserve">ризици </w:t>
      </w:r>
    </w:p>
    <w:p w:rsidR="00EF0C07" w:rsidRPr="00B23DB0" w:rsidRDefault="00EF0C07" w:rsidP="00A45FEF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EF0C07" w:rsidRPr="00B23DB0" w:rsidRDefault="00EF0C07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>Друштво послује са реномираним реосигуравачима са дугом традицијом у реосигурању која су веома цењена у свету.</w:t>
      </w:r>
      <w:r w:rsidR="00A8333F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Pr="00B23DB0">
        <w:rPr>
          <w:rFonts w:ascii="Arial" w:hAnsi="Arial" w:cs="Arial"/>
          <w:color w:val="142F50"/>
          <w:sz w:val="22"/>
          <w:szCs w:val="22"/>
        </w:rPr>
        <w:t>Највећи број реосигуравача, мерено износом премије, са којима Друш</w:t>
      </w:r>
      <w:r w:rsidR="00E41227" w:rsidRPr="00B23DB0">
        <w:rPr>
          <w:rFonts w:ascii="Arial" w:hAnsi="Arial" w:cs="Arial"/>
          <w:color w:val="142F50"/>
          <w:sz w:val="22"/>
          <w:szCs w:val="22"/>
        </w:rPr>
        <w:t>т</w:t>
      </w:r>
      <w:r w:rsidRPr="00B23DB0">
        <w:rPr>
          <w:rFonts w:ascii="Arial" w:hAnsi="Arial" w:cs="Arial"/>
          <w:color w:val="142F50"/>
          <w:sz w:val="22"/>
          <w:szCs w:val="22"/>
        </w:rPr>
        <w:t>во послује је рејтинга А и више, по оцени агенције Standard &amp; Poors.</w:t>
      </w:r>
    </w:p>
    <w:p w:rsidR="00A8333F" w:rsidRPr="00B23DB0" w:rsidRDefault="00A8333F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E41227" w:rsidRPr="00B23DB0" w:rsidRDefault="00BE6530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 xml:space="preserve">Друштво послује са групама правних лица као што су: Сава, VIG, Uniqa, </w:t>
      </w:r>
      <w:r w:rsidR="00B0699E" w:rsidRPr="00B23DB0">
        <w:rPr>
          <w:rFonts w:ascii="Arial" w:hAnsi="Arial" w:cs="Arial"/>
          <w:color w:val="142F50"/>
          <w:sz w:val="22"/>
          <w:szCs w:val="22"/>
        </w:rPr>
        <w:t xml:space="preserve">Триглав, </w:t>
      </w:r>
      <w:r w:rsidR="00B359EE" w:rsidRPr="00B23DB0">
        <w:rPr>
          <w:rFonts w:ascii="Arial" w:hAnsi="Arial" w:cs="Arial"/>
          <w:color w:val="142F50"/>
          <w:sz w:val="22"/>
          <w:szCs w:val="22"/>
        </w:rPr>
        <w:t>Согаз</w:t>
      </w:r>
      <w:r w:rsidR="00310B62" w:rsidRPr="00B23DB0">
        <w:rPr>
          <w:rFonts w:ascii="Arial" w:hAnsi="Arial" w:cs="Arial"/>
          <w:color w:val="142F50"/>
          <w:sz w:val="22"/>
          <w:szCs w:val="22"/>
        </w:rPr>
        <w:t>.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E41227" w:rsidRPr="00B23DB0">
        <w:rPr>
          <w:rFonts w:ascii="Arial" w:hAnsi="Arial" w:cs="Arial"/>
          <w:color w:val="142F50"/>
          <w:sz w:val="22"/>
          <w:szCs w:val="22"/>
        </w:rPr>
        <w:t xml:space="preserve"> </w:t>
      </w:r>
    </w:p>
    <w:p w:rsidR="00EF0C07" w:rsidRPr="00B23DB0" w:rsidRDefault="00EF0C07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> </w:t>
      </w:r>
    </w:p>
    <w:p w:rsidR="00EF0C07" w:rsidRPr="00B45827" w:rsidRDefault="00EF0C07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  <w:lang w:val="sr-Cyrl-RS"/>
        </w:rPr>
      </w:pPr>
      <w:r w:rsidRPr="00B23DB0">
        <w:rPr>
          <w:rFonts w:ascii="Arial" w:hAnsi="Arial" w:cs="Arial"/>
          <w:color w:val="142F50"/>
          <w:sz w:val="22"/>
          <w:szCs w:val="22"/>
        </w:rPr>
        <w:t>О сарадњи са реосигуравачима и њиховом рејтингу Друштво приступа пажљиво, тако да се много полаже да ризи</w:t>
      </w:r>
      <w:r w:rsidR="000E6552" w:rsidRPr="00B23DB0">
        <w:rPr>
          <w:rFonts w:ascii="Arial" w:hAnsi="Arial" w:cs="Arial"/>
          <w:color w:val="142F50"/>
          <w:sz w:val="22"/>
          <w:szCs w:val="22"/>
        </w:rPr>
        <w:t>ци буду пласирани квалитетним реосигуравачима</w:t>
      </w:r>
      <w:r w:rsidR="00767C45" w:rsidRPr="00B23DB0">
        <w:rPr>
          <w:rFonts w:ascii="Arial" w:hAnsi="Arial" w:cs="Arial"/>
          <w:color w:val="142F50"/>
          <w:sz w:val="22"/>
          <w:szCs w:val="22"/>
        </w:rPr>
        <w:t xml:space="preserve"> уз претходну проверу њихове кредитне способности</w:t>
      </w:r>
      <w:r w:rsidR="00B45827">
        <w:rPr>
          <w:rFonts w:ascii="Arial" w:hAnsi="Arial" w:cs="Arial"/>
          <w:color w:val="142F50"/>
          <w:sz w:val="22"/>
          <w:szCs w:val="22"/>
          <w:lang w:val="sr-Cyrl-RS"/>
        </w:rPr>
        <w:t>.</w:t>
      </w:r>
    </w:p>
    <w:p w:rsidR="00B45827" w:rsidRPr="00B23DB0" w:rsidRDefault="00B45827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tbl>
      <w:tblPr>
        <w:tblW w:w="9629" w:type="dxa"/>
        <w:jc w:val="center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2972"/>
        <w:gridCol w:w="2268"/>
        <w:gridCol w:w="2268"/>
        <w:gridCol w:w="2121"/>
      </w:tblGrid>
      <w:tr w:rsidR="00FB2DBD" w:rsidRPr="00B23DB0" w:rsidTr="003B1114">
        <w:trPr>
          <w:trHeight w:val="585"/>
          <w:jc w:val="center"/>
        </w:trPr>
        <w:tc>
          <w:tcPr>
            <w:tcW w:w="2972" w:type="dxa"/>
            <w:shd w:val="clear" w:color="auto" w:fill="DBDBDB" w:themeFill="accent3" w:themeFillTint="66"/>
            <w:vAlign w:val="center"/>
            <w:hideMark/>
          </w:tcPr>
          <w:p w:rsidR="00E70504" w:rsidRPr="00B23DB0" w:rsidRDefault="00E70504" w:rsidP="00E70504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t>РЕТРОЦЕСИОНАР</w:t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  <w:hideMark/>
          </w:tcPr>
          <w:p w:rsidR="00E70504" w:rsidRPr="00B23DB0" w:rsidRDefault="00E70504" w:rsidP="00E70504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t>ЗЕМЉА СЕДИШТА</w:t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  <w:hideMark/>
          </w:tcPr>
          <w:p w:rsidR="00E70504" w:rsidRPr="00B23DB0" w:rsidRDefault="00E70504" w:rsidP="00E70504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t>РЕЈТИНГ РЕТРОЦЕСИОНАРА</w:t>
            </w:r>
          </w:p>
        </w:tc>
        <w:tc>
          <w:tcPr>
            <w:tcW w:w="2121" w:type="dxa"/>
            <w:shd w:val="clear" w:color="auto" w:fill="DBDBDB" w:themeFill="accent3" w:themeFillTint="66"/>
            <w:vAlign w:val="center"/>
            <w:hideMark/>
          </w:tcPr>
          <w:p w:rsidR="00E70504" w:rsidRPr="00B23DB0" w:rsidRDefault="00E70504" w:rsidP="00E70504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t>РЕЈТИНГ АГЕНЦИЈА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left"/>
              <w:rPr>
                <w:rFonts w:cs="Arial"/>
                <w:color w:val="1F4E79" w:themeColor="accent1" w:themeShade="80"/>
                <w:sz w:val="18"/>
                <w:szCs w:val="18"/>
                <w:lang w:val="en-US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Global Aerospace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  <w:lang w:val="en-US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AA+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GENERAL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Berkshire Hathaway International Insurance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ALLIANZ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 Nemačka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HANNOVER RE GERMANY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Munich Reinsurance Company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SCOR Global PC &amp; Germany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SWISS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Švajcarska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XL Catlin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Švajcarska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Zurich Insurance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Švajcarska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HCC International Insurance Company PLC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Samsung Fire &amp; Marine Insurance Co Ltd, Seoul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Južna Koreja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AXA CORPORATE SOLUTIONS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Lloyds Sindicates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DEVK RUCKVERSICHERUNG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Axis Speciality Europe SE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Irska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AXIS RE EUROPE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Švajcarska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VIG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Češka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AIG EUROPE LIMITED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Francuska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Deutsche Ruck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PARTNER REINSURANCE EUROPE SE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Švajcarska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B23DB0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Hanseatic Underwriters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MSIG Insurance Europe AG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QBE Equator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Bermuda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TRIGLAV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Slovenija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SAVA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Slovenija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CE0052" w:rsidRPr="00B23DB0" w:rsidTr="008D2111">
        <w:trPr>
          <w:trHeight w:val="585"/>
          <w:jc w:val="center"/>
        </w:trPr>
        <w:tc>
          <w:tcPr>
            <w:tcW w:w="2972" w:type="dxa"/>
            <w:shd w:val="clear" w:color="auto" w:fill="DBDBDB" w:themeFill="accent3" w:themeFillTint="66"/>
            <w:vAlign w:val="center"/>
            <w:hideMark/>
          </w:tcPr>
          <w:p w:rsidR="00CE0052" w:rsidRPr="00B23DB0" w:rsidRDefault="00CE0052" w:rsidP="008D2111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lastRenderedPageBreak/>
              <w:t>РЕТРОЦЕСИОНАР</w:t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  <w:hideMark/>
          </w:tcPr>
          <w:p w:rsidR="00CE0052" w:rsidRPr="00B23DB0" w:rsidRDefault="00CE0052" w:rsidP="008D2111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t>ЗЕМЉА СЕДИШТА</w:t>
            </w:r>
          </w:p>
        </w:tc>
        <w:tc>
          <w:tcPr>
            <w:tcW w:w="2268" w:type="dxa"/>
            <w:shd w:val="clear" w:color="auto" w:fill="DBDBDB" w:themeFill="accent3" w:themeFillTint="66"/>
            <w:vAlign w:val="center"/>
            <w:hideMark/>
          </w:tcPr>
          <w:p w:rsidR="00CE0052" w:rsidRPr="00B23DB0" w:rsidRDefault="00CE0052" w:rsidP="008D2111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t>РЕЈТИНГ РЕТРОЦЕСИОНАРА</w:t>
            </w:r>
          </w:p>
        </w:tc>
        <w:tc>
          <w:tcPr>
            <w:tcW w:w="2121" w:type="dxa"/>
            <w:shd w:val="clear" w:color="auto" w:fill="DBDBDB" w:themeFill="accent3" w:themeFillTint="66"/>
            <w:vAlign w:val="center"/>
            <w:hideMark/>
          </w:tcPr>
          <w:p w:rsidR="00CE0052" w:rsidRPr="00B23DB0" w:rsidRDefault="00CE0052" w:rsidP="008D2111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b/>
                <w:bCs/>
                <w:color w:val="142F50"/>
                <w:sz w:val="18"/>
                <w:szCs w:val="18"/>
                <w:lang w:val="sr-Cyrl-RS"/>
              </w:rPr>
              <w:t>РЕЈТИНГ АГЕНЦИЈА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Liberty Mutual Insurance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Uniqa Versicherungen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Austrija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Korean Re Co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Južna Koreja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Huatai Property &amp; Casuality Insurance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Fitch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Taiping General Insurance Company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UNIQA RE AG ZURICH, SWITZERLAND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Švajcarska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AMLIN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Švajcarska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Aspen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Lansforsakringar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Švedska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China Continent Property &amp; Casuality Insurance Co. Ltd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Delvag Versicherungs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PICC PROPERTY &amp; CASUALTY COMPANY LIMITED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Mapfre Re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Nemačka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Polish Reinsurance Company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Poljska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SIRIUS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Švedska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ODYSSEY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Francuska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Ping An Property &amp; Casuality Insurance Co. of China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China United Property Insurance Company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Fitch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TT Club Mutual Insurance Ltd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EURO P&amp;I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Holandija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International General Insurance Compay IGI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QBE INSURANCE GROUP LIMITED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Bank of China Insurance Company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Kuwait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Kuvajt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Lancashire Insurance Co London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Velika Britanija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Pools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Fidelis Insurance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 xml:space="preserve">Bermuda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A-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Sogaz OJSC, Moscow, Russia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Rusija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BBB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Standard &amp; Poors</w:t>
            </w:r>
          </w:p>
        </w:tc>
      </w:tr>
      <w:tr w:rsidR="00013391" w:rsidRPr="00484816" w:rsidTr="003B1114">
        <w:trPr>
          <w:trHeight w:val="36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Bosna Re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Bosna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B+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391" w:rsidRPr="00013391" w:rsidRDefault="00013391" w:rsidP="00013391">
            <w:pPr>
              <w:spacing w:line="240" w:lineRule="auto"/>
              <w:jc w:val="center"/>
              <w:rPr>
                <w:rFonts w:cs="Arial"/>
                <w:color w:val="1F4E79" w:themeColor="accent1" w:themeShade="80"/>
                <w:sz w:val="18"/>
                <w:szCs w:val="18"/>
              </w:rPr>
            </w:pPr>
            <w:r w:rsidRPr="00013391">
              <w:rPr>
                <w:rFonts w:cs="Arial"/>
                <w:color w:val="1F4E79" w:themeColor="accent1" w:themeShade="80"/>
                <w:sz w:val="18"/>
                <w:szCs w:val="18"/>
              </w:rPr>
              <w:t>A.M.Best</w:t>
            </w:r>
          </w:p>
        </w:tc>
      </w:tr>
    </w:tbl>
    <w:p w:rsidR="00B95D29" w:rsidRPr="00484816" w:rsidRDefault="00B95D29" w:rsidP="00B27D08">
      <w:pPr>
        <w:pStyle w:val="ListParagraph"/>
        <w:ind w:left="0"/>
        <w:rPr>
          <w:rFonts w:ascii="Arial" w:hAnsi="Arial" w:cs="Arial"/>
          <w:color w:val="1F3864" w:themeColor="accent5" w:themeShade="80"/>
          <w:sz w:val="22"/>
          <w:szCs w:val="22"/>
          <w:highlight w:val="green"/>
        </w:rPr>
      </w:pPr>
    </w:p>
    <w:p w:rsidR="00D67E40" w:rsidRPr="00B23DB0" w:rsidRDefault="002B5BF4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  <w:lang w:val="sr-Cyrl-RS"/>
        </w:rPr>
      </w:pPr>
      <w:r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Мерено премијом ретроцесије </w:t>
      </w:r>
      <w:r w:rsidR="009C6D76">
        <w:rPr>
          <w:rFonts w:ascii="Arial" w:hAnsi="Arial" w:cs="Arial"/>
          <w:color w:val="142F50"/>
          <w:sz w:val="22"/>
          <w:szCs w:val="22"/>
          <w:lang w:val="sr-Cyrl-RS"/>
        </w:rPr>
        <w:t>65</w:t>
      </w:r>
      <w:r w:rsidR="00856338" w:rsidRPr="00B23DB0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9C6D76">
        <w:rPr>
          <w:rFonts w:ascii="Arial" w:hAnsi="Arial" w:cs="Arial"/>
          <w:color w:val="142F50"/>
          <w:sz w:val="22"/>
          <w:szCs w:val="22"/>
          <w:lang w:val="sr-Cyrl-RS"/>
        </w:rPr>
        <w:t>43</w:t>
      </w:r>
      <w:r w:rsidR="00D67E40" w:rsidRPr="00B23DB0">
        <w:rPr>
          <w:rFonts w:ascii="Arial" w:hAnsi="Arial" w:cs="Arial"/>
          <w:color w:val="142F50"/>
          <w:sz w:val="22"/>
          <w:szCs w:val="22"/>
        </w:rPr>
        <w:t xml:space="preserve">% </w:t>
      </w:r>
      <w:r w:rsidR="00D17B65" w:rsidRPr="00B23DB0">
        <w:rPr>
          <w:rFonts w:ascii="Arial" w:hAnsi="Arial" w:cs="Arial"/>
          <w:color w:val="142F50"/>
          <w:sz w:val="22"/>
          <w:szCs w:val="22"/>
        </w:rPr>
        <w:t>пор</w:t>
      </w:r>
      <w:r w:rsidR="0098312D" w:rsidRPr="00B23DB0">
        <w:rPr>
          <w:rFonts w:ascii="Arial" w:hAnsi="Arial" w:cs="Arial"/>
          <w:color w:val="142F50"/>
          <w:sz w:val="22"/>
          <w:szCs w:val="22"/>
          <w:lang w:val="sr-Cyrl-RS"/>
        </w:rPr>
        <w:t>т</w:t>
      </w:r>
      <w:r w:rsidR="00D17B65" w:rsidRPr="00B23DB0">
        <w:rPr>
          <w:rFonts w:ascii="Arial" w:hAnsi="Arial" w:cs="Arial"/>
          <w:color w:val="142F50"/>
          <w:sz w:val="22"/>
          <w:szCs w:val="22"/>
        </w:rPr>
        <w:t>феља</w:t>
      </w:r>
      <w:r w:rsidR="00D67E40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D17B65" w:rsidRPr="00B23DB0">
        <w:rPr>
          <w:rFonts w:ascii="Arial" w:hAnsi="Arial" w:cs="Arial"/>
          <w:color w:val="142F50"/>
          <w:sz w:val="22"/>
          <w:szCs w:val="22"/>
        </w:rPr>
        <w:t>Друштва</w:t>
      </w:r>
      <w:r w:rsidR="00D67E40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D17B65" w:rsidRPr="00B23DB0">
        <w:rPr>
          <w:rFonts w:ascii="Arial" w:hAnsi="Arial" w:cs="Arial"/>
          <w:color w:val="142F50"/>
          <w:sz w:val="22"/>
          <w:szCs w:val="22"/>
        </w:rPr>
        <w:t>је</w:t>
      </w:r>
      <w:r w:rsidR="00D67E40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D17B65" w:rsidRPr="00B23DB0">
        <w:rPr>
          <w:rFonts w:ascii="Arial" w:hAnsi="Arial" w:cs="Arial"/>
          <w:color w:val="142F50"/>
          <w:sz w:val="22"/>
          <w:szCs w:val="22"/>
        </w:rPr>
        <w:t>код</w:t>
      </w:r>
      <w:r w:rsidR="00D67E40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D17B65" w:rsidRPr="00B23DB0">
        <w:rPr>
          <w:rFonts w:ascii="Arial" w:hAnsi="Arial" w:cs="Arial"/>
          <w:color w:val="142F50"/>
          <w:sz w:val="22"/>
          <w:szCs w:val="22"/>
        </w:rPr>
        <w:t>ретроцесионара</w:t>
      </w:r>
      <w:r w:rsidR="00D67E40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D17B65" w:rsidRPr="00B23DB0">
        <w:rPr>
          <w:rFonts w:ascii="Arial" w:hAnsi="Arial" w:cs="Arial"/>
          <w:color w:val="142F50"/>
          <w:sz w:val="22"/>
          <w:szCs w:val="22"/>
        </w:rPr>
        <w:t>рејтинга</w:t>
      </w:r>
      <w:r w:rsidR="004626C3" w:rsidRPr="00B23DB0">
        <w:rPr>
          <w:rFonts w:ascii="Arial" w:hAnsi="Arial" w:cs="Arial"/>
          <w:color w:val="142F50"/>
          <w:sz w:val="22"/>
          <w:szCs w:val="22"/>
        </w:rPr>
        <w:t xml:space="preserve"> A</w:t>
      </w:r>
      <w:r w:rsidR="00696328">
        <w:rPr>
          <w:rFonts w:ascii="Arial" w:hAnsi="Arial" w:cs="Arial"/>
          <w:color w:val="142F50"/>
          <w:sz w:val="22"/>
          <w:szCs w:val="22"/>
        </w:rPr>
        <w:t xml:space="preserve">, </w:t>
      </w:r>
      <w:r w:rsidR="00696328">
        <w:rPr>
          <w:rFonts w:ascii="Arial" w:hAnsi="Arial" w:cs="Arial"/>
          <w:color w:val="142F50"/>
          <w:sz w:val="22"/>
          <w:szCs w:val="22"/>
          <w:lang w:val="sr-Cyrl-RS"/>
        </w:rPr>
        <w:t>а</w:t>
      </w:r>
      <w:r w:rsidR="00696328">
        <w:rPr>
          <w:rFonts w:ascii="Arial" w:hAnsi="Arial" w:cs="Arial"/>
          <w:color w:val="142F50"/>
          <w:sz w:val="22"/>
          <w:szCs w:val="22"/>
        </w:rPr>
        <w:t xml:space="preserve"> 28,30% </w:t>
      </w:r>
      <w:r w:rsidR="004626C3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96328">
        <w:rPr>
          <w:rFonts w:ascii="Arial" w:hAnsi="Arial" w:cs="Arial"/>
          <w:color w:val="142F50"/>
          <w:sz w:val="22"/>
          <w:szCs w:val="22"/>
          <w:lang w:val="sr-Cyrl-RS"/>
        </w:rPr>
        <w:t xml:space="preserve">код ретроцесионара рејтинга ВВВ </w:t>
      </w:r>
      <w:r w:rsidR="004626C3" w:rsidRPr="00B23DB0">
        <w:rPr>
          <w:rFonts w:ascii="Arial" w:hAnsi="Arial" w:cs="Arial"/>
          <w:color w:val="142F50"/>
          <w:sz w:val="22"/>
          <w:szCs w:val="22"/>
        </w:rPr>
        <w:t>(Standard&amp;Poors</w:t>
      </w:r>
      <w:r w:rsidR="00BD2277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, </w:t>
      </w:r>
      <w:r w:rsidR="00BD2277" w:rsidRPr="00B23DB0">
        <w:rPr>
          <w:rFonts w:ascii="Arial" w:hAnsi="Arial" w:cs="Arial"/>
          <w:color w:val="142F50"/>
          <w:sz w:val="22"/>
          <w:szCs w:val="22"/>
          <w:lang w:val="sr-Latn-RS"/>
        </w:rPr>
        <w:t xml:space="preserve">Fitch </w:t>
      </w:r>
      <w:r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и </w:t>
      </w:r>
      <w:r w:rsidRPr="00B23DB0">
        <w:rPr>
          <w:rFonts w:ascii="Arial" w:hAnsi="Arial" w:cs="Arial"/>
          <w:color w:val="142F50"/>
          <w:sz w:val="22"/>
          <w:szCs w:val="22"/>
          <w:lang w:val="sr-Latn-RS"/>
        </w:rPr>
        <w:t>A. M. Best</w:t>
      </w:r>
      <w:r w:rsidR="004626C3" w:rsidRPr="00B23DB0">
        <w:rPr>
          <w:rFonts w:ascii="Arial" w:hAnsi="Arial" w:cs="Arial"/>
          <w:color w:val="142F50"/>
          <w:sz w:val="22"/>
          <w:szCs w:val="22"/>
        </w:rPr>
        <w:t>)</w:t>
      </w:r>
      <w:r w:rsidR="00856338" w:rsidRPr="00B23DB0">
        <w:rPr>
          <w:rFonts w:ascii="Arial" w:hAnsi="Arial" w:cs="Arial"/>
          <w:color w:val="142F50"/>
          <w:sz w:val="22"/>
          <w:szCs w:val="22"/>
          <w:lang w:val="sr-Cyrl-RS"/>
        </w:rPr>
        <w:t>.</w:t>
      </w:r>
      <w:r w:rsidR="00696328">
        <w:rPr>
          <w:rFonts w:ascii="Arial" w:hAnsi="Arial" w:cs="Arial"/>
          <w:color w:val="142F50"/>
          <w:sz w:val="22"/>
          <w:szCs w:val="22"/>
          <w:lang w:val="sr-Cyrl-RS"/>
        </w:rPr>
        <w:t xml:space="preserve"> Ово значи да је 93,73% пасивне премије код ретроцесионара који обезбеђују високу финансијску сигурност, односно за које је вероватноћа испуњења преузетих обавеза у наредној години изнад 99,75%.</w:t>
      </w:r>
    </w:p>
    <w:p w:rsidR="004626C3" w:rsidRPr="00B23DB0" w:rsidRDefault="004626C3" w:rsidP="00B27D08">
      <w:pPr>
        <w:pStyle w:val="ListParagraph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92107F" w:rsidRPr="00B23DB0" w:rsidRDefault="0041253C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 xml:space="preserve">Сарађујући са многим ретроцесионарима и адекватним преносом ризика </w:t>
      </w:r>
      <w:r w:rsidR="00D110CD" w:rsidRPr="00B23DB0">
        <w:rPr>
          <w:rFonts w:ascii="Arial" w:hAnsi="Arial" w:cs="Arial"/>
          <w:color w:val="142F50"/>
          <w:sz w:val="22"/>
          <w:szCs w:val="22"/>
        </w:rPr>
        <w:t>Друштво је обезбедило</w:t>
      </w:r>
      <w:r w:rsidR="0092107F" w:rsidRPr="00B23DB0">
        <w:rPr>
          <w:rFonts w:ascii="Arial" w:hAnsi="Arial" w:cs="Arial"/>
          <w:color w:val="142F50"/>
          <w:sz w:val="22"/>
          <w:szCs w:val="22"/>
        </w:rPr>
        <w:t xml:space="preserve"> добру диверсификацију ризика.</w:t>
      </w:r>
    </w:p>
    <w:p w:rsidR="00683408" w:rsidRDefault="00683408" w:rsidP="00B27D08">
      <w:pPr>
        <w:pStyle w:val="ListParagraph"/>
        <w:ind w:left="0"/>
        <w:jc w:val="both"/>
        <w:rPr>
          <w:rFonts w:ascii="Arial" w:hAnsi="Arial" w:cs="Arial"/>
          <w:color w:val="142F50"/>
          <w:sz w:val="22"/>
          <w:szCs w:val="22"/>
          <w:highlight w:val="green"/>
        </w:rPr>
      </w:pPr>
    </w:p>
    <w:p w:rsidR="00CE0052" w:rsidRPr="00B23DB0" w:rsidRDefault="00CE0052" w:rsidP="00B27D08">
      <w:pPr>
        <w:pStyle w:val="ListParagraph"/>
        <w:ind w:left="0"/>
        <w:jc w:val="both"/>
        <w:rPr>
          <w:rFonts w:ascii="Arial" w:hAnsi="Arial" w:cs="Arial"/>
          <w:color w:val="142F50"/>
          <w:sz w:val="22"/>
          <w:szCs w:val="22"/>
          <w:highlight w:val="green"/>
        </w:rPr>
      </w:pPr>
    </w:p>
    <w:p w:rsidR="00683408" w:rsidRPr="00B23DB0" w:rsidRDefault="0042312F" w:rsidP="00CE0052">
      <w:pPr>
        <w:pStyle w:val="ListParagraph"/>
        <w:keepNext/>
        <w:spacing w:line="360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lastRenderedPageBreak/>
        <w:t>Ретроцесионари са учешћем у пасивној премији са 5% и више:</w:t>
      </w:r>
    </w:p>
    <w:tbl>
      <w:tblPr>
        <w:tblW w:w="9719" w:type="dxa"/>
        <w:tblLook w:val="04A0" w:firstRow="1" w:lastRow="0" w:firstColumn="1" w:lastColumn="0" w:noHBand="0" w:noVBand="1"/>
      </w:tblPr>
      <w:tblGrid>
        <w:gridCol w:w="2547"/>
        <w:gridCol w:w="1276"/>
        <w:gridCol w:w="1275"/>
        <w:gridCol w:w="1225"/>
        <w:gridCol w:w="1132"/>
        <w:gridCol w:w="1132"/>
        <w:gridCol w:w="1132"/>
      </w:tblGrid>
      <w:tr w:rsidR="008D78BA" w:rsidRPr="00B23DB0" w:rsidTr="008D78BA">
        <w:trPr>
          <w:trHeight w:val="734"/>
        </w:trPr>
        <w:tc>
          <w:tcPr>
            <w:tcW w:w="2547" w:type="dxa"/>
            <w:tcBorders>
              <w:top w:val="single" w:sz="4" w:space="0" w:color="222B35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shd w:val="clear" w:color="000000" w:fill="DBDBDB"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  <w:t>РЕТРОЦЕСИОНАР</w:t>
            </w:r>
          </w:p>
        </w:tc>
        <w:tc>
          <w:tcPr>
            <w:tcW w:w="1276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shd w:val="clear" w:color="000000" w:fill="DBDBDB"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  <w:t>ПАСИВНА ПРЕМИЈА РСД</w:t>
            </w:r>
          </w:p>
        </w:tc>
        <w:tc>
          <w:tcPr>
            <w:tcW w:w="1275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shd w:val="clear" w:color="000000" w:fill="DBDBDB"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  <w:t>ЗЕМЉА СЕДИШТА</w:t>
            </w:r>
          </w:p>
        </w:tc>
        <w:tc>
          <w:tcPr>
            <w:tcW w:w="1225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shd w:val="clear" w:color="000000" w:fill="DBDBDB"/>
            <w:vAlign w:val="center"/>
            <w:hideMark/>
          </w:tcPr>
          <w:p w:rsidR="00961BA5" w:rsidRPr="00B23DB0" w:rsidRDefault="008D78BA" w:rsidP="008D78BA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  <w:t>РЕЈТИНГ</w:t>
            </w:r>
          </w:p>
        </w:tc>
        <w:tc>
          <w:tcPr>
            <w:tcW w:w="1132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shd w:val="clear" w:color="000000" w:fill="DBDBDB"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  <w:t>РЕЈТИНГ АГЕНЦИЈА</w:t>
            </w:r>
          </w:p>
        </w:tc>
        <w:tc>
          <w:tcPr>
            <w:tcW w:w="1132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shd w:val="clear" w:color="000000" w:fill="DBDBDB"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  <w:t>ДАТУМ ОБЈАВЕ РЕЈТИНГА</w:t>
            </w:r>
          </w:p>
        </w:tc>
        <w:tc>
          <w:tcPr>
            <w:tcW w:w="1132" w:type="dxa"/>
            <w:tcBorders>
              <w:top w:val="single" w:sz="4" w:space="0" w:color="222B35"/>
              <w:left w:val="nil"/>
              <w:bottom w:val="single" w:sz="4" w:space="0" w:color="222B35"/>
              <w:right w:val="single" w:sz="4" w:space="0" w:color="222B35"/>
            </w:tcBorders>
            <w:shd w:val="clear" w:color="000000" w:fill="DBDBDB"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b/>
                <w:bCs/>
                <w:color w:val="142F50"/>
                <w:sz w:val="16"/>
                <w:szCs w:val="16"/>
                <w:lang w:val="en-US"/>
              </w:rPr>
              <w:t>УЧЕШЋЕ У ПАСИВНОЈ ПРЕМИЈИ</w:t>
            </w:r>
          </w:p>
        </w:tc>
      </w:tr>
      <w:tr w:rsidR="00704E7D" w:rsidRPr="00B23DB0" w:rsidTr="009B7AD1">
        <w:trPr>
          <w:trHeight w:val="369"/>
        </w:trPr>
        <w:tc>
          <w:tcPr>
            <w:tcW w:w="2547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lef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 xml:space="preserve">ALLIANZ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6D30B4" w:rsidRDefault="006D30B4" w:rsidP="006D30B4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sr-Cyrl-RS"/>
              </w:rPr>
            </w:pP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215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903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 xml:space="preserve"> Nemačka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AA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Standard &amp; Poors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11.07.2007.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6D30B4" w:rsidP="006D30B4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5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,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7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%</w:t>
            </w:r>
          </w:p>
        </w:tc>
      </w:tr>
      <w:tr w:rsidR="00704E7D" w:rsidRPr="00B23DB0" w:rsidTr="009B7AD1">
        <w:trPr>
          <w:trHeight w:val="369"/>
        </w:trPr>
        <w:tc>
          <w:tcPr>
            <w:tcW w:w="2547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lef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HANNOVER RE GERMANY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6D30B4" w:rsidRDefault="006D30B4" w:rsidP="006D30B4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sr-Cyrl-RS"/>
              </w:rPr>
            </w:pP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215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048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Nemačka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AA-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Standard &amp; Poors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FA419E" w:rsidRDefault="00FA419E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FA419E">
              <w:rPr>
                <w:rFonts w:cs="Arial"/>
                <w:color w:val="142F50"/>
                <w:sz w:val="16"/>
                <w:szCs w:val="16"/>
                <w:lang w:val="sr-Cyrl-RS"/>
              </w:rPr>
              <w:t>15.04.2003.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6D30B4" w:rsidP="006D30B4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5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,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7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%</w:t>
            </w:r>
          </w:p>
        </w:tc>
      </w:tr>
      <w:tr w:rsidR="00704E7D" w:rsidRPr="00B23DB0" w:rsidTr="009B7AD1">
        <w:trPr>
          <w:trHeight w:val="369"/>
        </w:trPr>
        <w:tc>
          <w:tcPr>
            <w:tcW w:w="2547" w:type="dxa"/>
            <w:tcBorders>
              <w:top w:val="single" w:sz="4" w:space="0" w:color="222B35"/>
              <w:left w:val="single" w:sz="4" w:space="0" w:color="222B35"/>
              <w:bottom w:val="single" w:sz="4" w:space="0" w:color="auto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6D30B4" w:rsidRDefault="006D30B4" w:rsidP="009B7AD1">
            <w:pPr>
              <w:spacing w:line="240" w:lineRule="auto"/>
              <w:jc w:val="left"/>
              <w:rPr>
                <w:rFonts w:cs="Arial"/>
                <w:color w:val="142F50"/>
                <w:sz w:val="16"/>
                <w:szCs w:val="16"/>
                <w:lang w:val="sr-Latn-RS"/>
              </w:rPr>
            </w:pPr>
            <w:r>
              <w:rPr>
                <w:rFonts w:cs="Arial"/>
                <w:color w:val="142F50"/>
                <w:sz w:val="16"/>
                <w:szCs w:val="16"/>
                <w:lang w:val="sr-Latn-RS"/>
              </w:rPr>
              <w:t>Munich Reinsurance Company</w:t>
            </w:r>
          </w:p>
        </w:tc>
        <w:tc>
          <w:tcPr>
            <w:tcW w:w="1276" w:type="dxa"/>
            <w:tcBorders>
              <w:top w:val="single" w:sz="4" w:space="0" w:color="222B35"/>
              <w:left w:val="nil"/>
              <w:bottom w:val="single" w:sz="4" w:space="0" w:color="auto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6D30B4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1</w:t>
            </w:r>
            <w:r w:rsidR="006D30B4">
              <w:rPr>
                <w:rFonts w:cs="Arial"/>
                <w:color w:val="142F50"/>
                <w:sz w:val="16"/>
                <w:szCs w:val="16"/>
                <w:lang w:val="en-US"/>
              </w:rPr>
              <w:t>88</w:t>
            </w: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 w:rsidR="006D30B4">
              <w:rPr>
                <w:rFonts w:cs="Arial"/>
                <w:color w:val="142F50"/>
                <w:sz w:val="16"/>
                <w:szCs w:val="16"/>
                <w:lang w:val="en-US"/>
              </w:rPr>
              <w:t>029</w:t>
            </w: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.9</w:t>
            </w:r>
            <w:r w:rsidR="006D30B4">
              <w:rPr>
                <w:rFonts w:cs="Arial"/>
                <w:color w:val="142F50"/>
                <w:sz w:val="16"/>
                <w:szCs w:val="16"/>
                <w:lang w:val="en-US"/>
              </w:rPr>
              <w:t>38</w:t>
            </w:r>
          </w:p>
        </w:tc>
        <w:tc>
          <w:tcPr>
            <w:tcW w:w="1275" w:type="dxa"/>
            <w:tcBorders>
              <w:top w:val="single" w:sz="4" w:space="0" w:color="222B35"/>
              <w:left w:val="nil"/>
              <w:bottom w:val="single" w:sz="4" w:space="0" w:color="auto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6D30B4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Nemačka</w:t>
            </w:r>
          </w:p>
        </w:tc>
        <w:tc>
          <w:tcPr>
            <w:tcW w:w="1225" w:type="dxa"/>
            <w:tcBorders>
              <w:top w:val="single" w:sz="4" w:space="0" w:color="222B35"/>
              <w:left w:val="nil"/>
              <w:bottom w:val="single" w:sz="4" w:space="0" w:color="auto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AA-</w:t>
            </w:r>
          </w:p>
        </w:tc>
        <w:tc>
          <w:tcPr>
            <w:tcW w:w="1132" w:type="dxa"/>
            <w:tcBorders>
              <w:top w:val="single" w:sz="4" w:space="0" w:color="222B35"/>
              <w:left w:val="nil"/>
              <w:bottom w:val="single" w:sz="4" w:space="0" w:color="auto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Standard &amp; Poors</w:t>
            </w:r>
          </w:p>
        </w:tc>
        <w:tc>
          <w:tcPr>
            <w:tcW w:w="1132" w:type="dxa"/>
            <w:tcBorders>
              <w:top w:val="single" w:sz="4" w:space="0" w:color="222B35"/>
              <w:left w:val="nil"/>
              <w:bottom w:val="single" w:sz="4" w:space="0" w:color="auto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6D30B4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2</w:t>
            </w:r>
            <w:r w:rsidR="006D30B4">
              <w:rPr>
                <w:rFonts w:cs="Arial"/>
                <w:color w:val="142F50"/>
                <w:sz w:val="16"/>
                <w:szCs w:val="16"/>
                <w:lang w:val="en-US"/>
              </w:rPr>
              <w:t>2</w:t>
            </w: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 w:rsidR="006D30B4">
              <w:rPr>
                <w:rFonts w:cs="Arial"/>
                <w:color w:val="142F50"/>
                <w:sz w:val="16"/>
                <w:szCs w:val="16"/>
                <w:lang w:val="en-US"/>
              </w:rPr>
              <w:t>12</w:t>
            </w: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.20</w:t>
            </w:r>
            <w:r w:rsidR="006D30B4">
              <w:rPr>
                <w:rFonts w:cs="Arial"/>
                <w:color w:val="142F50"/>
                <w:sz w:val="16"/>
                <w:szCs w:val="16"/>
                <w:lang w:val="en-US"/>
              </w:rPr>
              <w:t>06</w:t>
            </w: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222B35"/>
              <w:left w:val="nil"/>
              <w:bottom w:val="single" w:sz="4" w:space="0" w:color="auto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5</w:t>
            </w:r>
            <w:r w:rsidR="006D30B4">
              <w:rPr>
                <w:rFonts w:cs="Arial"/>
                <w:color w:val="142F50"/>
                <w:sz w:val="16"/>
                <w:szCs w:val="16"/>
                <w:lang w:val="en-US"/>
              </w:rPr>
              <w:t>,0</w:t>
            </w: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%</w:t>
            </w:r>
          </w:p>
        </w:tc>
      </w:tr>
      <w:tr w:rsidR="00704E7D" w:rsidRPr="00B23DB0" w:rsidTr="009B7AD1">
        <w:trPr>
          <w:trHeight w:val="369"/>
        </w:trPr>
        <w:tc>
          <w:tcPr>
            <w:tcW w:w="2547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lef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Lloyds Sindicates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C66D01" w:rsidP="00C66D01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286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613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Velika Britanija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A+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Standard &amp; Poors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FA419E" w:rsidP="00FA419E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6</w:t>
            </w:r>
            <w:r w:rsidR="00254338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11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.20</w:t>
            </w:r>
            <w:r>
              <w:rPr>
                <w:rFonts w:cs="Arial"/>
                <w:color w:val="142F50"/>
                <w:sz w:val="16"/>
                <w:szCs w:val="16"/>
                <w:lang w:val="sr-Cyrl-RS"/>
              </w:rPr>
              <w:t>14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C66D01" w:rsidP="00C66D01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7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,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6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%</w:t>
            </w:r>
          </w:p>
        </w:tc>
      </w:tr>
      <w:tr w:rsidR="00704E7D" w:rsidRPr="00B23DB0" w:rsidTr="009B7AD1">
        <w:trPr>
          <w:trHeight w:val="369"/>
        </w:trPr>
        <w:tc>
          <w:tcPr>
            <w:tcW w:w="2547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254338" w:rsidP="009B7AD1">
            <w:pPr>
              <w:spacing w:line="240" w:lineRule="auto"/>
              <w:jc w:val="lef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TRIGLAV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 xml:space="preserve"> 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254338" w:rsidP="00254338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260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542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Slovenija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A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9B7AD1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Standard &amp; Poors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254338" w:rsidP="00254338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4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.7.201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6</w:t>
            </w:r>
            <w:r w:rsidR="00704E7D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704E7D" w:rsidRPr="00B23DB0" w:rsidRDefault="00704E7D" w:rsidP="00254338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6,</w:t>
            </w:r>
            <w:r w:rsidR="00254338">
              <w:rPr>
                <w:rFonts w:cs="Arial"/>
                <w:color w:val="142F50"/>
                <w:sz w:val="16"/>
                <w:szCs w:val="16"/>
                <w:lang w:val="en-US"/>
              </w:rPr>
              <w:t>9</w:t>
            </w: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%</w:t>
            </w:r>
          </w:p>
        </w:tc>
      </w:tr>
      <w:tr w:rsidR="008D78BA" w:rsidRPr="00B23DB0" w:rsidTr="00B27D08">
        <w:trPr>
          <w:trHeight w:val="369"/>
        </w:trPr>
        <w:tc>
          <w:tcPr>
            <w:tcW w:w="2547" w:type="dxa"/>
            <w:tcBorders>
              <w:top w:val="nil"/>
              <w:left w:val="single" w:sz="4" w:space="0" w:color="222B35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lef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Sogaz OJSC, Moscow, Russia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961BA5" w:rsidRPr="00B23DB0" w:rsidRDefault="004C179A" w:rsidP="004C179A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1.070</w:t>
            </w:r>
            <w:r w:rsidR="00961BA5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731</w:t>
            </w:r>
            <w:r w:rsidR="00961BA5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Rusija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961BA5" w:rsidRPr="00B23DB0" w:rsidRDefault="004C179A" w:rsidP="00961BA5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BBB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961BA5" w:rsidRPr="00B23DB0" w:rsidRDefault="004C179A" w:rsidP="00961BA5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Standard &amp; Poors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961BA5" w:rsidRPr="00B23DB0" w:rsidRDefault="004C179A" w:rsidP="00B13918">
            <w:pPr>
              <w:spacing w:line="240" w:lineRule="auto"/>
              <w:jc w:val="center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19</w:t>
            </w:r>
            <w:r w:rsidR="00961BA5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  <w:r w:rsidR="00B13918">
              <w:rPr>
                <w:rFonts w:cs="Arial"/>
                <w:color w:val="142F50"/>
                <w:sz w:val="16"/>
                <w:szCs w:val="16"/>
                <w:lang w:val="sr-Cyrl-RS"/>
              </w:rPr>
              <w:t>6</w:t>
            </w:r>
            <w:r w:rsidR="00961BA5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.201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9</w:t>
            </w:r>
            <w:r w:rsidR="00961BA5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222B35"/>
              <w:right w:val="single" w:sz="4" w:space="0" w:color="222B35"/>
            </w:tcBorders>
            <w:shd w:val="clear" w:color="auto" w:fill="auto"/>
            <w:noWrap/>
            <w:vAlign w:val="center"/>
            <w:hideMark/>
          </w:tcPr>
          <w:p w:rsidR="00961BA5" w:rsidRPr="00B23DB0" w:rsidRDefault="004C179A" w:rsidP="004C179A">
            <w:pPr>
              <w:spacing w:line="240" w:lineRule="auto"/>
              <w:jc w:val="right"/>
              <w:rPr>
                <w:rFonts w:cs="Arial"/>
                <w:color w:val="142F50"/>
                <w:sz w:val="16"/>
                <w:szCs w:val="16"/>
                <w:lang w:val="en-US"/>
              </w:rPr>
            </w:pP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28</w:t>
            </w:r>
            <w:r w:rsidR="00961BA5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,</w:t>
            </w:r>
            <w:r>
              <w:rPr>
                <w:rFonts w:cs="Arial"/>
                <w:color w:val="142F50"/>
                <w:sz w:val="16"/>
                <w:szCs w:val="16"/>
                <w:lang w:val="en-US"/>
              </w:rPr>
              <w:t>3</w:t>
            </w:r>
            <w:r w:rsidR="00961BA5" w:rsidRPr="00B23DB0">
              <w:rPr>
                <w:rFonts w:cs="Arial"/>
                <w:color w:val="142F50"/>
                <w:sz w:val="16"/>
                <w:szCs w:val="16"/>
                <w:lang w:val="en-US"/>
              </w:rPr>
              <w:t>%</w:t>
            </w:r>
          </w:p>
        </w:tc>
      </w:tr>
    </w:tbl>
    <w:p w:rsidR="00EB2817" w:rsidRPr="00B23DB0" w:rsidRDefault="00EB2817" w:rsidP="00EF5CCA">
      <w:pPr>
        <w:pStyle w:val="ListParagraph"/>
        <w:ind w:left="0"/>
        <w:jc w:val="both"/>
        <w:rPr>
          <w:rFonts w:ascii="Arial" w:hAnsi="Arial" w:cs="Arial"/>
          <w:color w:val="142F50"/>
          <w:sz w:val="22"/>
          <w:szCs w:val="22"/>
          <w:highlight w:val="green"/>
        </w:rPr>
      </w:pPr>
    </w:p>
    <w:p w:rsidR="009E7547" w:rsidRPr="00B23DB0" w:rsidRDefault="00FA5919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 xml:space="preserve">Пошто </w:t>
      </w:r>
      <w:r w:rsidR="00C25AAD">
        <w:rPr>
          <w:rFonts w:ascii="Arial" w:hAnsi="Arial" w:cs="Arial"/>
          <w:color w:val="142F50"/>
          <w:sz w:val="22"/>
          <w:szCs w:val="22"/>
          <w:lang w:val="sr-Cyrl-RS"/>
        </w:rPr>
        <w:t>шест</w:t>
      </w:r>
      <w:bookmarkStart w:id="0" w:name="_GoBack"/>
      <w:bookmarkEnd w:id="0"/>
      <w:r w:rsidRPr="00B23DB0">
        <w:rPr>
          <w:rFonts w:ascii="Arial" w:hAnsi="Arial" w:cs="Arial"/>
          <w:color w:val="142F50"/>
          <w:sz w:val="22"/>
          <w:szCs w:val="22"/>
        </w:rPr>
        <w:t xml:space="preserve"> водећих ретроцесионарa</w:t>
      </w:r>
      <w:r w:rsidR="00567A77" w:rsidRPr="00B23DB0">
        <w:rPr>
          <w:rFonts w:ascii="Arial" w:hAnsi="Arial" w:cs="Arial"/>
          <w:color w:val="142F50"/>
          <w:sz w:val="22"/>
          <w:szCs w:val="22"/>
        </w:rPr>
        <w:t xml:space="preserve"> учествују у пасивној </w:t>
      </w:r>
      <w:r w:rsidR="00461282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са укупно </w:t>
      </w:r>
      <w:r w:rsidR="00635A54">
        <w:rPr>
          <w:rFonts w:ascii="Arial" w:hAnsi="Arial" w:cs="Arial"/>
          <w:color w:val="142F50"/>
          <w:sz w:val="22"/>
          <w:szCs w:val="22"/>
          <w:lang w:val="sr-Latn-RS"/>
        </w:rPr>
        <w:t>59,2</w:t>
      </w:r>
      <w:r w:rsidR="00567A77" w:rsidRPr="00B23DB0">
        <w:rPr>
          <w:rFonts w:ascii="Arial" w:hAnsi="Arial" w:cs="Arial"/>
          <w:color w:val="142F50"/>
          <w:sz w:val="22"/>
          <w:szCs w:val="22"/>
        </w:rPr>
        <w:t>%</w:t>
      </w:r>
      <w:r w:rsidR="00461282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, а </w:t>
      </w:r>
      <w:r w:rsidR="00461282" w:rsidRPr="00B23DB0">
        <w:rPr>
          <w:rFonts w:ascii="Arial" w:hAnsi="Arial" w:cs="Arial"/>
          <w:color w:val="142F50"/>
          <w:sz w:val="22"/>
          <w:szCs w:val="22"/>
          <w:lang w:val="sr-Latn-RS"/>
        </w:rPr>
        <w:t xml:space="preserve">HHI </w:t>
      </w:r>
      <w:r w:rsidR="00461282" w:rsidRPr="00B23DB0">
        <w:rPr>
          <w:rFonts w:ascii="Arial" w:hAnsi="Arial" w:cs="Arial"/>
          <w:color w:val="142F50"/>
          <w:sz w:val="22"/>
          <w:szCs w:val="22"/>
          <w:lang w:val="sr-Cyrl-RS"/>
        </w:rPr>
        <w:t>индекс концентрације</w:t>
      </w:r>
      <w:r w:rsidR="007836AB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 је </w:t>
      </w:r>
      <w:r w:rsidR="00EC2C96">
        <w:rPr>
          <w:rFonts w:ascii="Arial" w:hAnsi="Arial" w:cs="Arial"/>
          <w:color w:val="142F50"/>
          <w:sz w:val="22"/>
          <w:szCs w:val="22"/>
          <w:lang w:val="sr-Cyrl-RS"/>
        </w:rPr>
        <w:t>око</w:t>
      </w:r>
      <w:r w:rsidR="00DB661A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 1.000</w:t>
      </w:r>
      <w:r w:rsidR="009967A9" w:rsidRPr="00B23DB0">
        <w:rPr>
          <w:rStyle w:val="FootnoteReference"/>
          <w:rFonts w:ascii="Arial" w:hAnsi="Arial" w:cs="Arial"/>
          <w:color w:val="142F50"/>
          <w:sz w:val="22"/>
          <w:szCs w:val="22"/>
          <w:lang w:val="sr-Cyrl-RS"/>
        </w:rPr>
        <w:footnoteReference w:id="1"/>
      </w:r>
      <w:r w:rsidR="00DB661A" w:rsidRPr="00B23DB0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7836AB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 </w:t>
      </w:r>
      <w:r w:rsidR="00EC2C96">
        <w:rPr>
          <w:rFonts w:ascii="Arial" w:hAnsi="Arial" w:cs="Arial"/>
          <w:color w:val="142F50"/>
          <w:sz w:val="22"/>
          <w:szCs w:val="22"/>
          <w:lang w:val="sr-Cyrl-RS"/>
        </w:rPr>
        <w:t>ш</w:t>
      </w:r>
      <w:r w:rsidR="007836AB" w:rsidRPr="00B23DB0">
        <w:rPr>
          <w:rFonts w:ascii="Arial" w:hAnsi="Arial" w:cs="Arial"/>
          <w:color w:val="142F50"/>
          <w:sz w:val="22"/>
          <w:szCs w:val="22"/>
          <w:lang w:val="sr-Cyrl-RS"/>
        </w:rPr>
        <w:t>то значи да</w:t>
      </w:r>
      <w:r w:rsidR="00461282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 </w:t>
      </w:r>
      <w:r w:rsidR="007836AB" w:rsidRPr="00B23DB0">
        <w:rPr>
          <w:rFonts w:ascii="Arial" w:hAnsi="Arial" w:cs="Arial"/>
          <w:color w:val="142F50"/>
          <w:sz w:val="22"/>
          <w:szCs w:val="22"/>
          <w:lang w:val="sr-Cyrl-RS"/>
        </w:rPr>
        <w:t>је постигнут висок степан диверстификације по ретроцесионарима.</w:t>
      </w:r>
      <w:r w:rsidR="00567A77" w:rsidRPr="00B23DB0">
        <w:rPr>
          <w:rFonts w:ascii="Arial" w:hAnsi="Arial" w:cs="Arial"/>
          <w:color w:val="142F50"/>
          <w:sz w:val="22"/>
          <w:szCs w:val="22"/>
        </w:rPr>
        <w:t xml:space="preserve"> Постоји </w:t>
      </w:r>
      <w:r w:rsidR="003E2D55" w:rsidRPr="00B23DB0">
        <w:rPr>
          <w:rFonts w:ascii="Arial" w:hAnsi="Arial" w:cs="Arial"/>
          <w:color w:val="142F50"/>
          <w:sz w:val="22"/>
          <w:szCs w:val="22"/>
          <w:lang w:val="sr-Cyrl-RS"/>
        </w:rPr>
        <w:t>значајан</w:t>
      </w:r>
      <w:r w:rsidR="00567A77" w:rsidRPr="00B23DB0">
        <w:rPr>
          <w:rFonts w:ascii="Arial" w:hAnsi="Arial" w:cs="Arial"/>
          <w:color w:val="142F50"/>
          <w:sz w:val="22"/>
          <w:szCs w:val="22"/>
        </w:rPr>
        <w:t xml:space="preserve"> број ретроцесионара који учествују у пасивној премији са </w:t>
      </w:r>
      <w:r w:rsidR="007836AB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учешћем </w:t>
      </w:r>
      <w:r w:rsidR="00567A77" w:rsidRPr="00B23DB0">
        <w:rPr>
          <w:rFonts w:ascii="Arial" w:hAnsi="Arial" w:cs="Arial"/>
          <w:color w:val="142F50"/>
          <w:sz w:val="22"/>
          <w:szCs w:val="22"/>
        </w:rPr>
        <w:t xml:space="preserve">испод 5%. </w:t>
      </w:r>
    </w:p>
    <w:p w:rsidR="00B95D29" w:rsidRPr="00B23DB0" w:rsidRDefault="00B95D29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464419" w:rsidRPr="00B23DB0" w:rsidRDefault="00464419" w:rsidP="00D24BCE">
      <w:pPr>
        <w:pStyle w:val="ListParagraph"/>
        <w:spacing w:after="120"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 xml:space="preserve">Ретроцесионари са учешћем у решеним </w:t>
      </w:r>
      <w:r w:rsidR="00D24BCE">
        <w:rPr>
          <w:rFonts w:ascii="Arial" w:hAnsi="Arial" w:cs="Arial"/>
          <w:color w:val="142F50"/>
          <w:sz w:val="22"/>
          <w:szCs w:val="22"/>
          <w:lang w:val="sr-Cyrl-RS"/>
        </w:rPr>
        <w:t>штетама у 201</w:t>
      </w:r>
      <w:r w:rsidR="00F6306E">
        <w:rPr>
          <w:rFonts w:ascii="Arial" w:hAnsi="Arial" w:cs="Arial"/>
          <w:color w:val="142F50"/>
          <w:sz w:val="22"/>
          <w:szCs w:val="22"/>
          <w:lang w:val="sr-Cyrl-RS"/>
        </w:rPr>
        <w:t>9</w:t>
      </w:r>
      <w:r w:rsidR="00D24BCE">
        <w:rPr>
          <w:rFonts w:ascii="Arial" w:hAnsi="Arial" w:cs="Arial"/>
          <w:color w:val="142F50"/>
          <w:sz w:val="22"/>
          <w:szCs w:val="22"/>
          <w:lang w:val="sr-Cyrl-RS"/>
        </w:rPr>
        <w:t xml:space="preserve">. години 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и RBNS штетама </w:t>
      </w:r>
      <w:r w:rsidR="00D24BCE">
        <w:rPr>
          <w:rFonts w:ascii="Arial" w:hAnsi="Arial" w:cs="Arial"/>
          <w:color w:val="142F50"/>
          <w:sz w:val="22"/>
          <w:szCs w:val="22"/>
          <w:lang w:val="sr-Cyrl-RS"/>
        </w:rPr>
        <w:t xml:space="preserve">на дан </w:t>
      </w:r>
      <w:r w:rsidR="00567A77" w:rsidRPr="00B23DB0">
        <w:rPr>
          <w:rFonts w:ascii="Arial" w:hAnsi="Arial" w:cs="Arial"/>
          <w:color w:val="142F50"/>
          <w:sz w:val="22"/>
          <w:szCs w:val="22"/>
        </w:rPr>
        <w:t>31.12.</w:t>
      </w:r>
      <w:r w:rsidR="009E7547" w:rsidRPr="00B23DB0">
        <w:rPr>
          <w:rFonts w:ascii="Arial" w:hAnsi="Arial" w:cs="Arial"/>
          <w:color w:val="142F50"/>
          <w:sz w:val="22"/>
          <w:szCs w:val="22"/>
        </w:rPr>
        <w:t>201</w:t>
      </w:r>
      <w:r w:rsidR="00F6306E">
        <w:rPr>
          <w:rFonts w:ascii="Arial" w:hAnsi="Arial" w:cs="Arial"/>
          <w:color w:val="142F50"/>
          <w:sz w:val="22"/>
          <w:szCs w:val="22"/>
          <w:lang w:val="sr-Cyrl-RS"/>
        </w:rPr>
        <w:t>9</w:t>
      </w:r>
      <w:r w:rsidR="00DB661A" w:rsidRPr="00B23DB0">
        <w:rPr>
          <w:rFonts w:ascii="Arial" w:hAnsi="Arial" w:cs="Arial"/>
          <w:color w:val="142F50"/>
          <w:sz w:val="22"/>
          <w:szCs w:val="22"/>
          <w:lang w:val="sr-Cyrl-RS"/>
        </w:rPr>
        <w:t>.</w:t>
      </w:r>
      <w:r w:rsidR="009E7547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Pr="00B23DB0">
        <w:rPr>
          <w:rFonts w:ascii="Arial" w:hAnsi="Arial" w:cs="Arial"/>
          <w:color w:val="142F50"/>
          <w:sz w:val="22"/>
          <w:szCs w:val="22"/>
        </w:rPr>
        <w:t>по пасивном послу са 5% и више:</w:t>
      </w:r>
    </w:p>
    <w:tbl>
      <w:tblPr>
        <w:tblW w:w="9630" w:type="dxa"/>
        <w:tblLook w:val="04A0" w:firstRow="1" w:lastRow="0" w:firstColumn="1" w:lastColumn="0" w:noHBand="0" w:noVBand="1"/>
      </w:tblPr>
      <w:tblGrid>
        <w:gridCol w:w="2086"/>
        <w:gridCol w:w="1382"/>
        <w:gridCol w:w="2231"/>
        <w:gridCol w:w="2016"/>
        <w:gridCol w:w="1915"/>
      </w:tblGrid>
      <w:tr w:rsidR="00B27D08" w:rsidRPr="00B23DB0" w:rsidTr="006056CB">
        <w:trPr>
          <w:trHeight w:val="510"/>
        </w:trPr>
        <w:tc>
          <w:tcPr>
            <w:tcW w:w="2086" w:type="dxa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000000" w:fill="D9D9D9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center"/>
              <w:rPr>
                <w:rFonts w:cs="Arial"/>
                <w:b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color w:val="142F50"/>
                <w:sz w:val="18"/>
                <w:szCs w:val="18"/>
                <w:lang w:val="en-US"/>
              </w:rPr>
              <w:t>РETРOЦEСИOНAР</w:t>
            </w:r>
          </w:p>
        </w:tc>
        <w:tc>
          <w:tcPr>
            <w:tcW w:w="1382" w:type="dxa"/>
            <w:tcBorders>
              <w:top w:val="single" w:sz="4" w:space="0" w:color="44546A"/>
              <w:left w:val="nil"/>
              <w:bottom w:val="single" w:sz="4" w:space="0" w:color="44546A"/>
              <w:right w:val="single" w:sz="4" w:space="0" w:color="44546A"/>
            </w:tcBorders>
            <w:shd w:val="clear" w:color="000000" w:fill="D9D9D9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center"/>
              <w:rPr>
                <w:rFonts w:cs="Arial"/>
                <w:b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color w:val="142F50"/>
                <w:sz w:val="18"/>
                <w:szCs w:val="18"/>
                <w:lang w:val="en-US"/>
              </w:rPr>
              <w:t>РEJTИНГ</w:t>
            </w:r>
          </w:p>
        </w:tc>
        <w:tc>
          <w:tcPr>
            <w:tcW w:w="2231" w:type="dxa"/>
            <w:tcBorders>
              <w:top w:val="single" w:sz="4" w:space="0" w:color="44546A"/>
              <w:left w:val="nil"/>
              <w:bottom w:val="single" w:sz="4" w:space="0" w:color="44546A"/>
              <w:right w:val="single" w:sz="4" w:space="0" w:color="44546A"/>
            </w:tcBorders>
            <w:shd w:val="clear" w:color="000000" w:fill="D9D9D9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center"/>
              <w:rPr>
                <w:rFonts w:cs="Arial"/>
                <w:b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color w:val="142F50"/>
                <w:sz w:val="18"/>
                <w:szCs w:val="18"/>
                <w:lang w:val="en-US"/>
              </w:rPr>
              <w:t>РEJTИНГ AГEНЦИJA</w:t>
            </w:r>
          </w:p>
        </w:tc>
        <w:tc>
          <w:tcPr>
            <w:tcW w:w="2016" w:type="dxa"/>
            <w:tcBorders>
              <w:top w:val="single" w:sz="4" w:space="0" w:color="44546A"/>
              <w:left w:val="nil"/>
              <w:bottom w:val="single" w:sz="4" w:space="0" w:color="44546A"/>
              <w:right w:val="single" w:sz="4" w:space="0" w:color="44546A"/>
            </w:tcBorders>
            <w:shd w:val="clear" w:color="000000" w:fill="D9D9D9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center"/>
              <w:rPr>
                <w:rFonts w:cs="Arial"/>
                <w:b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color w:val="142F50"/>
                <w:sz w:val="18"/>
                <w:szCs w:val="18"/>
                <w:lang w:val="en-US"/>
              </w:rPr>
              <w:t>Дaтум утврђивaњa рejтингa</w:t>
            </w:r>
          </w:p>
        </w:tc>
        <w:tc>
          <w:tcPr>
            <w:tcW w:w="1915" w:type="dxa"/>
            <w:tcBorders>
              <w:top w:val="single" w:sz="4" w:space="0" w:color="44546A"/>
              <w:left w:val="nil"/>
              <w:bottom w:val="single" w:sz="4" w:space="0" w:color="44546A"/>
              <w:right w:val="single" w:sz="4" w:space="0" w:color="44546A"/>
            </w:tcBorders>
            <w:shd w:val="clear" w:color="000000" w:fill="D9D9D9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center"/>
              <w:rPr>
                <w:rFonts w:cs="Arial"/>
                <w:b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b/>
                <w:color w:val="142F50"/>
                <w:sz w:val="18"/>
                <w:szCs w:val="18"/>
                <w:lang w:val="en-US"/>
              </w:rPr>
              <w:t xml:space="preserve">Учeшћe у укупним штeтaмa </w:t>
            </w:r>
          </w:p>
        </w:tc>
      </w:tr>
      <w:tr w:rsidR="00DF0618" w:rsidRPr="00B23DB0" w:rsidTr="006056CB">
        <w:trPr>
          <w:trHeight w:val="378"/>
        </w:trPr>
        <w:tc>
          <w:tcPr>
            <w:tcW w:w="2086" w:type="dxa"/>
            <w:tcBorders>
              <w:top w:val="nil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DF0618" w:rsidRPr="00B23DB0" w:rsidRDefault="00DF0618" w:rsidP="00DF0618">
            <w:pPr>
              <w:keepNext/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Swiss Re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DF0618" w:rsidRPr="00B23DB0" w:rsidRDefault="00DF0618" w:rsidP="00DF061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AA-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DF0618" w:rsidRPr="00B23DB0" w:rsidRDefault="00DF0618" w:rsidP="00DF061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Standard &amp; Poors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DF0618" w:rsidRPr="00FA419E" w:rsidRDefault="00DF0618" w:rsidP="00DF061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28.10.2011</w:t>
            </w:r>
            <w:r w:rsidR="00FA419E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DF0618" w:rsidRPr="00B23DB0" w:rsidRDefault="00DF0618" w:rsidP="00DF061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1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8,</w:t>
            </w: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55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%</w:t>
            </w:r>
          </w:p>
        </w:tc>
      </w:tr>
      <w:tr w:rsidR="00E97647" w:rsidRPr="00B23DB0" w:rsidTr="006056CB">
        <w:trPr>
          <w:trHeight w:val="378"/>
        </w:trPr>
        <w:tc>
          <w:tcPr>
            <w:tcW w:w="2086" w:type="dxa"/>
            <w:tcBorders>
              <w:top w:val="nil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Hanover Re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AA-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Standard &amp; Poors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FA419E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15.04.2003.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5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,</w:t>
            </w: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53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%</w:t>
            </w:r>
          </w:p>
        </w:tc>
      </w:tr>
      <w:tr w:rsidR="00E97647" w:rsidRPr="00B23DB0" w:rsidTr="006056CB">
        <w:trPr>
          <w:trHeight w:val="378"/>
        </w:trPr>
        <w:tc>
          <w:tcPr>
            <w:tcW w:w="2086" w:type="dxa"/>
            <w:tcBorders>
              <w:top w:val="nil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Lloyds Sindicates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A+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Standard &amp; Poors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FA419E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0</w:t>
            </w:r>
            <w:r w:rsidRPr="00FA419E">
              <w:rPr>
                <w:rFonts w:cs="Arial"/>
                <w:color w:val="142F50"/>
                <w:sz w:val="18"/>
                <w:szCs w:val="18"/>
                <w:lang w:val="sr-Cyrl-RS"/>
              </w:rPr>
              <w:t>6</w:t>
            </w:r>
            <w:r w:rsidRPr="00FA419E">
              <w:rPr>
                <w:rFonts w:cs="Arial"/>
                <w:color w:val="142F50"/>
                <w:sz w:val="18"/>
                <w:szCs w:val="18"/>
                <w:lang w:val="en-US"/>
              </w:rPr>
              <w:t>.</w:t>
            </w:r>
            <w:r w:rsidRPr="00FA419E">
              <w:rPr>
                <w:rFonts w:cs="Arial"/>
                <w:color w:val="142F50"/>
                <w:sz w:val="18"/>
                <w:szCs w:val="18"/>
                <w:lang w:val="sr-Cyrl-RS"/>
              </w:rPr>
              <w:t>11</w:t>
            </w:r>
            <w:r w:rsidRPr="00FA419E">
              <w:rPr>
                <w:rFonts w:cs="Arial"/>
                <w:color w:val="142F50"/>
                <w:sz w:val="18"/>
                <w:szCs w:val="18"/>
                <w:lang w:val="en-US"/>
              </w:rPr>
              <w:t>.20</w:t>
            </w:r>
            <w:r w:rsidRPr="00FA419E">
              <w:rPr>
                <w:rFonts w:cs="Arial"/>
                <w:color w:val="142F50"/>
                <w:sz w:val="18"/>
                <w:szCs w:val="18"/>
                <w:lang w:val="sr-Cyrl-RS"/>
              </w:rPr>
              <w:t>14.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1</w:t>
            </w: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9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,</w:t>
            </w:r>
            <w:r>
              <w:rPr>
                <w:rFonts w:cs="Arial"/>
                <w:color w:val="142F50"/>
                <w:sz w:val="18"/>
                <w:szCs w:val="18"/>
                <w:lang w:val="sr-Cyrl-RS"/>
              </w:rPr>
              <w:t>4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7%</w:t>
            </w:r>
          </w:p>
        </w:tc>
      </w:tr>
      <w:tr w:rsidR="00E97647" w:rsidRPr="00B23DB0" w:rsidTr="006056CB">
        <w:trPr>
          <w:trHeight w:val="378"/>
        </w:trPr>
        <w:tc>
          <w:tcPr>
            <w:tcW w:w="2086" w:type="dxa"/>
            <w:tcBorders>
              <w:top w:val="nil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DF0618" w:rsidRDefault="00E97647" w:rsidP="00E97647">
            <w:pPr>
              <w:keepNext/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sr-Latn-RS"/>
              </w:rPr>
            </w:pPr>
            <w:r>
              <w:rPr>
                <w:rFonts w:cs="Arial"/>
                <w:color w:val="142F50"/>
                <w:sz w:val="18"/>
                <w:szCs w:val="18"/>
                <w:lang w:val="sr-Latn-RS"/>
              </w:rPr>
              <w:t>AIG Europe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A+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Standard &amp; Poors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15.05.2018.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E97647" w:rsidRPr="00B23DB0" w:rsidRDefault="00E97647" w:rsidP="00E97647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8,33%</w:t>
            </w:r>
          </w:p>
        </w:tc>
      </w:tr>
      <w:tr w:rsidR="00961BA5" w:rsidRPr="00B23DB0" w:rsidTr="006056CB">
        <w:trPr>
          <w:trHeight w:val="378"/>
        </w:trPr>
        <w:tc>
          <w:tcPr>
            <w:tcW w:w="2086" w:type="dxa"/>
            <w:tcBorders>
              <w:top w:val="nil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Triglav Re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A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  <w:hideMark/>
          </w:tcPr>
          <w:p w:rsidR="00961BA5" w:rsidRPr="00B23DB0" w:rsidRDefault="00961BA5" w:rsidP="00B27D0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Standard &amp; Poors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  <w:hideMark/>
          </w:tcPr>
          <w:p w:rsidR="00961BA5" w:rsidRPr="00FA419E" w:rsidRDefault="00961BA5" w:rsidP="00B27D0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sr-Cyrl-R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04.07.2016</w:t>
            </w:r>
            <w:r w:rsidR="00FA419E">
              <w:rPr>
                <w:rFonts w:cs="Arial"/>
                <w:color w:val="142F50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  <w:hideMark/>
          </w:tcPr>
          <w:p w:rsidR="00961BA5" w:rsidRPr="00B23DB0" w:rsidRDefault="00961BA5" w:rsidP="00DF0618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1</w:t>
            </w:r>
            <w:r w:rsidR="00DF0618">
              <w:rPr>
                <w:rFonts w:cs="Arial"/>
                <w:color w:val="142F50"/>
                <w:sz w:val="18"/>
                <w:szCs w:val="18"/>
                <w:lang w:val="sr-Cyrl-RS"/>
              </w:rPr>
              <w:t>5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,</w:t>
            </w:r>
            <w:r w:rsidR="00DF0618">
              <w:rPr>
                <w:rFonts w:cs="Arial"/>
                <w:color w:val="142F50"/>
                <w:sz w:val="18"/>
                <w:szCs w:val="18"/>
                <w:lang w:val="sr-Cyrl-RS"/>
              </w:rPr>
              <w:t>37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%</w:t>
            </w:r>
          </w:p>
        </w:tc>
      </w:tr>
      <w:tr w:rsidR="006056CB" w:rsidRPr="00B23DB0" w:rsidTr="006056CB">
        <w:trPr>
          <w:trHeight w:val="378"/>
        </w:trPr>
        <w:tc>
          <w:tcPr>
            <w:tcW w:w="2086" w:type="dxa"/>
            <w:tcBorders>
              <w:top w:val="nil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6056CB" w:rsidRPr="00B23DB0" w:rsidRDefault="00DF0618" w:rsidP="006056CB">
            <w:pPr>
              <w:keepNext/>
              <w:spacing w:line="240" w:lineRule="auto"/>
              <w:jc w:val="left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Triglam Zavarovalnica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6056CB" w:rsidRPr="00B23DB0" w:rsidRDefault="00DF0618" w:rsidP="006056CB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A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6056CB" w:rsidRPr="00B23DB0" w:rsidRDefault="00DF0618" w:rsidP="006056CB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Standard &amp; Poors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6056CB" w:rsidRPr="00B23DB0" w:rsidRDefault="00DF0618" w:rsidP="006056CB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04.07.2016.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</w:tcPr>
          <w:p w:rsidR="006056CB" w:rsidRPr="00B23DB0" w:rsidRDefault="00DF0618" w:rsidP="006056CB">
            <w:pPr>
              <w:keepNext/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>
              <w:rPr>
                <w:rFonts w:cs="Arial"/>
                <w:color w:val="142F50"/>
                <w:sz w:val="18"/>
                <w:szCs w:val="18"/>
                <w:lang w:val="en-US"/>
              </w:rPr>
              <w:t>6,69%</w:t>
            </w:r>
          </w:p>
        </w:tc>
      </w:tr>
      <w:tr w:rsidR="00961BA5" w:rsidRPr="00B23DB0" w:rsidTr="00961BA5">
        <w:trPr>
          <w:trHeight w:val="461"/>
        </w:trPr>
        <w:tc>
          <w:tcPr>
            <w:tcW w:w="7715" w:type="dxa"/>
            <w:gridSpan w:val="4"/>
            <w:tcBorders>
              <w:top w:val="single" w:sz="4" w:space="0" w:color="44546A"/>
              <w:left w:val="single" w:sz="4" w:space="0" w:color="44546A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  <w:hideMark/>
          </w:tcPr>
          <w:p w:rsidR="00961BA5" w:rsidRPr="00B23DB0" w:rsidRDefault="00961BA5" w:rsidP="00961BA5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УЧEШЋE У УКУПНИM ШTETAMA ПO ПAСИВНOM ПOСЛУ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44546A"/>
              <w:right w:val="single" w:sz="4" w:space="0" w:color="44546A"/>
            </w:tcBorders>
            <w:shd w:val="clear" w:color="auto" w:fill="auto"/>
            <w:vAlign w:val="center"/>
            <w:hideMark/>
          </w:tcPr>
          <w:p w:rsidR="00961BA5" w:rsidRPr="00B23DB0" w:rsidRDefault="00961BA5" w:rsidP="00DF0618">
            <w:pPr>
              <w:spacing w:line="240" w:lineRule="auto"/>
              <w:jc w:val="center"/>
              <w:rPr>
                <w:rFonts w:cs="Arial"/>
                <w:color w:val="142F50"/>
                <w:sz w:val="18"/>
                <w:szCs w:val="18"/>
                <w:lang w:val="en-US"/>
              </w:rPr>
            </w:pP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7</w:t>
            </w:r>
            <w:r w:rsidR="00DF0618">
              <w:rPr>
                <w:rFonts w:cs="Arial"/>
                <w:color w:val="142F50"/>
                <w:sz w:val="18"/>
                <w:szCs w:val="18"/>
                <w:lang w:val="en-US"/>
              </w:rPr>
              <w:t>3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,</w:t>
            </w:r>
            <w:r w:rsidR="00DF0618">
              <w:rPr>
                <w:rFonts w:cs="Arial"/>
                <w:color w:val="142F50"/>
                <w:sz w:val="18"/>
                <w:szCs w:val="18"/>
                <w:lang w:val="en-US"/>
              </w:rPr>
              <w:t>9</w:t>
            </w:r>
            <w:r w:rsidRPr="00B23DB0">
              <w:rPr>
                <w:rFonts w:cs="Arial"/>
                <w:color w:val="142F50"/>
                <w:sz w:val="18"/>
                <w:szCs w:val="18"/>
                <w:lang w:val="en-US"/>
              </w:rPr>
              <w:t>4%</w:t>
            </w:r>
          </w:p>
        </w:tc>
      </w:tr>
    </w:tbl>
    <w:p w:rsidR="00961BA5" w:rsidRPr="00B23DB0" w:rsidRDefault="00961BA5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4F6C95" w:rsidRPr="00B23DB0" w:rsidRDefault="00EE551F" w:rsidP="00961BA5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EE551F">
        <w:rPr>
          <w:rFonts w:ascii="Arial" w:hAnsi="Arial" w:cs="Arial"/>
          <w:color w:val="142F50"/>
          <w:sz w:val="22"/>
          <w:szCs w:val="22"/>
        </w:rPr>
        <w:t>Р</w:t>
      </w:r>
      <w:r w:rsidRPr="00EE551F">
        <w:rPr>
          <w:rFonts w:ascii="Arial" w:hAnsi="Arial" w:cs="Arial"/>
          <w:color w:val="142F50"/>
          <w:sz w:val="22"/>
          <w:szCs w:val="22"/>
          <w:lang w:val="sr-Cyrl-RS"/>
        </w:rPr>
        <w:t xml:space="preserve">етроцесионари </w:t>
      </w:r>
      <w:r w:rsidRPr="00EE551F">
        <w:rPr>
          <w:rFonts w:ascii="Arial" w:hAnsi="Arial" w:cs="Arial"/>
          <w:color w:val="142F50"/>
          <w:sz w:val="22"/>
          <w:szCs w:val="22"/>
        </w:rPr>
        <w:t>Lloyds Sindicates</w:t>
      </w:r>
      <w:r>
        <w:rPr>
          <w:rFonts w:ascii="Arial" w:hAnsi="Arial" w:cs="Arial"/>
          <w:color w:val="142F50"/>
          <w:sz w:val="22"/>
          <w:szCs w:val="22"/>
          <w:lang w:val="sr-Cyrl-RS"/>
        </w:rPr>
        <w:t xml:space="preserve">, </w:t>
      </w:r>
      <w:r w:rsidRPr="00EE551F">
        <w:rPr>
          <w:rFonts w:ascii="Arial" w:hAnsi="Arial" w:cs="Arial"/>
          <w:color w:val="142F50"/>
          <w:sz w:val="22"/>
          <w:szCs w:val="22"/>
          <w:lang w:val="de-AT"/>
        </w:rPr>
        <w:t>Swiss Re</w:t>
      </w:r>
      <w:r>
        <w:rPr>
          <w:rFonts w:ascii="Arial" w:hAnsi="Arial" w:cs="Arial"/>
          <w:color w:val="142F50"/>
          <w:sz w:val="22"/>
          <w:szCs w:val="22"/>
          <w:lang w:val="sr-Cyrl-RS"/>
        </w:rPr>
        <w:t xml:space="preserve"> и </w:t>
      </w:r>
      <w:r w:rsidRPr="00EE551F">
        <w:rPr>
          <w:rFonts w:ascii="Arial" w:hAnsi="Arial" w:cs="Arial"/>
          <w:color w:val="142F50"/>
          <w:sz w:val="22"/>
          <w:szCs w:val="22"/>
          <w:lang w:val="de-AT"/>
        </w:rPr>
        <w:t>Triglav Re</w:t>
      </w:r>
      <w:r w:rsidR="009E7547" w:rsidRPr="00EE551F">
        <w:rPr>
          <w:rFonts w:ascii="Arial" w:hAnsi="Arial" w:cs="Arial"/>
          <w:color w:val="142F50"/>
          <w:sz w:val="22"/>
          <w:szCs w:val="22"/>
        </w:rPr>
        <w:t xml:space="preserve"> има</w:t>
      </w:r>
      <w:r>
        <w:rPr>
          <w:rFonts w:ascii="Arial" w:hAnsi="Arial" w:cs="Arial"/>
          <w:color w:val="142F50"/>
          <w:sz w:val="22"/>
          <w:szCs w:val="22"/>
          <w:lang w:val="sr-Cyrl-RS"/>
        </w:rPr>
        <w:t>ју</w:t>
      </w:r>
      <w:r w:rsidR="009E7547" w:rsidRPr="00EE551F">
        <w:rPr>
          <w:rFonts w:ascii="Arial" w:hAnsi="Arial" w:cs="Arial"/>
          <w:color w:val="142F50"/>
          <w:sz w:val="22"/>
          <w:szCs w:val="22"/>
        </w:rPr>
        <w:t xml:space="preserve"> н</w:t>
      </w:r>
      <w:r w:rsidR="00211FFD" w:rsidRPr="00EE551F">
        <w:rPr>
          <w:rFonts w:ascii="Arial" w:hAnsi="Arial" w:cs="Arial"/>
          <w:color w:val="142F50"/>
          <w:sz w:val="22"/>
          <w:szCs w:val="22"/>
        </w:rPr>
        <w:t>ajвeћe учeшћe у штeтaмa пo пaсивнoм пoслу</w:t>
      </w:r>
      <w:r>
        <w:rPr>
          <w:rFonts w:ascii="Arial" w:hAnsi="Arial" w:cs="Arial"/>
          <w:color w:val="142F50"/>
          <w:sz w:val="22"/>
          <w:szCs w:val="22"/>
          <w:lang w:val="sr-Cyrl-RS"/>
        </w:rPr>
        <w:t>, респективно 19,47%; 18,55% и 15,37%</w:t>
      </w:r>
      <w:r w:rsidR="000D2A28" w:rsidRPr="00EE551F">
        <w:rPr>
          <w:rFonts w:ascii="Arial" w:hAnsi="Arial" w:cs="Arial"/>
          <w:color w:val="142F50"/>
          <w:sz w:val="22"/>
          <w:szCs w:val="22"/>
          <w:lang w:val="sr-Cyrl-RS"/>
        </w:rPr>
        <w:t>,</w:t>
      </w:r>
      <w:r w:rsidR="00211FFD" w:rsidRPr="00EE551F">
        <w:rPr>
          <w:rFonts w:ascii="Arial" w:hAnsi="Arial" w:cs="Arial"/>
          <w:color w:val="142F50"/>
          <w:sz w:val="22"/>
          <w:szCs w:val="22"/>
        </w:rPr>
        <w:t xml:space="preserve"> </w:t>
      </w:r>
      <w:r w:rsidR="009E7547" w:rsidRPr="00EE551F">
        <w:rPr>
          <w:rFonts w:ascii="Arial" w:hAnsi="Arial" w:cs="Arial"/>
          <w:color w:val="142F50"/>
          <w:sz w:val="22"/>
          <w:szCs w:val="22"/>
        </w:rPr>
        <w:t>а</w:t>
      </w:r>
      <w:r w:rsidR="009E7547" w:rsidRPr="00B23DB0">
        <w:rPr>
          <w:rFonts w:ascii="Arial" w:hAnsi="Arial" w:cs="Arial"/>
          <w:color w:val="142F50"/>
          <w:sz w:val="22"/>
          <w:szCs w:val="22"/>
        </w:rPr>
        <w:t xml:space="preserve"> мерено износом премије </w:t>
      </w:r>
      <w:r>
        <w:rPr>
          <w:rFonts w:ascii="Arial" w:hAnsi="Arial" w:cs="Arial"/>
          <w:color w:val="142F50"/>
          <w:sz w:val="22"/>
          <w:szCs w:val="22"/>
          <w:lang w:val="sr-Cyrl-RS"/>
        </w:rPr>
        <w:t>њи</w:t>
      </w:r>
      <w:r w:rsidR="00253EBB">
        <w:rPr>
          <w:rFonts w:ascii="Arial" w:hAnsi="Arial" w:cs="Arial"/>
          <w:color w:val="142F50"/>
          <w:sz w:val="22"/>
          <w:szCs w:val="22"/>
          <w:lang w:val="sr-Cyrl-RS"/>
        </w:rPr>
        <w:t>х</w:t>
      </w:r>
      <w:r>
        <w:rPr>
          <w:rFonts w:ascii="Arial" w:hAnsi="Arial" w:cs="Arial"/>
          <w:color w:val="142F50"/>
          <w:sz w:val="22"/>
          <w:szCs w:val="22"/>
          <w:lang w:val="sr-Cyrl-RS"/>
        </w:rPr>
        <w:t xml:space="preserve">ово учешће износи </w:t>
      </w:r>
      <w:r w:rsidR="00253EBB">
        <w:rPr>
          <w:rFonts w:ascii="Arial" w:hAnsi="Arial" w:cs="Arial"/>
          <w:color w:val="142F50"/>
          <w:sz w:val="22"/>
          <w:szCs w:val="22"/>
          <w:lang w:val="sr-Cyrl-RS"/>
        </w:rPr>
        <w:t>7,58%; 2,41% и 6,89%.</w:t>
      </w:r>
    </w:p>
    <w:p w:rsidR="00CD45D7" w:rsidRPr="00B23DB0" w:rsidRDefault="00CD45D7" w:rsidP="00EF5CCA">
      <w:pPr>
        <w:pStyle w:val="ListParagraph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6304F4" w:rsidRPr="00B23DB0" w:rsidRDefault="006304F4" w:rsidP="00EF5CCA">
      <w:pPr>
        <w:pStyle w:val="ListParagraph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683408" w:rsidRPr="00B23DB0" w:rsidRDefault="00683408" w:rsidP="009F4AE3">
      <w:pPr>
        <w:pStyle w:val="ListParagraph"/>
        <w:numPr>
          <w:ilvl w:val="0"/>
          <w:numId w:val="47"/>
        </w:numPr>
        <w:spacing w:line="276" w:lineRule="auto"/>
        <w:ind w:left="284" w:hanging="284"/>
        <w:rPr>
          <w:rFonts w:ascii="Arial" w:hAnsi="Arial" w:cs="Arial"/>
          <w:b/>
          <w:i/>
          <w:color w:val="142F50"/>
          <w:sz w:val="22"/>
          <w:szCs w:val="22"/>
        </w:rPr>
      </w:pPr>
      <w:r w:rsidRPr="00B23DB0">
        <w:rPr>
          <w:rFonts w:ascii="Arial" w:hAnsi="Arial" w:cs="Arial"/>
          <w:b/>
          <w:i/>
          <w:color w:val="142F50"/>
          <w:sz w:val="22"/>
          <w:szCs w:val="22"/>
        </w:rPr>
        <w:t>ИЗЛОЖЕНОСТ КАТАСТРОФАЛНИМ РИЗИЦИМА</w:t>
      </w:r>
    </w:p>
    <w:p w:rsidR="00D17B65" w:rsidRPr="00B23DB0" w:rsidRDefault="00D17B65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3D0ED2" w:rsidRPr="00B23DB0" w:rsidRDefault="00683408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 xml:space="preserve">Друштво </w:t>
      </w:r>
      <w:r w:rsidR="002D2AD2" w:rsidRPr="00B23DB0">
        <w:rPr>
          <w:rFonts w:ascii="Arial" w:hAnsi="Arial" w:cs="Arial"/>
          <w:color w:val="142F50"/>
          <w:sz w:val="22"/>
          <w:szCs w:val="22"/>
          <w:lang w:val="sr-Cyrl-RS"/>
        </w:rPr>
        <w:t>спроводи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2D2AD2" w:rsidRPr="00B23DB0">
        <w:rPr>
          <w:rFonts w:ascii="Arial" w:hAnsi="Arial" w:cs="Arial"/>
          <w:color w:val="142F50"/>
          <w:sz w:val="22"/>
          <w:szCs w:val="22"/>
          <w:lang w:val="sr-Cyrl-RS"/>
        </w:rPr>
        <w:t>опрезну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заштиту портфеља кроз </w:t>
      </w:r>
      <w:r w:rsidR="002D2AD2" w:rsidRPr="00B23DB0">
        <w:rPr>
          <w:rFonts w:ascii="Arial" w:hAnsi="Arial" w:cs="Arial"/>
          <w:color w:val="142F50"/>
          <w:sz w:val="22"/>
          <w:szCs w:val="22"/>
          <w:lang w:val="sr-Cyrl-RS"/>
        </w:rPr>
        <w:t>свеобухватну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анализу катастрофалних ризика и</w:t>
      </w:r>
      <w:r w:rsidR="007A2E69" w:rsidRPr="00B23DB0">
        <w:rPr>
          <w:rFonts w:ascii="Arial" w:hAnsi="Arial" w:cs="Arial"/>
          <w:color w:val="142F50"/>
          <w:sz w:val="22"/>
          <w:szCs w:val="22"/>
        </w:rPr>
        <w:t xml:space="preserve"> могућност</w:t>
      </w:r>
      <w:r w:rsidR="002D2AD2" w:rsidRPr="00B23DB0">
        <w:rPr>
          <w:rFonts w:ascii="Arial" w:hAnsi="Arial" w:cs="Arial"/>
          <w:color w:val="142F50"/>
          <w:sz w:val="22"/>
          <w:szCs w:val="22"/>
          <w:lang w:val="sr-Cyrl-RS"/>
        </w:rPr>
        <w:t>и</w:t>
      </w:r>
      <w:r w:rsidR="007A2E69" w:rsidRPr="00B23DB0">
        <w:rPr>
          <w:rFonts w:ascii="Arial" w:hAnsi="Arial" w:cs="Arial"/>
          <w:color w:val="142F50"/>
          <w:sz w:val="22"/>
          <w:szCs w:val="22"/>
        </w:rPr>
        <w:t xml:space="preserve"> кумулирања ризи</w:t>
      </w:r>
      <w:r w:rsidR="00310B62" w:rsidRPr="00B23DB0">
        <w:rPr>
          <w:rFonts w:ascii="Arial" w:hAnsi="Arial" w:cs="Arial"/>
          <w:color w:val="142F50"/>
          <w:sz w:val="22"/>
          <w:szCs w:val="22"/>
          <w:lang w:val="sr-Cyrl-ME"/>
        </w:rPr>
        <w:t>к</w:t>
      </w:r>
      <w:r w:rsidR="007A2E69" w:rsidRPr="00B23DB0">
        <w:rPr>
          <w:rFonts w:ascii="Arial" w:hAnsi="Arial" w:cs="Arial"/>
          <w:color w:val="142F50"/>
          <w:sz w:val="22"/>
          <w:szCs w:val="22"/>
        </w:rPr>
        <w:t>а, тако да сходно томе</w:t>
      </w:r>
      <w:r w:rsidR="002D2AD2" w:rsidRPr="00B23DB0">
        <w:rPr>
          <w:rFonts w:ascii="Arial" w:hAnsi="Arial" w:cs="Arial"/>
          <w:color w:val="142F50"/>
          <w:sz w:val="22"/>
          <w:szCs w:val="22"/>
          <w:lang w:val="sr-Cyrl-RS"/>
        </w:rPr>
        <w:t xml:space="preserve"> има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обезбеђену адекватну заштиту </w:t>
      </w:r>
      <w:r w:rsidR="00A023EA" w:rsidRPr="00B23DB0">
        <w:rPr>
          <w:rFonts w:ascii="Arial" w:hAnsi="Arial" w:cs="Arial"/>
          <w:color w:val="142F50"/>
          <w:sz w:val="22"/>
          <w:szCs w:val="22"/>
        </w:rPr>
        <w:t>путем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ретроцесиј</w:t>
      </w:r>
      <w:r w:rsidR="00A023EA" w:rsidRPr="00B23DB0">
        <w:rPr>
          <w:rFonts w:ascii="Arial" w:hAnsi="Arial" w:cs="Arial"/>
          <w:color w:val="142F50"/>
          <w:sz w:val="22"/>
          <w:szCs w:val="22"/>
        </w:rPr>
        <w:t>е</w:t>
      </w:r>
      <w:r w:rsidRPr="00B23DB0">
        <w:rPr>
          <w:rFonts w:ascii="Arial" w:hAnsi="Arial" w:cs="Arial"/>
          <w:color w:val="142F50"/>
          <w:sz w:val="22"/>
          <w:szCs w:val="22"/>
        </w:rPr>
        <w:t>.</w:t>
      </w:r>
      <w:r w:rsidR="00D110CD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Pr="00B23DB0">
        <w:rPr>
          <w:rFonts w:ascii="Arial" w:hAnsi="Arial" w:cs="Arial"/>
          <w:color w:val="142F50"/>
          <w:sz w:val="22"/>
          <w:szCs w:val="22"/>
        </w:rPr>
        <w:t>У прилог томе</w:t>
      </w:r>
      <w:r w:rsidR="00A023EA" w:rsidRPr="00B23DB0">
        <w:rPr>
          <w:rFonts w:ascii="Arial" w:hAnsi="Arial" w:cs="Arial"/>
          <w:color w:val="142F50"/>
          <w:sz w:val="22"/>
          <w:szCs w:val="22"/>
        </w:rPr>
        <w:t xml:space="preserve"> је и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чињениц</w:t>
      </w:r>
      <w:r w:rsidR="00A023EA" w:rsidRPr="00B23DB0">
        <w:rPr>
          <w:rFonts w:ascii="Arial" w:hAnsi="Arial" w:cs="Arial"/>
          <w:color w:val="142F50"/>
          <w:sz w:val="22"/>
          <w:szCs w:val="22"/>
        </w:rPr>
        <w:t>а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да капацитет обезбеђен за заштиту од катастрофалних ризика није </w:t>
      </w:r>
      <w:r w:rsidR="008277DD">
        <w:rPr>
          <w:rFonts w:ascii="Arial" w:hAnsi="Arial" w:cs="Arial"/>
          <w:color w:val="142F50"/>
          <w:sz w:val="22"/>
          <w:szCs w:val="22"/>
          <w:lang w:val="sr-Cyrl-RS"/>
        </w:rPr>
        <w:t>активиран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годинама уназад, све до 2014. године. Штете по катастрофалним ризицима забележене су 2014. после 15 година. Чак и тада, услед мајских поплава 2014</w:t>
      </w:r>
      <w:r w:rsidR="005D6CE0" w:rsidRPr="00B23DB0">
        <w:rPr>
          <w:rFonts w:ascii="Arial" w:hAnsi="Arial" w:cs="Arial"/>
          <w:color w:val="142F50"/>
          <w:sz w:val="22"/>
          <w:szCs w:val="22"/>
        </w:rPr>
        <w:t>. године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, искоришћено је око 3 милиона </w:t>
      </w:r>
      <w:r w:rsidR="00BB2CD8" w:rsidRPr="00B23DB0">
        <w:rPr>
          <w:rFonts w:ascii="Arial" w:hAnsi="Arial" w:cs="Arial"/>
          <w:color w:val="142F50"/>
          <w:sz w:val="22"/>
          <w:szCs w:val="22"/>
        </w:rPr>
        <w:t xml:space="preserve">EUR 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капацитета реосигурања од обезбеђених 26,5 милиона </w:t>
      </w:r>
      <w:r w:rsidR="00BB2CD8" w:rsidRPr="00B23DB0">
        <w:rPr>
          <w:rFonts w:ascii="Arial" w:hAnsi="Arial" w:cs="Arial"/>
          <w:color w:val="142F50"/>
          <w:sz w:val="22"/>
          <w:szCs w:val="22"/>
        </w:rPr>
        <w:t>EUR</w:t>
      </w:r>
      <w:r w:rsidR="00A023EA" w:rsidRPr="00B23DB0">
        <w:rPr>
          <w:rFonts w:ascii="Arial" w:hAnsi="Arial" w:cs="Arial"/>
          <w:color w:val="142F50"/>
          <w:sz w:val="22"/>
          <w:szCs w:val="22"/>
        </w:rPr>
        <w:t xml:space="preserve">, односно свега </w:t>
      </w:r>
      <w:r w:rsidR="00E4075A" w:rsidRPr="00B23DB0">
        <w:rPr>
          <w:rFonts w:ascii="Arial" w:hAnsi="Arial" w:cs="Arial"/>
          <w:color w:val="142F50"/>
          <w:sz w:val="22"/>
          <w:szCs w:val="22"/>
          <w:lang w:val="sr-Cyrl-RS"/>
        </w:rPr>
        <w:t>11</w:t>
      </w:r>
      <w:r w:rsidR="00A023EA" w:rsidRPr="00B23DB0">
        <w:rPr>
          <w:rFonts w:ascii="Arial" w:hAnsi="Arial" w:cs="Arial"/>
          <w:color w:val="142F50"/>
          <w:sz w:val="22"/>
          <w:szCs w:val="22"/>
        </w:rPr>
        <w:t>,</w:t>
      </w:r>
      <w:r w:rsidR="00E4075A" w:rsidRPr="00B23DB0">
        <w:rPr>
          <w:rFonts w:ascii="Arial" w:hAnsi="Arial" w:cs="Arial"/>
          <w:color w:val="142F50"/>
          <w:sz w:val="22"/>
          <w:szCs w:val="22"/>
          <w:lang w:val="sr-Cyrl-RS"/>
        </w:rPr>
        <w:t>33</w:t>
      </w:r>
      <w:r w:rsidR="00A023EA" w:rsidRPr="00B23DB0">
        <w:rPr>
          <w:rFonts w:ascii="Arial" w:hAnsi="Arial" w:cs="Arial"/>
          <w:color w:val="142F50"/>
          <w:sz w:val="22"/>
          <w:szCs w:val="22"/>
        </w:rPr>
        <w:t>%</w:t>
      </w:r>
      <w:r w:rsidRPr="00B23DB0">
        <w:rPr>
          <w:rFonts w:ascii="Arial" w:hAnsi="Arial" w:cs="Arial"/>
          <w:color w:val="142F50"/>
          <w:sz w:val="20"/>
          <w:szCs w:val="20"/>
        </w:rPr>
        <w:t xml:space="preserve">. 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У укупно искоришћеном капацитету, </w:t>
      </w:r>
      <w:r w:rsidR="003D0ED2" w:rsidRPr="00B23DB0">
        <w:rPr>
          <w:rFonts w:ascii="Arial" w:hAnsi="Arial" w:cs="Arial"/>
          <w:color w:val="142F50"/>
          <w:sz w:val="22"/>
          <w:szCs w:val="22"/>
        </w:rPr>
        <w:lastRenderedPageBreak/>
        <w:t xml:space="preserve">односно штетама, Друштво учествује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 xml:space="preserve">са 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7%, односно око </w:t>
      </w:r>
      <w:r w:rsidR="00E4075A" w:rsidRPr="00B23DB0">
        <w:rPr>
          <w:rFonts w:ascii="Arial" w:hAnsi="Arial" w:cs="Arial"/>
          <w:color w:val="142F50"/>
          <w:sz w:val="22"/>
          <w:szCs w:val="22"/>
          <w:lang w:val="sr-Cyrl-RS"/>
        </w:rPr>
        <w:t>210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.000 EUR.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Из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наведеног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произилази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да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је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Друштво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обезбедило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веома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квалитетну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заштиту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од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катастрофалних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 </w:t>
      </w:r>
      <w:r w:rsidR="00310B62" w:rsidRPr="00B23DB0">
        <w:rPr>
          <w:rFonts w:ascii="Arial" w:hAnsi="Arial" w:cs="Arial"/>
          <w:color w:val="142F50"/>
          <w:sz w:val="22"/>
          <w:szCs w:val="22"/>
          <w:lang w:val="sr-Cyrl-ME"/>
        </w:rPr>
        <w:t xml:space="preserve">и кумулираних </w:t>
      </w:r>
      <w:r w:rsidR="006D6528" w:rsidRPr="00B23DB0">
        <w:rPr>
          <w:rFonts w:ascii="Arial" w:hAnsi="Arial" w:cs="Arial"/>
          <w:color w:val="142F50"/>
          <w:sz w:val="22"/>
          <w:szCs w:val="22"/>
        </w:rPr>
        <w:t>ризика</w:t>
      </w:r>
      <w:r w:rsidR="003D0ED2" w:rsidRPr="00B23DB0">
        <w:rPr>
          <w:rFonts w:ascii="Arial" w:hAnsi="Arial" w:cs="Arial"/>
          <w:color w:val="142F50"/>
          <w:sz w:val="22"/>
          <w:szCs w:val="22"/>
        </w:rPr>
        <w:t xml:space="preserve">. </w:t>
      </w:r>
    </w:p>
    <w:p w:rsidR="00CD6CE5" w:rsidRPr="00B23DB0" w:rsidRDefault="00CD6CE5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0408A8" w:rsidRPr="00B23DB0" w:rsidRDefault="00FD68B3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  <w:lang w:val="sr-Cyrl-ME"/>
        </w:rPr>
      </w:pPr>
      <w:r w:rsidRPr="00B23DB0">
        <w:rPr>
          <w:rFonts w:ascii="Arial" w:hAnsi="Arial" w:cs="Arial"/>
          <w:color w:val="142F50"/>
          <w:sz w:val="22"/>
          <w:szCs w:val="22"/>
        </w:rPr>
        <w:t>Поред наведеног</w:t>
      </w:r>
      <w:r w:rsidR="000408A8" w:rsidRPr="00B23DB0">
        <w:rPr>
          <w:rFonts w:ascii="Arial" w:hAnsi="Arial" w:cs="Arial"/>
          <w:color w:val="142F50"/>
          <w:sz w:val="22"/>
          <w:szCs w:val="22"/>
        </w:rPr>
        <w:t xml:space="preserve"> Друштво је заштићено од кумулирања</w:t>
      </w:r>
      <w:r w:rsidRPr="00B23DB0">
        <w:rPr>
          <w:rFonts w:ascii="Arial" w:hAnsi="Arial" w:cs="Arial"/>
          <w:color w:val="142F50"/>
          <w:sz w:val="22"/>
          <w:szCs w:val="22"/>
          <w:lang w:val="sr-Cyrl-ME"/>
        </w:rPr>
        <w:t xml:space="preserve"> ризика дефинисањем лимита у уговорима о реосигурању.</w:t>
      </w:r>
    </w:p>
    <w:p w:rsidR="000408A8" w:rsidRPr="00B23DB0" w:rsidRDefault="000408A8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FC0F97" w:rsidRPr="00B23DB0" w:rsidRDefault="00FC0F97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 xml:space="preserve">Узимајући у обзир квалитет и карактеристике уговора о ретроцесији, велику диверсификацији ризика преко великог броја реномираних ретроцесионара Друштво није изложено кумулирању ризика и исцрпљивању реосигуравајућег покрића. </w:t>
      </w:r>
    </w:p>
    <w:p w:rsidR="003D0ED2" w:rsidRPr="00B23DB0" w:rsidRDefault="003D0ED2" w:rsidP="009F4AE3">
      <w:pPr>
        <w:spacing w:line="276" w:lineRule="auto"/>
        <w:rPr>
          <w:rFonts w:cs="Arial"/>
          <w:color w:val="142F50"/>
        </w:rPr>
      </w:pPr>
    </w:p>
    <w:p w:rsidR="00BE6530" w:rsidRPr="00B23DB0" w:rsidRDefault="00BE6530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>У складу са политиком о саосигурању и реосигурању, устаљеном праксом реосигурања и уговорима о реосигурању, Друштво нема кашњење у измирењу обавеза према Цедентима по основу ликвидираних штета.</w:t>
      </w:r>
    </w:p>
    <w:p w:rsidR="00BE6530" w:rsidRPr="00B23DB0" w:rsidRDefault="00BE6530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BB2CD8" w:rsidRPr="00B23DB0" w:rsidRDefault="007D188D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  <w:lang w:val="sr-Cyrl-RS"/>
        </w:rPr>
        <w:t>С о</w:t>
      </w:r>
      <w:r w:rsidR="00BE6530" w:rsidRPr="00B23DB0">
        <w:rPr>
          <w:rFonts w:ascii="Arial" w:hAnsi="Arial" w:cs="Arial"/>
          <w:color w:val="142F50"/>
          <w:sz w:val="22"/>
          <w:szCs w:val="22"/>
        </w:rPr>
        <w:t>бзиром на висок проценат наплате потраживања</w:t>
      </w:r>
      <w:r w:rsidR="00093D94" w:rsidRPr="00B23DB0">
        <w:rPr>
          <w:rFonts w:ascii="Arial" w:hAnsi="Arial" w:cs="Arial"/>
          <w:color w:val="142F50"/>
          <w:sz w:val="22"/>
          <w:szCs w:val="22"/>
        </w:rPr>
        <w:t xml:space="preserve"> по основу ликвидираних штета од </w:t>
      </w:r>
      <w:r w:rsidRPr="00B23DB0">
        <w:rPr>
          <w:rFonts w:ascii="Arial" w:hAnsi="Arial" w:cs="Arial"/>
          <w:color w:val="142F50"/>
          <w:sz w:val="22"/>
          <w:szCs w:val="22"/>
        </w:rPr>
        <w:t>ретроцесионара из иностранства</w:t>
      </w:r>
      <w:r w:rsidR="00093D94" w:rsidRPr="00B23DB0">
        <w:rPr>
          <w:rFonts w:ascii="Arial" w:hAnsi="Arial" w:cs="Arial"/>
          <w:color w:val="142F50"/>
          <w:sz w:val="22"/>
          <w:szCs w:val="22"/>
        </w:rPr>
        <w:t xml:space="preserve"> ликвидност Друштва није угрожена.</w:t>
      </w:r>
    </w:p>
    <w:p w:rsidR="00CD6CE5" w:rsidRPr="00B23DB0" w:rsidRDefault="00CD6CE5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8C03D3" w:rsidRPr="00B23DB0" w:rsidRDefault="000C545D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  <w:r w:rsidRPr="00B23DB0">
        <w:rPr>
          <w:rFonts w:ascii="Arial" w:hAnsi="Arial" w:cs="Arial"/>
          <w:color w:val="142F50"/>
          <w:sz w:val="22"/>
          <w:szCs w:val="22"/>
        </w:rPr>
        <w:t>Са становишта утицаја катастрофалних ризика</w:t>
      </w:r>
      <w:r w:rsidR="00FC0F97" w:rsidRPr="00B23DB0">
        <w:rPr>
          <w:rFonts w:ascii="Arial" w:hAnsi="Arial" w:cs="Arial"/>
          <w:color w:val="142F50"/>
          <w:sz w:val="22"/>
          <w:szCs w:val="22"/>
        </w:rPr>
        <w:t>,</w:t>
      </w:r>
      <w:r w:rsidR="007A2E69" w:rsidRPr="00B23DB0">
        <w:rPr>
          <w:rFonts w:ascii="Arial" w:hAnsi="Arial" w:cs="Arial"/>
          <w:color w:val="142F50"/>
          <w:sz w:val="22"/>
          <w:szCs w:val="22"/>
        </w:rPr>
        <w:t xml:space="preserve"> кумулирања ризика </w:t>
      </w:r>
      <w:r w:rsidR="00FC0F97" w:rsidRPr="00B23DB0">
        <w:rPr>
          <w:rFonts w:ascii="Arial" w:hAnsi="Arial" w:cs="Arial"/>
          <w:color w:val="142F50"/>
          <w:sz w:val="22"/>
          <w:szCs w:val="22"/>
        </w:rPr>
        <w:t xml:space="preserve">и наплате потраживања 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може се констатовати да </w:t>
      </w:r>
      <w:r w:rsidR="00863224" w:rsidRPr="00B23DB0">
        <w:rPr>
          <w:rFonts w:ascii="Arial" w:hAnsi="Arial" w:cs="Arial"/>
          <w:color w:val="142F50"/>
          <w:sz w:val="22"/>
          <w:szCs w:val="22"/>
        </w:rPr>
        <w:t xml:space="preserve">Друштво спроводи адекватну Политику саосигурања </w:t>
      </w:r>
      <w:r w:rsidR="00FC0F97" w:rsidRPr="00B23DB0">
        <w:rPr>
          <w:rFonts w:ascii="Arial" w:hAnsi="Arial" w:cs="Arial"/>
          <w:color w:val="142F50"/>
          <w:sz w:val="22"/>
          <w:szCs w:val="22"/>
        </w:rPr>
        <w:t>и</w:t>
      </w:r>
      <w:r w:rsidR="00863224" w:rsidRPr="00B23DB0">
        <w:rPr>
          <w:rFonts w:ascii="Arial" w:hAnsi="Arial" w:cs="Arial"/>
          <w:color w:val="142F50"/>
          <w:sz w:val="22"/>
          <w:szCs w:val="22"/>
        </w:rPr>
        <w:t xml:space="preserve"> реосигурања.</w:t>
      </w:r>
      <w:r w:rsidRPr="00B23DB0">
        <w:rPr>
          <w:rFonts w:ascii="Arial" w:hAnsi="Arial" w:cs="Arial"/>
          <w:color w:val="142F50"/>
          <w:sz w:val="22"/>
          <w:szCs w:val="22"/>
        </w:rPr>
        <w:t xml:space="preserve"> </w:t>
      </w:r>
    </w:p>
    <w:p w:rsidR="007D188D" w:rsidRPr="00B23DB0" w:rsidRDefault="007D188D" w:rsidP="009F4AE3">
      <w:pPr>
        <w:pStyle w:val="ListParagraph"/>
        <w:spacing w:line="276" w:lineRule="auto"/>
        <w:ind w:left="0"/>
        <w:jc w:val="both"/>
        <w:rPr>
          <w:rFonts w:ascii="Arial" w:hAnsi="Arial" w:cs="Arial"/>
          <w:color w:val="142F50"/>
          <w:sz w:val="22"/>
          <w:szCs w:val="22"/>
        </w:rPr>
      </w:pPr>
    </w:p>
    <w:p w:rsidR="00B27D08" w:rsidRDefault="00B27D08">
      <w:pPr>
        <w:spacing w:after="160" w:line="259" w:lineRule="auto"/>
        <w:jc w:val="left"/>
        <w:rPr>
          <w:rFonts w:cs="Arial"/>
          <w:b/>
          <w:i/>
          <w:color w:val="142F50"/>
          <w:sz w:val="22"/>
          <w:szCs w:val="22"/>
        </w:rPr>
      </w:pPr>
      <w:r>
        <w:rPr>
          <w:rFonts w:cs="Arial"/>
          <w:b/>
          <w:i/>
          <w:color w:val="142F50"/>
          <w:sz w:val="22"/>
          <w:szCs w:val="22"/>
        </w:rPr>
        <w:br w:type="page"/>
      </w:r>
    </w:p>
    <w:p w:rsidR="00FB12FD" w:rsidRPr="00B23DB0" w:rsidRDefault="00FB12FD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214388" w:rsidRPr="00B23DB0" w:rsidRDefault="00B6527E" w:rsidP="009F4AE3">
      <w:pPr>
        <w:spacing w:line="276" w:lineRule="auto"/>
        <w:rPr>
          <w:rFonts w:cs="Arial"/>
          <w:b/>
          <w:i/>
          <w:color w:val="142F50"/>
          <w:sz w:val="22"/>
          <w:szCs w:val="22"/>
          <w:u w:val="single"/>
        </w:rPr>
      </w:pPr>
      <w:r w:rsidRPr="00B23DB0">
        <w:rPr>
          <w:rFonts w:cs="Arial"/>
          <w:b/>
          <w:i/>
          <w:color w:val="142F50"/>
          <w:sz w:val="22"/>
          <w:szCs w:val="22"/>
          <w:u w:val="single"/>
        </w:rPr>
        <w:t xml:space="preserve">ЗАКЉУЧАК </w:t>
      </w:r>
    </w:p>
    <w:p w:rsidR="00D17B65" w:rsidRPr="00B23DB0" w:rsidRDefault="00D17B65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CD4F57" w:rsidRPr="00B23DB0" w:rsidRDefault="00CD4F57" w:rsidP="009F4AE3">
      <w:pPr>
        <w:spacing w:line="276" w:lineRule="auto"/>
        <w:rPr>
          <w:rFonts w:cs="Arial"/>
          <w:b/>
          <w:i/>
          <w:color w:val="142F50"/>
          <w:sz w:val="22"/>
          <w:szCs w:val="22"/>
        </w:rPr>
      </w:pPr>
    </w:p>
    <w:p w:rsidR="00CD4F57" w:rsidRPr="00B23DB0" w:rsidRDefault="00CD4F57" w:rsidP="009F4AE3">
      <w:pPr>
        <w:spacing w:line="276" w:lineRule="auto"/>
        <w:rPr>
          <w:rFonts w:cs="Arial"/>
          <w:b/>
          <w:color w:val="142F50"/>
          <w:sz w:val="22"/>
          <w:szCs w:val="22"/>
          <w:lang w:val="sr-Cyrl-CS"/>
        </w:rPr>
      </w:pPr>
      <w:r w:rsidRPr="00B23DB0">
        <w:rPr>
          <w:rFonts w:cs="Arial"/>
          <w:b/>
          <w:color w:val="142F50"/>
          <w:sz w:val="22"/>
          <w:szCs w:val="22"/>
          <w:lang w:val="sr-Cyrl-CS"/>
        </w:rPr>
        <w:t>Политика саосигурања и реосигурања Друштва за реосигурање „Дунав Ре“ (у даљем тексту: Друштво) у 201</w:t>
      </w:r>
      <w:r w:rsidR="00253EBB">
        <w:rPr>
          <w:rFonts w:cs="Arial"/>
          <w:b/>
          <w:color w:val="142F50"/>
          <w:sz w:val="22"/>
          <w:szCs w:val="22"/>
          <w:lang w:val="sr-Cyrl-CS"/>
        </w:rPr>
        <w:t>9</w:t>
      </w:r>
      <w:r w:rsidRPr="00B23DB0">
        <w:rPr>
          <w:rFonts w:cs="Arial"/>
          <w:b/>
          <w:color w:val="142F50"/>
          <w:sz w:val="22"/>
          <w:szCs w:val="22"/>
          <w:lang w:val="sr-Cyrl-CS"/>
        </w:rPr>
        <w:t xml:space="preserve">. години је </w:t>
      </w:r>
      <w:r w:rsidRPr="00B23DB0">
        <w:rPr>
          <w:rFonts w:cs="Arial"/>
          <w:b/>
          <w:color w:val="142F50"/>
          <w:sz w:val="22"/>
          <w:szCs w:val="22"/>
          <w:u w:val="single"/>
          <w:lang w:val="sr-Cyrl-CS"/>
        </w:rPr>
        <w:t>адекватна</w:t>
      </w:r>
      <w:r w:rsidRPr="00B23DB0">
        <w:rPr>
          <w:rFonts w:cs="Arial"/>
          <w:b/>
          <w:color w:val="142F50"/>
          <w:sz w:val="22"/>
          <w:szCs w:val="22"/>
          <w:lang w:val="sr-Cyrl-CS"/>
        </w:rPr>
        <w:t xml:space="preserve"> ризицима којима је Друштво изложено.</w:t>
      </w:r>
    </w:p>
    <w:p w:rsidR="00CD4F57" w:rsidRPr="00B23DB0" w:rsidRDefault="00CD4F57" w:rsidP="009F4AE3">
      <w:pPr>
        <w:spacing w:line="276" w:lineRule="auto"/>
        <w:rPr>
          <w:rFonts w:cs="Arial"/>
          <w:b/>
          <w:color w:val="142F50"/>
          <w:sz w:val="22"/>
          <w:szCs w:val="22"/>
          <w:lang w:val="sr-Cyrl-CS"/>
        </w:rPr>
      </w:pPr>
    </w:p>
    <w:p w:rsidR="00CD4F57" w:rsidRPr="00B23DB0" w:rsidRDefault="00CD4F57" w:rsidP="009F4AE3">
      <w:pPr>
        <w:spacing w:line="276" w:lineRule="auto"/>
        <w:rPr>
          <w:rFonts w:cs="Arial"/>
          <w:color w:val="142F50"/>
          <w:sz w:val="22"/>
          <w:szCs w:val="22"/>
          <w:lang w:val="sr-Cyrl-CS"/>
        </w:rPr>
      </w:pPr>
      <w:r w:rsidRPr="00B23DB0">
        <w:rPr>
          <w:rFonts w:cs="Arial"/>
          <w:color w:val="142F50"/>
          <w:sz w:val="22"/>
          <w:szCs w:val="22"/>
          <w:lang w:val="sr-Cyrl-CS"/>
        </w:rPr>
        <w:t>Друштво је у току 201</w:t>
      </w:r>
      <w:r w:rsidR="00253EBB">
        <w:rPr>
          <w:rFonts w:cs="Arial"/>
          <w:color w:val="142F50"/>
          <w:sz w:val="22"/>
          <w:szCs w:val="22"/>
          <w:lang w:val="sr-Cyrl-CS"/>
        </w:rPr>
        <w:t>9</w:t>
      </w:r>
      <w:r w:rsidRPr="00B23DB0">
        <w:rPr>
          <w:rFonts w:cs="Arial"/>
          <w:color w:val="142F50"/>
          <w:sz w:val="22"/>
          <w:szCs w:val="22"/>
          <w:lang w:val="sr-Cyrl-CS"/>
        </w:rPr>
        <w:t>. године вршило послове саосигурања и реосигурања у складу са Одлуком о критеријумима за утврђивање, начину утврђивања и табели максималног самопридржаја и укупном износу самопридржаја за 201</w:t>
      </w:r>
      <w:r w:rsidR="00253EBB">
        <w:rPr>
          <w:rFonts w:cs="Arial"/>
          <w:color w:val="142F50"/>
          <w:sz w:val="22"/>
          <w:szCs w:val="22"/>
          <w:lang w:val="sr-Cyrl-CS"/>
        </w:rPr>
        <w:t>9</w:t>
      </w:r>
      <w:r w:rsidRPr="00B23DB0">
        <w:rPr>
          <w:rFonts w:cs="Arial"/>
          <w:color w:val="142F50"/>
          <w:sz w:val="22"/>
          <w:szCs w:val="22"/>
          <w:lang w:val="sr-Cyrl-CS"/>
        </w:rPr>
        <w:t>. годину, као и Правилником о условима и начину саосигурања и реосигурања.</w:t>
      </w:r>
    </w:p>
    <w:p w:rsidR="00CD4F57" w:rsidRPr="00B23DB0" w:rsidRDefault="00CD4F57" w:rsidP="009F4AE3">
      <w:pPr>
        <w:spacing w:line="276" w:lineRule="auto"/>
        <w:rPr>
          <w:rFonts w:cs="Arial"/>
          <w:color w:val="142F50"/>
          <w:sz w:val="22"/>
          <w:szCs w:val="22"/>
          <w:lang w:val="sr-Cyrl-CS"/>
        </w:rPr>
      </w:pPr>
    </w:p>
    <w:p w:rsidR="00CD4F57" w:rsidRPr="00B23DB0" w:rsidRDefault="00CD4F57" w:rsidP="009F4AE3">
      <w:pPr>
        <w:spacing w:line="276" w:lineRule="auto"/>
        <w:rPr>
          <w:rFonts w:cs="Arial"/>
          <w:color w:val="142F50"/>
          <w:sz w:val="22"/>
          <w:szCs w:val="22"/>
          <w:lang w:val="sr-Cyrl-CS"/>
        </w:rPr>
      </w:pPr>
      <w:r w:rsidRPr="00B23DB0">
        <w:rPr>
          <w:rFonts w:cs="Arial"/>
          <w:color w:val="142F50"/>
          <w:sz w:val="22"/>
          <w:szCs w:val="22"/>
          <w:lang w:val="sr-Cyrl-CS"/>
        </w:rPr>
        <w:t>Током 201</w:t>
      </w:r>
      <w:r w:rsidR="00253EBB">
        <w:rPr>
          <w:rFonts w:cs="Arial"/>
          <w:color w:val="142F50"/>
          <w:sz w:val="22"/>
          <w:szCs w:val="22"/>
          <w:lang w:val="sr-Cyrl-CS"/>
        </w:rPr>
        <w:t>9</w:t>
      </w:r>
      <w:r w:rsidRPr="00B23DB0">
        <w:rPr>
          <w:rFonts w:cs="Arial"/>
          <w:color w:val="142F50"/>
          <w:sz w:val="22"/>
          <w:szCs w:val="22"/>
          <w:lang w:val="sr-Cyrl-CS"/>
        </w:rPr>
        <w:t>. године Друштво је спроводило одговорну и опрезну политику саосигурања и реосигурања вишкова ризика, тако да током године нису забележени случајеви да је у портфељу задржан ризик изнад нивоа самопридржаја.</w:t>
      </w:r>
    </w:p>
    <w:p w:rsidR="00955998" w:rsidRPr="00B23DB0" w:rsidRDefault="00955998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F454BA" w:rsidRPr="00B23DB0" w:rsidRDefault="00F454BA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Прили</w:t>
      </w:r>
      <w:r w:rsidR="000D6AB1" w:rsidRPr="00B23DB0">
        <w:rPr>
          <w:rFonts w:cs="Arial"/>
          <w:color w:val="142F50"/>
          <w:sz w:val="22"/>
          <w:szCs w:val="22"/>
        </w:rPr>
        <w:t>ком п</w:t>
      </w:r>
      <w:r w:rsidR="00531D2F" w:rsidRPr="00B23DB0">
        <w:rPr>
          <w:rFonts w:cs="Arial"/>
          <w:color w:val="142F50"/>
          <w:sz w:val="22"/>
          <w:szCs w:val="22"/>
          <w:lang w:val="sr-Cyrl-RS"/>
        </w:rPr>
        <w:t>р</w:t>
      </w:r>
      <w:r w:rsidR="000D6AB1" w:rsidRPr="00B23DB0">
        <w:rPr>
          <w:rFonts w:cs="Arial"/>
          <w:color w:val="142F50"/>
          <w:sz w:val="22"/>
          <w:szCs w:val="22"/>
        </w:rPr>
        <w:t xml:space="preserve">ихвата и преноса ризика </w:t>
      </w:r>
      <w:r w:rsidR="00403D73" w:rsidRPr="00B23DB0">
        <w:rPr>
          <w:rFonts w:cs="Arial"/>
          <w:color w:val="142F50"/>
          <w:sz w:val="22"/>
          <w:szCs w:val="22"/>
        </w:rPr>
        <w:t>Друштво п</w:t>
      </w:r>
      <w:r w:rsidR="00B45F38">
        <w:rPr>
          <w:rFonts w:cs="Arial"/>
          <w:color w:val="142F50"/>
          <w:sz w:val="22"/>
          <w:szCs w:val="22"/>
          <w:lang w:val="sr-Cyrl-RS"/>
        </w:rPr>
        <w:t>оступа</w:t>
      </w:r>
      <w:r w:rsidR="00403D73" w:rsidRPr="00B23DB0">
        <w:rPr>
          <w:rFonts w:cs="Arial"/>
          <w:color w:val="142F50"/>
          <w:sz w:val="22"/>
          <w:szCs w:val="22"/>
        </w:rPr>
        <w:t xml:space="preserve"> пажљиво</w:t>
      </w:r>
      <w:r w:rsidR="000D6AB1" w:rsidRPr="00B23DB0">
        <w:rPr>
          <w:rFonts w:cs="Arial"/>
          <w:color w:val="142F50"/>
          <w:sz w:val="22"/>
          <w:szCs w:val="22"/>
        </w:rPr>
        <w:t xml:space="preserve"> сагледавајући кредитну способност цедената и ретроцесионара</w:t>
      </w:r>
      <w:r w:rsidR="00B45F38">
        <w:rPr>
          <w:rFonts w:cs="Arial"/>
          <w:color w:val="142F50"/>
          <w:sz w:val="22"/>
          <w:szCs w:val="22"/>
          <w:lang w:val="sr-Cyrl-RS"/>
        </w:rPr>
        <w:t>.</w:t>
      </w:r>
      <w:r w:rsidR="000D6AB1" w:rsidRPr="00B23DB0">
        <w:rPr>
          <w:rFonts w:cs="Arial"/>
          <w:color w:val="142F50"/>
          <w:sz w:val="22"/>
          <w:szCs w:val="22"/>
        </w:rPr>
        <w:t xml:space="preserve"> </w:t>
      </w:r>
      <w:r w:rsidR="00B45F38">
        <w:rPr>
          <w:rFonts w:cs="Arial"/>
          <w:color w:val="142F50"/>
          <w:sz w:val="22"/>
          <w:szCs w:val="22"/>
          <w:lang w:val="sr-Cyrl-RS"/>
        </w:rPr>
        <w:t>И</w:t>
      </w:r>
      <w:r w:rsidR="000D6AB1" w:rsidRPr="00B23DB0">
        <w:rPr>
          <w:rFonts w:cs="Arial"/>
          <w:color w:val="142F50"/>
          <w:sz w:val="22"/>
          <w:szCs w:val="22"/>
        </w:rPr>
        <w:t>стовремено</w:t>
      </w:r>
      <w:r w:rsidR="00B45F38">
        <w:rPr>
          <w:rFonts w:cs="Arial"/>
          <w:color w:val="142F50"/>
          <w:sz w:val="22"/>
          <w:szCs w:val="22"/>
          <w:lang w:val="sr-Cyrl-RS"/>
        </w:rPr>
        <w:t xml:space="preserve"> Друштво води рачуна да постигне како </w:t>
      </w:r>
      <w:r w:rsidR="000D6AB1" w:rsidRPr="00B23DB0">
        <w:rPr>
          <w:rFonts w:cs="Arial"/>
          <w:color w:val="142F50"/>
          <w:sz w:val="22"/>
          <w:szCs w:val="22"/>
        </w:rPr>
        <w:t xml:space="preserve">одговарајућу диверсификацију </w:t>
      </w:r>
      <w:r w:rsidR="00B45F38">
        <w:rPr>
          <w:rFonts w:cs="Arial"/>
          <w:color w:val="142F50"/>
          <w:sz w:val="22"/>
          <w:szCs w:val="22"/>
          <w:lang w:val="sr-Cyrl-RS"/>
        </w:rPr>
        <w:t>тако и адекватну просторну расподелу ризика</w:t>
      </w:r>
      <w:r w:rsidR="000D6AB1" w:rsidRPr="00B23DB0">
        <w:rPr>
          <w:rFonts w:cs="Arial"/>
          <w:color w:val="142F50"/>
          <w:sz w:val="22"/>
          <w:szCs w:val="22"/>
        </w:rPr>
        <w:t>.</w:t>
      </w:r>
    </w:p>
    <w:p w:rsidR="00F454BA" w:rsidRPr="00B23DB0" w:rsidRDefault="00F454BA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513734" w:rsidRPr="00B23DB0" w:rsidRDefault="001A2E9B" w:rsidP="009F4AE3">
      <w:pPr>
        <w:spacing w:line="276" w:lineRule="auto"/>
        <w:rPr>
          <w:rFonts w:cs="Arial"/>
          <w:color w:val="142F50"/>
          <w:sz w:val="22"/>
          <w:szCs w:val="22"/>
        </w:rPr>
      </w:pPr>
      <w:r w:rsidRPr="00B23DB0">
        <w:rPr>
          <w:rFonts w:cs="Arial"/>
          <w:color w:val="142F50"/>
          <w:sz w:val="22"/>
          <w:szCs w:val="22"/>
        </w:rPr>
        <w:t>Адекватном проценом појединачних ризика и преносом вишкова ризика у ретроцесију уз поштовање Одлуке о крите</w:t>
      </w:r>
      <w:r w:rsidR="00531D2F" w:rsidRPr="00B23DB0">
        <w:rPr>
          <w:rFonts w:cs="Arial"/>
          <w:color w:val="142F50"/>
          <w:sz w:val="22"/>
          <w:szCs w:val="22"/>
        </w:rPr>
        <w:t>ријумима, начину утврђивања и та</w:t>
      </w:r>
      <w:r w:rsidRPr="00B23DB0">
        <w:rPr>
          <w:rFonts w:cs="Arial"/>
          <w:color w:val="142F50"/>
          <w:sz w:val="22"/>
          <w:szCs w:val="22"/>
        </w:rPr>
        <w:t>бели максималног самопридржаја и укупном изнoсу сaмoпридржaja, односно спровођењем адекватне Политике саосигурања и реосигурања Друштво је обезбедило позитиван утицај прихвата и преноса ризика на пословање и на адекватност капитала.</w:t>
      </w:r>
      <w:r w:rsidR="00CD4F57" w:rsidRPr="00B23DB0">
        <w:rPr>
          <w:rFonts w:cs="Arial"/>
          <w:color w:val="142F50"/>
          <w:sz w:val="22"/>
          <w:szCs w:val="22"/>
        </w:rPr>
        <w:t xml:space="preserve"> </w:t>
      </w:r>
    </w:p>
    <w:p w:rsidR="001B36D4" w:rsidRDefault="001B36D4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B45F38" w:rsidRPr="00B23DB0" w:rsidRDefault="00B45F38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2421EB" w:rsidRPr="00B23DB0" w:rsidRDefault="002421EB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6304F4" w:rsidRPr="00B23DB0" w:rsidRDefault="006304F4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p w:rsidR="006304F4" w:rsidRPr="00B23DB0" w:rsidRDefault="006304F4" w:rsidP="009F4AE3">
      <w:pPr>
        <w:spacing w:line="276" w:lineRule="auto"/>
        <w:rPr>
          <w:rFonts w:cs="Arial"/>
          <w:color w:val="142F50"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90"/>
        <w:gridCol w:w="3841"/>
      </w:tblGrid>
      <w:tr w:rsidR="00683E41" w:rsidRPr="00B23DB0" w:rsidTr="00B63A59">
        <w:trPr>
          <w:trHeight w:val="290"/>
        </w:trPr>
        <w:tc>
          <w:tcPr>
            <w:tcW w:w="5940" w:type="dxa"/>
          </w:tcPr>
          <w:p w:rsidR="00513734" w:rsidRPr="00B23DB0" w:rsidRDefault="00513734" w:rsidP="00253EBB">
            <w:pPr>
              <w:spacing w:line="276" w:lineRule="auto"/>
              <w:rPr>
                <w:rFonts w:cs="Arial"/>
                <w:color w:val="142F50"/>
                <w:sz w:val="22"/>
                <w:lang w:val="sr-Latn-CS"/>
              </w:rPr>
            </w:pPr>
            <w:r w:rsidRPr="00B23DB0">
              <w:rPr>
                <w:rFonts w:cs="Arial"/>
                <w:color w:val="142F50"/>
                <w:sz w:val="22"/>
                <w:szCs w:val="22"/>
                <w:lang w:val="sr-Latn-CS"/>
              </w:rPr>
              <w:t xml:space="preserve">Београд, </w:t>
            </w:r>
            <w:r w:rsidR="00291515">
              <w:rPr>
                <w:rFonts w:cs="Arial"/>
                <w:color w:val="142F50"/>
                <w:sz w:val="22"/>
                <w:szCs w:val="22"/>
                <w:lang w:val="sr-Latn-CS"/>
              </w:rPr>
              <w:t>5</w:t>
            </w:r>
            <w:r w:rsidR="0014060D" w:rsidRPr="00B23DB0">
              <w:rPr>
                <w:rFonts w:cs="Arial"/>
                <w:color w:val="142F50"/>
                <w:sz w:val="22"/>
                <w:szCs w:val="22"/>
                <w:lang w:val="sr-Cyrl-RS"/>
              </w:rPr>
              <w:t>.</w:t>
            </w:r>
            <w:r w:rsidR="00291515">
              <w:rPr>
                <w:rFonts w:cs="Arial"/>
                <w:color w:val="142F50"/>
                <w:sz w:val="22"/>
                <w:szCs w:val="22"/>
                <w:lang w:val="en-US"/>
              </w:rPr>
              <w:t>3</w:t>
            </w:r>
            <w:r w:rsidR="0014060D" w:rsidRPr="00B23DB0">
              <w:rPr>
                <w:rFonts w:cs="Arial"/>
                <w:color w:val="142F50"/>
                <w:sz w:val="22"/>
                <w:szCs w:val="22"/>
                <w:lang w:val="sr-Cyrl-RS"/>
              </w:rPr>
              <w:t>.20</w:t>
            </w:r>
            <w:r w:rsidR="00253EBB">
              <w:rPr>
                <w:rFonts w:cs="Arial"/>
                <w:color w:val="142F50"/>
                <w:sz w:val="22"/>
                <w:szCs w:val="22"/>
                <w:lang w:val="sr-Cyrl-RS"/>
              </w:rPr>
              <w:t>20</w:t>
            </w:r>
            <w:r w:rsidRPr="00B23DB0">
              <w:rPr>
                <w:rFonts w:cs="Arial"/>
                <w:color w:val="142F50"/>
                <w:sz w:val="22"/>
                <w:szCs w:val="22"/>
                <w:lang w:val="sr-Latn-CS"/>
              </w:rPr>
              <w:t>.</w:t>
            </w:r>
            <w:r w:rsidRPr="00B23DB0">
              <w:rPr>
                <w:rFonts w:cs="Arial"/>
                <w:color w:val="142F50"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3960" w:type="dxa"/>
          </w:tcPr>
          <w:p w:rsidR="00513734" w:rsidRPr="00B23DB0" w:rsidRDefault="00513734" w:rsidP="009F4AE3">
            <w:pPr>
              <w:spacing w:line="276" w:lineRule="auto"/>
              <w:jc w:val="center"/>
              <w:rPr>
                <w:rFonts w:cs="Arial"/>
                <w:color w:val="142F50"/>
                <w:sz w:val="22"/>
                <w:lang w:val="sr-Cyrl-RS"/>
              </w:rPr>
            </w:pPr>
          </w:p>
          <w:p w:rsidR="00513734" w:rsidRPr="00B23DB0" w:rsidRDefault="00513734" w:rsidP="009F4AE3">
            <w:pPr>
              <w:spacing w:line="276" w:lineRule="auto"/>
              <w:jc w:val="center"/>
              <w:rPr>
                <w:rFonts w:cs="Arial"/>
                <w:color w:val="142F50"/>
                <w:sz w:val="22"/>
                <w:lang w:val="sr-Cyrl-RS"/>
              </w:rPr>
            </w:pPr>
            <w:r w:rsidRPr="00B23DB0">
              <w:rPr>
                <w:rFonts w:cs="Arial"/>
                <w:color w:val="142F50"/>
                <w:sz w:val="22"/>
                <w:szCs w:val="22"/>
                <w:lang w:val="sr-Latn-CS"/>
              </w:rPr>
              <w:t>ОВЛАШЋЕНИ АКТУАР</w:t>
            </w:r>
          </w:p>
          <w:p w:rsidR="00513734" w:rsidRPr="00B23DB0" w:rsidRDefault="00513734" w:rsidP="009F4AE3">
            <w:pPr>
              <w:spacing w:line="276" w:lineRule="auto"/>
              <w:jc w:val="center"/>
              <w:rPr>
                <w:rFonts w:cs="Arial"/>
                <w:color w:val="142F50"/>
                <w:sz w:val="22"/>
                <w:lang w:val="sr-Cyrl-RS"/>
              </w:rPr>
            </w:pPr>
          </w:p>
          <w:p w:rsidR="00513734" w:rsidRPr="00B23DB0" w:rsidRDefault="00513734" w:rsidP="009F4AE3">
            <w:pPr>
              <w:spacing w:line="276" w:lineRule="auto"/>
              <w:jc w:val="center"/>
              <w:rPr>
                <w:rFonts w:cs="Arial"/>
                <w:color w:val="142F50"/>
                <w:sz w:val="22"/>
                <w:lang w:val="sr-Cyrl-RS"/>
              </w:rPr>
            </w:pPr>
            <w:r w:rsidRPr="00B23DB0">
              <w:rPr>
                <w:rFonts w:cs="Arial"/>
                <w:color w:val="142F50"/>
                <w:sz w:val="22"/>
                <w:lang w:val="sr-Cyrl-RS"/>
              </w:rPr>
              <w:t>Зорица Кнежевић</w:t>
            </w:r>
          </w:p>
          <w:p w:rsidR="00513734" w:rsidRPr="00B23DB0" w:rsidRDefault="00513734" w:rsidP="00930257">
            <w:pPr>
              <w:spacing w:line="120" w:lineRule="auto"/>
              <w:jc w:val="center"/>
              <w:rPr>
                <w:rFonts w:cs="Arial"/>
                <w:color w:val="142F50"/>
                <w:sz w:val="22"/>
                <w:lang w:val="sr-Cyrl-RS"/>
              </w:rPr>
            </w:pPr>
          </w:p>
          <w:p w:rsidR="00513734" w:rsidRPr="00B23DB0" w:rsidRDefault="00513734" w:rsidP="009F4AE3">
            <w:pPr>
              <w:spacing w:line="276" w:lineRule="auto"/>
              <w:jc w:val="left"/>
              <w:rPr>
                <w:rFonts w:cs="Arial"/>
                <w:i/>
                <w:color w:val="142F50"/>
                <w:sz w:val="22"/>
                <w:lang w:val="sr-Cyrl-RS"/>
              </w:rPr>
            </w:pPr>
            <w:r w:rsidRPr="00B23DB0">
              <w:rPr>
                <w:rFonts w:cs="Arial"/>
                <w:i/>
                <w:color w:val="142F50"/>
                <w:sz w:val="22"/>
                <w:szCs w:val="22"/>
                <w:lang w:val="sr-Latn-CS"/>
              </w:rPr>
              <w:t xml:space="preserve">        </w:t>
            </w:r>
            <w:r w:rsidRPr="00B23DB0">
              <w:rPr>
                <w:rFonts w:cs="Arial"/>
                <w:i/>
                <w:color w:val="142F50"/>
                <w:sz w:val="22"/>
                <w:szCs w:val="22"/>
                <w:lang w:val="sr-Cyrl-RS"/>
              </w:rPr>
              <w:t xml:space="preserve"> </w:t>
            </w:r>
            <w:r w:rsidRPr="00B23DB0">
              <w:rPr>
                <w:rFonts w:cs="Arial"/>
                <w:i/>
                <w:color w:val="142F50"/>
                <w:sz w:val="22"/>
                <w:szCs w:val="22"/>
                <w:lang w:val="sr-Latn-CS"/>
              </w:rPr>
              <w:t xml:space="preserve">Г.бр. </w:t>
            </w:r>
            <w:r w:rsidRPr="00B23DB0">
              <w:rPr>
                <w:rFonts w:cs="Arial"/>
                <w:i/>
                <w:color w:val="142F50"/>
                <w:sz w:val="22"/>
                <w:szCs w:val="22"/>
                <w:lang w:val="sr-Cyrl-RS"/>
              </w:rPr>
              <w:t xml:space="preserve">8657 </w:t>
            </w:r>
            <w:r w:rsidRPr="00B23DB0">
              <w:rPr>
                <w:rFonts w:cs="Arial"/>
                <w:i/>
                <w:color w:val="142F50"/>
                <w:sz w:val="22"/>
                <w:szCs w:val="22"/>
              </w:rPr>
              <w:t xml:space="preserve">од </w:t>
            </w:r>
            <w:r w:rsidRPr="00B23DB0">
              <w:rPr>
                <w:rFonts w:cs="Arial"/>
                <w:i/>
                <w:color w:val="142F50"/>
                <w:sz w:val="22"/>
                <w:szCs w:val="22"/>
                <w:lang w:val="sr-Cyrl-RS"/>
              </w:rPr>
              <w:t>19.11.2015.</w:t>
            </w:r>
          </w:p>
          <w:p w:rsidR="00513734" w:rsidRPr="00B23DB0" w:rsidRDefault="00513734" w:rsidP="009F4AE3">
            <w:pPr>
              <w:spacing w:line="276" w:lineRule="auto"/>
              <w:jc w:val="center"/>
              <w:rPr>
                <w:rFonts w:cs="Arial"/>
                <w:color w:val="142F50"/>
                <w:sz w:val="22"/>
                <w:lang w:val="sr-Latn-CS"/>
              </w:rPr>
            </w:pPr>
          </w:p>
        </w:tc>
      </w:tr>
      <w:tr w:rsidR="00683E41" w:rsidRPr="00B23DB0" w:rsidTr="00B63A59">
        <w:tc>
          <w:tcPr>
            <w:tcW w:w="5940" w:type="dxa"/>
          </w:tcPr>
          <w:p w:rsidR="00513734" w:rsidRPr="00B23DB0" w:rsidRDefault="00513734" w:rsidP="00513734">
            <w:pPr>
              <w:spacing w:line="276" w:lineRule="auto"/>
              <w:rPr>
                <w:rFonts w:cs="Arial"/>
                <w:color w:val="142F50"/>
                <w:sz w:val="22"/>
                <w:lang w:val="sr-Latn-CS"/>
              </w:rPr>
            </w:pPr>
          </w:p>
        </w:tc>
        <w:tc>
          <w:tcPr>
            <w:tcW w:w="3960" w:type="dxa"/>
          </w:tcPr>
          <w:p w:rsidR="00513734" w:rsidRPr="00B23DB0" w:rsidRDefault="00513734" w:rsidP="00513734">
            <w:pPr>
              <w:spacing w:line="276" w:lineRule="auto"/>
              <w:jc w:val="center"/>
              <w:rPr>
                <w:rFonts w:cs="Arial"/>
                <w:color w:val="142F50"/>
                <w:sz w:val="22"/>
                <w:lang w:val="sr-Cyrl-RS"/>
              </w:rPr>
            </w:pPr>
          </w:p>
        </w:tc>
      </w:tr>
    </w:tbl>
    <w:p w:rsidR="00A22077" w:rsidRPr="00B23DB0" w:rsidRDefault="00A22077" w:rsidP="00F75BD4">
      <w:pPr>
        <w:spacing w:line="240" w:lineRule="auto"/>
        <w:rPr>
          <w:rFonts w:cs="Arial"/>
          <w:color w:val="142F50"/>
          <w:sz w:val="24"/>
        </w:rPr>
      </w:pPr>
    </w:p>
    <w:sectPr w:rsidR="00A22077" w:rsidRPr="00B23DB0" w:rsidSect="00151833">
      <w:headerReference w:type="default" r:id="rId13"/>
      <w:footerReference w:type="even" r:id="rId14"/>
      <w:footerReference w:type="default" r:id="rId15"/>
      <w:pgSz w:w="11907" w:h="16839" w:code="9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260" w:rsidRDefault="00C94260" w:rsidP="0003329B">
      <w:pPr>
        <w:spacing w:line="240" w:lineRule="auto"/>
      </w:pPr>
      <w:r>
        <w:separator/>
      </w:r>
    </w:p>
  </w:endnote>
  <w:endnote w:type="continuationSeparator" w:id="0">
    <w:p w:rsidR="00C94260" w:rsidRDefault="00C94260" w:rsidP="000332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111" w:rsidRDefault="008D2111" w:rsidP="00E56B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8D2111" w:rsidRDefault="008D2111" w:rsidP="00E56B9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111" w:rsidRDefault="008D2111" w:rsidP="00E56B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5AAD">
      <w:rPr>
        <w:rStyle w:val="PageNumber"/>
        <w:noProof/>
      </w:rPr>
      <w:t>13</w:t>
    </w:r>
    <w:r>
      <w:rPr>
        <w:rStyle w:val="PageNumber"/>
      </w:rPr>
      <w:fldChar w:fldCharType="end"/>
    </w:r>
  </w:p>
  <w:p w:rsidR="008D2111" w:rsidRDefault="008D2111" w:rsidP="00E56B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260" w:rsidRDefault="00C94260" w:rsidP="0003329B">
      <w:pPr>
        <w:spacing w:line="240" w:lineRule="auto"/>
      </w:pPr>
      <w:r>
        <w:separator/>
      </w:r>
    </w:p>
  </w:footnote>
  <w:footnote w:type="continuationSeparator" w:id="0">
    <w:p w:rsidR="00C94260" w:rsidRDefault="00C94260" w:rsidP="0003329B">
      <w:pPr>
        <w:spacing w:line="240" w:lineRule="auto"/>
      </w:pPr>
      <w:r>
        <w:continuationSeparator/>
      </w:r>
    </w:p>
  </w:footnote>
  <w:footnote w:id="1">
    <w:p w:rsidR="008D2111" w:rsidRPr="009A0DAB" w:rsidRDefault="008D2111" w:rsidP="00B27D08">
      <w:pPr>
        <w:pStyle w:val="FootnoteText"/>
        <w:spacing w:line="276" w:lineRule="auto"/>
        <w:rPr>
          <w:color w:val="1F3864" w:themeColor="accent5" w:themeShade="80"/>
          <w:lang w:val="sr-Cyrl-RS"/>
        </w:rPr>
      </w:pPr>
      <w:r w:rsidRPr="009A0DAB">
        <w:rPr>
          <w:rStyle w:val="FootnoteReference"/>
          <w:color w:val="1F3864" w:themeColor="accent5" w:themeShade="80"/>
        </w:rPr>
        <w:footnoteRef/>
      </w:r>
      <w:r w:rsidRPr="009A0DAB">
        <w:rPr>
          <w:color w:val="1F3864" w:themeColor="accent5" w:themeShade="80"/>
        </w:rPr>
        <w:t xml:space="preserve"> </w:t>
      </w:r>
      <w:r w:rsidRPr="009A0DAB">
        <w:rPr>
          <w:color w:val="1F3864" w:themeColor="accent5" w:themeShade="80"/>
          <w:lang w:val="sr-Latn-RS"/>
        </w:rPr>
        <w:t xml:space="preserve">HHI &lt; 1000 – </w:t>
      </w:r>
      <w:r w:rsidRPr="009A0DAB">
        <w:rPr>
          <w:color w:val="1F3864" w:themeColor="accent5" w:themeShade="80"/>
          <w:lang w:val="sr-Cyrl-RS"/>
        </w:rPr>
        <w:t>ниска концентрација</w:t>
      </w:r>
    </w:p>
    <w:p w:rsidR="008D2111" w:rsidRPr="009A0DAB" w:rsidRDefault="008D2111" w:rsidP="00B27D08">
      <w:pPr>
        <w:pStyle w:val="FootnoteText"/>
        <w:spacing w:line="276" w:lineRule="auto"/>
        <w:rPr>
          <w:color w:val="1F3864" w:themeColor="accent5" w:themeShade="80"/>
          <w:lang w:val="sr-Cyrl-RS"/>
        </w:rPr>
      </w:pPr>
      <w:r w:rsidRPr="009A0DAB">
        <w:rPr>
          <w:color w:val="1F3864" w:themeColor="accent5" w:themeShade="80"/>
          <w:lang w:val="sr-Cyrl-RS"/>
        </w:rPr>
        <w:t xml:space="preserve">  1000 </w:t>
      </w:r>
      <w:r w:rsidRPr="009A0DAB">
        <w:rPr>
          <w:rFonts w:cs="Arial"/>
          <w:color w:val="1F3864" w:themeColor="accent5" w:themeShade="80"/>
          <w:lang w:val="sr-Cyrl-RS"/>
        </w:rPr>
        <w:t xml:space="preserve">≤ </w:t>
      </w:r>
      <w:r w:rsidRPr="009A0DAB">
        <w:rPr>
          <w:color w:val="1F3864" w:themeColor="accent5" w:themeShade="80"/>
          <w:lang w:val="sr-Latn-RS"/>
        </w:rPr>
        <w:t>HHI</w:t>
      </w:r>
      <w:r w:rsidRPr="009A0DAB">
        <w:rPr>
          <w:color w:val="1F3864" w:themeColor="accent5" w:themeShade="80"/>
          <w:lang w:val="sr-Cyrl-RS"/>
        </w:rPr>
        <w:t xml:space="preserve"> &lt; 1800 – средња концентрација</w:t>
      </w:r>
    </w:p>
    <w:p w:rsidR="008D2111" w:rsidRPr="009A0DAB" w:rsidRDefault="008D2111" w:rsidP="00B27D08">
      <w:pPr>
        <w:pStyle w:val="FootnoteText"/>
        <w:spacing w:line="276" w:lineRule="auto"/>
        <w:rPr>
          <w:color w:val="1F3864" w:themeColor="accent5" w:themeShade="80"/>
          <w:lang w:val="sr-Cyrl-RS"/>
        </w:rPr>
      </w:pPr>
      <w:r w:rsidRPr="009A0DAB">
        <w:rPr>
          <w:color w:val="1F3864" w:themeColor="accent5" w:themeShade="80"/>
          <w:lang w:val="sr-Cyrl-RS"/>
        </w:rPr>
        <w:t xml:space="preserve">   </w:t>
      </w:r>
      <w:r w:rsidRPr="009A0DAB">
        <w:rPr>
          <w:color w:val="1F3864" w:themeColor="accent5" w:themeShade="80"/>
          <w:lang w:val="sr-Latn-RS"/>
        </w:rPr>
        <w:t>HHI</w:t>
      </w:r>
      <w:r w:rsidRPr="009A0DAB">
        <w:rPr>
          <w:color w:val="1F3864" w:themeColor="accent5" w:themeShade="80"/>
          <w:lang w:val="sr-Cyrl-RS"/>
        </w:rPr>
        <w:t xml:space="preserve"> </w:t>
      </w:r>
      <w:r w:rsidRPr="009A0DAB">
        <w:rPr>
          <w:rFonts w:cs="Arial"/>
          <w:color w:val="1F3864" w:themeColor="accent5" w:themeShade="80"/>
          <w:lang w:val="sr-Cyrl-RS"/>
        </w:rPr>
        <w:t>≥ 1800 – висока концентрација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111" w:rsidRDefault="008D211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3" name="MSIPCM4f1e45278835b2774523c4af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2111" w:rsidRPr="0033052A" w:rsidRDefault="008D2111" w:rsidP="0033052A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f1e45278835b2774523c4af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" o:allowincell="f" filled="f" stroked="f" strokeweight=".5pt">
              <v:textbox inset=",0,20pt,0">
                <w:txbxContent>
                  <w:p w:rsidR="00013391" w:rsidRPr="0033052A" w:rsidRDefault="00013391" w:rsidP="0033052A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1E25"/>
    <w:multiLevelType w:val="hybridMultilevel"/>
    <w:tmpl w:val="E10AEF26"/>
    <w:lvl w:ilvl="0" w:tplc="68564010">
      <w:start w:val="1"/>
      <w:numFmt w:val="bullet"/>
      <w:lvlText w:val="­"/>
      <w:lvlJc w:val="left"/>
      <w:pPr>
        <w:tabs>
          <w:tab w:val="num" w:pos="720"/>
        </w:tabs>
        <w:ind w:left="1080" w:hanging="288"/>
      </w:pPr>
      <w:rPr>
        <w:rFonts w:ascii="Courier New" w:hAnsi="Courier New" w:hint="default"/>
      </w:rPr>
    </w:lvl>
    <w:lvl w:ilvl="1" w:tplc="109CB2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544C0F"/>
    <w:multiLevelType w:val="hybridMultilevel"/>
    <w:tmpl w:val="4A32B81A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0832DC"/>
    <w:multiLevelType w:val="multilevel"/>
    <w:tmpl w:val="A23A22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2867FDF"/>
    <w:multiLevelType w:val="multilevel"/>
    <w:tmpl w:val="D0480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3A329D1"/>
    <w:multiLevelType w:val="hybridMultilevel"/>
    <w:tmpl w:val="FE1C1B50"/>
    <w:lvl w:ilvl="0" w:tplc="EDBAA376">
      <w:start w:val="3"/>
      <w:numFmt w:val="bullet"/>
      <w:lvlText w:val="-"/>
      <w:lvlJc w:val="left"/>
      <w:pPr>
        <w:ind w:left="1080" w:hanging="360"/>
      </w:pPr>
      <w:rPr>
        <w:rFonts w:ascii="Microsoft Sans Serif" w:eastAsia="Times New Roman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7A20E2"/>
    <w:multiLevelType w:val="hybridMultilevel"/>
    <w:tmpl w:val="78780B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92721"/>
    <w:multiLevelType w:val="multilevel"/>
    <w:tmpl w:val="0FE4F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D162C98"/>
    <w:multiLevelType w:val="hybridMultilevel"/>
    <w:tmpl w:val="5F32A040"/>
    <w:lvl w:ilvl="0" w:tplc="57249A84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>
    <w:nsid w:val="11C01A07"/>
    <w:multiLevelType w:val="hybridMultilevel"/>
    <w:tmpl w:val="5EA09AE8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265F5F"/>
    <w:multiLevelType w:val="hybridMultilevel"/>
    <w:tmpl w:val="0D04AC4A"/>
    <w:lvl w:ilvl="0" w:tplc="1068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D36CC8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C75FA6"/>
    <w:multiLevelType w:val="hybridMultilevel"/>
    <w:tmpl w:val="783E4280"/>
    <w:lvl w:ilvl="0" w:tplc="6856401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40F97"/>
    <w:multiLevelType w:val="hybridMultilevel"/>
    <w:tmpl w:val="ADD2B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C075F8"/>
    <w:multiLevelType w:val="hybridMultilevel"/>
    <w:tmpl w:val="189C97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A00733"/>
    <w:multiLevelType w:val="hybridMultilevel"/>
    <w:tmpl w:val="78780B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AD68A0"/>
    <w:multiLevelType w:val="hybridMultilevel"/>
    <w:tmpl w:val="32E0142C"/>
    <w:lvl w:ilvl="0" w:tplc="205A8B38">
      <w:start w:val="1"/>
      <w:numFmt w:val="bullet"/>
      <w:lvlText w:val=""/>
      <w:lvlJc w:val="center"/>
      <w:pPr>
        <w:ind w:left="1800" w:hanging="360"/>
      </w:pPr>
      <w:rPr>
        <w:rFonts w:ascii="Symbol" w:hAnsi="Symbol" w:cs="Symbol" w:hint="default"/>
        <w:w w:val="101"/>
        <w:position w:val="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1E223BA"/>
    <w:multiLevelType w:val="multilevel"/>
    <w:tmpl w:val="024EA4B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5FE28B5"/>
    <w:multiLevelType w:val="hybridMultilevel"/>
    <w:tmpl w:val="64E056FC"/>
    <w:lvl w:ilvl="0" w:tplc="3D6497B4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82180B"/>
    <w:multiLevelType w:val="multilevel"/>
    <w:tmpl w:val="267A65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2A180A07"/>
    <w:multiLevelType w:val="hybridMultilevel"/>
    <w:tmpl w:val="C43A97AC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2B53DA"/>
    <w:multiLevelType w:val="hybridMultilevel"/>
    <w:tmpl w:val="54C0D80C"/>
    <w:lvl w:ilvl="0" w:tplc="68564010">
      <w:start w:val="1"/>
      <w:numFmt w:val="bullet"/>
      <w:lvlText w:val="­"/>
      <w:lvlJc w:val="left"/>
      <w:pPr>
        <w:tabs>
          <w:tab w:val="num" w:pos="720"/>
        </w:tabs>
        <w:ind w:left="1080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2428C1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AD4333"/>
    <w:multiLevelType w:val="hybridMultilevel"/>
    <w:tmpl w:val="789A2AB2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382B7A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9A73BF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2269E3"/>
    <w:multiLevelType w:val="hybridMultilevel"/>
    <w:tmpl w:val="4F56E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645B12"/>
    <w:multiLevelType w:val="hybridMultilevel"/>
    <w:tmpl w:val="1C02D6FA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4D75D8"/>
    <w:multiLevelType w:val="hybridMultilevel"/>
    <w:tmpl w:val="7884BC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66284A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73E05"/>
    <w:multiLevelType w:val="hybridMultilevel"/>
    <w:tmpl w:val="EB9A2F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C8070D"/>
    <w:multiLevelType w:val="hybridMultilevel"/>
    <w:tmpl w:val="6A9689DE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621DEA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A10B81"/>
    <w:multiLevelType w:val="multilevel"/>
    <w:tmpl w:val="DC649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>
    <w:nsid w:val="58113D96"/>
    <w:multiLevelType w:val="hybridMultilevel"/>
    <w:tmpl w:val="48EACD7E"/>
    <w:lvl w:ilvl="0" w:tplc="6868CC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5E77A5"/>
    <w:multiLevelType w:val="hybridMultilevel"/>
    <w:tmpl w:val="918C4034"/>
    <w:lvl w:ilvl="0" w:tplc="6856401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EA4630"/>
    <w:multiLevelType w:val="multilevel"/>
    <w:tmpl w:val="024EA4B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1A7220D"/>
    <w:multiLevelType w:val="hybridMultilevel"/>
    <w:tmpl w:val="D14ABB1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52EBF"/>
    <w:multiLevelType w:val="hybridMultilevel"/>
    <w:tmpl w:val="E3A254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64AED"/>
    <w:multiLevelType w:val="hybridMultilevel"/>
    <w:tmpl w:val="593A5A62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2E1101"/>
    <w:multiLevelType w:val="hybridMultilevel"/>
    <w:tmpl w:val="05FE4C82"/>
    <w:lvl w:ilvl="0" w:tplc="6856401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583431"/>
    <w:multiLevelType w:val="hybridMultilevel"/>
    <w:tmpl w:val="E31439AA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F77CC4"/>
    <w:multiLevelType w:val="hybridMultilevel"/>
    <w:tmpl w:val="6848ECF8"/>
    <w:lvl w:ilvl="0" w:tplc="109CB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7610BA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2E5B29"/>
    <w:multiLevelType w:val="hybridMultilevel"/>
    <w:tmpl w:val="4F56E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B17092"/>
    <w:multiLevelType w:val="hybridMultilevel"/>
    <w:tmpl w:val="5A7E051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CE1FDA"/>
    <w:multiLevelType w:val="hybridMultilevel"/>
    <w:tmpl w:val="DA72D958"/>
    <w:lvl w:ilvl="0" w:tplc="DB504DD2">
      <w:start w:val="1"/>
      <w:numFmt w:val="decimal"/>
      <w:lvlText w:val="%1)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549470F"/>
    <w:multiLevelType w:val="hybridMultilevel"/>
    <w:tmpl w:val="ADD2B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AE6DBE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BE1655"/>
    <w:multiLevelType w:val="hybridMultilevel"/>
    <w:tmpl w:val="815C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"/>
  </w:num>
  <w:num w:numId="4">
    <w:abstractNumId w:val="6"/>
  </w:num>
  <w:num w:numId="5">
    <w:abstractNumId w:val="42"/>
  </w:num>
  <w:num w:numId="6">
    <w:abstractNumId w:val="34"/>
  </w:num>
  <w:num w:numId="7">
    <w:abstractNumId w:val="13"/>
  </w:num>
  <w:num w:numId="8">
    <w:abstractNumId w:val="1"/>
  </w:num>
  <w:num w:numId="9">
    <w:abstractNumId w:val="19"/>
  </w:num>
  <w:num w:numId="10">
    <w:abstractNumId w:val="8"/>
  </w:num>
  <w:num w:numId="11">
    <w:abstractNumId w:val="26"/>
  </w:num>
  <w:num w:numId="12">
    <w:abstractNumId w:val="41"/>
  </w:num>
  <w:num w:numId="13">
    <w:abstractNumId w:val="30"/>
  </w:num>
  <w:num w:numId="14">
    <w:abstractNumId w:val="38"/>
  </w:num>
  <w:num w:numId="15">
    <w:abstractNumId w:val="22"/>
  </w:num>
  <w:num w:numId="16">
    <w:abstractNumId w:val="0"/>
  </w:num>
  <w:num w:numId="17">
    <w:abstractNumId w:val="32"/>
  </w:num>
  <w:num w:numId="18">
    <w:abstractNumId w:val="40"/>
  </w:num>
  <w:num w:numId="19">
    <w:abstractNumId w:val="25"/>
  </w:num>
  <w:num w:numId="20">
    <w:abstractNumId w:val="11"/>
  </w:num>
  <w:num w:numId="21">
    <w:abstractNumId w:val="5"/>
  </w:num>
  <w:num w:numId="22">
    <w:abstractNumId w:val="43"/>
  </w:num>
  <w:num w:numId="23">
    <w:abstractNumId w:val="14"/>
  </w:num>
  <w:num w:numId="24">
    <w:abstractNumId w:val="15"/>
  </w:num>
  <w:num w:numId="25">
    <w:abstractNumId w:val="39"/>
  </w:num>
  <w:num w:numId="26">
    <w:abstractNumId w:val="36"/>
  </w:num>
  <w:num w:numId="27">
    <w:abstractNumId w:val="37"/>
  </w:num>
  <w:num w:numId="28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9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</w:num>
  <w:num w:numId="32">
    <w:abstractNumId w:val="21"/>
  </w:num>
  <w:num w:numId="33">
    <w:abstractNumId w:val="28"/>
  </w:num>
  <w:num w:numId="34">
    <w:abstractNumId w:val="24"/>
  </w:num>
  <w:num w:numId="35">
    <w:abstractNumId w:val="47"/>
  </w:num>
  <w:num w:numId="36">
    <w:abstractNumId w:val="23"/>
  </w:num>
  <w:num w:numId="37">
    <w:abstractNumId w:val="10"/>
  </w:num>
  <w:num w:numId="38">
    <w:abstractNumId w:val="31"/>
  </w:num>
  <w:num w:numId="39">
    <w:abstractNumId w:val="4"/>
  </w:num>
  <w:num w:numId="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8"/>
  </w:num>
  <w:num w:numId="43">
    <w:abstractNumId w:val="35"/>
  </w:num>
  <w:num w:numId="44">
    <w:abstractNumId w:val="16"/>
  </w:num>
  <w:num w:numId="45">
    <w:abstractNumId w:val="27"/>
  </w:num>
  <w:num w:numId="46">
    <w:abstractNumId w:val="44"/>
  </w:num>
  <w:num w:numId="47">
    <w:abstractNumId w:val="2"/>
  </w:num>
  <w:num w:numId="48">
    <w:abstractNumId w:val="9"/>
  </w:num>
  <w:num w:numId="49">
    <w:abstractNumId w:val="17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DF"/>
    <w:rsid w:val="00013391"/>
    <w:rsid w:val="000147FD"/>
    <w:rsid w:val="000152B7"/>
    <w:rsid w:val="00016411"/>
    <w:rsid w:val="000172A3"/>
    <w:rsid w:val="00017875"/>
    <w:rsid w:val="00021AA4"/>
    <w:rsid w:val="0003094E"/>
    <w:rsid w:val="0003216D"/>
    <w:rsid w:val="0003329B"/>
    <w:rsid w:val="000367F4"/>
    <w:rsid w:val="000376FD"/>
    <w:rsid w:val="000408A8"/>
    <w:rsid w:val="000453C8"/>
    <w:rsid w:val="000520C6"/>
    <w:rsid w:val="0005239D"/>
    <w:rsid w:val="00053D99"/>
    <w:rsid w:val="0005653A"/>
    <w:rsid w:val="000646CC"/>
    <w:rsid w:val="00067C6F"/>
    <w:rsid w:val="00070F2D"/>
    <w:rsid w:val="000716EE"/>
    <w:rsid w:val="00072418"/>
    <w:rsid w:val="00072E67"/>
    <w:rsid w:val="00073FC9"/>
    <w:rsid w:val="00074524"/>
    <w:rsid w:val="00075D92"/>
    <w:rsid w:val="00085DC1"/>
    <w:rsid w:val="000907C6"/>
    <w:rsid w:val="00092652"/>
    <w:rsid w:val="00093D94"/>
    <w:rsid w:val="000A0BF5"/>
    <w:rsid w:val="000A3E00"/>
    <w:rsid w:val="000A4B75"/>
    <w:rsid w:val="000A67ED"/>
    <w:rsid w:val="000A7268"/>
    <w:rsid w:val="000B5EFF"/>
    <w:rsid w:val="000C1DD4"/>
    <w:rsid w:val="000C545D"/>
    <w:rsid w:val="000D14C8"/>
    <w:rsid w:val="000D1B93"/>
    <w:rsid w:val="000D212A"/>
    <w:rsid w:val="000D2A28"/>
    <w:rsid w:val="000D6342"/>
    <w:rsid w:val="000D6AB1"/>
    <w:rsid w:val="000D6E5D"/>
    <w:rsid w:val="000E1FF3"/>
    <w:rsid w:val="000E2B20"/>
    <w:rsid w:val="000E2FFC"/>
    <w:rsid w:val="000E5D9E"/>
    <w:rsid w:val="000E60DF"/>
    <w:rsid w:val="000E6552"/>
    <w:rsid w:val="000E67D4"/>
    <w:rsid w:val="000F08BE"/>
    <w:rsid w:val="00102D53"/>
    <w:rsid w:val="00103521"/>
    <w:rsid w:val="00104662"/>
    <w:rsid w:val="00104FC7"/>
    <w:rsid w:val="00105563"/>
    <w:rsid w:val="00106DF3"/>
    <w:rsid w:val="00113057"/>
    <w:rsid w:val="0011620D"/>
    <w:rsid w:val="00117ACC"/>
    <w:rsid w:val="00120FD8"/>
    <w:rsid w:val="00123A8C"/>
    <w:rsid w:val="00132F13"/>
    <w:rsid w:val="0013487F"/>
    <w:rsid w:val="001371AB"/>
    <w:rsid w:val="0014060D"/>
    <w:rsid w:val="00142ACD"/>
    <w:rsid w:val="001437A0"/>
    <w:rsid w:val="001454D3"/>
    <w:rsid w:val="00151833"/>
    <w:rsid w:val="00152C01"/>
    <w:rsid w:val="00172F4C"/>
    <w:rsid w:val="001770BD"/>
    <w:rsid w:val="00181CBC"/>
    <w:rsid w:val="00187FC1"/>
    <w:rsid w:val="001945C0"/>
    <w:rsid w:val="001A2E9B"/>
    <w:rsid w:val="001A32DC"/>
    <w:rsid w:val="001A61BE"/>
    <w:rsid w:val="001B1508"/>
    <w:rsid w:val="001B2922"/>
    <w:rsid w:val="001B36D4"/>
    <w:rsid w:val="001C2073"/>
    <w:rsid w:val="001C49F4"/>
    <w:rsid w:val="001C5A72"/>
    <w:rsid w:val="001D084A"/>
    <w:rsid w:val="001D12F7"/>
    <w:rsid w:val="001E2503"/>
    <w:rsid w:val="001E47DE"/>
    <w:rsid w:val="001E5941"/>
    <w:rsid w:val="001E598B"/>
    <w:rsid w:val="001F2A92"/>
    <w:rsid w:val="001F7AF6"/>
    <w:rsid w:val="00207F08"/>
    <w:rsid w:val="00211FFD"/>
    <w:rsid w:val="00214388"/>
    <w:rsid w:val="002214D9"/>
    <w:rsid w:val="00221BAA"/>
    <w:rsid w:val="00222634"/>
    <w:rsid w:val="002310C0"/>
    <w:rsid w:val="002326D2"/>
    <w:rsid w:val="00236FA6"/>
    <w:rsid w:val="002421EB"/>
    <w:rsid w:val="002437F3"/>
    <w:rsid w:val="00243FA6"/>
    <w:rsid w:val="0024500A"/>
    <w:rsid w:val="0024553D"/>
    <w:rsid w:val="00247856"/>
    <w:rsid w:val="002525DE"/>
    <w:rsid w:val="00253A98"/>
    <w:rsid w:val="00253BE0"/>
    <w:rsid w:val="00253EBB"/>
    <w:rsid w:val="00254338"/>
    <w:rsid w:val="00254C58"/>
    <w:rsid w:val="00273DBD"/>
    <w:rsid w:val="0028105A"/>
    <w:rsid w:val="00282755"/>
    <w:rsid w:val="00286F99"/>
    <w:rsid w:val="00291270"/>
    <w:rsid w:val="00291515"/>
    <w:rsid w:val="00291F36"/>
    <w:rsid w:val="00292EF9"/>
    <w:rsid w:val="002947EA"/>
    <w:rsid w:val="002A3514"/>
    <w:rsid w:val="002B5BF4"/>
    <w:rsid w:val="002C5A49"/>
    <w:rsid w:val="002C6478"/>
    <w:rsid w:val="002D2AD2"/>
    <w:rsid w:val="002E3994"/>
    <w:rsid w:val="002E52ED"/>
    <w:rsid w:val="002F3E80"/>
    <w:rsid w:val="002F3F84"/>
    <w:rsid w:val="003004E4"/>
    <w:rsid w:val="0030175C"/>
    <w:rsid w:val="00302B7C"/>
    <w:rsid w:val="00304FAD"/>
    <w:rsid w:val="003064BA"/>
    <w:rsid w:val="00310AA1"/>
    <w:rsid w:val="00310B62"/>
    <w:rsid w:val="003157C1"/>
    <w:rsid w:val="003159FA"/>
    <w:rsid w:val="00315AE4"/>
    <w:rsid w:val="003208BA"/>
    <w:rsid w:val="0032471E"/>
    <w:rsid w:val="00327100"/>
    <w:rsid w:val="00327BA1"/>
    <w:rsid w:val="0033052A"/>
    <w:rsid w:val="00333C62"/>
    <w:rsid w:val="00335D1B"/>
    <w:rsid w:val="00341635"/>
    <w:rsid w:val="003460E2"/>
    <w:rsid w:val="003464B1"/>
    <w:rsid w:val="00350052"/>
    <w:rsid w:val="00373C74"/>
    <w:rsid w:val="00373EA4"/>
    <w:rsid w:val="003740C0"/>
    <w:rsid w:val="00375580"/>
    <w:rsid w:val="0038100E"/>
    <w:rsid w:val="00384F99"/>
    <w:rsid w:val="00386405"/>
    <w:rsid w:val="00387AB4"/>
    <w:rsid w:val="00390795"/>
    <w:rsid w:val="00393425"/>
    <w:rsid w:val="003A0493"/>
    <w:rsid w:val="003A213B"/>
    <w:rsid w:val="003B086C"/>
    <w:rsid w:val="003B1114"/>
    <w:rsid w:val="003B2D1A"/>
    <w:rsid w:val="003C07FC"/>
    <w:rsid w:val="003C1403"/>
    <w:rsid w:val="003C29A2"/>
    <w:rsid w:val="003C3F61"/>
    <w:rsid w:val="003C5754"/>
    <w:rsid w:val="003C6F4D"/>
    <w:rsid w:val="003D0C90"/>
    <w:rsid w:val="003D0ED2"/>
    <w:rsid w:val="003D2496"/>
    <w:rsid w:val="003D3007"/>
    <w:rsid w:val="003D3A3D"/>
    <w:rsid w:val="003E2D55"/>
    <w:rsid w:val="003E5311"/>
    <w:rsid w:val="003F206D"/>
    <w:rsid w:val="00400B9D"/>
    <w:rsid w:val="00402E94"/>
    <w:rsid w:val="00403D73"/>
    <w:rsid w:val="00405F7D"/>
    <w:rsid w:val="0041253C"/>
    <w:rsid w:val="00413E5D"/>
    <w:rsid w:val="00420546"/>
    <w:rsid w:val="0042312F"/>
    <w:rsid w:val="004233C7"/>
    <w:rsid w:val="004245EE"/>
    <w:rsid w:val="00425912"/>
    <w:rsid w:val="00435232"/>
    <w:rsid w:val="00442840"/>
    <w:rsid w:val="0045556F"/>
    <w:rsid w:val="00461282"/>
    <w:rsid w:val="00461ACB"/>
    <w:rsid w:val="004626C3"/>
    <w:rsid w:val="00462ED3"/>
    <w:rsid w:val="00464419"/>
    <w:rsid w:val="00466664"/>
    <w:rsid w:val="00467D21"/>
    <w:rsid w:val="00475859"/>
    <w:rsid w:val="004812F7"/>
    <w:rsid w:val="00484816"/>
    <w:rsid w:val="00485FE7"/>
    <w:rsid w:val="004875DC"/>
    <w:rsid w:val="004921F0"/>
    <w:rsid w:val="00492677"/>
    <w:rsid w:val="00497756"/>
    <w:rsid w:val="004A6BEB"/>
    <w:rsid w:val="004A7CB0"/>
    <w:rsid w:val="004B0F56"/>
    <w:rsid w:val="004B3998"/>
    <w:rsid w:val="004B5788"/>
    <w:rsid w:val="004C179A"/>
    <w:rsid w:val="004C2F57"/>
    <w:rsid w:val="004C487E"/>
    <w:rsid w:val="004D1273"/>
    <w:rsid w:val="004D16F8"/>
    <w:rsid w:val="004F09D9"/>
    <w:rsid w:val="004F6163"/>
    <w:rsid w:val="004F6C95"/>
    <w:rsid w:val="00503111"/>
    <w:rsid w:val="00506482"/>
    <w:rsid w:val="00512E05"/>
    <w:rsid w:val="00513734"/>
    <w:rsid w:val="00515C3A"/>
    <w:rsid w:val="005217A7"/>
    <w:rsid w:val="00521D1E"/>
    <w:rsid w:val="00531D2F"/>
    <w:rsid w:val="005334D3"/>
    <w:rsid w:val="00542F90"/>
    <w:rsid w:val="00545032"/>
    <w:rsid w:val="005572D3"/>
    <w:rsid w:val="00560D60"/>
    <w:rsid w:val="0056385C"/>
    <w:rsid w:val="00567A77"/>
    <w:rsid w:val="00570973"/>
    <w:rsid w:val="005756A2"/>
    <w:rsid w:val="00581631"/>
    <w:rsid w:val="005831A6"/>
    <w:rsid w:val="00584401"/>
    <w:rsid w:val="00590F43"/>
    <w:rsid w:val="005915B4"/>
    <w:rsid w:val="005A21C3"/>
    <w:rsid w:val="005A5733"/>
    <w:rsid w:val="005A6399"/>
    <w:rsid w:val="005B1C21"/>
    <w:rsid w:val="005B3C37"/>
    <w:rsid w:val="005B3E48"/>
    <w:rsid w:val="005B4A11"/>
    <w:rsid w:val="005B4AC9"/>
    <w:rsid w:val="005C348A"/>
    <w:rsid w:val="005C6851"/>
    <w:rsid w:val="005C756B"/>
    <w:rsid w:val="005D0269"/>
    <w:rsid w:val="005D363F"/>
    <w:rsid w:val="005D6CE0"/>
    <w:rsid w:val="005E08A5"/>
    <w:rsid w:val="005E1644"/>
    <w:rsid w:val="005E3A55"/>
    <w:rsid w:val="005E64AF"/>
    <w:rsid w:val="005F4C63"/>
    <w:rsid w:val="005F6639"/>
    <w:rsid w:val="005F72A5"/>
    <w:rsid w:val="006031EC"/>
    <w:rsid w:val="006037D4"/>
    <w:rsid w:val="00604D1A"/>
    <w:rsid w:val="006056CB"/>
    <w:rsid w:val="00607901"/>
    <w:rsid w:val="00611026"/>
    <w:rsid w:val="006131B2"/>
    <w:rsid w:val="00617DF7"/>
    <w:rsid w:val="006200FB"/>
    <w:rsid w:val="00621FDD"/>
    <w:rsid w:val="00622B36"/>
    <w:rsid w:val="00625618"/>
    <w:rsid w:val="006304F4"/>
    <w:rsid w:val="0063182B"/>
    <w:rsid w:val="00633411"/>
    <w:rsid w:val="00635A54"/>
    <w:rsid w:val="006400F4"/>
    <w:rsid w:val="0064019D"/>
    <w:rsid w:val="006420F9"/>
    <w:rsid w:val="0064216E"/>
    <w:rsid w:val="00643D91"/>
    <w:rsid w:val="006476FA"/>
    <w:rsid w:val="00647D5C"/>
    <w:rsid w:val="00650637"/>
    <w:rsid w:val="00652D77"/>
    <w:rsid w:val="00654283"/>
    <w:rsid w:val="00656F8C"/>
    <w:rsid w:val="00660E31"/>
    <w:rsid w:val="00661E6B"/>
    <w:rsid w:val="00664D73"/>
    <w:rsid w:val="0066594C"/>
    <w:rsid w:val="006667FF"/>
    <w:rsid w:val="00667801"/>
    <w:rsid w:val="00680047"/>
    <w:rsid w:val="00681486"/>
    <w:rsid w:val="00683408"/>
    <w:rsid w:val="00683E41"/>
    <w:rsid w:val="00696328"/>
    <w:rsid w:val="006A60F1"/>
    <w:rsid w:val="006B4D17"/>
    <w:rsid w:val="006B7EB3"/>
    <w:rsid w:val="006C254E"/>
    <w:rsid w:val="006C36DC"/>
    <w:rsid w:val="006C3D26"/>
    <w:rsid w:val="006C472A"/>
    <w:rsid w:val="006D30B4"/>
    <w:rsid w:val="006D6528"/>
    <w:rsid w:val="006E3896"/>
    <w:rsid w:val="006F029E"/>
    <w:rsid w:val="006F333B"/>
    <w:rsid w:val="00701C2B"/>
    <w:rsid w:val="00702B21"/>
    <w:rsid w:val="00704E7D"/>
    <w:rsid w:val="00705CA3"/>
    <w:rsid w:val="007129F3"/>
    <w:rsid w:val="00713D60"/>
    <w:rsid w:val="007153B2"/>
    <w:rsid w:val="00720FBB"/>
    <w:rsid w:val="00735103"/>
    <w:rsid w:val="007365AE"/>
    <w:rsid w:val="007410A9"/>
    <w:rsid w:val="0074608F"/>
    <w:rsid w:val="00746974"/>
    <w:rsid w:val="0075174E"/>
    <w:rsid w:val="00753787"/>
    <w:rsid w:val="00755424"/>
    <w:rsid w:val="007620BF"/>
    <w:rsid w:val="00767C45"/>
    <w:rsid w:val="0077715B"/>
    <w:rsid w:val="007836AB"/>
    <w:rsid w:val="00784619"/>
    <w:rsid w:val="00784E39"/>
    <w:rsid w:val="00793064"/>
    <w:rsid w:val="0079471A"/>
    <w:rsid w:val="007A2E69"/>
    <w:rsid w:val="007A7C36"/>
    <w:rsid w:val="007B056A"/>
    <w:rsid w:val="007C0C2E"/>
    <w:rsid w:val="007C16BA"/>
    <w:rsid w:val="007D188D"/>
    <w:rsid w:val="007D18C7"/>
    <w:rsid w:val="007D1C14"/>
    <w:rsid w:val="007D3743"/>
    <w:rsid w:val="007D684D"/>
    <w:rsid w:val="007E3793"/>
    <w:rsid w:val="007E6526"/>
    <w:rsid w:val="007E7926"/>
    <w:rsid w:val="007F022D"/>
    <w:rsid w:val="007F5412"/>
    <w:rsid w:val="007F5832"/>
    <w:rsid w:val="008013B4"/>
    <w:rsid w:val="0080263C"/>
    <w:rsid w:val="00804E20"/>
    <w:rsid w:val="00805CAD"/>
    <w:rsid w:val="008178BF"/>
    <w:rsid w:val="00817F5F"/>
    <w:rsid w:val="00820C55"/>
    <w:rsid w:val="00820FFD"/>
    <w:rsid w:val="0082756C"/>
    <w:rsid w:val="008277DD"/>
    <w:rsid w:val="00827CB5"/>
    <w:rsid w:val="008327B9"/>
    <w:rsid w:val="008410D0"/>
    <w:rsid w:val="00842216"/>
    <w:rsid w:val="008442F0"/>
    <w:rsid w:val="00850683"/>
    <w:rsid w:val="00850AEF"/>
    <w:rsid w:val="00854E8B"/>
    <w:rsid w:val="00856338"/>
    <w:rsid w:val="008615A2"/>
    <w:rsid w:val="00863224"/>
    <w:rsid w:val="008651CF"/>
    <w:rsid w:val="00867FAC"/>
    <w:rsid w:val="00874B3B"/>
    <w:rsid w:val="00880F71"/>
    <w:rsid w:val="008844B1"/>
    <w:rsid w:val="0088639C"/>
    <w:rsid w:val="008A3852"/>
    <w:rsid w:val="008A629F"/>
    <w:rsid w:val="008A691F"/>
    <w:rsid w:val="008B31A4"/>
    <w:rsid w:val="008C03D3"/>
    <w:rsid w:val="008D2111"/>
    <w:rsid w:val="008D4CF9"/>
    <w:rsid w:val="008D78BA"/>
    <w:rsid w:val="008E34E5"/>
    <w:rsid w:val="008E4C1B"/>
    <w:rsid w:val="008F0ABB"/>
    <w:rsid w:val="008F7D60"/>
    <w:rsid w:val="009015D3"/>
    <w:rsid w:val="00906ADD"/>
    <w:rsid w:val="009117EC"/>
    <w:rsid w:val="00911BC8"/>
    <w:rsid w:val="00913DBF"/>
    <w:rsid w:val="0091723D"/>
    <w:rsid w:val="00917D7E"/>
    <w:rsid w:val="0092107F"/>
    <w:rsid w:val="0092205E"/>
    <w:rsid w:val="00923353"/>
    <w:rsid w:val="00927112"/>
    <w:rsid w:val="00930257"/>
    <w:rsid w:val="009318F7"/>
    <w:rsid w:val="00935DBC"/>
    <w:rsid w:val="00941085"/>
    <w:rsid w:val="0094520E"/>
    <w:rsid w:val="00955998"/>
    <w:rsid w:val="00961BA5"/>
    <w:rsid w:val="00964B35"/>
    <w:rsid w:val="009757CA"/>
    <w:rsid w:val="0097650B"/>
    <w:rsid w:val="00977E53"/>
    <w:rsid w:val="0098312D"/>
    <w:rsid w:val="009841BD"/>
    <w:rsid w:val="009853C4"/>
    <w:rsid w:val="00987465"/>
    <w:rsid w:val="009916E8"/>
    <w:rsid w:val="009922C4"/>
    <w:rsid w:val="009958B9"/>
    <w:rsid w:val="009967A9"/>
    <w:rsid w:val="009A0DAB"/>
    <w:rsid w:val="009A59F7"/>
    <w:rsid w:val="009B6582"/>
    <w:rsid w:val="009B7AD1"/>
    <w:rsid w:val="009C461D"/>
    <w:rsid w:val="009C6D76"/>
    <w:rsid w:val="009D01A5"/>
    <w:rsid w:val="009D584C"/>
    <w:rsid w:val="009D676A"/>
    <w:rsid w:val="009D732D"/>
    <w:rsid w:val="009E01CC"/>
    <w:rsid w:val="009E5D46"/>
    <w:rsid w:val="009E6580"/>
    <w:rsid w:val="009E6A95"/>
    <w:rsid w:val="009E7547"/>
    <w:rsid w:val="009F20A6"/>
    <w:rsid w:val="009F3AA0"/>
    <w:rsid w:val="009F410E"/>
    <w:rsid w:val="009F4AE3"/>
    <w:rsid w:val="009F4D94"/>
    <w:rsid w:val="009F5DDD"/>
    <w:rsid w:val="00A01A20"/>
    <w:rsid w:val="00A01BCD"/>
    <w:rsid w:val="00A023EA"/>
    <w:rsid w:val="00A02E18"/>
    <w:rsid w:val="00A0419F"/>
    <w:rsid w:val="00A15036"/>
    <w:rsid w:val="00A21F2C"/>
    <w:rsid w:val="00A21FFD"/>
    <w:rsid w:val="00A22077"/>
    <w:rsid w:val="00A277C9"/>
    <w:rsid w:val="00A333C2"/>
    <w:rsid w:val="00A35E6E"/>
    <w:rsid w:val="00A365EF"/>
    <w:rsid w:val="00A41E26"/>
    <w:rsid w:val="00A44DFA"/>
    <w:rsid w:val="00A45FEF"/>
    <w:rsid w:val="00A46C9F"/>
    <w:rsid w:val="00A5080B"/>
    <w:rsid w:val="00A551D9"/>
    <w:rsid w:val="00A62641"/>
    <w:rsid w:val="00A63E99"/>
    <w:rsid w:val="00A65EE6"/>
    <w:rsid w:val="00A670FD"/>
    <w:rsid w:val="00A713D5"/>
    <w:rsid w:val="00A722E2"/>
    <w:rsid w:val="00A72ECE"/>
    <w:rsid w:val="00A74B97"/>
    <w:rsid w:val="00A8169E"/>
    <w:rsid w:val="00A8333F"/>
    <w:rsid w:val="00A9177A"/>
    <w:rsid w:val="00A93224"/>
    <w:rsid w:val="00AA1095"/>
    <w:rsid w:val="00AA2574"/>
    <w:rsid w:val="00AA319B"/>
    <w:rsid w:val="00AA5505"/>
    <w:rsid w:val="00AB16FE"/>
    <w:rsid w:val="00AB1C8D"/>
    <w:rsid w:val="00AB2EDA"/>
    <w:rsid w:val="00AC738A"/>
    <w:rsid w:val="00AD0492"/>
    <w:rsid w:val="00AD0D5D"/>
    <w:rsid w:val="00AE58B3"/>
    <w:rsid w:val="00AE5FCD"/>
    <w:rsid w:val="00AE6DF2"/>
    <w:rsid w:val="00AE718D"/>
    <w:rsid w:val="00AE74B4"/>
    <w:rsid w:val="00AF31CD"/>
    <w:rsid w:val="00AF6D18"/>
    <w:rsid w:val="00B00002"/>
    <w:rsid w:val="00B013C8"/>
    <w:rsid w:val="00B02823"/>
    <w:rsid w:val="00B0699E"/>
    <w:rsid w:val="00B10EF1"/>
    <w:rsid w:val="00B13918"/>
    <w:rsid w:val="00B16009"/>
    <w:rsid w:val="00B17C6A"/>
    <w:rsid w:val="00B17CFC"/>
    <w:rsid w:val="00B23DB0"/>
    <w:rsid w:val="00B27D08"/>
    <w:rsid w:val="00B27EED"/>
    <w:rsid w:val="00B327BD"/>
    <w:rsid w:val="00B33976"/>
    <w:rsid w:val="00B359EE"/>
    <w:rsid w:val="00B40BED"/>
    <w:rsid w:val="00B41741"/>
    <w:rsid w:val="00B434DB"/>
    <w:rsid w:val="00B45827"/>
    <w:rsid w:val="00B45F38"/>
    <w:rsid w:val="00B546CF"/>
    <w:rsid w:val="00B578BD"/>
    <w:rsid w:val="00B62496"/>
    <w:rsid w:val="00B63A59"/>
    <w:rsid w:val="00B6527E"/>
    <w:rsid w:val="00B65ADE"/>
    <w:rsid w:val="00B7005A"/>
    <w:rsid w:val="00B75DF6"/>
    <w:rsid w:val="00B77507"/>
    <w:rsid w:val="00B80D9A"/>
    <w:rsid w:val="00B8475E"/>
    <w:rsid w:val="00B94C2B"/>
    <w:rsid w:val="00B95D29"/>
    <w:rsid w:val="00B9603E"/>
    <w:rsid w:val="00BA0622"/>
    <w:rsid w:val="00BA14CE"/>
    <w:rsid w:val="00BB0A63"/>
    <w:rsid w:val="00BB0FE9"/>
    <w:rsid w:val="00BB2CD8"/>
    <w:rsid w:val="00BB5265"/>
    <w:rsid w:val="00BB5B9E"/>
    <w:rsid w:val="00BB6448"/>
    <w:rsid w:val="00BC2CF5"/>
    <w:rsid w:val="00BC41B9"/>
    <w:rsid w:val="00BC6A6C"/>
    <w:rsid w:val="00BC6B3F"/>
    <w:rsid w:val="00BC6CB2"/>
    <w:rsid w:val="00BC6DF5"/>
    <w:rsid w:val="00BC7B13"/>
    <w:rsid w:val="00BD0B73"/>
    <w:rsid w:val="00BD2277"/>
    <w:rsid w:val="00BD41C6"/>
    <w:rsid w:val="00BE592B"/>
    <w:rsid w:val="00BE6530"/>
    <w:rsid w:val="00BE7ACA"/>
    <w:rsid w:val="00BF54A9"/>
    <w:rsid w:val="00C00752"/>
    <w:rsid w:val="00C0108F"/>
    <w:rsid w:val="00C02BD6"/>
    <w:rsid w:val="00C03B08"/>
    <w:rsid w:val="00C053D9"/>
    <w:rsid w:val="00C1407E"/>
    <w:rsid w:val="00C15BE9"/>
    <w:rsid w:val="00C248BC"/>
    <w:rsid w:val="00C25AAD"/>
    <w:rsid w:val="00C26592"/>
    <w:rsid w:val="00C34ED7"/>
    <w:rsid w:val="00C362B3"/>
    <w:rsid w:val="00C461DC"/>
    <w:rsid w:val="00C52DC1"/>
    <w:rsid w:val="00C65D98"/>
    <w:rsid w:val="00C66D01"/>
    <w:rsid w:val="00C71CAC"/>
    <w:rsid w:val="00C7329E"/>
    <w:rsid w:val="00C832D5"/>
    <w:rsid w:val="00C83888"/>
    <w:rsid w:val="00C90082"/>
    <w:rsid w:val="00C906BF"/>
    <w:rsid w:val="00C908C6"/>
    <w:rsid w:val="00C9138C"/>
    <w:rsid w:val="00C9217F"/>
    <w:rsid w:val="00C94260"/>
    <w:rsid w:val="00C948EF"/>
    <w:rsid w:val="00CA0D4F"/>
    <w:rsid w:val="00CA174E"/>
    <w:rsid w:val="00CA194A"/>
    <w:rsid w:val="00CA2AEB"/>
    <w:rsid w:val="00CA7A30"/>
    <w:rsid w:val="00CC015A"/>
    <w:rsid w:val="00CC222C"/>
    <w:rsid w:val="00CC57E3"/>
    <w:rsid w:val="00CC5C7E"/>
    <w:rsid w:val="00CC6C51"/>
    <w:rsid w:val="00CC77CA"/>
    <w:rsid w:val="00CD04C0"/>
    <w:rsid w:val="00CD04DB"/>
    <w:rsid w:val="00CD0D3C"/>
    <w:rsid w:val="00CD45D7"/>
    <w:rsid w:val="00CD4F57"/>
    <w:rsid w:val="00CD6CE5"/>
    <w:rsid w:val="00CE0052"/>
    <w:rsid w:val="00CE1933"/>
    <w:rsid w:val="00CE246B"/>
    <w:rsid w:val="00CE66F3"/>
    <w:rsid w:val="00D005C5"/>
    <w:rsid w:val="00D036CF"/>
    <w:rsid w:val="00D06EF4"/>
    <w:rsid w:val="00D07BA2"/>
    <w:rsid w:val="00D10EF4"/>
    <w:rsid w:val="00D110CD"/>
    <w:rsid w:val="00D16D56"/>
    <w:rsid w:val="00D178BA"/>
    <w:rsid w:val="00D17B65"/>
    <w:rsid w:val="00D24BCE"/>
    <w:rsid w:val="00D259A9"/>
    <w:rsid w:val="00D313AC"/>
    <w:rsid w:val="00D319BD"/>
    <w:rsid w:val="00D4065B"/>
    <w:rsid w:val="00D452C5"/>
    <w:rsid w:val="00D46A71"/>
    <w:rsid w:val="00D544F3"/>
    <w:rsid w:val="00D57DAE"/>
    <w:rsid w:val="00D60462"/>
    <w:rsid w:val="00D67E40"/>
    <w:rsid w:val="00D70F9B"/>
    <w:rsid w:val="00D72144"/>
    <w:rsid w:val="00D74FCE"/>
    <w:rsid w:val="00D77465"/>
    <w:rsid w:val="00D800D6"/>
    <w:rsid w:val="00D82EC3"/>
    <w:rsid w:val="00D8517A"/>
    <w:rsid w:val="00D855DC"/>
    <w:rsid w:val="00D8603C"/>
    <w:rsid w:val="00D91715"/>
    <w:rsid w:val="00D93B5B"/>
    <w:rsid w:val="00DA56C6"/>
    <w:rsid w:val="00DA5997"/>
    <w:rsid w:val="00DB2AD7"/>
    <w:rsid w:val="00DB2E79"/>
    <w:rsid w:val="00DB470D"/>
    <w:rsid w:val="00DB65C7"/>
    <w:rsid w:val="00DB661A"/>
    <w:rsid w:val="00DC11D7"/>
    <w:rsid w:val="00DC2F12"/>
    <w:rsid w:val="00DC6827"/>
    <w:rsid w:val="00DD38BA"/>
    <w:rsid w:val="00DD6FFC"/>
    <w:rsid w:val="00DE1F42"/>
    <w:rsid w:val="00DE4965"/>
    <w:rsid w:val="00DF0618"/>
    <w:rsid w:val="00E005C3"/>
    <w:rsid w:val="00E015F4"/>
    <w:rsid w:val="00E02A30"/>
    <w:rsid w:val="00E043F8"/>
    <w:rsid w:val="00E1145E"/>
    <w:rsid w:val="00E2059D"/>
    <w:rsid w:val="00E2573D"/>
    <w:rsid w:val="00E32050"/>
    <w:rsid w:val="00E377CE"/>
    <w:rsid w:val="00E4075A"/>
    <w:rsid w:val="00E41227"/>
    <w:rsid w:val="00E423BB"/>
    <w:rsid w:val="00E4490D"/>
    <w:rsid w:val="00E453AF"/>
    <w:rsid w:val="00E50003"/>
    <w:rsid w:val="00E50A56"/>
    <w:rsid w:val="00E54205"/>
    <w:rsid w:val="00E55983"/>
    <w:rsid w:val="00E56B9F"/>
    <w:rsid w:val="00E65219"/>
    <w:rsid w:val="00E70504"/>
    <w:rsid w:val="00E74344"/>
    <w:rsid w:val="00E746F5"/>
    <w:rsid w:val="00E75A5F"/>
    <w:rsid w:val="00E80F99"/>
    <w:rsid w:val="00E812D5"/>
    <w:rsid w:val="00E8555E"/>
    <w:rsid w:val="00E8556A"/>
    <w:rsid w:val="00E97647"/>
    <w:rsid w:val="00EA12F2"/>
    <w:rsid w:val="00EA1A93"/>
    <w:rsid w:val="00EA34E2"/>
    <w:rsid w:val="00EA51E7"/>
    <w:rsid w:val="00EA54C2"/>
    <w:rsid w:val="00EA692F"/>
    <w:rsid w:val="00EB1B47"/>
    <w:rsid w:val="00EB2817"/>
    <w:rsid w:val="00EC19DC"/>
    <w:rsid w:val="00EC2C96"/>
    <w:rsid w:val="00EC4B04"/>
    <w:rsid w:val="00EC5776"/>
    <w:rsid w:val="00ED029F"/>
    <w:rsid w:val="00ED30D0"/>
    <w:rsid w:val="00ED4020"/>
    <w:rsid w:val="00ED4FFC"/>
    <w:rsid w:val="00EE3767"/>
    <w:rsid w:val="00EE551F"/>
    <w:rsid w:val="00EE7C43"/>
    <w:rsid w:val="00EF0C07"/>
    <w:rsid w:val="00EF2F1D"/>
    <w:rsid w:val="00EF33DC"/>
    <w:rsid w:val="00EF5CCA"/>
    <w:rsid w:val="00EF6389"/>
    <w:rsid w:val="00EF7A0D"/>
    <w:rsid w:val="00F00E47"/>
    <w:rsid w:val="00F03C66"/>
    <w:rsid w:val="00F04375"/>
    <w:rsid w:val="00F04E56"/>
    <w:rsid w:val="00F113D4"/>
    <w:rsid w:val="00F121DB"/>
    <w:rsid w:val="00F122E8"/>
    <w:rsid w:val="00F1687C"/>
    <w:rsid w:val="00F17463"/>
    <w:rsid w:val="00F17D25"/>
    <w:rsid w:val="00F20A30"/>
    <w:rsid w:val="00F36883"/>
    <w:rsid w:val="00F41EE0"/>
    <w:rsid w:val="00F454BA"/>
    <w:rsid w:val="00F461A2"/>
    <w:rsid w:val="00F4765C"/>
    <w:rsid w:val="00F52A02"/>
    <w:rsid w:val="00F548E4"/>
    <w:rsid w:val="00F5573E"/>
    <w:rsid w:val="00F619FF"/>
    <w:rsid w:val="00F6214E"/>
    <w:rsid w:val="00F6306E"/>
    <w:rsid w:val="00F65A64"/>
    <w:rsid w:val="00F6629A"/>
    <w:rsid w:val="00F6679F"/>
    <w:rsid w:val="00F7043A"/>
    <w:rsid w:val="00F72615"/>
    <w:rsid w:val="00F758C1"/>
    <w:rsid w:val="00F75BD4"/>
    <w:rsid w:val="00F77F00"/>
    <w:rsid w:val="00F800BB"/>
    <w:rsid w:val="00F8667F"/>
    <w:rsid w:val="00F93CC8"/>
    <w:rsid w:val="00F96420"/>
    <w:rsid w:val="00FA2634"/>
    <w:rsid w:val="00FA419E"/>
    <w:rsid w:val="00FA5919"/>
    <w:rsid w:val="00FB12FD"/>
    <w:rsid w:val="00FB1602"/>
    <w:rsid w:val="00FB1859"/>
    <w:rsid w:val="00FB1AB4"/>
    <w:rsid w:val="00FB2DBD"/>
    <w:rsid w:val="00FB77C0"/>
    <w:rsid w:val="00FC0F97"/>
    <w:rsid w:val="00FC3659"/>
    <w:rsid w:val="00FC7CCA"/>
    <w:rsid w:val="00FD0F63"/>
    <w:rsid w:val="00FD1585"/>
    <w:rsid w:val="00FD31E2"/>
    <w:rsid w:val="00FD4F85"/>
    <w:rsid w:val="00FD68B3"/>
    <w:rsid w:val="00FE00A2"/>
    <w:rsid w:val="00FE5E3C"/>
    <w:rsid w:val="00FF3ADC"/>
    <w:rsid w:val="00FF447E"/>
    <w:rsid w:val="00FF4D34"/>
    <w:rsid w:val="00FF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05132F-B8C6-4E7A-852D-15E71A431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0DF"/>
    <w:pPr>
      <w:spacing w:after="0" w:line="360" w:lineRule="auto"/>
      <w:jc w:val="both"/>
    </w:pPr>
    <w:rPr>
      <w:rFonts w:ascii="Arial" w:eastAsia="Times New Roman" w:hAnsi="Arial" w:cs="Times New Roman"/>
      <w:sz w:val="21"/>
      <w:szCs w:val="24"/>
      <w:lang w:val="de-A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0DF"/>
    <w:pPr>
      <w:keepNext/>
      <w:keepLines/>
      <w:spacing w:before="20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60D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60D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60D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AT"/>
    </w:rPr>
  </w:style>
  <w:style w:type="character" w:styleId="IntenseEmphasis">
    <w:name w:val="Intense Emphasis"/>
    <w:basedOn w:val="DefaultParagraphFont"/>
    <w:uiPriority w:val="21"/>
    <w:qFormat/>
    <w:rsid w:val="000E60DF"/>
    <w:rPr>
      <w:b/>
      <w:bCs/>
      <w:i/>
      <w:iCs/>
      <w:color w:val="5B9BD5" w:themeColor="accent1"/>
    </w:rPr>
  </w:style>
  <w:style w:type="paragraph" w:styleId="ListParagraph">
    <w:name w:val="List Paragraph"/>
    <w:basedOn w:val="Normal"/>
    <w:link w:val="ListParagraphChar"/>
    <w:uiPriority w:val="34"/>
    <w:qFormat/>
    <w:rsid w:val="00EF6389"/>
    <w:pPr>
      <w:suppressAutoHyphens/>
      <w:spacing w:line="240" w:lineRule="auto"/>
      <w:ind w:left="720"/>
      <w:jc w:val="left"/>
    </w:pPr>
    <w:rPr>
      <w:rFonts w:ascii="Times New Roman" w:hAnsi="Times New Roman"/>
      <w:sz w:val="24"/>
      <w:lang w:val="en-US" w:eastAsia="ar-SA"/>
    </w:rPr>
  </w:style>
  <w:style w:type="character" w:customStyle="1" w:styleId="ListParagraphChar">
    <w:name w:val="List Paragraph Char"/>
    <w:link w:val="ListParagraph"/>
    <w:locked/>
    <w:rsid w:val="00EF63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rsid w:val="00FD31E2"/>
    <w:pPr>
      <w:spacing w:after="120" w:line="240" w:lineRule="auto"/>
      <w:jc w:val="left"/>
    </w:pPr>
    <w:rPr>
      <w:rFonts w:ascii="Times New Roman" w:hAnsi="Times New Roman"/>
      <w:sz w:val="24"/>
      <w:lang w:val="sl-SI"/>
    </w:rPr>
  </w:style>
  <w:style w:type="character" w:customStyle="1" w:styleId="BodyTextChar">
    <w:name w:val="Body Text Char"/>
    <w:basedOn w:val="DefaultParagraphFont"/>
    <w:link w:val="BodyText"/>
    <w:rsid w:val="00FD31E2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2">
    <w:name w:val="Body Text 2"/>
    <w:basedOn w:val="Normal"/>
    <w:link w:val="BodyText2Char"/>
    <w:rsid w:val="00E56B9F"/>
    <w:pPr>
      <w:spacing w:after="120" w:line="480" w:lineRule="auto"/>
      <w:jc w:val="left"/>
    </w:pPr>
    <w:rPr>
      <w:rFonts w:ascii="Times New Roman" w:hAnsi="Times New Roman"/>
      <w:sz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E56B9F"/>
    <w:rPr>
      <w:rFonts w:ascii="Times New Roman" w:eastAsia="Times New Roman" w:hAnsi="Times New Roman" w:cs="Times New Roman"/>
      <w:sz w:val="24"/>
      <w:szCs w:val="24"/>
      <w:lang w:val="sl-SI"/>
    </w:rPr>
  </w:style>
  <w:style w:type="paragraph" w:customStyle="1" w:styleId="Default">
    <w:name w:val="Default"/>
    <w:rsid w:val="00E56B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E56B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B9F"/>
    <w:rPr>
      <w:rFonts w:ascii="Arial" w:eastAsia="Times New Roman" w:hAnsi="Arial" w:cs="Times New Roman"/>
      <w:sz w:val="21"/>
      <w:szCs w:val="24"/>
      <w:lang w:val="de-AT"/>
    </w:rPr>
  </w:style>
  <w:style w:type="character" w:styleId="PageNumber">
    <w:name w:val="page number"/>
    <w:basedOn w:val="DefaultParagraphFont"/>
    <w:rsid w:val="00E56B9F"/>
  </w:style>
  <w:style w:type="paragraph" w:styleId="FootnoteText">
    <w:name w:val="footnote text"/>
    <w:basedOn w:val="Normal"/>
    <w:link w:val="FootnoteTextChar"/>
    <w:uiPriority w:val="99"/>
    <w:semiHidden/>
    <w:rsid w:val="00E56B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6B9F"/>
    <w:rPr>
      <w:rFonts w:ascii="Arial" w:eastAsia="Times New Roman" w:hAnsi="Arial" w:cs="Times New Roman"/>
      <w:sz w:val="20"/>
      <w:szCs w:val="20"/>
      <w:lang w:val="de-AT"/>
    </w:rPr>
  </w:style>
  <w:style w:type="paragraph" w:styleId="BodyText3">
    <w:name w:val="Body Text 3"/>
    <w:basedOn w:val="Normal"/>
    <w:link w:val="BodyText3Char"/>
    <w:rsid w:val="00E56B9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56B9F"/>
    <w:rPr>
      <w:rFonts w:ascii="Arial" w:eastAsia="Times New Roman" w:hAnsi="Arial" w:cs="Times New Roman"/>
      <w:sz w:val="16"/>
      <w:szCs w:val="16"/>
      <w:lang w:val="de-AT"/>
    </w:rPr>
  </w:style>
  <w:style w:type="paragraph" w:styleId="Header">
    <w:name w:val="header"/>
    <w:basedOn w:val="Normal"/>
    <w:link w:val="HeaderChar"/>
    <w:uiPriority w:val="99"/>
    <w:rsid w:val="00E56B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B9F"/>
    <w:rPr>
      <w:rFonts w:ascii="Arial" w:eastAsia="Times New Roman" w:hAnsi="Arial" w:cs="Times New Roman"/>
      <w:sz w:val="21"/>
      <w:szCs w:val="24"/>
      <w:lang w:val="de-AT"/>
    </w:rPr>
  </w:style>
  <w:style w:type="paragraph" w:styleId="BalloonText">
    <w:name w:val="Balloon Text"/>
    <w:basedOn w:val="Normal"/>
    <w:link w:val="BalloonTextChar"/>
    <w:rsid w:val="00E56B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6B9F"/>
    <w:rPr>
      <w:rFonts w:ascii="Tahoma" w:eastAsia="Times New Roman" w:hAnsi="Tahoma" w:cs="Tahoma"/>
      <w:sz w:val="16"/>
      <w:szCs w:val="16"/>
      <w:lang w:val="de-A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6B9F"/>
    <w:rPr>
      <w:rFonts w:ascii="Arial" w:eastAsia="Times New Roman" w:hAnsi="Arial" w:cs="Times New Roman"/>
      <w:sz w:val="20"/>
      <w:szCs w:val="20"/>
      <w:lang w:val="de-A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6B9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E56B9F"/>
    <w:rPr>
      <w:rFonts w:ascii="Arial" w:eastAsia="Times New Roman" w:hAnsi="Arial" w:cs="Times New Roman"/>
      <w:sz w:val="20"/>
      <w:szCs w:val="20"/>
      <w:lang w:val="de-A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B9F"/>
    <w:rPr>
      <w:rFonts w:ascii="Arial" w:eastAsia="Times New Roman" w:hAnsi="Arial" w:cs="Times New Roman"/>
      <w:b/>
      <w:bCs/>
      <w:sz w:val="20"/>
      <w:szCs w:val="20"/>
      <w:lang w:val="de-A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B9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56B9F"/>
    <w:rPr>
      <w:rFonts w:ascii="Arial" w:eastAsia="Times New Roman" w:hAnsi="Arial" w:cs="Times New Roman"/>
      <w:b/>
      <w:bCs/>
      <w:sz w:val="20"/>
      <w:szCs w:val="20"/>
      <w:lang w:val="de-AT"/>
    </w:rPr>
  </w:style>
  <w:style w:type="character" w:styleId="CommentReference">
    <w:name w:val="annotation reference"/>
    <w:basedOn w:val="DefaultParagraphFont"/>
    <w:uiPriority w:val="99"/>
    <w:semiHidden/>
    <w:unhideWhenUsed/>
    <w:rsid w:val="00BE6530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A74B97"/>
    <w:rPr>
      <w:vertAlign w:val="superscript"/>
    </w:rPr>
  </w:style>
  <w:style w:type="table" w:styleId="TableGrid">
    <w:name w:val="Table Grid"/>
    <w:basedOn w:val="TableNormal"/>
    <w:rsid w:val="00B9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705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E68F2-49DF-427F-9E4E-724E5459D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25023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Knežević</dc:creator>
  <cp:lastModifiedBy>Zorica Knežević</cp:lastModifiedBy>
  <cp:revision>9</cp:revision>
  <cp:lastPrinted>2020-02-26T08:15:00Z</cp:lastPrinted>
  <dcterms:created xsi:type="dcterms:W3CDTF">2020-03-01T17:05:00Z</dcterms:created>
  <dcterms:modified xsi:type="dcterms:W3CDTF">2020-03-03T11:47:00Z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Zorica.Knezevic@dunav.com</vt:lpwstr>
  </property>
  <property fmtid="{D5CDD505-2E9C-101B-9397-08002B2CF9AE}" pid="5" name="MSIP_Label_d804cba3-4230-45ca-9216-d82f2af2d78b_SetDate">
    <vt:lpwstr>2020-02-22T16:55:52.4832755Z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Zorica.Knezevic@dunav.com</vt:lpwstr>
  </property>
  <property fmtid="{D5CDD505-2E9C-101B-9397-08002B2CF9AE}" pid="12" name="MSIP_Label_512323d3-ecdb-4453-a891-cda8887ae10a_SetDate">
    <vt:lpwstr>2020-02-22T16:55:52.4832755Z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