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7.xml" ContentType="application/vnd.openxmlformats-officedocument.drawingml.chart+xml"/>
  <Override PartName="/word/theme/themeOverride5.xml" ContentType="application/vnd.openxmlformats-officedocument.themeOverrid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477" w:rsidRPr="000545BA" w:rsidRDefault="00DE3F72">
      <w:pPr>
        <w:pStyle w:val="NoSpacing"/>
        <w:rPr>
          <w:rFonts w:ascii="Verdana" w:hAnsi="Verdana" w:cs="Tahoma"/>
          <w:noProof/>
          <w:sz w:val="18"/>
          <w:szCs w:val="18"/>
          <w:lang w:val="sr-Cyrl-RS"/>
        </w:rPr>
      </w:pPr>
      <w:r w:rsidRPr="000545BA">
        <w:rPr>
          <w:rFonts w:ascii="Verdana" w:hAnsi="Verdana"/>
          <w:noProof/>
          <w:lang w:val="sr-Latn-RS" w:eastAsia="sr-Latn-RS"/>
        </w:rPr>
        <mc:AlternateContent>
          <mc:Choice Requires="wps">
            <w:drawing>
              <wp:anchor distT="0" distB="0" distL="114300" distR="114300" simplePos="0" relativeHeight="251658240" behindDoc="0" locked="0" layoutInCell="0" allowOverlap="1" wp14:anchorId="0A01C5D2" wp14:editId="010ECF34">
                <wp:simplePos x="0" y="0"/>
                <wp:positionH relativeFrom="page">
                  <wp:posOffset>445770</wp:posOffset>
                </wp:positionH>
                <wp:positionV relativeFrom="page">
                  <wp:posOffset>-251460</wp:posOffset>
                </wp:positionV>
                <wp:extent cx="90805" cy="10549890"/>
                <wp:effectExtent l="0" t="0" r="23495" b="2286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98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5.1pt;margin-top:-19.8pt;width:7.15pt;height:830.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" o:allowincell="f" strokecolor="#4f81bd">
                <w10:wrap anchorx="page" anchory="page"/>
              </v:rect>
            </w:pict>
          </mc:Fallback>
        </mc:AlternateContent>
      </w:r>
      <w:r w:rsidRPr="000545BA">
        <w:rPr>
          <w:rFonts w:ascii="Verdana" w:hAnsi="Verdana"/>
          <w:noProof/>
          <w:lang w:val="sr-Latn-RS" w:eastAsia="sr-Latn-RS"/>
        </w:rPr>
        <mc:AlternateContent>
          <mc:Choice Requires="wps">
            <w:drawing>
              <wp:anchor distT="0" distB="0" distL="114300" distR="114300" simplePos="0" relativeHeight="251659264" behindDoc="0" locked="0" layoutInCell="1" allowOverlap="1" wp14:anchorId="302F9D10" wp14:editId="2DA937DF">
                <wp:simplePos x="0" y="0"/>
                <wp:positionH relativeFrom="column">
                  <wp:posOffset>-120650</wp:posOffset>
                </wp:positionH>
                <wp:positionV relativeFrom="paragraph">
                  <wp:posOffset>-721995</wp:posOffset>
                </wp:positionV>
                <wp:extent cx="425450" cy="450850"/>
                <wp:effectExtent l="0" t="0" r="0" b="6350"/>
                <wp:wrapNone/>
                <wp:docPr id="2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ysClr val="window" lastClr="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9.5pt;margin-top:-56.85pt;width:33.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window"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p>
    <w:p w:rsidR="00CD4477" w:rsidRPr="000545BA" w:rsidRDefault="00CD4477">
      <w:pPr>
        <w:pStyle w:val="NoSpacing"/>
        <w:rPr>
          <w:rFonts w:ascii="Verdana" w:hAnsi="Verdana" w:cs="Tahoma"/>
          <w:noProof/>
          <w:sz w:val="18"/>
          <w:szCs w:val="18"/>
          <w:lang w:val="sr-Cyrl-RS"/>
        </w:rPr>
      </w:pPr>
    </w:p>
    <w:p w:rsidR="00CD4477" w:rsidRPr="000545BA" w:rsidRDefault="00CD4477">
      <w:pPr>
        <w:pStyle w:val="NoSpacing"/>
        <w:rPr>
          <w:rFonts w:ascii="Verdana" w:hAnsi="Verdana" w:cs="Tahoma"/>
          <w:noProof/>
          <w:sz w:val="18"/>
          <w:szCs w:val="18"/>
          <w:lang w:val="sr-Cyrl-RS"/>
        </w:rPr>
      </w:pPr>
    </w:p>
    <w:p w:rsidR="00CD4477" w:rsidRPr="000545BA" w:rsidRDefault="00CD4477">
      <w:pPr>
        <w:pStyle w:val="NoSpacing"/>
        <w:rPr>
          <w:rFonts w:ascii="Verdana" w:hAnsi="Verdana" w:cs="Tahoma"/>
          <w:noProof/>
          <w:sz w:val="18"/>
          <w:szCs w:val="18"/>
          <w:lang w:val="sr-Cyrl-RS"/>
        </w:rPr>
      </w:pPr>
    </w:p>
    <w:bookmarkStart w:id="0" w:name="_Toc414610319"/>
    <w:p w:rsidR="00CD4477" w:rsidRPr="000545BA" w:rsidRDefault="00DE3F72" w:rsidP="00265EBD">
      <w:pPr>
        <w:pStyle w:val="Heading1"/>
        <w:numPr>
          <w:ilvl w:val="0"/>
          <w:numId w:val="0"/>
        </w:numPr>
        <w:jc w:val="left"/>
        <w:rPr>
          <w:rFonts w:ascii="Verdana" w:hAnsi="Verdana" w:cs="Tahoma"/>
          <w:noProof/>
          <w:sz w:val="18"/>
          <w:szCs w:val="18"/>
          <w:lang w:val="sr-Cyrl-RS"/>
        </w:rPr>
      </w:pPr>
      <w:r w:rsidRPr="000545BA">
        <w:rPr>
          <w:rFonts w:ascii="Verdana" w:hAnsi="Verdana"/>
          <w:noProof/>
          <w:lang w:val="sr-Latn-RS" w:eastAsia="sr-Latn-RS"/>
        </w:rPr>
        <mc:AlternateContent>
          <mc:Choice Requires="wps">
            <w:drawing>
              <wp:anchor distT="0" distB="0" distL="114300" distR="114300" simplePos="0" relativeHeight="251655168" behindDoc="1" locked="0" layoutInCell="0" allowOverlap="1" wp14:anchorId="4FD128CF" wp14:editId="261777A3">
                <wp:simplePos x="0" y="0"/>
                <wp:positionH relativeFrom="page">
                  <wp:align>center</wp:align>
                </wp:positionH>
                <wp:positionV relativeFrom="page">
                  <wp:align>bottom</wp:align>
                </wp:positionV>
                <wp:extent cx="8139430" cy="789305"/>
                <wp:effectExtent l="0" t="0" r="1143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9430" cy="789305"/>
                        </a:xfrm>
                        <a:prstGeom prst="rect">
                          <a:avLst/>
                        </a:prstGeom>
                        <a:solidFill>
                          <a:srgbClr val="4F81BD"/>
                        </a:solidFill>
                        <a:ln w="9525">
                          <a:solidFill>
                            <a:srgbClr val="4F81BD"/>
                          </a:solidFill>
                          <a:miter lim="800000"/>
                          <a:headEnd/>
                          <a:tailEnd/>
                        </a:ln>
                      </wps:spPr>
                      <wps:txbx>
                        <w:txbxContent>
                          <w:p w:rsidR="009839F1" w:rsidRPr="00106323" w:rsidRDefault="009839F1" w:rsidP="00CD4477">
                            <w:pPr>
                              <w:ind w:firstLine="3828"/>
                              <w:rPr>
                                <w:rFonts w:ascii="Tahoma" w:hAnsi="Tahoma" w:cs="Tahoma"/>
                                <w:b/>
                                <w:color w:val="FFFFFF"/>
                                <w:sz w:val="20"/>
                                <w:szCs w:val="32"/>
                              </w:rPr>
                            </w:pPr>
                          </w:p>
                          <w:p w:rsidR="009839F1" w:rsidRPr="00106323" w:rsidRDefault="009839F1"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Pr>
                                <w:rFonts w:ascii="Tahoma" w:hAnsi="Tahoma" w:cs="Tahoma"/>
                                <w:b/>
                                <w:noProof/>
                                <w:color w:val="FFFFFF"/>
                                <w:sz w:val="28"/>
                                <w:szCs w:val="28"/>
                                <w:lang w:val="sr-Cyrl-RS"/>
                              </w:rPr>
                              <w:t>март</w:t>
                            </w:r>
                            <w:r w:rsidRPr="00106323">
                              <w:rPr>
                                <w:rFonts w:ascii="Tahoma" w:hAnsi="Tahoma" w:cs="Tahoma"/>
                                <w:b/>
                                <w:noProof/>
                                <w:color w:val="FFFFFF"/>
                                <w:sz w:val="28"/>
                                <w:szCs w:val="28"/>
                              </w:rPr>
                              <w:t xml:space="preserve"> 201</w:t>
                            </w:r>
                            <w:r>
                              <w:rPr>
                                <w:rFonts w:ascii="Tahoma" w:hAnsi="Tahoma" w:cs="Tahoma"/>
                                <w:b/>
                                <w:noProof/>
                                <w:color w:val="FFFFFF"/>
                                <w:sz w:val="28"/>
                                <w:szCs w:val="28"/>
                              </w:rPr>
                              <w:t>5.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0.9pt;height:62.15pt;z-index:-25166131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" o:allowincell="f" fillcolor="#4f81bd" strokecolor="#4f81bd">
                <v:textbox>
                  <w:txbxContent>
                    <w:p w:rsidR="009839F1" w:rsidRPr="00106323" w:rsidRDefault="009839F1" w:rsidP="00CD4477">
                      <w:pPr>
                        <w:ind w:firstLine="3828"/>
                        <w:rPr>
                          <w:rFonts w:ascii="Tahoma" w:hAnsi="Tahoma" w:cs="Tahoma"/>
                          <w:b/>
                          <w:color w:val="FFFFFF"/>
                          <w:sz w:val="20"/>
                          <w:szCs w:val="32"/>
                        </w:rPr>
                      </w:pPr>
                    </w:p>
                    <w:p w:rsidR="009839F1" w:rsidRPr="00106323" w:rsidRDefault="009839F1"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Pr>
                          <w:rFonts w:ascii="Tahoma" w:hAnsi="Tahoma" w:cs="Tahoma"/>
                          <w:b/>
                          <w:noProof/>
                          <w:color w:val="FFFFFF"/>
                          <w:sz w:val="28"/>
                          <w:szCs w:val="28"/>
                          <w:lang w:val="sr-Cyrl-RS"/>
                        </w:rPr>
                        <w:t>март</w:t>
                      </w:r>
                      <w:r w:rsidRPr="00106323">
                        <w:rPr>
                          <w:rFonts w:ascii="Tahoma" w:hAnsi="Tahoma" w:cs="Tahoma"/>
                          <w:b/>
                          <w:noProof/>
                          <w:color w:val="FFFFFF"/>
                          <w:sz w:val="28"/>
                          <w:szCs w:val="28"/>
                        </w:rPr>
                        <w:t xml:space="preserve"> 201</w:t>
                      </w:r>
                      <w:r>
                        <w:rPr>
                          <w:rFonts w:ascii="Tahoma" w:hAnsi="Tahoma" w:cs="Tahoma"/>
                          <w:b/>
                          <w:noProof/>
                          <w:color w:val="FFFFFF"/>
                          <w:sz w:val="28"/>
                          <w:szCs w:val="28"/>
                        </w:rPr>
                        <w:t>5. године</w:t>
                      </w:r>
                    </w:p>
                  </w:txbxContent>
                </v:textbox>
                <w10:wrap anchorx="page" anchory="page"/>
              </v:rect>
            </w:pict>
          </mc:Fallback>
        </mc:AlternateContent>
      </w:r>
      <w:r w:rsidRPr="000545BA">
        <w:rPr>
          <w:rFonts w:ascii="Verdana" w:hAnsi="Verdana"/>
          <w:noProof/>
          <w:lang w:val="sr-Latn-RS" w:eastAsia="sr-Latn-RS"/>
        </w:rPr>
        <mc:AlternateContent>
          <mc:Choice Requires="wps">
            <w:drawing>
              <wp:anchor distT="0" distB="0" distL="114300" distR="114300" simplePos="0" relativeHeight="251657216" behindDoc="0" locked="0" layoutInCell="0" allowOverlap="1" wp14:anchorId="6D556FB2" wp14:editId="01AAE472">
                <wp:simplePos x="0" y="0"/>
                <wp:positionH relativeFrom="page">
                  <wp:posOffset>7274560</wp:posOffset>
                </wp:positionH>
                <wp:positionV relativeFrom="page">
                  <wp:posOffset>-251460</wp:posOffset>
                </wp:positionV>
                <wp:extent cx="90805" cy="10556240"/>
                <wp:effectExtent l="0" t="0" r="23495" b="16510"/>
                <wp:wrapNone/>
                <wp:docPr id="2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72.8pt;margin-top:-19.8pt;width:7.15pt;height:8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" o:allowincell="f" strokecolor="#4f81bd">
                <w10:wrap anchorx="page" anchory="page"/>
              </v:rect>
            </w:pict>
          </mc:Fallback>
        </mc:AlternateContent>
      </w:r>
      <w:bookmarkEnd w:id="0"/>
    </w:p>
    <w:p w:rsidR="00CD4477" w:rsidRPr="000545BA" w:rsidRDefault="00DE3F72">
      <w:pPr>
        <w:pStyle w:val="NoSpacing"/>
        <w:rPr>
          <w:rFonts w:ascii="Verdana" w:hAnsi="Verdana" w:cs="Tahoma"/>
          <w:noProof/>
          <w:sz w:val="18"/>
          <w:szCs w:val="18"/>
          <w:lang w:val="sr-Cyrl-RS"/>
        </w:rPr>
      </w:pPr>
      <w:r w:rsidRPr="000545BA">
        <w:rPr>
          <w:rFonts w:ascii="Verdana" w:hAnsi="Verdana"/>
          <w:noProof/>
          <w:lang w:val="sr-Latn-RS" w:eastAsia="sr-Latn-RS"/>
        </w:rPr>
        <mc:AlternateContent>
          <mc:Choice Requires="wps">
            <w:drawing>
              <wp:anchor distT="0" distB="0" distL="114300" distR="114300" simplePos="0" relativeHeight="251656192" behindDoc="1" locked="0" layoutInCell="0" allowOverlap="1" wp14:anchorId="140AA8BB" wp14:editId="77F7D411">
                <wp:simplePos x="0" y="0"/>
                <wp:positionH relativeFrom="page">
                  <wp:posOffset>-194310</wp:posOffset>
                </wp:positionH>
                <wp:positionV relativeFrom="page">
                  <wp:posOffset>0</wp:posOffset>
                </wp:positionV>
                <wp:extent cx="8149590" cy="781050"/>
                <wp:effectExtent l="0" t="0" r="22860"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781050"/>
                        </a:xfrm>
                        <a:prstGeom prst="rect">
                          <a:avLst/>
                        </a:prstGeom>
                        <a:solidFill>
                          <a:srgbClr val="4F81BD"/>
                        </a:solidFill>
                        <a:ln w="9525">
                          <a:solidFill>
                            <a:srgbClr val="4F81BD"/>
                          </a:solidFill>
                          <a:miter lim="800000"/>
                          <a:headEnd/>
                          <a:tailEnd/>
                        </a:ln>
                      </wps:spPr>
                      <wps:txbx>
                        <w:txbxContent>
                          <w:p w:rsidR="009839F1" w:rsidRPr="00106323" w:rsidRDefault="009839F1" w:rsidP="00CD4477">
                            <w:pPr>
                              <w:ind w:firstLine="2268"/>
                              <w:rPr>
                                <w:rFonts w:ascii="Tahoma" w:hAnsi="Tahoma" w:cs="Tahoma"/>
                                <w:b/>
                                <w:noProof/>
                                <w:color w:val="FFFFFF"/>
                                <w:sz w:val="18"/>
                                <w:szCs w:val="18"/>
                              </w:rPr>
                            </w:pP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id="Rectangle 3" o:spid="_x0000_s1027" style="position:absolute;margin-left:-15.3pt;margin-top:0;width:641.7pt;height:6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" o:allowincell="f" fillcolor="#4f81bd" strokecolor="#4f81bd">
                <v:textbox>
                  <w:txbxContent>
                    <w:p w:rsidR="009839F1" w:rsidRPr="00106323" w:rsidRDefault="009839F1" w:rsidP="00CD4477">
                      <w:pPr>
                        <w:ind w:firstLine="2268"/>
                        <w:rPr>
                          <w:rFonts w:ascii="Tahoma" w:hAnsi="Tahoma" w:cs="Tahoma"/>
                          <w:b/>
                          <w:noProof/>
                          <w:color w:val="FFFFFF"/>
                          <w:sz w:val="18"/>
                          <w:szCs w:val="18"/>
                        </w:rPr>
                      </w:pP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rsidR="009839F1" w:rsidRPr="00106323" w:rsidRDefault="009839F1"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v:textbox>
                <w10:wrap anchorx="page" anchory="page"/>
              </v:rect>
            </w:pict>
          </mc:Fallback>
        </mc:AlternateContent>
      </w:r>
    </w:p>
    <w:p w:rsidR="00376705" w:rsidRPr="000545BA" w:rsidRDefault="00376705" w:rsidP="00CD4477">
      <w:pPr>
        <w:pStyle w:val="NoSpacing"/>
        <w:jc w:val="center"/>
        <w:rPr>
          <w:rFonts w:ascii="Verdana" w:hAnsi="Verdana" w:cs="Tahoma"/>
          <w:noProof/>
          <w:sz w:val="44"/>
          <w:szCs w:val="44"/>
          <w:lang w:val="sr-Cyrl-RS"/>
        </w:rPr>
      </w:pPr>
    </w:p>
    <w:p w:rsidR="00376705" w:rsidRPr="000545BA" w:rsidRDefault="00376705" w:rsidP="00CD4477">
      <w:pPr>
        <w:pStyle w:val="NoSpacing"/>
        <w:jc w:val="center"/>
        <w:rPr>
          <w:rFonts w:ascii="Verdana" w:hAnsi="Verdana" w:cs="Tahoma"/>
          <w:noProof/>
          <w:sz w:val="44"/>
          <w:szCs w:val="44"/>
          <w:lang w:val="sr-Cyrl-RS"/>
        </w:rPr>
      </w:pPr>
    </w:p>
    <w:p w:rsidR="001D3F61" w:rsidRPr="000545BA" w:rsidRDefault="001D3F61" w:rsidP="00CD4477">
      <w:pPr>
        <w:pStyle w:val="NoSpacing"/>
        <w:jc w:val="center"/>
        <w:rPr>
          <w:rFonts w:ascii="Verdana" w:hAnsi="Verdana" w:cs="Tahoma"/>
          <w:noProof/>
          <w:sz w:val="44"/>
          <w:szCs w:val="44"/>
          <w:lang w:val="sr-Cyrl-RS"/>
        </w:rPr>
      </w:pPr>
    </w:p>
    <w:p w:rsidR="00376705" w:rsidRPr="000545BA" w:rsidRDefault="00376705" w:rsidP="00CD4477">
      <w:pPr>
        <w:pStyle w:val="NoSpacing"/>
        <w:jc w:val="center"/>
        <w:rPr>
          <w:rFonts w:ascii="Verdana" w:hAnsi="Verdana" w:cs="Tahoma"/>
          <w:noProof/>
          <w:sz w:val="44"/>
          <w:szCs w:val="44"/>
          <w:lang w:val="sr-Cyrl-RS"/>
        </w:rPr>
      </w:pPr>
    </w:p>
    <w:p w:rsidR="00CD4477" w:rsidRPr="000545BA" w:rsidRDefault="001D3F61" w:rsidP="00CD4477">
      <w:pPr>
        <w:pStyle w:val="NoSpacing"/>
        <w:jc w:val="center"/>
        <w:rPr>
          <w:rFonts w:ascii="Cambria" w:hAnsi="Cambria" w:cs="Tahoma"/>
          <w:b/>
          <w:noProof/>
          <w:sz w:val="68"/>
          <w:szCs w:val="68"/>
          <w:lang w:val="sr-Cyrl-RS"/>
        </w:rPr>
      </w:pPr>
      <w:r w:rsidRPr="000545BA">
        <w:rPr>
          <w:rFonts w:ascii="Cambria" w:hAnsi="Cambria" w:cs="Tahoma"/>
          <w:b/>
          <w:noProof/>
          <w:sz w:val="68"/>
          <w:szCs w:val="68"/>
          <w:lang w:val="sr-Cyrl-RS"/>
        </w:rPr>
        <w:t>П</w:t>
      </w:r>
      <w:r w:rsidR="00101E6A">
        <w:rPr>
          <w:rFonts w:ascii="Cambria" w:hAnsi="Cambria" w:cs="Tahoma"/>
          <w:b/>
          <w:noProof/>
          <w:sz w:val="68"/>
          <w:szCs w:val="68"/>
          <w:lang w:val="sr-Cyrl-RS"/>
        </w:rPr>
        <w:t>ОСЛОВНИ  П</w:t>
      </w:r>
      <w:r w:rsidRPr="000545BA">
        <w:rPr>
          <w:rFonts w:ascii="Cambria" w:hAnsi="Cambria" w:cs="Tahoma"/>
          <w:b/>
          <w:noProof/>
          <w:sz w:val="68"/>
          <w:szCs w:val="68"/>
          <w:lang w:val="sr-Cyrl-RS"/>
        </w:rPr>
        <w:t>ЛА</w:t>
      </w:r>
      <w:r w:rsidR="00101E6A">
        <w:rPr>
          <w:rFonts w:ascii="Cambria" w:hAnsi="Cambria" w:cs="Tahoma"/>
          <w:b/>
          <w:noProof/>
          <w:sz w:val="68"/>
          <w:szCs w:val="68"/>
          <w:lang w:val="sr-Cyrl-RS"/>
        </w:rPr>
        <w:t>Н</w:t>
      </w:r>
    </w:p>
    <w:p w:rsidR="001D3F61" w:rsidRPr="00101E6A" w:rsidRDefault="001D3F61" w:rsidP="00CD4477">
      <w:pPr>
        <w:pStyle w:val="NoSpacing"/>
        <w:jc w:val="center"/>
        <w:rPr>
          <w:rFonts w:ascii="Cambria" w:hAnsi="Cambria" w:cs="Tahoma"/>
          <w:b/>
          <w:noProof/>
          <w:sz w:val="40"/>
          <w:szCs w:val="40"/>
          <w:lang w:val="sr-Cyrl-RS"/>
        </w:rPr>
      </w:pPr>
    </w:p>
    <w:p w:rsidR="00CD4477" w:rsidRPr="000545BA" w:rsidRDefault="00CD4477" w:rsidP="00CD4477">
      <w:pPr>
        <w:pStyle w:val="NoSpacing"/>
        <w:jc w:val="center"/>
        <w:rPr>
          <w:rFonts w:ascii="Cambria" w:hAnsi="Cambria" w:cs="Tahoma"/>
          <w:b/>
          <w:noProof/>
          <w:sz w:val="68"/>
          <w:szCs w:val="68"/>
          <w:lang w:val="sr-Cyrl-RS"/>
        </w:rPr>
      </w:pPr>
      <w:r w:rsidRPr="000545BA">
        <w:rPr>
          <w:rFonts w:ascii="Cambria" w:hAnsi="Cambria" w:cs="Tahoma"/>
          <w:b/>
          <w:noProof/>
          <w:sz w:val="68"/>
          <w:szCs w:val="68"/>
          <w:lang w:val="sr-Cyrl-RS"/>
        </w:rPr>
        <w:t>за</w:t>
      </w:r>
      <w:r w:rsidR="001D3F61" w:rsidRPr="000545BA">
        <w:rPr>
          <w:rFonts w:ascii="Cambria" w:hAnsi="Cambria" w:cs="Tahoma"/>
          <w:b/>
          <w:noProof/>
          <w:sz w:val="68"/>
          <w:szCs w:val="68"/>
          <w:lang w:val="sr-Cyrl-RS"/>
        </w:rPr>
        <w:t xml:space="preserve"> </w:t>
      </w:r>
      <w:r w:rsidRPr="000545BA">
        <w:rPr>
          <w:rFonts w:ascii="Cambria" w:hAnsi="Cambria" w:cs="Tahoma"/>
          <w:b/>
          <w:noProof/>
          <w:sz w:val="68"/>
          <w:szCs w:val="68"/>
          <w:lang w:val="sr-Cyrl-RS"/>
        </w:rPr>
        <w:t>201</w:t>
      </w:r>
      <w:r w:rsidR="00B37318" w:rsidRPr="000545BA">
        <w:rPr>
          <w:rFonts w:ascii="Cambria" w:hAnsi="Cambria" w:cs="Tahoma"/>
          <w:b/>
          <w:noProof/>
          <w:sz w:val="68"/>
          <w:szCs w:val="68"/>
          <w:lang w:val="sr-Cyrl-RS"/>
        </w:rPr>
        <w:t>5</w:t>
      </w:r>
      <w:r w:rsidRPr="000545BA">
        <w:rPr>
          <w:rFonts w:ascii="Cambria" w:hAnsi="Cambria" w:cs="Tahoma"/>
          <w:b/>
          <w:noProof/>
          <w:sz w:val="68"/>
          <w:szCs w:val="68"/>
          <w:lang w:val="sr-Cyrl-RS"/>
        </w:rPr>
        <w:t>.</w:t>
      </w:r>
      <w:r w:rsidR="001D3F61" w:rsidRPr="000545BA">
        <w:rPr>
          <w:rFonts w:ascii="Cambria" w:hAnsi="Cambria" w:cs="Tahoma"/>
          <w:b/>
          <w:noProof/>
          <w:sz w:val="68"/>
          <w:szCs w:val="68"/>
          <w:lang w:val="sr-Cyrl-RS"/>
        </w:rPr>
        <w:t xml:space="preserve"> годину</w:t>
      </w:r>
    </w:p>
    <w:p w:rsidR="00CD4477" w:rsidRPr="000545BA" w:rsidRDefault="00CD4477">
      <w:pPr>
        <w:pStyle w:val="NoSpacing"/>
        <w:rPr>
          <w:rFonts w:ascii="Verdana" w:hAnsi="Verdana" w:cs="Tahoma"/>
          <w:noProof/>
          <w:sz w:val="18"/>
          <w:szCs w:val="18"/>
          <w:lang w:val="sr-Cyrl-RS"/>
        </w:rPr>
      </w:pPr>
    </w:p>
    <w:p w:rsidR="00CD4477" w:rsidRPr="000545BA" w:rsidRDefault="00CD4477">
      <w:pPr>
        <w:pStyle w:val="NoSpacing"/>
        <w:rPr>
          <w:rFonts w:ascii="Verdana" w:hAnsi="Verdana" w:cs="Tahoma"/>
          <w:noProof/>
          <w:sz w:val="18"/>
          <w:szCs w:val="18"/>
          <w:lang w:val="sr-Cyrl-RS"/>
        </w:rPr>
      </w:pPr>
    </w:p>
    <w:p w:rsidR="00CD4477" w:rsidRPr="000545BA" w:rsidRDefault="00CD4477">
      <w:pPr>
        <w:rPr>
          <w:rFonts w:ascii="Verdana" w:hAnsi="Verdana" w:cs="Tahoma"/>
          <w:noProof/>
          <w:sz w:val="18"/>
          <w:szCs w:val="18"/>
          <w:lang w:val="sr-Cyrl-RS"/>
        </w:rPr>
      </w:pPr>
    </w:p>
    <w:p w:rsidR="00FF0427" w:rsidRPr="000545BA" w:rsidRDefault="00CD4477" w:rsidP="008827D1">
      <w:pPr>
        <w:suppressAutoHyphens w:val="0"/>
        <w:rPr>
          <w:rFonts w:ascii="Verdana" w:hAnsi="Verdana" w:cs="Tahoma"/>
          <w:noProof/>
          <w:sz w:val="2"/>
          <w:szCs w:val="2"/>
          <w:lang w:val="sr-Cyrl-RS"/>
        </w:rPr>
      </w:pPr>
      <w:r w:rsidRPr="000545BA">
        <w:rPr>
          <w:rFonts w:ascii="Verdana" w:hAnsi="Verdana" w:cs="Tahoma"/>
          <w:noProof/>
          <w:sz w:val="18"/>
          <w:szCs w:val="18"/>
          <w:lang w:val="sr-Cyrl-RS"/>
        </w:rPr>
        <w:br w:type="page"/>
      </w:r>
    </w:p>
    <w:p w:rsidR="00AC463F" w:rsidRPr="000545BA" w:rsidRDefault="001A74D0" w:rsidP="001A74D0">
      <w:pPr>
        <w:pStyle w:val="TOCHeading"/>
        <w:tabs>
          <w:tab w:val="left" w:pos="3343"/>
          <w:tab w:val="center" w:pos="4703"/>
        </w:tabs>
        <w:rPr>
          <w:noProof/>
          <w:sz w:val="40"/>
          <w:lang w:val="sr-Cyrl-RS"/>
        </w:rPr>
      </w:pPr>
      <w:r w:rsidRPr="000545BA">
        <w:rPr>
          <w:noProof/>
          <w:sz w:val="40"/>
          <w:lang w:val="sr-Cyrl-RS"/>
        </w:rPr>
        <w:lastRenderedPageBreak/>
        <w:tab/>
      </w:r>
      <w:r w:rsidR="00AC463F" w:rsidRPr="000545BA">
        <w:rPr>
          <w:noProof/>
          <w:sz w:val="40"/>
          <w:lang w:val="sr-Cyrl-RS"/>
        </w:rPr>
        <w:t>С А Д Р Ж А Ј</w:t>
      </w:r>
    </w:p>
    <w:p w:rsidR="00FF0427" w:rsidRPr="000545BA" w:rsidRDefault="00FF0427" w:rsidP="00265EBD">
      <w:pPr>
        <w:tabs>
          <w:tab w:val="left" w:pos="1961"/>
        </w:tabs>
        <w:rPr>
          <w:noProof/>
          <w:lang w:val="sr-Cyrl-RS" w:eastAsia="ja-JP"/>
        </w:rPr>
      </w:pPr>
    </w:p>
    <w:p w:rsidR="00EF00A1" w:rsidRDefault="00AC463F" w:rsidP="00EF00A1">
      <w:pPr>
        <w:pStyle w:val="TOC1"/>
        <w:rPr>
          <w:rFonts w:asciiTheme="minorHAnsi" w:eastAsiaTheme="minorEastAsia" w:hAnsiTheme="minorHAnsi" w:cstheme="minorBidi"/>
          <w:color w:val="auto"/>
          <w:sz w:val="22"/>
          <w:lang w:val="sr-Latn-RS" w:eastAsia="sr-Latn-RS"/>
        </w:rPr>
      </w:pPr>
      <w:r w:rsidRPr="000545BA">
        <w:rPr>
          <w:lang w:val="sr-Cyrl-RS"/>
        </w:rPr>
        <w:fldChar w:fldCharType="begin"/>
      </w:r>
      <w:r w:rsidRPr="000545BA">
        <w:rPr>
          <w:lang w:val="sr-Cyrl-RS"/>
        </w:rPr>
        <w:instrText xml:space="preserve"> TOC \o "1-3" \h \z \u </w:instrText>
      </w:r>
      <w:r w:rsidRPr="000545BA">
        <w:rPr>
          <w:lang w:val="sr-Cyrl-RS"/>
        </w:rPr>
        <w:fldChar w:fldCharType="separate"/>
      </w:r>
      <w:hyperlink w:anchor="_Toc414610319" w:history="1"/>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0" w:history="1">
        <w:r w:rsidR="00EF00A1" w:rsidRPr="00896BEC">
          <w:rPr>
            <w:rStyle w:val="Hyperlink"/>
            <w:lang w:val="sr-Cyrl-RS"/>
          </w:rPr>
          <w:t>1.</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КРАТАК ПРЕГЛЕД</w:t>
        </w:r>
        <w:r w:rsidR="00EF00A1">
          <w:rPr>
            <w:webHidden/>
          </w:rPr>
          <w:tab/>
        </w:r>
        <w:r w:rsidR="00EF00A1">
          <w:rPr>
            <w:webHidden/>
          </w:rPr>
          <w:fldChar w:fldCharType="begin"/>
        </w:r>
        <w:r w:rsidR="00EF00A1">
          <w:rPr>
            <w:webHidden/>
          </w:rPr>
          <w:instrText xml:space="preserve"> PAGEREF _Toc414610320 \h </w:instrText>
        </w:r>
        <w:r w:rsidR="00EF00A1">
          <w:rPr>
            <w:webHidden/>
          </w:rPr>
        </w:r>
        <w:r w:rsidR="00EF00A1">
          <w:rPr>
            <w:webHidden/>
          </w:rPr>
          <w:fldChar w:fldCharType="separate"/>
        </w:r>
        <w:r w:rsidR="0084690C">
          <w:rPr>
            <w:webHidden/>
          </w:rPr>
          <w:t>3</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1" w:history="1">
        <w:r w:rsidR="00EF00A1" w:rsidRPr="00896BEC">
          <w:rPr>
            <w:rStyle w:val="Hyperlink"/>
            <w:lang w:val="sr-Cyrl-RS"/>
          </w:rPr>
          <w:t>1.1</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Основни подаци о Друштву</w:t>
        </w:r>
        <w:r w:rsidR="00EF00A1">
          <w:rPr>
            <w:webHidden/>
          </w:rPr>
          <w:tab/>
        </w:r>
        <w:r w:rsidR="00EF00A1">
          <w:rPr>
            <w:webHidden/>
          </w:rPr>
          <w:fldChar w:fldCharType="begin"/>
        </w:r>
        <w:r w:rsidR="00EF00A1">
          <w:rPr>
            <w:webHidden/>
          </w:rPr>
          <w:instrText xml:space="preserve"> PAGEREF _Toc414610321 \h </w:instrText>
        </w:r>
        <w:r w:rsidR="00EF00A1">
          <w:rPr>
            <w:webHidden/>
          </w:rPr>
        </w:r>
        <w:r w:rsidR="00EF00A1">
          <w:rPr>
            <w:webHidden/>
          </w:rPr>
          <w:fldChar w:fldCharType="separate"/>
        </w:r>
        <w:r w:rsidR="0084690C">
          <w:rPr>
            <w:webHidden/>
          </w:rPr>
          <w:t>3</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2" w:history="1">
        <w:r w:rsidR="00EF00A1" w:rsidRPr="00896BEC">
          <w:rPr>
            <w:rStyle w:val="Hyperlink"/>
            <w:lang w:val="sr-Cyrl-RS"/>
          </w:rPr>
          <w:t>1.2</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Опште информације о друштву</w:t>
        </w:r>
        <w:r w:rsidR="00EF00A1">
          <w:rPr>
            <w:webHidden/>
          </w:rPr>
          <w:tab/>
        </w:r>
        <w:r w:rsidR="00EF00A1">
          <w:rPr>
            <w:webHidden/>
          </w:rPr>
          <w:fldChar w:fldCharType="begin"/>
        </w:r>
        <w:r w:rsidR="00EF00A1">
          <w:rPr>
            <w:webHidden/>
          </w:rPr>
          <w:instrText xml:space="preserve"> PAGEREF _Toc414610322 \h </w:instrText>
        </w:r>
        <w:r w:rsidR="00EF00A1">
          <w:rPr>
            <w:webHidden/>
          </w:rPr>
        </w:r>
        <w:r w:rsidR="00EF00A1">
          <w:rPr>
            <w:webHidden/>
          </w:rPr>
          <w:fldChar w:fldCharType="separate"/>
        </w:r>
        <w:r w:rsidR="0084690C">
          <w:rPr>
            <w:webHidden/>
          </w:rPr>
          <w:t>3</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3" w:history="1">
        <w:r w:rsidR="00EF00A1" w:rsidRPr="00896BEC">
          <w:rPr>
            <w:rStyle w:val="Hyperlink"/>
            <w:lang w:val="sr-Cyrl-RS"/>
          </w:rPr>
          <w:t>1.3</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Визија Друштва</w:t>
        </w:r>
        <w:r w:rsidR="00EF00A1">
          <w:rPr>
            <w:webHidden/>
          </w:rPr>
          <w:tab/>
        </w:r>
        <w:r w:rsidR="00EF00A1">
          <w:rPr>
            <w:webHidden/>
          </w:rPr>
          <w:fldChar w:fldCharType="begin"/>
        </w:r>
        <w:r w:rsidR="00EF00A1">
          <w:rPr>
            <w:webHidden/>
          </w:rPr>
          <w:instrText xml:space="preserve"> PAGEREF _Toc414610323 \h </w:instrText>
        </w:r>
        <w:r w:rsidR="00EF00A1">
          <w:rPr>
            <w:webHidden/>
          </w:rPr>
        </w:r>
        <w:r w:rsidR="00EF00A1">
          <w:rPr>
            <w:webHidden/>
          </w:rPr>
          <w:fldChar w:fldCharType="separate"/>
        </w:r>
        <w:r w:rsidR="0084690C">
          <w:rPr>
            <w:webHidden/>
          </w:rPr>
          <w:t>3</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4" w:history="1">
        <w:r w:rsidR="00EF00A1" w:rsidRPr="00896BEC">
          <w:rPr>
            <w:rStyle w:val="Hyperlink"/>
            <w:lang w:val="sr-Cyrl-RS"/>
          </w:rPr>
          <w:t>1.4</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Мисија</w:t>
        </w:r>
        <w:r w:rsidR="00EF00A1">
          <w:rPr>
            <w:webHidden/>
          </w:rPr>
          <w:tab/>
        </w:r>
        <w:r w:rsidR="00EF00A1">
          <w:rPr>
            <w:webHidden/>
          </w:rPr>
          <w:fldChar w:fldCharType="begin"/>
        </w:r>
        <w:r w:rsidR="00EF00A1">
          <w:rPr>
            <w:webHidden/>
          </w:rPr>
          <w:instrText xml:space="preserve"> PAGEREF _Toc414610324 \h </w:instrText>
        </w:r>
        <w:r w:rsidR="00EF00A1">
          <w:rPr>
            <w:webHidden/>
          </w:rPr>
        </w:r>
        <w:r w:rsidR="00EF00A1">
          <w:rPr>
            <w:webHidden/>
          </w:rPr>
          <w:fldChar w:fldCharType="separate"/>
        </w:r>
        <w:r w:rsidR="0084690C">
          <w:rPr>
            <w:webHidden/>
          </w:rPr>
          <w:t>4</w:t>
        </w:r>
        <w:r w:rsidR="00EF00A1">
          <w:rPr>
            <w:webHidden/>
          </w:rPr>
          <w:fldChar w:fldCharType="end"/>
        </w:r>
      </w:hyperlink>
    </w:p>
    <w:p w:rsidR="00EF00A1" w:rsidRDefault="00DA1FE0" w:rsidP="00EF00A1">
      <w:pPr>
        <w:pStyle w:val="TOC1"/>
        <w:rPr>
          <w:rStyle w:val="Hyperlink"/>
          <w:lang w:val="sr-Cyrl-RS"/>
        </w:rPr>
      </w:pPr>
      <w:hyperlink w:anchor="_Toc414610325" w:history="1">
        <w:r w:rsidR="00EF00A1" w:rsidRPr="00896BEC">
          <w:rPr>
            <w:rStyle w:val="Hyperlink"/>
            <w:lang w:val="sr-Cyrl-RS"/>
          </w:rPr>
          <w:t>1.5</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Вредност Друштва</w:t>
        </w:r>
        <w:r w:rsidR="00EF00A1">
          <w:rPr>
            <w:webHidden/>
          </w:rPr>
          <w:tab/>
        </w:r>
        <w:r w:rsidR="00EF00A1">
          <w:rPr>
            <w:webHidden/>
          </w:rPr>
          <w:fldChar w:fldCharType="begin"/>
        </w:r>
        <w:r w:rsidR="00EF00A1">
          <w:rPr>
            <w:webHidden/>
          </w:rPr>
          <w:instrText xml:space="preserve"> PAGEREF _Toc414610325 \h </w:instrText>
        </w:r>
        <w:r w:rsidR="00EF00A1">
          <w:rPr>
            <w:webHidden/>
          </w:rPr>
        </w:r>
        <w:r w:rsidR="00EF00A1">
          <w:rPr>
            <w:webHidden/>
          </w:rPr>
          <w:fldChar w:fldCharType="separate"/>
        </w:r>
        <w:r w:rsidR="0084690C">
          <w:rPr>
            <w:webHidden/>
          </w:rPr>
          <w:t>4</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6" w:history="1">
        <w:r w:rsidR="00EF00A1" w:rsidRPr="00896BEC">
          <w:rPr>
            <w:rStyle w:val="Hyperlink"/>
            <w:lang w:val="sr-Cyrl-RS"/>
          </w:rPr>
          <w:t>2.</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АНАЛИЗА И ПРОЈЕКЦИЈЕ ЕКСТЕРНИХ И ИНТЕРНИХ</w:t>
        </w:r>
        <w:r w:rsidR="00EF00A1">
          <w:rPr>
            <w:rStyle w:val="Hyperlink"/>
            <w:lang w:val="sr-Cyrl-RS"/>
          </w:rPr>
          <w:t xml:space="preserve"> </w:t>
        </w:r>
        <w:r w:rsidR="00EF00A1" w:rsidRPr="00896BEC">
          <w:rPr>
            <w:rStyle w:val="Hyperlink"/>
            <w:lang w:val="sr-Cyrl-RS"/>
          </w:rPr>
          <w:t>УСЛОВА ПОСЛОВАЊА</w:t>
        </w:r>
        <w:r w:rsidR="00EF00A1">
          <w:rPr>
            <w:webHidden/>
          </w:rPr>
          <w:tab/>
        </w:r>
        <w:r w:rsidR="00EF00A1">
          <w:rPr>
            <w:webHidden/>
          </w:rPr>
          <w:fldChar w:fldCharType="begin"/>
        </w:r>
        <w:r w:rsidR="00EF00A1">
          <w:rPr>
            <w:webHidden/>
          </w:rPr>
          <w:instrText xml:space="preserve"> PAGEREF _Toc414610326 \h </w:instrText>
        </w:r>
        <w:r w:rsidR="00EF00A1">
          <w:rPr>
            <w:webHidden/>
          </w:rPr>
        </w:r>
        <w:r w:rsidR="00EF00A1">
          <w:rPr>
            <w:webHidden/>
          </w:rPr>
          <w:fldChar w:fldCharType="separate"/>
        </w:r>
        <w:r w:rsidR="0084690C">
          <w:rPr>
            <w:webHidden/>
          </w:rPr>
          <w:t>5</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7" w:history="1">
        <w:r w:rsidR="00EF00A1" w:rsidRPr="00896BEC">
          <w:rPr>
            <w:rStyle w:val="Hyperlink"/>
            <w:lang w:val="sr-Cyrl-RS"/>
          </w:rPr>
          <w:t>2.1</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„PEST“ анализа</w:t>
        </w:r>
        <w:r w:rsidR="00EF00A1">
          <w:rPr>
            <w:webHidden/>
          </w:rPr>
          <w:tab/>
        </w:r>
        <w:r w:rsidR="00EF00A1">
          <w:rPr>
            <w:webHidden/>
          </w:rPr>
          <w:fldChar w:fldCharType="begin"/>
        </w:r>
        <w:r w:rsidR="00EF00A1">
          <w:rPr>
            <w:webHidden/>
          </w:rPr>
          <w:instrText xml:space="preserve"> PAGEREF _Toc414610327 \h </w:instrText>
        </w:r>
        <w:r w:rsidR="00EF00A1">
          <w:rPr>
            <w:webHidden/>
          </w:rPr>
        </w:r>
        <w:r w:rsidR="00EF00A1">
          <w:rPr>
            <w:webHidden/>
          </w:rPr>
          <w:fldChar w:fldCharType="separate"/>
        </w:r>
        <w:r w:rsidR="0084690C">
          <w:rPr>
            <w:webHidden/>
          </w:rPr>
          <w:t>5</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8" w:history="1">
        <w:r w:rsidR="00EF00A1" w:rsidRPr="00896BEC">
          <w:rPr>
            <w:rStyle w:val="Hyperlink"/>
            <w:lang w:val="sr-Cyrl-RS"/>
          </w:rPr>
          <w:t>2.2</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Циљеви економске политике</w:t>
        </w:r>
        <w:r w:rsidR="00EF00A1">
          <w:rPr>
            <w:webHidden/>
          </w:rPr>
          <w:tab/>
        </w:r>
        <w:r w:rsidR="00EF00A1">
          <w:rPr>
            <w:webHidden/>
          </w:rPr>
          <w:fldChar w:fldCharType="begin"/>
        </w:r>
        <w:r w:rsidR="00EF00A1">
          <w:rPr>
            <w:webHidden/>
          </w:rPr>
          <w:instrText xml:space="preserve"> PAGEREF _Toc414610328 \h </w:instrText>
        </w:r>
        <w:r w:rsidR="00EF00A1">
          <w:rPr>
            <w:webHidden/>
          </w:rPr>
        </w:r>
        <w:r w:rsidR="00EF00A1">
          <w:rPr>
            <w:webHidden/>
          </w:rPr>
          <w:fldChar w:fldCharType="separate"/>
        </w:r>
        <w:r w:rsidR="0084690C">
          <w:rPr>
            <w:webHidden/>
          </w:rPr>
          <w:t>7</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29" w:history="1">
        <w:r w:rsidR="00EF00A1" w:rsidRPr="00896BEC">
          <w:rPr>
            <w:rStyle w:val="Hyperlink"/>
            <w:lang w:val="sr-Cyrl-RS"/>
          </w:rPr>
          <w:t>2.3</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Макроекономске пројекције</w:t>
        </w:r>
        <w:r w:rsidR="00EF00A1">
          <w:rPr>
            <w:webHidden/>
          </w:rPr>
          <w:tab/>
        </w:r>
        <w:r w:rsidR="00EF00A1">
          <w:rPr>
            <w:webHidden/>
          </w:rPr>
          <w:fldChar w:fldCharType="begin"/>
        </w:r>
        <w:r w:rsidR="00EF00A1">
          <w:rPr>
            <w:webHidden/>
          </w:rPr>
          <w:instrText xml:space="preserve"> PAGEREF _Toc414610329 \h </w:instrText>
        </w:r>
        <w:r w:rsidR="00EF00A1">
          <w:rPr>
            <w:webHidden/>
          </w:rPr>
        </w:r>
        <w:r w:rsidR="00EF00A1">
          <w:rPr>
            <w:webHidden/>
          </w:rPr>
          <w:fldChar w:fldCharType="separate"/>
        </w:r>
        <w:r w:rsidR="0084690C">
          <w:rPr>
            <w:webHidden/>
          </w:rPr>
          <w:t>7</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1" w:history="1">
        <w:r w:rsidR="00EF00A1" w:rsidRPr="00896BEC">
          <w:rPr>
            <w:rStyle w:val="Hyperlink"/>
            <w:lang w:val="sr-Cyrl-RS"/>
          </w:rPr>
          <w:t>2.4</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Утицај екстерних фактора на  пословање Друштва</w:t>
        </w:r>
        <w:r w:rsidR="00EF00A1">
          <w:rPr>
            <w:webHidden/>
          </w:rPr>
          <w:tab/>
        </w:r>
        <w:r w:rsidR="00EF00A1">
          <w:rPr>
            <w:webHidden/>
          </w:rPr>
          <w:fldChar w:fldCharType="begin"/>
        </w:r>
        <w:r w:rsidR="00EF00A1">
          <w:rPr>
            <w:webHidden/>
          </w:rPr>
          <w:instrText xml:space="preserve"> PAGEREF _Toc414610331 \h </w:instrText>
        </w:r>
        <w:r w:rsidR="00EF00A1">
          <w:rPr>
            <w:webHidden/>
          </w:rPr>
        </w:r>
        <w:r w:rsidR="00EF00A1">
          <w:rPr>
            <w:webHidden/>
          </w:rPr>
          <w:fldChar w:fldCharType="separate"/>
        </w:r>
        <w:r w:rsidR="0084690C">
          <w:rPr>
            <w:webHidden/>
          </w:rPr>
          <w:t>8</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2" w:history="1">
        <w:r w:rsidR="00EF00A1" w:rsidRPr="00896BEC">
          <w:rPr>
            <w:rStyle w:val="Hyperlink"/>
            <w:lang w:val="sr-Cyrl-RS"/>
          </w:rPr>
          <w:t>2.5</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Тренутна позиција и перспективе</w:t>
        </w:r>
        <w:r w:rsidR="00EF00A1">
          <w:rPr>
            <w:webHidden/>
          </w:rPr>
          <w:tab/>
        </w:r>
        <w:r w:rsidR="00EF00A1">
          <w:rPr>
            <w:webHidden/>
          </w:rPr>
          <w:fldChar w:fldCharType="begin"/>
        </w:r>
        <w:r w:rsidR="00EF00A1">
          <w:rPr>
            <w:webHidden/>
          </w:rPr>
          <w:instrText xml:space="preserve"> PAGEREF _Toc414610332 \h </w:instrText>
        </w:r>
        <w:r w:rsidR="00EF00A1">
          <w:rPr>
            <w:webHidden/>
          </w:rPr>
        </w:r>
        <w:r w:rsidR="00EF00A1">
          <w:rPr>
            <w:webHidden/>
          </w:rPr>
          <w:fldChar w:fldCharType="separate"/>
        </w:r>
        <w:r w:rsidR="0084690C">
          <w:rPr>
            <w:webHidden/>
          </w:rPr>
          <w:t>9</w:t>
        </w:r>
        <w:r w:rsidR="00EF00A1">
          <w:rPr>
            <w:webHidden/>
          </w:rPr>
          <w:fldChar w:fldCharType="end"/>
        </w:r>
      </w:hyperlink>
    </w:p>
    <w:p w:rsidR="00EF00A1" w:rsidRDefault="00DA1FE0" w:rsidP="00EF00A1">
      <w:pPr>
        <w:pStyle w:val="TOC1"/>
        <w:rPr>
          <w:rStyle w:val="Hyperlink"/>
          <w:lang w:val="sr-Cyrl-RS"/>
        </w:rPr>
      </w:pPr>
      <w:hyperlink w:anchor="_Toc414610333" w:history="1">
        <w:r w:rsidR="00EF00A1" w:rsidRPr="00896BEC">
          <w:rPr>
            <w:rStyle w:val="Hyperlink"/>
            <w:lang w:val="sr-Cyrl-RS"/>
          </w:rPr>
          <w:t>2.6</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SWOT анализа</w:t>
        </w:r>
        <w:r w:rsidR="00EF00A1">
          <w:rPr>
            <w:webHidden/>
          </w:rPr>
          <w:tab/>
        </w:r>
        <w:r w:rsidR="00EF00A1">
          <w:rPr>
            <w:webHidden/>
          </w:rPr>
          <w:fldChar w:fldCharType="begin"/>
        </w:r>
        <w:r w:rsidR="00EF00A1">
          <w:rPr>
            <w:webHidden/>
          </w:rPr>
          <w:instrText xml:space="preserve"> PAGEREF _Toc414610333 \h </w:instrText>
        </w:r>
        <w:r w:rsidR="00EF00A1">
          <w:rPr>
            <w:webHidden/>
          </w:rPr>
        </w:r>
        <w:r w:rsidR="00EF00A1">
          <w:rPr>
            <w:webHidden/>
          </w:rPr>
          <w:fldChar w:fldCharType="separate"/>
        </w:r>
        <w:r w:rsidR="0084690C">
          <w:rPr>
            <w:webHidden/>
          </w:rPr>
          <w:t>11</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4" w:history="1">
        <w:r w:rsidR="00EF00A1" w:rsidRPr="00896BEC">
          <w:rPr>
            <w:rStyle w:val="Hyperlink"/>
            <w:lang w:val="sr-Cyrl-RS"/>
          </w:rPr>
          <w:t>3.</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СТРАТЕШКИ ЦИЉЕВИ И ПРАВЦИ РАЗВОЈА</w:t>
        </w:r>
        <w:r w:rsidR="00EF00A1">
          <w:rPr>
            <w:webHidden/>
          </w:rPr>
          <w:tab/>
        </w:r>
        <w:r w:rsidR="00EF00A1">
          <w:rPr>
            <w:webHidden/>
          </w:rPr>
          <w:fldChar w:fldCharType="begin"/>
        </w:r>
        <w:r w:rsidR="00EF00A1">
          <w:rPr>
            <w:webHidden/>
          </w:rPr>
          <w:instrText xml:space="preserve"> PAGEREF _Toc414610334 \h </w:instrText>
        </w:r>
        <w:r w:rsidR="00EF00A1">
          <w:rPr>
            <w:webHidden/>
          </w:rPr>
        </w:r>
        <w:r w:rsidR="00EF00A1">
          <w:rPr>
            <w:webHidden/>
          </w:rPr>
          <w:fldChar w:fldCharType="separate"/>
        </w:r>
        <w:r w:rsidR="0084690C">
          <w:rPr>
            <w:webHidden/>
          </w:rPr>
          <w:t>13</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5" w:history="1">
        <w:r w:rsidR="00EF00A1" w:rsidRPr="00896BEC">
          <w:rPr>
            <w:rStyle w:val="Hyperlink"/>
            <w:lang w:val="sr-Cyrl-RS"/>
          </w:rPr>
          <w:t>3.1</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Стратешки правци развоја Друштва</w:t>
        </w:r>
        <w:r w:rsidR="00EF00A1">
          <w:rPr>
            <w:webHidden/>
          </w:rPr>
          <w:tab/>
        </w:r>
        <w:r w:rsidR="00EF00A1">
          <w:rPr>
            <w:webHidden/>
          </w:rPr>
          <w:fldChar w:fldCharType="begin"/>
        </w:r>
        <w:r w:rsidR="00EF00A1">
          <w:rPr>
            <w:webHidden/>
          </w:rPr>
          <w:instrText xml:space="preserve"> PAGEREF _Toc414610335 \h </w:instrText>
        </w:r>
        <w:r w:rsidR="00EF00A1">
          <w:rPr>
            <w:webHidden/>
          </w:rPr>
        </w:r>
        <w:r w:rsidR="00EF00A1">
          <w:rPr>
            <w:webHidden/>
          </w:rPr>
          <w:fldChar w:fldCharType="separate"/>
        </w:r>
        <w:r w:rsidR="0084690C">
          <w:rPr>
            <w:webHidden/>
          </w:rPr>
          <w:t>13</w:t>
        </w:r>
        <w:r w:rsidR="00EF00A1">
          <w:rPr>
            <w:webHidden/>
          </w:rPr>
          <w:fldChar w:fldCharType="end"/>
        </w:r>
      </w:hyperlink>
    </w:p>
    <w:p w:rsidR="00EF00A1" w:rsidRDefault="00DA1FE0" w:rsidP="00EF00A1">
      <w:pPr>
        <w:pStyle w:val="TOC1"/>
        <w:rPr>
          <w:rStyle w:val="Hyperlink"/>
          <w:lang w:val="sr-Cyrl-RS"/>
        </w:rPr>
      </w:pPr>
      <w:hyperlink w:anchor="_Toc414610336" w:history="1">
        <w:r w:rsidR="00EF00A1" w:rsidRPr="00896BEC">
          <w:rPr>
            <w:rStyle w:val="Hyperlink"/>
            <w:lang w:val="sr-Cyrl-RS"/>
          </w:rPr>
          <w:t>3.2</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Дефинисање стратешких циљева</w:t>
        </w:r>
        <w:r w:rsidR="00EF00A1">
          <w:rPr>
            <w:webHidden/>
          </w:rPr>
          <w:tab/>
        </w:r>
        <w:r w:rsidR="00EF00A1">
          <w:rPr>
            <w:webHidden/>
          </w:rPr>
          <w:fldChar w:fldCharType="begin"/>
        </w:r>
        <w:r w:rsidR="00EF00A1">
          <w:rPr>
            <w:webHidden/>
          </w:rPr>
          <w:instrText xml:space="preserve"> PAGEREF _Toc414610336 \h </w:instrText>
        </w:r>
        <w:r w:rsidR="00EF00A1">
          <w:rPr>
            <w:webHidden/>
          </w:rPr>
        </w:r>
        <w:r w:rsidR="00EF00A1">
          <w:rPr>
            <w:webHidden/>
          </w:rPr>
          <w:fldChar w:fldCharType="separate"/>
        </w:r>
        <w:r w:rsidR="0084690C">
          <w:rPr>
            <w:webHidden/>
          </w:rPr>
          <w:t>13</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7" w:history="1">
        <w:r w:rsidR="00EF00A1" w:rsidRPr="00896BEC">
          <w:rPr>
            <w:rStyle w:val="Hyperlink"/>
            <w:lang w:val="sr-Latn-RS"/>
          </w:rPr>
          <w:t>4.</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ПЛАНИРАНЕ ПОСЛОВНЕ АКТИВНОСТИ У ТОКУ 2014. ГОДИНЕ</w:t>
        </w:r>
        <w:r w:rsidR="00EF00A1">
          <w:rPr>
            <w:webHidden/>
          </w:rPr>
          <w:tab/>
        </w:r>
        <w:r w:rsidR="00EF00A1">
          <w:rPr>
            <w:webHidden/>
          </w:rPr>
          <w:fldChar w:fldCharType="begin"/>
        </w:r>
        <w:r w:rsidR="00EF00A1">
          <w:rPr>
            <w:webHidden/>
          </w:rPr>
          <w:instrText xml:space="preserve"> PAGEREF _Toc414610337 \h </w:instrText>
        </w:r>
        <w:r w:rsidR="00EF00A1">
          <w:rPr>
            <w:webHidden/>
          </w:rPr>
        </w:r>
        <w:r w:rsidR="00EF00A1">
          <w:rPr>
            <w:webHidden/>
          </w:rPr>
          <w:fldChar w:fldCharType="separate"/>
        </w:r>
        <w:r w:rsidR="0084690C">
          <w:rPr>
            <w:webHidden/>
          </w:rPr>
          <w:t>14</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8" w:history="1">
        <w:r w:rsidR="00EF00A1" w:rsidRPr="00896BEC">
          <w:rPr>
            <w:rStyle w:val="Hyperlink"/>
            <w:lang w:val="sr-Cyrl-RS"/>
          </w:rPr>
          <w:t>4.1</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Претпоставке за израду плана премије за 2015. годину су:</w:t>
        </w:r>
        <w:r w:rsidR="00EF00A1">
          <w:rPr>
            <w:webHidden/>
          </w:rPr>
          <w:tab/>
        </w:r>
        <w:r w:rsidR="00EF00A1">
          <w:rPr>
            <w:webHidden/>
          </w:rPr>
          <w:fldChar w:fldCharType="begin"/>
        </w:r>
        <w:r w:rsidR="00EF00A1">
          <w:rPr>
            <w:webHidden/>
          </w:rPr>
          <w:instrText xml:space="preserve"> PAGEREF _Toc414610338 \h </w:instrText>
        </w:r>
        <w:r w:rsidR="00EF00A1">
          <w:rPr>
            <w:webHidden/>
          </w:rPr>
        </w:r>
        <w:r w:rsidR="00EF00A1">
          <w:rPr>
            <w:webHidden/>
          </w:rPr>
          <w:fldChar w:fldCharType="separate"/>
        </w:r>
        <w:r w:rsidR="0084690C">
          <w:rPr>
            <w:webHidden/>
          </w:rPr>
          <w:t>14</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39" w:history="1">
        <w:r w:rsidR="00EF00A1" w:rsidRPr="00896BEC">
          <w:rPr>
            <w:rStyle w:val="Hyperlink"/>
            <w:lang w:val="sr-Cyrl-RS"/>
          </w:rPr>
          <w:t>4.1.1</w:t>
        </w:r>
        <w:r w:rsidR="00EF00A1">
          <w:rPr>
            <w:rStyle w:val="Hyperlink"/>
            <w:lang w:val="sr-Cyrl-RS"/>
          </w:rPr>
          <w:t xml:space="preserve"> </w:t>
        </w:r>
        <w:r w:rsidR="00EF00A1" w:rsidRPr="00896BEC">
          <w:rPr>
            <w:rStyle w:val="Hyperlink"/>
            <w:lang w:val="sr-Cyrl-RS"/>
          </w:rPr>
          <w:t>Планирана премија за 2015. годину</w:t>
        </w:r>
        <w:r w:rsidR="00EF00A1">
          <w:rPr>
            <w:webHidden/>
          </w:rPr>
          <w:tab/>
        </w:r>
        <w:r w:rsidR="00EF00A1">
          <w:rPr>
            <w:webHidden/>
          </w:rPr>
          <w:fldChar w:fldCharType="begin"/>
        </w:r>
        <w:r w:rsidR="00EF00A1">
          <w:rPr>
            <w:webHidden/>
          </w:rPr>
          <w:instrText xml:space="preserve"> PAGEREF _Toc414610339 \h </w:instrText>
        </w:r>
        <w:r w:rsidR="00EF00A1">
          <w:rPr>
            <w:webHidden/>
          </w:rPr>
        </w:r>
        <w:r w:rsidR="00EF00A1">
          <w:rPr>
            <w:webHidden/>
          </w:rPr>
          <w:fldChar w:fldCharType="separate"/>
        </w:r>
        <w:r w:rsidR="0084690C">
          <w:rPr>
            <w:webHidden/>
          </w:rPr>
          <w:t>15</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0" w:history="1">
        <w:r w:rsidR="00EF00A1" w:rsidRPr="00896BEC">
          <w:rPr>
            <w:rStyle w:val="Hyperlink"/>
            <w:lang w:val="sr-Cyrl-RS"/>
          </w:rPr>
          <w:t>4.2</w:t>
        </w:r>
        <w:r w:rsidR="00EF00A1">
          <w:rPr>
            <w:rFonts w:asciiTheme="minorHAnsi" w:eastAsiaTheme="minorEastAsia" w:hAnsiTheme="minorHAnsi" w:cstheme="minorBidi"/>
            <w:color w:val="auto"/>
            <w:sz w:val="22"/>
            <w:lang w:val="sr-Latn-RS" w:eastAsia="sr-Latn-RS"/>
          </w:rPr>
          <w:tab/>
        </w:r>
        <w:r w:rsidR="00EF00A1" w:rsidRPr="00763F57">
          <w:rPr>
            <w:rStyle w:val="Hyperlink"/>
            <w:sz w:val="18"/>
            <w:lang w:val="sr-Cyrl-RS"/>
          </w:rPr>
          <w:t>Претпоставке за израду плана плана ликвидираних и резервисаних  штета</w:t>
        </w:r>
        <w:r w:rsidR="00763F57">
          <w:rPr>
            <w:rStyle w:val="Hyperlink"/>
            <w:lang w:val="sr-Cyrl-RS"/>
          </w:rPr>
          <w:t xml:space="preserve">           </w:t>
        </w:r>
        <w:r w:rsidR="00EF00A1">
          <w:rPr>
            <w:webHidden/>
          </w:rPr>
          <w:fldChar w:fldCharType="begin"/>
        </w:r>
        <w:r w:rsidR="00EF00A1">
          <w:rPr>
            <w:webHidden/>
          </w:rPr>
          <w:instrText xml:space="preserve"> PAGEREF _Toc414610340 \h </w:instrText>
        </w:r>
        <w:r w:rsidR="00EF00A1">
          <w:rPr>
            <w:webHidden/>
          </w:rPr>
        </w:r>
        <w:r w:rsidR="00EF00A1">
          <w:rPr>
            <w:webHidden/>
          </w:rPr>
          <w:fldChar w:fldCharType="separate"/>
        </w:r>
        <w:r w:rsidR="0084690C">
          <w:rPr>
            <w:webHidden/>
          </w:rPr>
          <w:t>16</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1" w:history="1">
        <w:r w:rsidR="00EF00A1" w:rsidRPr="00896BEC">
          <w:rPr>
            <w:rStyle w:val="Hyperlink"/>
            <w:lang w:val="sr-Cyrl-RS"/>
          </w:rPr>
          <w:t>4.2.1</w:t>
        </w:r>
        <w:r w:rsidR="00763F57">
          <w:rPr>
            <w:rStyle w:val="Hyperlink"/>
            <w:lang w:val="sr-Cyrl-RS"/>
          </w:rPr>
          <w:t xml:space="preserve"> </w:t>
        </w:r>
        <w:r w:rsidR="00EF00A1" w:rsidRPr="00896BEC">
          <w:rPr>
            <w:rStyle w:val="Hyperlink"/>
            <w:lang w:val="sr-Cyrl-RS"/>
          </w:rPr>
          <w:t>Планиране штете за 2015. годину</w:t>
        </w:r>
        <w:r w:rsidR="00EF00A1">
          <w:rPr>
            <w:webHidden/>
          </w:rPr>
          <w:tab/>
        </w:r>
        <w:r w:rsidR="00EF00A1">
          <w:rPr>
            <w:webHidden/>
          </w:rPr>
          <w:fldChar w:fldCharType="begin"/>
        </w:r>
        <w:r w:rsidR="00EF00A1">
          <w:rPr>
            <w:webHidden/>
          </w:rPr>
          <w:instrText xml:space="preserve"> PAGEREF _Toc414610341 \h </w:instrText>
        </w:r>
        <w:r w:rsidR="00EF00A1">
          <w:rPr>
            <w:webHidden/>
          </w:rPr>
        </w:r>
        <w:r w:rsidR="00EF00A1">
          <w:rPr>
            <w:webHidden/>
          </w:rPr>
          <w:fldChar w:fldCharType="separate"/>
        </w:r>
        <w:r w:rsidR="0084690C">
          <w:rPr>
            <w:webHidden/>
          </w:rPr>
          <w:t>17</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2" w:history="1">
        <w:r w:rsidR="00EF00A1" w:rsidRPr="00896BEC">
          <w:rPr>
            <w:rStyle w:val="Hyperlink"/>
            <w:lang w:val="sr-Cyrl-RS"/>
          </w:rPr>
          <w:t>4.3</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ДОДАТНЕ ИНФОРМАЦИЈЕ</w:t>
        </w:r>
        <w:r w:rsidR="00EF00A1">
          <w:rPr>
            <w:webHidden/>
          </w:rPr>
          <w:tab/>
        </w:r>
        <w:r w:rsidR="00EF00A1">
          <w:rPr>
            <w:webHidden/>
          </w:rPr>
          <w:fldChar w:fldCharType="begin"/>
        </w:r>
        <w:r w:rsidR="00EF00A1">
          <w:rPr>
            <w:webHidden/>
          </w:rPr>
          <w:instrText xml:space="preserve"> PAGEREF _Toc414610342 \h </w:instrText>
        </w:r>
        <w:r w:rsidR="00EF00A1">
          <w:rPr>
            <w:webHidden/>
          </w:rPr>
        </w:r>
        <w:r w:rsidR="00EF00A1">
          <w:rPr>
            <w:webHidden/>
          </w:rPr>
          <w:fldChar w:fldCharType="separate"/>
        </w:r>
        <w:r w:rsidR="0084690C">
          <w:rPr>
            <w:webHidden/>
          </w:rPr>
          <w:t>18</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3" w:history="1">
        <w:r w:rsidR="00EF00A1" w:rsidRPr="00896BEC">
          <w:rPr>
            <w:rStyle w:val="Hyperlink"/>
            <w:lang w:val="sr-Cyrl-RS"/>
          </w:rPr>
          <w:t>4.3.1</w:t>
        </w:r>
        <w:r w:rsidR="00763F57">
          <w:rPr>
            <w:rStyle w:val="Hyperlink"/>
            <w:lang w:val="sr-Cyrl-RS"/>
          </w:rPr>
          <w:t xml:space="preserve"> </w:t>
        </w:r>
        <w:r w:rsidR="00EF00A1" w:rsidRPr="00896BEC">
          <w:rPr>
            <w:rStyle w:val="Hyperlink"/>
            <w:lang w:val="sr-Cyrl-RS"/>
          </w:rPr>
          <w:t>План провизије за 2015. годину</w:t>
        </w:r>
        <w:r w:rsidR="00EF00A1">
          <w:rPr>
            <w:webHidden/>
          </w:rPr>
          <w:tab/>
        </w:r>
        <w:r w:rsidR="00EF00A1">
          <w:rPr>
            <w:webHidden/>
          </w:rPr>
          <w:fldChar w:fldCharType="begin"/>
        </w:r>
        <w:r w:rsidR="00EF00A1">
          <w:rPr>
            <w:webHidden/>
          </w:rPr>
          <w:instrText xml:space="preserve"> PAGEREF _Toc414610343 \h </w:instrText>
        </w:r>
        <w:r w:rsidR="00EF00A1">
          <w:rPr>
            <w:webHidden/>
          </w:rPr>
        </w:r>
        <w:r w:rsidR="00EF00A1">
          <w:rPr>
            <w:webHidden/>
          </w:rPr>
          <w:fldChar w:fldCharType="separate"/>
        </w:r>
        <w:r w:rsidR="0084690C">
          <w:rPr>
            <w:webHidden/>
          </w:rPr>
          <w:t>18</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4" w:history="1">
        <w:r w:rsidR="00EF00A1" w:rsidRPr="00896BEC">
          <w:rPr>
            <w:rStyle w:val="Hyperlink"/>
            <w:lang w:val="sr-Cyrl-RS"/>
          </w:rPr>
          <w:t>4.3.2</w:t>
        </w:r>
        <w:r w:rsidR="00763F57">
          <w:rPr>
            <w:rStyle w:val="Hyperlink"/>
            <w:lang w:val="sr-Cyrl-RS"/>
          </w:rPr>
          <w:t xml:space="preserve"> </w:t>
        </w:r>
        <w:r w:rsidR="00EF00A1" w:rsidRPr="00896BEC">
          <w:rPr>
            <w:rStyle w:val="Hyperlink"/>
            <w:lang w:val="sr-Cyrl-RS"/>
          </w:rPr>
          <w:t>План резервација за настале непријављене штете (ИБНР) за 2015.</w:t>
        </w:r>
        <w:r w:rsidR="00EF00A1">
          <w:rPr>
            <w:webHidden/>
          </w:rPr>
          <w:tab/>
        </w:r>
        <w:r w:rsidR="00EF00A1">
          <w:rPr>
            <w:webHidden/>
          </w:rPr>
          <w:fldChar w:fldCharType="begin"/>
        </w:r>
        <w:r w:rsidR="00EF00A1">
          <w:rPr>
            <w:webHidden/>
          </w:rPr>
          <w:instrText xml:space="preserve"> PAGEREF _Toc414610344 \h </w:instrText>
        </w:r>
        <w:r w:rsidR="00EF00A1">
          <w:rPr>
            <w:webHidden/>
          </w:rPr>
        </w:r>
        <w:r w:rsidR="00EF00A1">
          <w:rPr>
            <w:webHidden/>
          </w:rPr>
          <w:fldChar w:fldCharType="separate"/>
        </w:r>
        <w:r w:rsidR="0084690C">
          <w:rPr>
            <w:webHidden/>
          </w:rPr>
          <w:t>18</w:t>
        </w:r>
        <w:r w:rsidR="00EF00A1">
          <w:rPr>
            <w:webHidden/>
          </w:rPr>
          <w:fldChar w:fldCharType="end"/>
        </w:r>
      </w:hyperlink>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45" w:history="1">
        <w:r w:rsidR="00EF00A1" w:rsidRPr="00896BEC">
          <w:rPr>
            <w:rStyle w:val="Hyperlink"/>
            <w:lang w:val="sr-Cyrl-RS"/>
          </w:rPr>
          <w:t>4.3.3</w:t>
        </w:r>
        <w:r w:rsidR="00763F57">
          <w:rPr>
            <w:rStyle w:val="Hyperlink"/>
            <w:lang w:val="sr-Cyrl-RS"/>
          </w:rPr>
          <w:t xml:space="preserve"> </w:t>
        </w:r>
        <w:r w:rsidR="00EF00A1" w:rsidRPr="00896BEC">
          <w:rPr>
            <w:rStyle w:val="Hyperlink"/>
            <w:lang w:val="sr-Cyrl-RS"/>
          </w:rPr>
          <w:t>План резерви за изравнање ризика (РЗИР) за 2015. годину</w:t>
        </w:r>
        <w:r w:rsidR="00EF00A1">
          <w:rPr>
            <w:webHidden/>
          </w:rPr>
          <w:tab/>
        </w:r>
        <w:r w:rsidR="00EF00A1">
          <w:rPr>
            <w:webHidden/>
          </w:rPr>
          <w:fldChar w:fldCharType="begin"/>
        </w:r>
        <w:r w:rsidR="00EF00A1">
          <w:rPr>
            <w:webHidden/>
          </w:rPr>
          <w:instrText xml:space="preserve"> PAGEREF _Toc414610345 \h </w:instrText>
        </w:r>
        <w:r w:rsidR="00EF00A1">
          <w:rPr>
            <w:webHidden/>
          </w:rPr>
        </w:r>
        <w:r w:rsidR="00EF00A1">
          <w:rPr>
            <w:webHidden/>
          </w:rPr>
          <w:fldChar w:fldCharType="separate"/>
        </w:r>
        <w:r w:rsidR="0084690C">
          <w:rPr>
            <w:webHidden/>
          </w:rPr>
          <w:t>18</w:t>
        </w:r>
        <w:r w:rsidR="00EF00A1">
          <w:rPr>
            <w:webHidden/>
          </w:rPr>
          <w:fldChar w:fldCharType="end"/>
        </w:r>
      </w:hyperlink>
    </w:p>
    <w:p w:rsidR="00EF00A1" w:rsidRDefault="00DA1FE0" w:rsidP="00EF00A1">
      <w:pPr>
        <w:pStyle w:val="TOC1"/>
        <w:rPr>
          <w:rStyle w:val="Hyperlink"/>
          <w:lang w:val="sr-Cyrl-RS"/>
        </w:rPr>
      </w:pPr>
      <w:hyperlink w:anchor="_Toc414610346" w:history="1">
        <w:r w:rsidR="00EF00A1" w:rsidRPr="00896BEC">
          <w:rPr>
            <w:rStyle w:val="Hyperlink"/>
            <w:lang w:val="sr-Cyrl-RS"/>
          </w:rPr>
          <w:t>4.3.4</w:t>
        </w:r>
        <w:r w:rsidR="00763F57">
          <w:rPr>
            <w:rStyle w:val="Hyperlink"/>
            <w:lang w:val="sr-Cyrl-RS"/>
          </w:rPr>
          <w:t xml:space="preserve"> </w:t>
        </w:r>
        <w:r w:rsidR="00EF00A1" w:rsidRPr="00896BEC">
          <w:rPr>
            <w:rStyle w:val="Hyperlink"/>
            <w:lang w:val="sr-Cyrl-RS"/>
          </w:rPr>
          <w:t xml:space="preserve">Планирани </w:t>
        </w:r>
        <w:r w:rsidR="00763F57">
          <w:rPr>
            <w:rStyle w:val="Hyperlink"/>
            <w:lang w:val="sr-Cyrl-RS"/>
          </w:rPr>
          <w:t>МТР</w:t>
        </w:r>
        <w:r w:rsidR="00EF00A1" w:rsidRPr="00896BEC">
          <w:rPr>
            <w:rStyle w:val="Hyperlink"/>
            <w:lang w:val="sr-Cyrl-RS"/>
          </w:rPr>
          <w:t xml:space="preserve"> у самопридржају Друштва за 2015. годину</w:t>
        </w:r>
        <w:r w:rsidR="00EF00A1">
          <w:rPr>
            <w:webHidden/>
          </w:rPr>
          <w:tab/>
        </w:r>
        <w:r w:rsidR="00EF00A1">
          <w:rPr>
            <w:webHidden/>
          </w:rPr>
          <w:fldChar w:fldCharType="begin"/>
        </w:r>
        <w:r w:rsidR="00EF00A1">
          <w:rPr>
            <w:webHidden/>
          </w:rPr>
          <w:instrText xml:space="preserve"> PAGEREF _Toc414610346 \h </w:instrText>
        </w:r>
        <w:r w:rsidR="00EF00A1">
          <w:rPr>
            <w:webHidden/>
          </w:rPr>
        </w:r>
        <w:r w:rsidR="00EF00A1">
          <w:rPr>
            <w:webHidden/>
          </w:rPr>
          <w:fldChar w:fldCharType="separate"/>
        </w:r>
        <w:r w:rsidR="0084690C">
          <w:rPr>
            <w:webHidden/>
          </w:rPr>
          <w:t>18</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Style w:val="Hyperlink"/>
          <w:lang w:val="sr-Cyrl-RS"/>
        </w:rPr>
      </w:pPr>
      <w:hyperlink w:anchor="_Toc414610347" w:history="1">
        <w:r w:rsidR="00EF00A1" w:rsidRPr="00896BEC">
          <w:rPr>
            <w:rStyle w:val="Hyperlink"/>
            <w:bCs/>
            <w:lang w:val="sr-Cyrl-RS"/>
          </w:rPr>
          <w:t>5.</w:t>
        </w:r>
        <w:r w:rsidR="00EF00A1">
          <w:rPr>
            <w:rFonts w:asciiTheme="minorHAnsi" w:eastAsiaTheme="minorEastAsia" w:hAnsiTheme="minorHAnsi" w:cstheme="minorBidi"/>
            <w:color w:val="auto"/>
            <w:sz w:val="22"/>
            <w:lang w:val="sr-Latn-RS" w:eastAsia="sr-Latn-RS"/>
          </w:rPr>
          <w:tab/>
        </w:r>
        <w:r w:rsidR="00EF00A1" w:rsidRPr="00896BEC">
          <w:rPr>
            <w:rStyle w:val="Hyperlink"/>
            <w:bCs/>
            <w:lang w:val="sr-Cyrl-RS"/>
          </w:rPr>
          <w:t>ПЛАН ИНВЕСТИЦИОНИХ УЛАГАЊА У ТОКУ 2014. ГОДИНЕ</w:t>
        </w:r>
        <w:r w:rsidR="00EF00A1">
          <w:rPr>
            <w:webHidden/>
          </w:rPr>
          <w:tab/>
        </w:r>
        <w:r w:rsidR="00EF00A1">
          <w:rPr>
            <w:webHidden/>
          </w:rPr>
          <w:fldChar w:fldCharType="begin"/>
        </w:r>
        <w:r w:rsidR="00EF00A1">
          <w:rPr>
            <w:webHidden/>
          </w:rPr>
          <w:instrText xml:space="preserve"> PAGEREF _Toc414610347 \h </w:instrText>
        </w:r>
        <w:r w:rsidR="00EF00A1">
          <w:rPr>
            <w:webHidden/>
          </w:rPr>
        </w:r>
        <w:r w:rsidR="00EF00A1">
          <w:rPr>
            <w:webHidden/>
          </w:rPr>
          <w:fldChar w:fldCharType="separate"/>
        </w:r>
        <w:r w:rsidR="0084690C">
          <w:rPr>
            <w:webHidden/>
          </w:rPr>
          <w:t>19</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Style w:val="Hyperlink"/>
          <w:lang w:val="sr-Cyrl-RS"/>
        </w:rPr>
      </w:pPr>
      <w:hyperlink w:anchor="_Toc414610348" w:history="1">
        <w:r w:rsidR="00EF00A1" w:rsidRPr="00896BEC">
          <w:rPr>
            <w:rStyle w:val="Hyperlink"/>
            <w:lang w:val="sr-Cyrl-RS"/>
          </w:rPr>
          <w:t>6.</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ПЛАН ТРОШКОВА СПРОВОЂЕЊА ЗА 2015. ГОДИНУ</w:t>
        </w:r>
        <w:r w:rsidR="00EF00A1">
          <w:rPr>
            <w:webHidden/>
          </w:rPr>
          <w:tab/>
        </w:r>
        <w:r w:rsidR="00EF00A1">
          <w:rPr>
            <w:webHidden/>
          </w:rPr>
          <w:fldChar w:fldCharType="begin"/>
        </w:r>
        <w:r w:rsidR="00EF00A1">
          <w:rPr>
            <w:webHidden/>
          </w:rPr>
          <w:instrText xml:space="preserve"> PAGEREF _Toc414610348 \h </w:instrText>
        </w:r>
        <w:r w:rsidR="00EF00A1">
          <w:rPr>
            <w:webHidden/>
          </w:rPr>
        </w:r>
        <w:r w:rsidR="00EF00A1">
          <w:rPr>
            <w:webHidden/>
          </w:rPr>
          <w:fldChar w:fldCharType="separate"/>
        </w:r>
        <w:r w:rsidR="0084690C">
          <w:rPr>
            <w:webHidden/>
          </w:rPr>
          <w:t>20</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Style w:val="Hyperlink"/>
          <w:lang w:val="sr-Cyrl-RS"/>
        </w:rPr>
      </w:pPr>
      <w:hyperlink w:anchor="_Toc414610349" w:history="1">
        <w:r w:rsidR="00EF00A1" w:rsidRPr="00896BEC">
          <w:rPr>
            <w:rStyle w:val="Hyperlink"/>
            <w:lang w:val="sr-Cyrl-RS"/>
          </w:rPr>
          <w:t>7.</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ПЛАН ДЕПОНОВАЊА И УЛАГАЊА СРЕДСТАВА ДРУШТВА</w:t>
        </w:r>
        <w:r w:rsidR="00EF00A1">
          <w:rPr>
            <w:webHidden/>
          </w:rPr>
          <w:tab/>
        </w:r>
        <w:r w:rsidR="00EF00A1">
          <w:rPr>
            <w:webHidden/>
          </w:rPr>
          <w:fldChar w:fldCharType="begin"/>
        </w:r>
        <w:r w:rsidR="00EF00A1">
          <w:rPr>
            <w:webHidden/>
          </w:rPr>
          <w:instrText xml:space="preserve"> PAGEREF _Toc414610349 \h </w:instrText>
        </w:r>
        <w:r w:rsidR="00EF00A1">
          <w:rPr>
            <w:webHidden/>
          </w:rPr>
        </w:r>
        <w:r w:rsidR="00EF00A1">
          <w:rPr>
            <w:webHidden/>
          </w:rPr>
          <w:fldChar w:fldCharType="separate"/>
        </w:r>
        <w:r w:rsidR="0084690C">
          <w:rPr>
            <w:webHidden/>
          </w:rPr>
          <w:t>24</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Style w:val="Hyperlink"/>
          <w:lang w:val="sr-Cyrl-RS"/>
        </w:rPr>
      </w:pPr>
      <w:hyperlink w:anchor="_Toc414610350" w:history="1">
        <w:r w:rsidR="00EF00A1" w:rsidRPr="00896BEC">
          <w:rPr>
            <w:rStyle w:val="Hyperlink"/>
            <w:lang w:val="sr-Cyrl-RS"/>
          </w:rPr>
          <w:t>8.</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ПЛАН ПРИХОДА И РАСХОДА ОД УСКЛАЂИВАЊА ЗА 2015. ГОДИНУ</w:t>
        </w:r>
        <w:r w:rsidR="00EF00A1">
          <w:rPr>
            <w:webHidden/>
          </w:rPr>
          <w:tab/>
        </w:r>
        <w:r w:rsidR="00EF00A1">
          <w:rPr>
            <w:webHidden/>
          </w:rPr>
          <w:fldChar w:fldCharType="begin"/>
        </w:r>
        <w:r w:rsidR="00EF00A1">
          <w:rPr>
            <w:webHidden/>
          </w:rPr>
          <w:instrText xml:space="preserve"> PAGEREF _Toc414610350 \h </w:instrText>
        </w:r>
        <w:r w:rsidR="00EF00A1">
          <w:rPr>
            <w:webHidden/>
          </w:rPr>
        </w:r>
        <w:r w:rsidR="00EF00A1">
          <w:rPr>
            <w:webHidden/>
          </w:rPr>
          <w:fldChar w:fldCharType="separate"/>
        </w:r>
        <w:r w:rsidR="0084690C">
          <w:rPr>
            <w:webHidden/>
          </w:rPr>
          <w:t>27</w:t>
        </w:r>
        <w:r w:rsidR="00EF00A1">
          <w:rPr>
            <w:webHidden/>
          </w:rPr>
          <w:fldChar w:fldCharType="end"/>
        </w:r>
      </w:hyperlink>
    </w:p>
    <w:p w:rsidR="00763F57" w:rsidRPr="00763F57" w:rsidRDefault="00763F57" w:rsidP="00763F57">
      <w:pPr>
        <w:rPr>
          <w:rFonts w:eastAsiaTheme="minorEastAsia"/>
          <w:sz w:val="14"/>
          <w:szCs w:val="14"/>
          <w:lang w:val="sr-Cyrl-RS" w:eastAsia="ja-JP"/>
        </w:rPr>
      </w:pPr>
    </w:p>
    <w:p w:rsidR="00EF00A1" w:rsidRDefault="00DA1FE0" w:rsidP="00EF00A1">
      <w:pPr>
        <w:pStyle w:val="TOC1"/>
        <w:rPr>
          <w:rFonts w:asciiTheme="minorHAnsi" w:eastAsiaTheme="minorEastAsia" w:hAnsiTheme="minorHAnsi" w:cstheme="minorBidi"/>
          <w:color w:val="auto"/>
          <w:sz w:val="22"/>
          <w:lang w:val="sr-Latn-RS" w:eastAsia="sr-Latn-RS"/>
        </w:rPr>
      </w:pPr>
      <w:hyperlink w:anchor="_Toc414610351" w:history="1">
        <w:r w:rsidR="00EF00A1" w:rsidRPr="00896BEC">
          <w:rPr>
            <w:rStyle w:val="Hyperlink"/>
            <w:lang w:val="sr-Cyrl-RS"/>
          </w:rPr>
          <w:t>9.</w:t>
        </w:r>
        <w:r w:rsidR="00EF00A1">
          <w:rPr>
            <w:rFonts w:asciiTheme="minorHAnsi" w:eastAsiaTheme="minorEastAsia" w:hAnsiTheme="minorHAnsi" w:cstheme="minorBidi"/>
            <w:color w:val="auto"/>
            <w:sz w:val="22"/>
            <w:lang w:val="sr-Latn-RS" w:eastAsia="sr-Latn-RS"/>
          </w:rPr>
          <w:tab/>
        </w:r>
        <w:r w:rsidR="00EF00A1" w:rsidRPr="00896BEC">
          <w:rPr>
            <w:rStyle w:val="Hyperlink"/>
            <w:lang w:val="sr-Cyrl-RS"/>
          </w:rPr>
          <w:t>ПЛАН УКУПНИХ ПРИХОДА, УКУПНИХ РАСХОДА И РЕЗУЛТАТА ЗА 2015.</w:t>
        </w:r>
        <w:r w:rsidR="00EF00A1">
          <w:rPr>
            <w:webHidden/>
          </w:rPr>
          <w:tab/>
        </w:r>
        <w:r w:rsidR="00EF00A1">
          <w:rPr>
            <w:webHidden/>
          </w:rPr>
          <w:fldChar w:fldCharType="begin"/>
        </w:r>
        <w:r w:rsidR="00EF00A1">
          <w:rPr>
            <w:webHidden/>
          </w:rPr>
          <w:instrText xml:space="preserve"> PAGEREF _Toc414610351 \h </w:instrText>
        </w:r>
        <w:r w:rsidR="00EF00A1">
          <w:rPr>
            <w:webHidden/>
          </w:rPr>
        </w:r>
        <w:r w:rsidR="00EF00A1">
          <w:rPr>
            <w:webHidden/>
          </w:rPr>
          <w:fldChar w:fldCharType="separate"/>
        </w:r>
        <w:r w:rsidR="0084690C">
          <w:rPr>
            <w:webHidden/>
          </w:rPr>
          <w:t>28</w:t>
        </w:r>
        <w:r w:rsidR="00EF00A1">
          <w:rPr>
            <w:webHidden/>
          </w:rPr>
          <w:fldChar w:fldCharType="end"/>
        </w:r>
      </w:hyperlink>
    </w:p>
    <w:p w:rsidR="00AC463F" w:rsidRPr="000545BA" w:rsidRDefault="00AC463F">
      <w:pPr>
        <w:rPr>
          <w:noProof/>
          <w:sz w:val="22"/>
          <w:szCs w:val="22"/>
          <w:lang w:val="sr-Cyrl-RS"/>
        </w:rPr>
      </w:pPr>
      <w:r w:rsidRPr="000545BA">
        <w:rPr>
          <w:b/>
          <w:bCs/>
          <w:noProof/>
          <w:sz w:val="22"/>
          <w:szCs w:val="22"/>
          <w:lang w:val="sr-Cyrl-RS"/>
        </w:rPr>
        <w:fldChar w:fldCharType="end"/>
      </w:r>
    </w:p>
    <w:p w:rsidR="002569C2" w:rsidRPr="000545BA" w:rsidRDefault="002569C2">
      <w:pPr>
        <w:rPr>
          <w:rFonts w:ascii="Verdana" w:hAnsi="Verdana"/>
          <w:b/>
          <w:bCs/>
          <w:noProof/>
          <w:lang w:val="sr-Cyrl-RS"/>
        </w:rPr>
      </w:pPr>
    </w:p>
    <w:p w:rsidR="00F81CB0" w:rsidRPr="000545BA" w:rsidRDefault="00F81CB0" w:rsidP="00505861">
      <w:pPr>
        <w:pStyle w:val="Heading1"/>
        <w:numPr>
          <w:ilvl w:val="0"/>
          <w:numId w:val="3"/>
        </w:numPr>
        <w:spacing w:before="240" w:after="360"/>
        <w:ind w:left="431" w:hanging="431"/>
        <w:rPr>
          <w:rFonts w:ascii="Verdana" w:hAnsi="Verdana" w:cs="Tahoma"/>
          <w:noProof/>
          <w:color w:val="365F91"/>
          <w:sz w:val="24"/>
          <w:szCs w:val="18"/>
          <w:lang w:val="sr-Cyrl-RS"/>
        </w:rPr>
      </w:pPr>
      <w:bookmarkStart w:id="1" w:name="_Toc414610320"/>
      <w:bookmarkStart w:id="2" w:name="_Ref162835051"/>
      <w:r w:rsidRPr="000545BA">
        <w:rPr>
          <w:rFonts w:ascii="Verdana" w:hAnsi="Verdana" w:cs="Tahoma"/>
          <w:noProof/>
          <w:color w:val="365F91"/>
          <w:sz w:val="24"/>
          <w:szCs w:val="18"/>
          <w:lang w:val="sr-Cyrl-RS"/>
        </w:rPr>
        <w:t>КРАТАК ПРЕГЛЕД</w:t>
      </w:r>
      <w:bookmarkEnd w:id="1"/>
      <w:r w:rsidRPr="000545BA">
        <w:rPr>
          <w:rFonts w:ascii="Verdana" w:hAnsi="Verdana" w:cs="Tahoma"/>
          <w:noProof/>
          <w:color w:val="365F91"/>
          <w:sz w:val="24"/>
          <w:szCs w:val="18"/>
          <w:lang w:val="sr-Cyrl-RS"/>
        </w:rPr>
        <w:t xml:space="preserve"> </w:t>
      </w:r>
    </w:p>
    <w:p w:rsidR="00F81CB0" w:rsidRPr="000545BA" w:rsidRDefault="00F81CB0" w:rsidP="00505861">
      <w:pPr>
        <w:pStyle w:val="Heading1"/>
        <w:numPr>
          <w:ilvl w:val="1"/>
          <w:numId w:val="3"/>
        </w:numPr>
        <w:tabs>
          <w:tab w:val="clear" w:pos="336"/>
        </w:tabs>
        <w:spacing w:before="360" w:after="360"/>
        <w:ind w:left="335" w:firstLine="232"/>
        <w:jc w:val="left"/>
        <w:rPr>
          <w:rFonts w:ascii="Verdana" w:hAnsi="Verdana" w:cs="Tahoma"/>
          <w:noProof/>
          <w:color w:val="365F91"/>
          <w:sz w:val="20"/>
          <w:szCs w:val="18"/>
          <w:lang w:val="sr-Cyrl-RS"/>
        </w:rPr>
      </w:pPr>
      <w:bookmarkStart w:id="3" w:name="_Toc343598041"/>
      <w:bookmarkStart w:id="4" w:name="_Toc414610321"/>
      <w:r w:rsidRPr="000545BA">
        <w:rPr>
          <w:rFonts w:ascii="Verdana" w:hAnsi="Verdana" w:cs="Tahoma"/>
          <w:noProof/>
          <w:color w:val="365F91"/>
          <w:sz w:val="20"/>
          <w:szCs w:val="18"/>
          <w:lang w:val="sr-Cyrl-RS"/>
        </w:rPr>
        <w:t>Основни подаци о Друштву</w:t>
      </w:r>
      <w:bookmarkEnd w:id="3"/>
      <w:bookmarkEnd w:id="4"/>
    </w:p>
    <w:p w:rsidR="00F81CB0" w:rsidRPr="000545BA" w:rsidRDefault="00F81CB0" w:rsidP="00F81CB0">
      <w:pPr>
        <w:spacing w:before="200" w:after="20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Седиште Друштва је у Кнез Михаиловој улици број 6 / II, Београд.</w:t>
      </w:r>
    </w:p>
    <w:p w:rsidR="00F81CB0" w:rsidRPr="000545BA" w:rsidRDefault="00F81CB0" w:rsidP="00F81CB0">
      <w:pPr>
        <w:spacing w:before="200" w:after="20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Матични број Друштва је 07046901. Шифра делатности је 66030. ПИБ је 100001327. </w:t>
      </w:r>
    </w:p>
    <w:p w:rsidR="00F81CB0" w:rsidRPr="000545BA" w:rsidRDefault="00F81CB0" w:rsidP="00F81CB0">
      <w:pPr>
        <w:spacing w:before="200" w:after="20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Друштво је преведено у Регистар привредних субјеката и регистровано као отворено акционарско друштво за осигурање дана 22. јуна 2005. код Агенције за привредне регистре у Београду, број регистрације 43206. </w:t>
      </w:r>
    </w:p>
    <w:p w:rsidR="00F81CB0" w:rsidRPr="000545BA" w:rsidRDefault="00F81CB0" w:rsidP="00505861">
      <w:pPr>
        <w:pStyle w:val="Heading1"/>
        <w:numPr>
          <w:ilvl w:val="1"/>
          <w:numId w:val="3"/>
        </w:numPr>
        <w:tabs>
          <w:tab w:val="clear" w:pos="336"/>
        </w:tabs>
        <w:spacing w:before="360" w:after="240"/>
        <w:ind w:left="1451" w:hanging="907"/>
        <w:jc w:val="left"/>
        <w:rPr>
          <w:rFonts w:ascii="Verdana" w:hAnsi="Verdana" w:cs="Tahoma"/>
          <w:noProof/>
          <w:color w:val="365F91"/>
          <w:sz w:val="20"/>
          <w:szCs w:val="18"/>
          <w:lang w:val="sr-Cyrl-RS"/>
        </w:rPr>
      </w:pPr>
      <w:bookmarkStart w:id="5" w:name="_Toc343598042"/>
      <w:bookmarkStart w:id="6" w:name="_Toc414610322"/>
      <w:r w:rsidRPr="000545BA">
        <w:rPr>
          <w:rFonts w:ascii="Verdana" w:hAnsi="Verdana" w:cs="Tahoma"/>
          <w:noProof/>
          <w:color w:val="365F91"/>
          <w:sz w:val="20"/>
          <w:szCs w:val="18"/>
          <w:lang w:val="sr-Cyrl-RS"/>
        </w:rPr>
        <w:t>Опште информације о друштву</w:t>
      </w:r>
      <w:bookmarkEnd w:id="5"/>
      <w:bookmarkEnd w:id="6"/>
    </w:p>
    <w:p w:rsidR="006566AC" w:rsidRPr="000545BA" w:rsidRDefault="006566AC" w:rsidP="006566AC">
      <w:pPr>
        <w:pStyle w:val="Subtitle"/>
        <w:suppressAutoHyphens w:val="0"/>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Друштво се бави преузимањем у реосигурање, односно ретроцесију, 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 </w:t>
      </w:r>
    </w:p>
    <w:p w:rsidR="006566AC" w:rsidRPr="000545BA" w:rsidRDefault="006566AC" w:rsidP="006566AC">
      <w:pPr>
        <w:pStyle w:val="Subtitle"/>
        <w:suppressAutoHyphens w:val="0"/>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„Дунав Ре“ успешно обавља функцију реосигуравајуће заштите осигураних ризика својих цедената уз уважавање општих економских начела и начела струке реосигурања, а пословање је </w:t>
      </w:r>
      <w:r w:rsidR="0013427E" w:rsidRPr="000545BA">
        <w:rPr>
          <w:rFonts w:ascii="Verdana" w:eastAsia="Calibri" w:hAnsi="Verdana"/>
          <w:noProof/>
          <w:sz w:val="20"/>
          <w:szCs w:val="22"/>
          <w:lang w:val="sr-Cyrl-RS" w:eastAsia="en-US"/>
        </w:rPr>
        <w:t>усклађено за законскиом регулативом Републике Србије.</w:t>
      </w:r>
    </w:p>
    <w:p w:rsidR="006566AC" w:rsidRPr="000545BA" w:rsidRDefault="006566AC" w:rsidP="006566AC">
      <w:pPr>
        <w:pStyle w:val="Subtitle"/>
        <w:suppressAutoHyphens w:val="0"/>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Статутом је дефинисан избор, опозив, делокруг рада и начин одлучивања органа Друштва за реосигурање „Дунав Ре“ а.д.о., а органи су: </w:t>
      </w:r>
    </w:p>
    <w:p w:rsidR="006566AC" w:rsidRPr="000545BA" w:rsidRDefault="006566AC" w:rsidP="003E48B9">
      <w:pPr>
        <w:pStyle w:val="Subtitle"/>
        <w:numPr>
          <w:ilvl w:val="0"/>
          <w:numId w:val="17"/>
        </w:numPr>
        <w:suppressAutoHyphens w:val="0"/>
        <w:spacing w:before="60" w:after="60" w:line="276" w:lineRule="auto"/>
        <w:ind w:left="986"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Скупштина,</w:t>
      </w:r>
    </w:p>
    <w:p w:rsidR="006566AC" w:rsidRPr="000545BA" w:rsidRDefault="006566AC" w:rsidP="003E48B9">
      <w:pPr>
        <w:pStyle w:val="Subtitle"/>
        <w:numPr>
          <w:ilvl w:val="0"/>
          <w:numId w:val="17"/>
        </w:numPr>
        <w:suppressAutoHyphens w:val="0"/>
        <w:spacing w:before="60" w:after="60" w:line="276" w:lineRule="auto"/>
        <w:ind w:left="986"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Надзорни одбор,</w:t>
      </w:r>
    </w:p>
    <w:p w:rsidR="006566AC" w:rsidRPr="000545BA" w:rsidRDefault="006566AC" w:rsidP="003E48B9">
      <w:pPr>
        <w:pStyle w:val="Subtitle"/>
        <w:numPr>
          <w:ilvl w:val="0"/>
          <w:numId w:val="17"/>
        </w:numPr>
        <w:suppressAutoHyphens w:val="0"/>
        <w:spacing w:before="60" w:after="60" w:line="276" w:lineRule="auto"/>
        <w:ind w:left="986"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Извршни одбор и </w:t>
      </w:r>
    </w:p>
    <w:p w:rsidR="006566AC" w:rsidRPr="000545BA" w:rsidRDefault="006566AC" w:rsidP="003E48B9">
      <w:pPr>
        <w:pStyle w:val="Subtitle"/>
        <w:numPr>
          <w:ilvl w:val="0"/>
          <w:numId w:val="17"/>
        </w:numPr>
        <w:suppressAutoHyphens w:val="0"/>
        <w:spacing w:before="60" w:after="60" w:line="276" w:lineRule="auto"/>
        <w:ind w:left="986"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Генерални директор.</w:t>
      </w:r>
    </w:p>
    <w:p w:rsidR="006566AC" w:rsidRPr="000545BA" w:rsidRDefault="006566AC" w:rsidP="006566AC">
      <w:pPr>
        <w:pStyle w:val="Subtitle"/>
        <w:suppressAutoHyphens w:val="0"/>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Надзорни одбор, Извршни одбор и генерални директор чине Управу Друштва, а за пословање Друштва одговоран је генерални директор.</w:t>
      </w:r>
    </w:p>
    <w:p w:rsidR="00F81CB0" w:rsidRPr="000545BA" w:rsidRDefault="00F81CB0" w:rsidP="00B37318">
      <w:pPr>
        <w:pStyle w:val="Heading1"/>
        <w:numPr>
          <w:ilvl w:val="1"/>
          <w:numId w:val="3"/>
        </w:numPr>
        <w:tabs>
          <w:tab w:val="clear" w:pos="336"/>
        </w:tabs>
        <w:spacing w:before="360" w:after="240"/>
        <w:ind w:left="1621" w:hanging="907"/>
        <w:jc w:val="left"/>
        <w:rPr>
          <w:rFonts w:ascii="Verdana" w:hAnsi="Verdana" w:cs="Tahoma"/>
          <w:noProof/>
          <w:color w:val="365F91"/>
          <w:sz w:val="20"/>
          <w:szCs w:val="18"/>
          <w:lang w:val="sr-Cyrl-RS"/>
        </w:rPr>
      </w:pPr>
      <w:bookmarkStart w:id="7" w:name="_Toc343598043"/>
      <w:bookmarkStart w:id="8" w:name="_Toc414610323"/>
      <w:r w:rsidRPr="000545BA">
        <w:rPr>
          <w:rFonts w:ascii="Verdana" w:hAnsi="Verdana" w:cs="Tahoma"/>
          <w:noProof/>
          <w:color w:val="365F91"/>
          <w:sz w:val="20"/>
          <w:szCs w:val="18"/>
          <w:lang w:val="sr-Cyrl-RS"/>
        </w:rPr>
        <w:t>Визија Друштва</w:t>
      </w:r>
      <w:bookmarkEnd w:id="7"/>
      <w:bookmarkEnd w:id="8"/>
    </w:p>
    <w:p w:rsidR="00F81CB0" w:rsidRPr="000545BA" w:rsidRDefault="00F81CB0" w:rsidP="0013427E">
      <w:pPr>
        <w:pStyle w:val="ListParagraph"/>
        <w:numPr>
          <w:ilvl w:val="0"/>
          <w:numId w:val="5"/>
        </w:numPr>
        <w:suppressAutoHyphens w:val="0"/>
        <w:autoSpaceDE w:val="0"/>
        <w:autoSpaceDN w:val="0"/>
        <w:adjustRightInd w:val="0"/>
        <w:spacing w:after="60" w:line="276" w:lineRule="auto"/>
        <w:ind w:left="88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Водећа позиција на домаћем тржишту.</w:t>
      </w:r>
    </w:p>
    <w:p w:rsidR="00F81CB0" w:rsidRPr="000545BA" w:rsidRDefault="00F81CB0" w:rsidP="0013427E">
      <w:pPr>
        <w:pStyle w:val="ListParagraph"/>
        <w:numPr>
          <w:ilvl w:val="0"/>
          <w:numId w:val="5"/>
        </w:numPr>
        <w:suppressAutoHyphens w:val="0"/>
        <w:autoSpaceDE w:val="0"/>
        <w:autoSpaceDN w:val="0"/>
        <w:adjustRightInd w:val="0"/>
        <w:spacing w:after="60" w:line="276" w:lineRule="auto"/>
        <w:ind w:left="88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Aктивна улога на иностраном тржишту реосигурања.</w:t>
      </w:r>
    </w:p>
    <w:p w:rsidR="00F81CB0" w:rsidRPr="000545BA" w:rsidRDefault="00F81CB0" w:rsidP="0013427E">
      <w:pPr>
        <w:pStyle w:val="ListParagraph"/>
        <w:numPr>
          <w:ilvl w:val="0"/>
          <w:numId w:val="5"/>
        </w:numPr>
        <w:suppressAutoHyphens w:val="0"/>
        <w:autoSpaceDE w:val="0"/>
        <w:autoSpaceDN w:val="0"/>
        <w:adjustRightInd w:val="0"/>
        <w:spacing w:after="60" w:line="276" w:lineRule="auto"/>
        <w:ind w:left="88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Партнерство са цедентима и реосигуравачима. </w:t>
      </w:r>
    </w:p>
    <w:p w:rsidR="00F81CB0" w:rsidRPr="000545BA" w:rsidRDefault="00F81CB0" w:rsidP="0013427E">
      <w:pPr>
        <w:pStyle w:val="ListParagraph"/>
        <w:numPr>
          <w:ilvl w:val="0"/>
          <w:numId w:val="5"/>
        </w:numPr>
        <w:suppressAutoHyphens w:val="0"/>
        <w:autoSpaceDE w:val="0"/>
        <w:autoSpaceDN w:val="0"/>
        <w:adjustRightInd w:val="0"/>
        <w:spacing w:after="60" w:line="276" w:lineRule="auto"/>
        <w:ind w:left="88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Уважавање потреба и мишљење клијената.</w:t>
      </w:r>
    </w:p>
    <w:p w:rsidR="00F81CB0" w:rsidRPr="000545BA" w:rsidRDefault="00F81CB0" w:rsidP="0013427E">
      <w:pPr>
        <w:pStyle w:val="ListParagraph"/>
        <w:numPr>
          <w:ilvl w:val="0"/>
          <w:numId w:val="5"/>
        </w:numPr>
        <w:suppressAutoHyphens w:val="0"/>
        <w:autoSpaceDE w:val="0"/>
        <w:autoSpaceDN w:val="0"/>
        <w:adjustRightInd w:val="0"/>
        <w:spacing w:after="60" w:line="276" w:lineRule="auto"/>
        <w:ind w:left="88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Континуирано побољшање услуга.</w:t>
      </w:r>
    </w:p>
    <w:p w:rsidR="0013427E" w:rsidRPr="000545BA" w:rsidRDefault="0013427E" w:rsidP="0013427E">
      <w:pPr>
        <w:pStyle w:val="ListParagraph"/>
        <w:suppressAutoHyphens w:val="0"/>
        <w:autoSpaceDE w:val="0"/>
        <w:autoSpaceDN w:val="0"/>
        <w:adjustRightInd w:val="0"/>
        <w:spacing w:after="60" w:line="276" w:lineRule="auto"/>
        <w:ind w:left="884"/>
        <w:jc w:val="both"/>
        <w:rPr>
          <w:rFonts w:ascii="Verdana" w:eastAsia="Calibri" w:hAnsi="Verdana"/>
          <w:noProof/>
          <w:sz w:val="20"/>
          <w:szCs w:val="22"/>
          <w:lang w:val="sr-Cyrl-RS" w:eastAsia="en-US"/>
        </w:rPr>
      </w:pPr>
    </w:p>
    <w:p w:rsidR="00F81CB0" w:rsidRPr="000545BA" w:rsidRDefault="00F81CB0" w:rsidP="00F05967">
      <w:pPr>
        <w:pStyle w:val="Heading1"/>
        <w:numPr>
          <w:ilvl w:val="1"/>
          <w:numId w:val="3"/>
        </w:numPr>
        <w:tabs>
          <w:tab w:val="clear" w:pos="336"/>
        </w:tabs>
        <w:spacing w:before="200" w:after="200"/>
        <w:ind w:left="1451" w:hanging="907"/>
        <w:jc w:val="left"/>
        <w:rPr>
          <w:rFonts w:ascii="Verdana" w:hAnsi="Verdana" w:cs="Tahoma"/>
          <w:noProof/>
          <w:color w:val="365F91"/>
          <w:sz w:val="20"/>
          <w:szCs w:val="18"/>
          <w:lang w:val="sr-Cyrl-RS"/>
        </w:rPr>
      </w:pPr>
      <w:bookmarkStart w:id="9" w:name="_Toc414610324"/>
      <w:bookmarkStart w:id="10" w:name="_Toc343598044"/>
      <w:r w:rsidRPr="000545BA">
        <w:rPr>
          <w:rFonts w:ascii="Verdana" w:hAnsi="Verdana" w:cs="Tahoma"/>
          <w:noProof/>
          <w:color w:val="365F91"/>
          <w:sz w:val="20"/>
          <w:szCs w:val="18"/>
          <w:lang w:val="sr-Cyrl-RS"/>
        </w:rPr>
        <w:t>Мисија</w:t>
      </w:r>
      <w:bookmarkEnd w:id="9"/>
      <w:r w:rsidRPr="000545BA">
        <w:rPr>
          <w:rFonts w:ascii="Verdana" w:hAnsi="Verdana" w:cs="Tahoma"/>
          <w:noProof/>
          <w:color w:val="365F91"/>
          <w:sz w:val="20"/>
          <w:szCs w:val="18"/>
          <w:lang w:val="sr-Cyrl-RS"/>
        </w:rPr>
        <w:t xml:space="preserve"> </w:t>
      </w:r>
      <w:bookmarkEnd w:id="10"/>
    </w:p>
    <w:p w:rsidR="00F81CB0" w:rsidRPr="000545BA" w:rsidRDefault="00F81CB0" w:rsidP="00F05967">
      <w:pPr>
        <w:pStyle w:val="Subtitle"/>
        <w:suppressAutoHyphens w:val="0"/>
        <w:spacing w:before="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Као препознатљив и поуздан партнер „Дунав Ре“ адо тежи успостављању европских стандарда пословања и пружању најквалитетније услуге реосигурања на домаћем и иностраном тржишту кроз пружање конкретних решења за задовољење специфичних потреба цедената. У раду комбинујемо искуство стечено на глобалном тржишту, локално знање и доказану поузданост за решавање проблема са којима се суочавају наши клијенти у свом пословању.</w:t>
      </w:r>
    </w:p>
    <w:p w:rsidR="00F81CB0" w:rsidRPr="000545BA" w:rsidRDefault="00F81CB0" w:rsidP="00F05967">
      <w:pPr>
        <w:pStyle w:val="Subtitle"/>
        <w:suppressAutoHyphens w:val="0"/>
        <w:spacing w:before="120" w:after="6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Друштво успешно обавља функцију реосигуравајуће заштите својих цедената, партнера и сопственог капитала кроз:</w:t>
      </w:r>
    </w:p>
    <w:p w:rsidR="00F81CB0" w:rsidRPr="000545BA" w:rsidRDefault="00F81CB0" w:rsidP="00F81CB0">
      <w:pPr>
        <w:spacing w:line="276" w:lineRule="auto"/>
        <w:ind w:firstLine="284"/>
        <w:jc w:val="both"/>
        <w:rPr>
          <w:rFonts w:ascii="Verdana" w:hAnsi="Verdana" w:cs="Tahoma"/>
          <w:noProof/>
          <w:sz w:val="6"/>
          <w:szCs w:val="6"/>
          <w:lang w:val="sr-Cyrl-RS" w:eastAsia="ja-JP"/>
        </w:rPr>
      </w:pP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уважавање општих економских начела,</w:t>
      </w: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уважавање начела струке реосигурања,</w:t>
      </w: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благовремено идентификовање и процену преузетих ризика осигурања,</w:t>
      </w: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реосигуравајућу заштиту преузетог порфеља,</w:t>
      </w:r>
    </w:p>
    <w:p w:rsidR="00F81CB0" w:rsidRPr="000545BA" w:rsidRDefault="00F81CB0" w:rsidP="00F05967">
      <w:pPr>
        <w:pStyle w:val="ListParagraph"/>
        <w:numPr>
          <w:ilvl w:val="0"/>
          <w:numId w:val="5"/>
        </w:numPr>
        <w:suppressAutoHyphens w:val="0"/>
        <w:autoSpaceDE w:val="0"/>
        <w:autoSpaceDN w:val="0"/>
        <w:adjustRightInd w:val="0"/>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сигурно и профитабилно улагање средстава,</w:t>
      </w: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управљање ризицима у циљу заштите дугорочне сигурности, стабилности пословања и текућег сервисирања обавеза и</w:t>
      </w:r>
    </w:p>
    <w:p w:rsidR="00F81CB0" w:rsidRPr="000545BA" w:rsidRDefault="00F81CB0" w:rsidP="00F05967">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спровођење интерних контрола усмерених на очување интегритета средстава, спречавање и откривање оперативних грешака, тачност и потпуност рачуноводствених евиденција и благовремено састављање поузданих финансијских информација.</w:t>
      </w:r>
    </w:p>
    <w:p w:rsidR="00F81CB0" w:rsidRPr="000545BA" w:rsidRDefault="00F81CB0" w:rsidP="00F05967">
      <w:pPr>
        <w:pStyle w:val="Heading1"/>
        <w:numPr>
          <w:ilvl w:val="1"/>
          <w:numId w:val="3"/>
        </w:numPr>
        <w:tabs>
          <w:tab w:val="clear" w:pos="336"/>
        </w:tabs>
        <w:spacing w:before="200" w:after="200"/>
        <w:ind w:left="1441" w:hanging="902"/>
        <w:jc w:val="left"/>
        <w:rPr>
          <w:rFonts w:ascii="Verdana" w:hAnsi="Verdana" w:cs="Tahoma"/>
          <w:noProof/>
          <w:color w:val="365F91"/>
          <w:sz w:val="20"/>
          <w:szCs w:val="18"/>
          <w:lang w:val="sr-Cyrl-RS"/>
        </w:rPr>
      </w:pPr>
      <w:bookmarkStart w:id="11" w:name="_Toc343598045"/>
      <w:bookmarkStart w:id="12" w:name="_Toc414610325"/>
      <w:r w:rsidRPr="000545BA">
        <w:rPr>
          <w:rFonts w:ascii="Verdana" w:hAnsi="Verdana" w:cs="Tahoma"/>
          <w:noProof/>
          <w:color w:val="365F91"/>
          <w:sz w:val="20"/>
          <w:szCs w:val="18"/>
          <w:lang w:val="sr-Cyrl-RS"/>
        </w:rPr>
        <w:t>Вредност Друштва</w:t>
      </w:r>
      <w:bookmarkEnd w:id="11"/>
      <w:bookmarkEnd w:id="12"/>
    </w:p>
    <w:p w:rsidR="001550F3" w:rsidRPr="000545BA" w:rsidRDefault="00F81CB0" w:rsidP="00F05967">
      <w:pPr>
        <w:pStyle w:val="Subtitle"/>
        <w:suppressAutoHyphens w:val="0"/>
        <w:spacing w:before="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Основна вредност Друштва је</w:t>
      </w:r>
      <w:r w:rsidR="001550F3" w:rsidRPr="000545BA">
        <w:rPr>
          <w:rFonts w:ascii="Verdana" w:eastAsia="Calibri" w:hAnsi="Verdana"/>
          <w:noProof/>
          <w:sz w:val="20"/>
          <w:szCs w:val="22"/>
          <w:lang w:val="sr-Cyrl-RS" w:eastAsia="en-US"/>
        </w:rPr>
        <w:t xml:space="preserve"> вишедеценијско искуство у пословима реосигурања као најстаријег домаћег реосигуравача уз високо професионалну репутацију на иностраном тржишту. Одговорна и стручна п</w:t>
      </w:r>
      <w:r w:rsidRPr="000545BA">
        <w:rPr>
          <w:rFonts w:ascii="Verdana" w:eastAsia="Calibri" w:hAnsi="Verdana"/>
          <w:noProof/>
          <w:sz w:val="20"/>
          <w:szCs w:val="22"/>
          <w:lang w:val="sr-Cyrl-RS" w:eastAsia="en-US"/>
        </w:rPr>
        <w:t>освећеност</w:t>
      </w:r>
      <w:r w:rsidR="001550F3" w:rsidRPr="000545BA">
        <w:rPr>
          <w:rFonts w:ascii="Verdana" w:eastAsia="Calibri" w:hAnsi="Verdana"/>
          <w:noProof/>
          <w:sz w:val="20"/>
          <w:szCs w:val="22"/>
          <w:lang w:val="sr-Cyrl-RS" w:eastAsia="en-US"/>
        </w:rPr>
        <w:t xml:space="preserve"> нашим клијентима је вредност Друштва која чува и надограђује однос реосигуравача и цедената.</w:t>
      </w:r>
      <w:r w:rsidRPr="000545BA">
        <w:rPr>
          <w:rFonts w:ascii="Verdana" w:eastAsia="Calibri" w:hAnsi="Verdana"/>
          <w:noProof/>
          <w:sz w:val="20"/>
          <w:szCs w:val="22"/>
          <w:lang w:val="sr-Cyrl-RS" w:eastAsia="en-US"/>
        </w:rPr>
        <w:t xml:space="preserve"> </w:t>
      </w:r>
    </w:p>
    <w:p w:rsidR="00F81CB0" w:rsidRPr="000545BA" w:rsidRDefault="00F81CB0" w:rsidP="00F05967">
      <w:pPr>
        <w:pStyle w:val="Subtitle"/>
        <w:suppressAutoHyphens w:val="0"/>
        <w:spacing w:before="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Задовољство наших партнера је мера нашег успеха и доприноси како угледу Друштва тако и угледу целе Дунав групе. </w:t>
      </w:r>
    </w:p>
    <w:p w:rsidR="00F81CB0" w:rsidRPr="000545BA" w:rsidRDefault="00F81CB0" w:rsidP="00F05967">
      <w:pPr>
        <w:pStyle w:val="Subtitle"/>
        <w:suppressAutoHyphens w:val="0"/>
        <w:spacing w:before="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Верујемо да се успех и углед може постићи само кроз посвећеност и задовољство свих запослених. Због тога подстичемо професионално, одговорно и иновативно радно окружење које је пре свега </w:t>
      </w:r>
      <w:r w:rsidR="008826CB" w:rsidRPr="000545BA">
        <w:rPr>
          <w:rFonts w:ascii="Verdana" w:eastAsia="Calibri" w:hAnsi="Verdana"/>
          <w:noProof/>
          <w:sz w:val="20"/>
          <w:szCs w:val="22"/>
          <w:lang w:val="sr-Cyrl-RS" w:eastAsia="en-US"/>
        </w:rPr>
        <w:t xml:space="preserve">има за циљ унапређење квалитета услуге коју пружамо </w:t>
      </w:r>
      <w:r w:rsidRPr="000545BA">
        <w:rPr>
          <w:rFonts w:ascii="Verdana" w:eastAsia="Calibri" w:hAnsi="Verdana"/>
          <w:noProof/>
          <w:sz w:val="20"/>
          <w:szCs w:val="22"/>
          <w:lang w:val="sr-Cyrl-RS" w:eastAsia="en-US"/>
        </w:rPr>
        <w:t>нашим клијентима.</w:t>
      </w:r>
    </w:p>
    <w:p w:rsidR="00F81CB0" w:rsidRPr="000545BA" w:rsidRDefault="00F81CB0" w:rsidP="00F05967">
      <w:pPr>
        <w:spacing w:before="120" w:after="120"/>
        <w:rPr>
          <w:rStyle w:val="IntenseEmphasis"/>
          <w:rFonts w:ascii="Verdana" w:hAnsi="Verdana"/>
          <w:noProof/>
          <w:sz w:val="20"/>
          <w:lang w:val="sr-Cyrl-RS"/>
        </w:rPr>
      </w:pPr>
      <w:r w:rsidRPr="000545BA">
        <w:rPr>
          <w:rStyle w:val="IntenseEmphasis"/>
          <w:rFonts w:ascii="Verdana" w:hAnsi="Verdana"/>
          <w:noProof/>
          <w:sz w:val="20"/>
          <w:lang w:val="sr-Cyrl-RS"/>
        </w:rPr>
        <w:t>Тржишна вредност Друштва</w:t>
      </w:r>
    </w:p>
    <w:p w:rsidR="0013427E" w:rsidRPr="000545BA" w:rsidRDefault="0013427E" w:rsidP="00F05967">
      <w:pPr>
        <w:pStyle w:val="Subtitle"/>
        <w:suppressAutoHyphens w:val="0"/>
        <w:spacing w:before="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Чланом 28. Закона о осигурању прописан је лимит за обављање послова реосигурања од 4,5 милиона ЕУР, а Друштво на дан 31.12.2014. године има основни капитал у износу од 6,3 милиона ЕУР-а. </w:t>
      </w:r>
    </w:p>
    <w:p w:rsidR="00F05967" w:rsidRPr="000545BA" w:rsidRDefault="00F05967" w:rsidP="00F05967">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Вредност Друштва изражена  кроз књиговодствену вредност капитала износи 764.802 хиљада динара, од чега је акцијски  капитал 729.747 хиљада динара, а друштвени 35.055 хиљада динара. На организованом тржишту – Београдској берзи с тргује са обичним акцијама са правом гласа. Укупни обим акција је 81.083 акције. Тргује се методом преовлађујуће цене. </w:t>
      </w:r>
    </w:p>
    <w:p w:rsidR="00F05967" w:rsidRPr="000545BA" w:rsidRDefault="00F05967" w:rsidP="00F05967">
      <w:pPr>
        <w:spacing w:before="120" w:after="120" w:line="276" w:lineRule="auto"/>
        <w:ind w:firstLine="284"/>
        <w:jc w:val="both"/>
        <w:rPr>
          <w:rFonts w:ascii="Verdana" w:eastAsia="Calibri" w:hAnsi="Verdana"/>
          <w:noProof/>
          <w:sz w:val="20"/>
          <w:szCs w:val="22"/>
          <w:lang w:val="sr-Cyrl-RS" w:eastAsia="en-US"/>
        </w:rPr>
      </w:pPr>
    </w:p>
    <w:p w:rsidR="00F05967" w:rsidRPr="000545BA" w:rsidRDefault="00F05967" w:rsidP="00F05967">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Показатељи на дан 31.12.2014. године су:</w:t>
      </w:r>
    </w:p>
    <w:p w:rsidR="00F05967" w:rsidRPr="000545BA" w:rsidRDefault="00F05967" w:rsidP="00AA625F">
      <w:pPr>
        <w:numPr>
          <w:ilvl w:val="0"/>
          <w:numId w:val="9"/>
        </w:numPr>
        <w:spacing w:line="276" w:lineRule="auto"/>
        <w:ind w:left="1003"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Тржишна капитализација износи 729.747 хиљада динара,</w:t>
      </w:r>
    </w:p>
    <w:p w:rsidR="00F05967" w:rsidRPr="000545BA" w:rsidRDefault="00F05967" w:rsidP="00AA625F">
      <w:pPr>
        <w:numPr>
          <w:ilvl w:val="0"/>
          <w:numId w:val="9"/>
        </w:numPr>
        <w:spacing w:line="276" w:lineRule="auto"/>
        <w:ind w:left="1003"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ЕПС 2.632,65,</w:t>
      </w:r>
    </w:p>
    <w:p w:rsidR="00F05967" w:rsidRPr="000545BA" w:rsidRDefault="00F05967" w:rsidP="00AA625F">
      <w:pPr>
        <w:numPr>
          <w:ilvl w:val="0"/>
          <w:numId w:val="9"/>
        </w:numPr>
        <w:spacing w:line="276" w:lineRule="auto"/>
        <w:ind w:left="1003"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П/Е 3,34 </w:t>
      </w:r>
    </w:p>
    <w:p w:rsidR="00F05967" w:rsidRPr="000545BA" w:rsidRDefault="00F05967" w:rsidP="00AA625F">
      <w:pPr>
        <w:numPr>
          <w:ilvl w:val="0"/>
          <w:numId w:val="9"/>
        </w:numPr>
        <w:spacing w:line="276" w:lineRule="auto"/>
        <w:ind w:left="1003"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П/Б 0,62 и</w:t>
      </w:r>
    </w:p>
    <w:p w:rsidR="00F05967" w:rsidRPr="000545BA" w:rsidRDefault="00F05967" w:rsidP="00AA625F">
      <w:pPr>
        <w:numPr>
          <w:ilvl w:val="0"/>
          <w:numId w:val="9"/>
        </w:numPr>
        <w:spacing w:line="276" w:lineRule="auto"/>
        <w:ind w:left="1003"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РОЕ -10 </w:t>
      </w:r>
    </w:p>
    <w:p w:rsidR="00F05967" w:rsidRPr="000545BA" w:rsidRDefault="00F05967" w:rsidP="00F05967">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Историјски посматрано најнижа цена је била 6.500 на дан 08.11.2005. године, а највиша дана 29.01.2010. 25.000 динара.</w:t>
      </w:r>
    </w:p>
    <w:p w:rsidR="00F05967" w:rsidRPr="000545BA" w:rsidRDefault="00F05967" w:rsidP="00F05967">
      <w:pPr>
        <w:spacing w:before="120" w:after="120" w:line="276" w:lineRule="auto"/>
        <w:ind w:firstLine="284"/>
        <w:jc w:val="both"/>
        <w:rPr>
          <w:rFonts w:ascii="Verdana" w:hAnsi="Verdana"/>
          <w:noProof/>
          <w:sz w:val="20"/>
          <w:szCs w:val="20"/>
          <w:lang w:val="sr-Cyrl-RS"/>
        </w:rPr>
      </w:pPr>
      <w:r w:rsidRPr="000545BA">
        <w:rPr>
          <w:rFonts w:ascii="Verdana" w:hAnsi="Verdana"/>
          <w:noProof/>
          <w:sz w:val="20"/>
          <w:szCs w:val="20"/>
          <w:lang w:val="sr-Cyrl-RS"/>
        </w:rPr>
        <w:t>Обим трговања био је у протеклом периоду занемарљив и вршен искључиво од стране малих акционара. С обзиром да је 96,02% у власништву два акционара, Компаније Дунав и Сава осигурања, који нису вршили промет акцијама, ни у наредном периоду се не очекује се већи обим трговања.</w:t>
      </w:r>
    </w:p>
    <w:p w:rsidR="0013427E" w:rsidRPr="000545BA" w:rsidRDefault="0013427E" w:rsidP="0013427E">
      <w:pPr>
        <w:jc w:val="both"/>
        <w:rPr>
          <w:rFonts w:ascii="Verdana" w:hAnsi="Verdana"/>
          <w:noProof/>
          <w:sz w:val="2"/>
          <w:szCs w:val="2"/>
          <w:lang w:val="sr-Cyrl-RS"/>
        </w:rPr>
      </w:pPr>
    </w:p>
    <w:p w:rsidR="00F81CB0" w:rsidRPr="000545BA" w:rsidRDefault="00F81CB0" w:rsidP="00F81CB0">
      <w:pPr>
        <w:pStyle w:val="Heading1"/>
        <w:numPr>
          <w:ilvl w:val="0"/>
          <w:numId w:val="3"/>
        </w:numPr>
        <w:tabs>
          <w:tab w:val="clear" w:pos="432"/>
        </w:tabs>
        <w:ind w:left="0" w:firstLine="0"/>
        <w:rPr>
          <w:rFonts w:ascii="Verdana" w:hAnsi="Verdana" w:cs="Tahoma"/>
          <w:noProof/>
          <w:color w:val="365F91"/>
          <w:sz w:val="24"/>
          <w:szCs w:val="18"/>
          <w:lang w:val="sr-Cyrl-RS"/>
        </w:rPr>
      </w:pPr>
      <w:bookmarkStart w:id="13" w:name="_Toc343598046"/>
      <w:bookmarkStart w:id="14" w:name="_Toc414610326"/>
      <w:r w:rsidRPr="000545BA">
        <w:rPr>
          <w:rFonts w:ascii="Verdana" w:hAnsi="Verdana" w:cs="Tahoma"/>
          <w:noProof/>
          <w:color w:val="365F91"/>
          <w:sz w:val="24"/>
          <w:szCs w:val="18"/>
          <w:lang w:val="sr-Cyrl-RS"/>
        </w:rPr>
        <w:t>АНАЛИЗА И ПРОЈЕКЦИЈЕ ЕКСТЕРНИХ И ИНТЕРНИХ                УСЛОВА ПОСЛОВАЊА</w:t>
      </w:r>
      <w:bookmarkEnd w:id="13"/>
      <w:bookmarkEnd w:id="14"/>
      <w:r w:rsidRPr="000545BA">
        <w:rPr>
          <w:rFonts w:ascii="Verdana" w:hAnsi="Verdana" w:cs="Tahoma"/>
          <w:noProof/>
          <w:color w:val="365F91"/>
          <w:sz w:val="24"/>
          <w:szCs w:val="18"/>
          <w:lang w:val="sr-Cyrl-RS"/>
        </w:rPr>
        <w:t xml:space="preserve"> </w:t>
      </w:r>
    </w:p>
    <w:p w:rsidR="00F81CB0" w:rsidRPr="000545BA" w:rsidRDefault="00F81CB0" w:rsidP="00F81CB0">
      <w:pPr>
        <w:pStyle w:val="Heading1"/>
        <w:numPr>
          <w:ilvl w:val="1"/>
          <w:numId w:val="3"/>
        </w:numPr>
        <w:tabs>
          <w:tab w:val="clear" w:pos="336"/>
        </w:tabs>
        <w:ind w:firstLine="231"/>
        <w:jc w:val="left"/>
        <w:rPr>
          <w:rFonts w:ascii="Verdana" w:hAnsi="Verdana" w:cs="Tahoma"/>
          <w:noProof/>
          <w:color w:val="365F91"/>
          <w:sz w:val="20"/>
          <w:szCs w:val="18"/>
          <w:lang w:val="sr-Cyrl-RS"/>
        </w:rPr>
      </w:pPr>
      <w:bookmarkStart w:id="15" w:name="_Toc343598047"/>
      <w:bookmarkStart w:id="16" w:name="_Toc414610327"/>
      <w:r w:rsidRPr="000545BA">
        <w:rPr>
          <w:rFonts w:ascii="Verdana" w:hAnsi="Verdana" w:cs="Tahoma"/>
          <w:noProof/>
          <w:color w:val="365F91"/>
          <w:sz w:val="20"/>
          <w:szCs w:val="18"/>
          <w:lang w:val="sr-Cyrl-RS"/>
        </w:rPr>
        <w:t>„PEST“ анализа</w:t>
      </w:r>
      <w:bookmarkEnd w:id="15"/>
      <w:bookmarkEnd w:id="16"/>
    </w:p>
    <w:p w:rsidR="00F81CB0" w:rsidRPr="000545BA" w:rsidRDefault="00710DFC" w:rsidP="00F05967">
      <w:pPr>
        <w:suppressAutoHyphens w:val="0"/>
        <w:autoSpaceDE w:val="0"/>
        <w:autoSpaceDN w:val="0"/>
        <w:adjustRightInd w:val="0"/>
        <w:jc w:val="center"/>
        <w:rPr>
          <w:rStyle w:val="IntenseEmphasis"/>
          <w:rFonts w:ascii="Verdana" w:hAnsi="Verdana"/>
          <w:noProof/>
          <w:sz w:val="16"/>
          <w:szCs w:val="20"/>
          <w:lang w:val="sr-Cyrl-RS"/>
        </w:rPr>
      </w:pPr>
      <w:r w:rsidRPr="000545BA">
        <w:rPr>
          <w:rStyle w:val="IntenseEmphasis"/>
          <w:rFonts w:ascii="Verdana" w:hAnsi="Verdana"/>
          <w:noProof/>
          <w:sz w:val="16"/>
          <w:szCs w:val="20"/>
          <w:lang w:val="sr-Cyrl-RS"/>
        </w:rPr>
        <w:t>Утицај привредног амбијента</w:t>
      </w:r>
    </w:p>
    <w:p w:rsidR="00700C90" w:rsidRPr="000545BA" w:rsidRDefault="00D61F7A" w:rsidP="00710DFC">
      <w:pPr>
        <w:jc w:val="both"/>
        <w:rPr>
          <w:rFonts w:ascii="Verdana" w:hAnsi="Verdana" w:cs="Tahoma"/>
          <w:noProof/>
          <w:sz w:val="22"/>
          <w:szCs w:val="22"/>
          <w:lang w:val="sr-Cyrl-RS"/>
        </w:rPr>
      </w:pPr>
      <w:r w:rsidRPr="000545BA">
        <w:rPr>
          <w:noProof/>
          <w:lang w:val="sr-Latn-RS" w:eastAsia="sr-Latn-RS"/>
        </w:rPr>
        <w:drawing>
          <wp:inline distT="0" distB="0" distL="0" distR="0" wp14:anchorId="6BC58942" wp14:editId="142F86DD">
            <wp:extent cx="5736028" cy="4968000"/>
            <wp:effectExtent l="0" t="38100" r="74295" b="80645"/>
            <wp:docPr id="1" name="Diagram 1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F81CB0" w:rsidRPr="000545BA" w:rsidRDefault="00F81CB0" w:rsidP="00946EE7">
      <w:pPr>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Привреду карактерише висока неликвидност и неконкурентност, отежан приступ капиталу, немогућност наплате потраживања, неповољни кредити и доцње у њиховој отплати, као и раст јавног дуга.</w:t>
      </w:r>
    </w:p>
    <w:p w:rsidR="00F81CB0" w:rsidRPr="000545BA" w:rsidRDefault="00F81CB0" w:rsidP="00946EE7">
      <w:pPr>
        <w:spacing w:before="200" w:after="200" w:line="276" w:lineRule="auto"/>
        <w:ind w:right="-18"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На основу званичних података Народне банке Србије за период од 01.01. до 30.09.201</w:t>
      </w:r>
      <w:r w:rsidR="009B7851" w:rsidRPr="000545BA">
        <w:rPr>
          <w:rFonts w:ascii="Verdana" w:eastAsia="Calibri" w:hAnsi="Verdana"/>
          <w:noProof/>
          <w:sz w:val="20"/>
          <w:szCs w:val="22"/>
          <w:lang w:val="sr-Cyrl-RS" w:eastAsia="en-US"/>
        </w:rPr>
        <w:t>4</w:t>
      </w:r>
      <w:r w:rsidRPr="000545BA">
        <w:rPr>
          <w:rFonts w:ascii="Verdana" w:eastAsia="Calibri" w:hAnsi="Verdana"/>
          <w:noProof/>
          <w:sz w:val="20"/>
          <w:szCs w:val="22"/>
          <w:lang w:val="sr-Cyrl-RS" w:eastAsia="en-US"/>
        </w:rPr>
        <w:t>. године може се закључити да се наставља, иако успорен, позитиван тренд стања и развоја на тржишту осигурања.</w:t>
      </w:r>
    </w:p>
    <w:p w:rsidR="00F81CB0" w:rsidRPr="000545BA" w:rsidRDefault="00AE0D71" w:rsidP="00946EE7">
      <w:pPr>
        <w:spacing w:before="200" w:after="200" w:line="276" w:lineRule="auto"/>
        <w:ind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Основне карактеристике тржишта у </w:t>
      </w:r>
      <w:r w:rsidR="00942691" w:rsidRPr="000545BA">
        <w:rPr>
          <w:rFonts w:ascii="Verdana" w:eastAsia="Calibri" w:hAnsi="Verdana"/>
          <w:noProof/>
          <w:sz w:val="20"/>
          <w:szCs w:val="22"/>
          <w:lang w:val="sr-Cyrl-RS" w:eastAsia="en-US"/>
        </w:rPr>
        <w:t xml:space="preserve">првих девет месеци </w:t>
      </w:r>
      <w:r w:rsidRPr="000545BA">
        <w:rPr>
          <w:rFonts w:ascii="Verdana" w:eastAsia="Calibri" w:hAnsi="Verdana"/>
          <w:noProof/>
          <w:sz w:val="20"/>
          <w:szCs w:val="22"/>
          <w:lang w:val="sr-Cyrl-RS" w:eastAsia="en-US"/>
        </w:rPr>
        <w:t>201</w:t>
      </w:r>
      <w:r w:rsidR="009B7851" w:rsidRPr="000545BA">
        <w:rPr>
          <w:rFonts w:ascii="Verdana" w:eastAsia="Calibri" w:hAnsi="Verdana"/>
          <w:noProof/>
          <w:sz w:val="20"/>
          <w:szCs w:val="22"/>
          <w:lang w:val="sr-Cyrl-RS" w:eastAsia="en-US"/>
        </w:rPr>
        <w:t>4</w:t>
      </w:r>
      <w:r w:rsidRPr="000545BA">
        <w:rPr>
          <w:rFonts w:ascii="Verdana" w:eastAsia="Calibri" w:hAnsi="Verdana"/>
          <w:noProof/>
          <w:sz w:val="20"/>
          <w:szCs w:val="22"/>
          <w:lang w:val="sr-Cyrl-RS" w:eastAsia="en-US"/>
        </w:rPr>
        <w:t xml:space="preserve">., у поређењу са </w:t>
      </w:r>
      <w:r w:rsidR="00942691" w:rsidRPr="000545BA">
        <w:rPr>
          <w:rFonts w:ascii="Verdana" w:eastAsia="Calibri" w:hAnsi="Verdana"/>
          <w:noProof/>
          <w:sz w:val="20"/>
          <w:szCs w:val="22"/>
          <w:lang w:val="sr-Cyrl-RS" w:eastAsia="en-US"/>
        </w:rPr>
        <w:t>истим периодом претходне године, су</w:t>
      </w:r>
      <w:r w:rsidR="00F81CB0" w:rsidRPr="000545BA">
        <w:rPr>
          <w:rFonts w:ascii="Verdana" w:eastAsia="Calibri" w:hAnsi="Verdana"/>
          <w:noProof/>
          <w:sz w:val="20"/>
          <w:szCs w:val="22"/>
          <w:lang w:val="sr-Cyrl-RS" w:eastAsia="en-US"/>
        </w:rPr>
        <w:t>:</w:t>
      </w:r>
    </w:p>
    <w:p w:rsidR="009B7851" w:rsidRPr="000545BA" w:rsidRDefault="009B7851"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на тржишту Србије послује 27 друштава за осигурање, једно мање него у истом периоду претходне године, уз смањење броја запослених на 11.151 по стопи од 2,9%</w:t>
      </w:r>
    </w:p>
    <w:p w:rsidR="009B7851" w:rsidRPr="000545BA" w:rsidRDefault="009B7851"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остварен је пораст билансне суме сектора осигурања за 12,1% и она износи 165,7 млрд динара;</w:t>
      </w:r>
    </w:p>
    <w:p w:rsidR="009B7851" w:rsidRPr="000545BA" w:rsidRDefault="009B7851"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остварен је пораст капитала за 0,2%, и он износи  34,4 млрд динара;</w:t>
      </w:r>
    </w:p>
    <w:p w:rsidR="009B7851" w:rsidRPr="000545BA" w:rsidRDefault="009B7851"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повећане су техничке резерве за 17,9% и њихова потпуна покривеност у животним осигурањима и непотпуна покривеност у неживотним осигурањима;</w:t>
      </w:r>
    </w:p>
    <w:p w:rsidR="00385790" w:rsidRPr="000545BA" w:rsidRDefault="00385790"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повећана је укупна премија за 5,2%, на 51,4 млрд динара;</w:t>
      </w:r>
    </w:p>
    <w:p w:rsidR="00385790" w:rsidRPr="000545BA" w:rsidRDefault="00385790"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доминантно је учешће неживотних осигурања у укупној премији и оно износи 79,1%. Премија неживотних осигурања је порасла за 2,5%, при чему је премија осигурања моторних возила – каско забележила пад од 6,9%;</w:t>
      </w:r>
    </w:p>
    <w:p w:rsidR="00385790" w:rsidRPr="000545BA" w:rsidRDefault="00385790"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животна осигурања повећала су учешће у укупној премији са 18,8% на 20,9%;</w:t>
      </w:r>
    </w:p>
    <w:p w:rsidR="00385790" w:rsidRPr="000545BA" w:rsidRDefault="00385790" w:rsidP="00AA625F">
      <w:pPr>
        <w:numPr>
          <w:ilvl w:val="0"/>
          <w:numId w:val="8"/>
        </w:numPr>
        <w:spacing w:before="120" w:after="12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концентрација на тржишту мерена Херфиндал–Хиршмановим индексом је умерена</w:t>
      </w:r>
    </w:p>
    <w:p w:rsidR="00385790" w:rsidRPr="000545BA" w:rsidRDefault="00385790" w:rsidP="00946EE7">
      <w:pPr>
        <w:spacing w:before="200" w:after="200" w:line="276" w:lineRule="auto"/>
        <w:ind w:right="-17"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Кључне области којима би друштва требало да се баве посебно у садашњем тренутку су: корпоративно управљање, које између осталог подразумева адекватно успостављен систем интерних контрола, унапређење управљања ризицима, унапређење техника вредновања улагања, јачање транспарентности, јачање добре праксе пословања и фер односа према клијентима, правовремена исплата штета, активности на едукацији потенцијалних осигураника, чиме ће се допринети јачању поверења осигураника и стварању услова за развој овог сегмента финансијског система, и др. </w:t>
      </w:r>
    </w:p>
    <w:p w:rsidR="00385790" w:rsidRPr="000545BA" w:rsidRDefault="00385790" w:rsidP="00946EE7">
      <w:pPr>
        <w:spacing w:before="200" w:after="200" w:line="276" w:lineRule="auto"/>
        <w:ind w:right="-17"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Такође, ту су и едукација и припрема за примену новог методолошког оквира за управљање ризицима, Solvency II. Адекватно управљање ризицима од кључног је значаја за успешност пословања осигуравача. Управо то је и суштина директиве Solvency II, према којој се од осигуравача захтева сагледавање и побројавање свих врста ризика којима су изложени у свом пословању, као и ефикасније управљање овим ризицима. Она уводи сложеније захтеве солвентности ради обезбеђења довољног капитала за ризике којима су друштва за осигурање изложена.</w:t>
      </w:r>
    </w:p>
    <w:p w:rsidR="00101878" w:rsidRPr="000545BA" w:rsidRDefault="00101878" w:rsidP="00385790">
      <w:pPr>
        <w:spacing w:before="120" w:after="120" w:line="276" w:lineRule="auto"/>
        <w:ind w:left="990"/>
        <w:jc w:val="both"/>
        <w:rPr>
          <w:rFonts w:ascii="Verdana" w:eastAsia="Calibri" w:hAnsi="Verdana"/>
          <w:noProof/>
          <w:sz w:val="20"/>
          <w:szCs w:val="22"/>
          <w:lang w:val="sr-Cyrl-RS" w:eastAsia="en-US"/>
        </w:rPr>
      </w:pPr>
    </w:p>
    <w:p w:rsidR="00F81CB0" w:rsidRPr="000545BA" w:rsidRDefault="00F81CB0" w:rsidP="00101878">
      <w:pPr>
        <w:pStyle w:val="Heading1"/>
        <w:numPr>
          <w:ilvl w:val="1"/>
          <w:numId w:val="3"/>
        </w:numPr>
        <w:tabs>
          <w:tab w:val="clear" w:pos="336"/>
        </w:tabs>
        <w:spacing w:before="240" w:after="240"/>
        <w:ind w:left="1440" w:hanging="811"/>
        <w:jc w:val="left"/>
        <w:rPr>
          <w:rFonts w:ascii="Verdana" w:hAnsi="Verdana" w:cs="Tahoma"/>
          <w:noProof/>
          <w:color w:val="365F91"/>
          <w:sz w:val="20"/>
          <w:szCs w:val="18"/>
          <w:lang w:val="sr-Cyrl-RS"/>
        </w:rPr>
      </w:pPr>
      <w:bookmarkStart w:id="17" w:name="_Toc343598048"/>
      <w:bookmarkStart w:id="18" w:name="_Toc414610328"/>
      <w:r w:rsidRPr="000545BA">
        <w:rPr>
          <w:rFonts w:ascii="Verdana" w:hAnsi="Verdana" w:cs="Tahoma"/>
          <w:noProof/>
          <w:color w:val="365F91"/>
          <w:sz w:val="20"/>
          <w:szCs w:val="18"/>
          <w:lang w:val="sr-Cyrl-RS"/>
        </w:rPr>
        <w:t>Циљеви економске политике</w:t>
      </w:r>
      <w:bookmarkEnd w:id="17"/>
      <w:bookmarkEnd w:id="18"/>
    </w:p>
    <w:p w:rsidR="00F81CB0" w:rsidRPr="000545BA" w:rsidRDefault="00F81CB0" w:rsidP="00F81CB0">
      <w:pPr>
        <w:spacing w:after="120" w:line="276" w:lineRule="auto"/>
        <w:ind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Стратешки циљ економске политике коју ће Влада водити у наредном периоду јесте убрзање процеса европских интеграција</w:t>
      </w:r>
      <w:r w:rsidR="00F60689" w:rsidRPr="000545BA">
        <w:rPr>
          <w:rFonts w:ascii="Verdana" w:eastAsia="Calibri" w:hAnsi="Verdana"/>
          <w:noProof/>
          <w:sz w:val="20"/>
          <w:szCs w:val="22"/>
          <w:lang w:val="sr-Cyrl-RS" w:eastAsia="en-US"/>
        </w:rPr>
        <w:t>.</w:t>
      </w:r>
      <w:r w:rsidRPr="000545BA">
        <w:rPr>
          <w:rFonts w:ascii="Verdana" w:eastAsia="Calibri" w:hAnsi="Verdana"/>
          <w:noProof/>
          <w:sz w:val="20"/>
          <w:szCs w:val="22"/>
          <w:lang w:val="sr-Cyrl-RS" w:eastAsia="en-US"/>
        </w:rPr>
        <w:t xml:space="preserve"> </w:t>
      </w:r>
      <w:r w:rsidR="00F60689" w:rsidRPr="000545BA">
        <w:rPr>
          <w:rFonts w:ascii="Verdana" w:eastAsia="Calibri" w:hAnsi="Verdana"/>
          <w:noProof/>
          <w:sz w:val="20"/>
          <w:szCs w:val="22"/>
          <w:lang w:val="sr-Cyrl-RS" w:eastAsia="en-US"/>
        </w:rPr>
        <w:t>Ради задовољавања економских и политичких критеријума за чланство у Европској унији (ЕУ) обезбедиће се јачање административних капацитета и стабилност институција које гарантују демократију, владавину права, поштовање људских права и заштиту мањина, развој тржишне економије и јачање њених капацитета да одговори на притисак конкуренције и тржишних снага из ЕУ, као и стварање стабилног економског и монетарног окружења</w:t>
      </w:r>
      <w:r w:rsidR="00FD4D64" w:rsidRPr="000545BA">
        <w:rPr>
          <w:rFonts w:ascii="Verdana" w:eastAsia="Calibri" w:hAnsi="Verdana"/>
          <w:noProof/>
          <w:sz w:val="20"/>
          <w:szCs w:val="22"/>
          <w:lang w:val="sr-Cyrl-RS" w:eastAsia="en-US"/>
        </w:rPr>
        <w:t>.</w:t>
      </w:r>
    </w:p>
    <w:p w:rsidR="00F81CB0" w:rsidRPr="000545BA" w:rsidRDefault="00F81CB0" w:rsidP="00FD4D64">
      <w:pPr>
        <w:spacing w:after="12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Основни циљеви макроекономске политике у наредне три фискалне године су:</w:t>
      </w:r>
    </w:p>
    <w:p w:rsidR="00F60689" w:rsidRPr="000545BA" w:rsidRDefault="00F60689" w:rsidP="00AA625F">
      <w:pPr>
        <w:pStyle w:val="ListParagraph"/>
        <w:numPr>
          <w:ilvl w:val="0"/>
          <w:numId w:val="10"/>
        </w:numPr>
        <w:spacing w:after="6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успостављање макроекономске стабилности спровођењем мера фискалне консолидације и јачањем стабилности финансијског сектора; </w:t>
      </w:r>
    </w:p>
    <w:p w:rsidR="00F81CB0" w:rsidRPr="000545BA" w:rsidRDefault="00F60689" w:rsidP="00AA625F">
      <w:pPr>
        <w:pStyle w:val="ListParagraph"/>
        <w:numPr>
          <w:ilvl w:val="0"/>
          <w:numId w:val="10"/>
        </w:numPr>
        <w:spacing w:after="6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отклањање препрека расту привредне активности и конкурентности спровођењем свеобухватних структурних реформи</w:t>
      </w:r>
      <w:r w:rsidR="00F81CB0" w:rsidRPr="000545BA">
        <w:rPr>
          <w:rFonts w:ascii="Verdana" w:eastAsia="Calibri" w:hAnsi="Verdana"/>
          <w:noProof/>
          <w:sz w:val="20"/>
          <w:szCs w:val="22"/>
          <w:lang w:val="sr-Cyrl-RS" w:eastAsia="en-US"/>
        </w:rPr>
        <w:t>.</w:t>
      </w:r>
    </w:p>
    <w:p w:rsidR="00F60689" w:rsidRPr="000545BA" w:rsidRDefault="00F60689" w:rsidP="00F60689">
      <w:pPr>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Влада ће у наредном периоду водити економску политику усмерену на креирање стабилног и предвидивог пословног амбијента неопходног за раст привредне активности и повећање удела приватног сектора у производњи, запошљавању и инвестицијама. Економском реструктурирању српске привреде значајно ће допринети смањење нерационалне јавне потрошње и промена модела финансирања инвестиција чиме би се подстакао привредни раст и запошљавање. У томе кључну улогу има фискална политика и стабилност националне валуте, активније привлачење страних инвестиција, спречавање одлива девиза сивим каналима, дестимулисање непотребног увоза, подстицање предузећа да супституишу увоз и јачају извозну понуду. Посебна пажња посветиће се стварању пословног амбијента стимулативног за привреднике и инвеститоре и стварању услова за лакше пословање.</w:t>
      </w:r>
    </w:p>
    <w:p w:rsidR="00F60689" w:rsidRPr="000545BA" w:rsidRDefault="00F60689" w:rsidP="00F60689">
      <w:pPr>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Основни циљеви фискалне политике у наредном периоду су: </w:t>
      </w:r>
    </w:p>
    <w:p w:rsidR="00F60689" w:rsidRPr="000545BA" w:rsidRDefault="00F60689" w:rsidP="00AA625F">
      <w:pPr>
        <w:pStyle w:val="ListParagraph"/>
        <w:numPr>
          <w:ilvl w:val="0"/>
          <w:numId w:val="10"/>
        </w:numPr>
        <w:spacing w:after="6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снижавање удела јавних расхода, фискалног дефицита и јавног дуга у БДП; </w:t>
      </w:r>
    </w:p>
    <w:p w:rsidR="00F60689" w:rsidRPr="000545BA" w:rsidRDefault="00F60689" w:rsidP="00AA625F">
      <w:pPr>
        <w:pStyle w:val="ListParagraph"/>
        <w:numPr>
          <w:ilvl w:val="0"/>
          <w:numId w:val="10"/>
        </w:numPr>
        <w:spacing w:after="6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јачање пореске дисциплине, која подразумева побољшање система наплате пореза и смањење сиве економије; </w:t>
      </w:r>
    </w:p>
    <w:p w:rsidR="00F60689" w:rsidRPr="000545BA" w:rsidRDefault="00F60689" w:rsidP="00AA625F">
      <w:pPr>
        <w:pStyle w:val="ListParagraph"/>
        <w:numPr>
          <w:ilvl w:val="0"/>
          <w:numId w:val="10"/>
        </w:numPr>
        <w:spacing w:after="60"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јачање дугорочне фискалне одрживости кроз спровођење структурних реформи, посебно реформи јавног сектора.</w:t>
      </w:r>
    </w:p>
    <w:p w:rsidR="00F81CB0" w:rsidRPr="000545BA" w:rsidRDefault="00F81CB0" w:rsidP="00101878">
      <w:pPr>
        <w:pStyle w:val="Heading1"/>
        <w:numPr>
          <w:ilvl w:val="1"/>
          <w:numId w:val="3"/>
        </w:numPr>
        <w:tabs>
          <w:tab w:val="clear" w:pos="336"/>
        </w:tabs>
        <w:spacing w:before="240" w:after="240"/>
        <w:ind w:left="1440" w:hanging="811"/>
        <w:jc w:val="left"/>
        <w:rPr>
          <w:rFonts w:ascii="Verdana" w:hAnsi="Verdana" w:cs="Tahoma"/>
          <w:noProof/>
          <w:color w:val="365F91"/>
          <w:sz w:val="20"/>
          <w:szCs w:val="18"/>
          <w:lang w:val="sr-Cyrl-RS"/>
        </w:rPr>
      </w:pPr>
      <w:bookmarkStart w:id="19" w:name="_Toc343598049"/>
      <w:bookmarkStart w:id="20" w:name="_Toc414610329"/>
      <w:r w:rsidRPr="000545BA">
        <w:rPr>
          <w:rFonts w:ascii="Verdana" w:hAnsi="Verdana" w:cs="Tahoma"/>
          <w:noProof/>
          <w:color w:val="365F91"/>
          <w:sz w:val="20"/>
          <w:szCs w:val="18"/>
          <w:lang w:val="sr-Cyrl-RS"/>
        </w:rPr>
        <w:t>Макроекономске пројекције</w:t>
      </w:r>
      <w:bookmarkEnd w:id="19"/>
      <w:bookmarkEnd w:id="20"/>
    </w:p>
    <w:p w:rsidR="00F81CB0" w:rsidRPr="000545BA" w:rsidRDefault="00346CE3" w:rsidP="00505861">
      <w:pPr>
        <w:spacing w:before="200" w:after="200" w:line="276" w:lineRule="auto"/>
        <w:ind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Макроекономске пројекције дате од стране Владе Србије у оквиру Фискалне стратегије за 2015. годину са пројекцијама за 2016. и 2017. годину указују на умерену путању опоравка. Пројектована кумулативна стопа раста реалног БДП за наредне три године од 3% заснована је на расту извоза и опоравку инвестиционе активности. Убрзање раста извоза и инвестиција су носећи развојни фактор који ће, уз реструктуирање привреде, омогућити стварање здраве основе за убрзање раста, смањивање унутрашње и спољне макроекономске неравнотеже, као и стварање простора за повећање животног стандарда на реалним основама</w:t>
      </w:r>
      <w:r w:rsidR="00F81CB0" w:rsidRPr="000545BA">
        <w:rPr>
          <w:rFonts w:ascii="Verdana" w:eastAsia="Calibri" w:hAnsi="Verdana"/>
          <w:noProof/>
          <w:sz w:val="20"/>
          <w:szCs w:val="22"/>
          <w:lang w:val="sr-Cyrl-RS" w:eastAsia="en-US"/>
        </w:rPr>
        <w:t>.</w:t>
      </w: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364"/>
        <w:gridCol w:w="1108"/>
        <w:gridCol w:w="1365"/>
        <w:gridCol w:w="1365"/>
        <w:gridCol w:w="992"/>
      </w:tblGrid>
      <w:tr w:rsidR="00F81CB0" w:rsidRPr="000545BA" w:rsidTr="009E0AE0">
        <w:tc>
          <w:tcPr>
            <w:tcW w:w="4364" w:type="dxa"/>
            <w:tcBorders>
              <w:top w:val="nil"/>
              <w:left w:val="nil"/>
              <w:bottom w:val="single" w:sz="24" w:space="0" w:color="4F81BD"/>
              <w:right w:val="nil"/>
            </w:tcBorders>
            <w:shd w:val="clear" w:color="auto" w:fill="FFFFFF"/>
          </w:tcPr>
          <w:p w:rsidR="00F81CB0" w:rsidRPr="000545BA" w:rsidRDefault="00F81CB0" w:rsidP="009E0AE0">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Опис</w:t>
            </w:r>
          </w:p>
        </w:tc>
        <w:tc>
          <w:tcPr>
            <w:tcW w:w="1108" w:type="dxa"/>
            <w:tcBorders>
              <w:top w:val="nil"/>
              <w:left w:val="nil"/>
              <w:bottom w:val="single" w:sz="24" w:space="0" w:color="4F81BD"/>
              <w:right w:val="nil"/>
            </w:tcBorders>
            <w:shd w:val="clear" w:color="auto" w:fill="FFFFFF"/>
          </w:tcPr>
          <w:p w:rsidR="00F81CB0" w:rsidRPr="000545BA" w:rsidRDefault="00F81CB0" w:rsidP="009E0AE0">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Процена</w:t>
            </w:r>
          </w:p>
          <w:p w:rsidR="00F81CB0" w:rsidRPr="000545BA" w:rsidRDefault="00F81CB0" w:rsidP="00F60689">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201</w:t>
            </w:r>
            <w:r w:rsidR="00F60689" w:rsidRPr="000545BA">
              <w:rPr>
                <w:rFonts w:ascii="Verdana" w:hAnsi="Verdana" w:cs="Calibri"/>
                <w:noProof/>
                <w:color w:val="000000"/>
                <w:sz w:val="20"/>
                <w:szCs w:val="20"/>
                <w:lang w:val="sr-Cyrl-RS" w:eastAsia="ja-JP"/>
              </w:rPr>
              <w:t>4</w:t>
            </w:r>
          </w:p>
        </w:tc>
        <w:tc>
          <w:tcPr>
            <w:tcW w:w="1365" w:type="dxa"/>
            <w:tcBorders>
              <w:top w:val="nil"/>
              <w:left w:val="nil"/>
              <w:bottom w:val="single" w:sz="24" w:space="0" w:color="4F81BD"/>
              <w:right w:val="nil"/>
            </w:tcBorders>
            <w:shd w:val="clear" w:color="auto" w:fill="FFFFFF"/>
          </w:tcPr>
          <w:p w:rsidR="00F81CB0" w:rsidRPr="000545BA" w:rsidRDefault="00F81CB0" w:rsidP="009E0AE0">
            <w:pPr>
              <w:pStyle w:val="NoSpacing"/>
              <w:suppressAutoHyphens/>
              <w:jc w:val="center"/>
              <w:rPr>
                <w:rFonts w:ascii="Verdana" w:hAnsi="Verdana" w:cs="Calibri"/>
                <w:noProof/>
                <w:color w:val="000000"/>
                <w:sz w:val="20"/>
                <w:szCs w:val="20"/>
                <w:lang w:val="sr-Cyrl-RS" w:eastAsia="ja-JP"/>
              </w:rPr>
            </w:pPr>
          </w:p>
          <w:p w:rsidR="00F81CB0" w:rsidRPr="000545BA" w:rsidRDefault="00F81CB0" w:rsidP="00F60689">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201</w:t>
            </w:r>
            <w:r w:rsidR="00F60689" w:rsidRPr="000545BA">
              <w:rPr>
                <w:rFonts w:ascii="Verdana" w:hAnsi="Verdana" w:cs="Calibri"/>
                <w:noProof/>
                <w:color w:val="000000"/>
                <w:sz w:val="20"/>
                <w:szCs w:val="20"/>
                <w:lang w:val="sr-Cyrl-RS" w:eastAsia="ja-JP"/>
              </w:rPr>
              <w:t>5</w:t>
            </w:r>
          </w:p>
        </w:tc>
        <w:tc>
          <w:tcPr>
            <w:tcW w:w="1365" w:type="dxa"/>
            <w:tcBorders>
              <w:top w:val="nil"/>
              <w:left w:val="nil"/>
              <w:bottom w:val="single" w:sz="24" w:space="0" w:color="4F81BD"/>
              <w:right w:val="nil"/>
            </w:tcBorders>
            <w:shd w:val="clear" w:color="auto" w:fill="FFFFFF"/>
          </w:tcPr>
          <w:p w:rsidR="00F81CB0" w:rsidRPr="000545BA" w:rsidRDefault="00F81CB0" w:rsidP="009E0AE0">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Пројекција</w:t>
            </w:r>
          </w:p>
          <w:p w:rsidR="00F81CB0" w:rsidRPr="000545BA" w:rsidRDefault="00F81CB0" w:rsidP="00F60689">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201</w:t>
            </w:r>
            <w:r w:rsidR="00F60689" w:rsidRPr="000545BA">
              <w:rPr>
                <w:rFonts w:ascii="Verdana" w:hAnsi="Verdana" w:cs="Calibri"/>
                <w:noProof/>
                <w:color w:val="000000"/>
                <w:sz w:val="20"/>
                <w:szCs w:val="20"/>
                <w:lang w:val="sr-Cyrl-RS" w:eastAsia="ja-JP"/>
              </w:rPr>
              <w:t>6</w:t>
            </w:r>
          </w:p>
        </w:tc>
        <w:tc>
          <w:tcPr>
            <w:tcW w:w="992" w:type="dxa"/>
            <w:tcBorders>
              <w:top w:val="nil"/>
              <w:left w:val="nil"/>
              <w:bottom w:val="single" w:sz="24" w:space="0" w:color="4F81BD"/>
              <w:right w:val="nil"/>
            </w:tcBorders>
            <w:shd w:val="clear" w:color="auto" w:fill="FFFFFF"/>
          </w:tcPr>
          <w:p w:rsidR="00F81CB0" w:rsidRPr="000545BA" w:rsidRDefault="00F81CB0" w:rsidP="009E0AE0">
            <w:pPr>
              <w:pStyle w:val="NoSpacing"/>
              <w:suppressAutoHyphens/>
              <w:jc w:val="center"/>
              <w:rPr>
                <w:rFonts w:ascii="Verdana" w:hAnsi="Verdana" w:cs="Calibri"/>
                <w:noProof/>
                <w:color w:val="000000"/>
                <w:sz w:val="20"/>
                <w:szCs w:val="20"/>
                <w:lang w:val="sr-Cyrl-RS" w:eastAsia="ja-JP"/>
              </w:rPr>
            </w:pPr>
          </w:p>
          <w:p w:rsidR="00F81CB0" w:rsidRPr="000545BA" w:rsidRDefault="00F81CB0" w:rsidP="00F60689">
            <w:pPr>
              <w:pStyle w:val="NoSpacing"/>
              <w:suppressAutoHyphens/>
              <w:jc w:val="center"/>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201</w:t>
            </w:r>
            <w:r w:rsidR="00F60689" w:rsidRPr="000545BA">
              <w:rPr>
                <w:rFonts w:ascii="Verdana" w:hAnsi="Verdana" w:cs="Calibri"/>
                <w:noProof/>
                <w:color w:val="000000"/>
                <w:sz w:val="20"/>
                <w:szCs w:val="20"/>
                <w:lang w:val="sr-Cyrl-RS" w:eastAsia="ja-JP"/>
              </w:rPr>
              <w:t>7</w:t>
            </w:r>
          </w:p>
        </w:tc>
      </w:tr>
      <w:tr w:rsidR="00F81CB0" w:rsidRPr="000545BA" w:rsidTr="009E0AE0">
        <w:tc>
          <w:tcPr>
            <w:tcW w:w="4364" w:type="dxa"/>
            <w:tcBorders>
              <w:top w:val="nil"/>
              <w:left w:val="nil"/>
              <w:bottom w:val="nil"/>
              <w:right w:val="single" w:sz="8" w:space="0" w:color="4F81BD"/>
            </w:tcBorders>
            <w:shd w:val="clear" w:color="auto" w:fill="FFFFFF"/>
          </w:tcPr>
          <w:p w:rsidR="00F81CB0" w:rsidRPr="000545BA" w:rsidRDefault="00F81CB0" w:rsidP="009E0AE0">
            <w:pPr>
              <w:pStyle w:val="NoSpacing"/>
              <w:suppressAutoHyphens/>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eastAsia="ja-JP"/>
              </w:rPr>
              <w:t>БДП, годишње стопе реалног раста, %</w:t>
            </w:r>
          </w:p>
        </w:tc>
        <w:tc>
          <w:tcPr>
            <w:tcW w:w="1108" w:type="dxa"/>
            <w:tcBorders>
              <w:top w:val="nil"/>
              <w:left w:val="nil"/>
              <w:bottom w:val="nil"/>
              <w:right w:val="nil"/>
            </w:tcBorders>
            <w:shd w:val="clear" w:color="auto" w:fill="D3DFEE"/>
          </w:tcPr>
          <w:p w:rsidR="00F81CB0" w:rsidRPr="000545BA" w:rsidRDefault="00F60689"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0</w:t>
            </w:r>
            <w:r w:rsidR="00F81CB0" w:rsidRPr="000545BA">
              <w:rPr>
                <w:rFonts w:ascii="Verdana" w:hAnsi="Verdana" w:cs="Calibri"/>
                <w:noProof/>
                <w:sz w:val="20"/>
                <w:szCs w:val="20"/>
                <w:lang w:val="sr-Cyrl-RS"/>
              </w:rPr>
              <w:t>,</w:t>
            </w:r>
            <w:r w:rsidRPr="000545BA">
              <w:rPr>
                <w:rFonts w:ascii="Verdana" w:hAnsi="Verdana" w:cs="Calibri"/>
                <w:noProof/>
                <w:sz w:val="20"/>
                <w:szCs w:val="20"/>
                <w:lang w:val="sr-Cyrl-RS"/>
              </w:rPr>
              <w:t>2</w:t>
            </w:r>
          </w:p>
        </w:tc>
        <w:tc>
          <w:tcPr>
            <w:tcW w:w="1365" w:type="dxa"/>
            <w:tcBorders>
              <w:top w:val="nil"/>
              <w:left w:val="nil"/>
              <w:bottom w:val="nil"/>
              <w:right w:val="nil"/>
            </w:tcBorders>
            <w:shd w:val="clear" w:color="auto" w:fill="D3DFEE"/>
          </w:tcPr>
          <w:p w:rsidR="00F81CB0" w:rsidRPr="000545BA" w:rsidRDefault="00F60689"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-0</w:t>
            </w:r>
            <w:r w:rsidR="00F81CB0" w:rsidRPr="000545BA">
              <w:rPr>
                <w:rFonts w:ascii="Verdana" w:hAnsi="Verdana" w:cs="Calibri"/>
                <w:noProof/>
                <w:sz w:val="20"/>
                <w:szCs w:val="20"/>
                <w:lang w:val="sr-Cyrl-RS"/>
              </w:rPr>
              <w:t>,</w:t>
            </w:r>
            <w:r w:rsidRPr="000545BA">
              <w:rPr>
                <w:rFonts w:ascii="Verdana" w:hAnsi="Verdana" w:cs="Calibri"/>
                <w:noProof/>
                <w:sz w:val="20"/>
                <w:szCs w:val="20"/>
                <w:lang w:val="sr-Cyrl-RS"/>
              </w:rPr>
              <w:t>5</w:t>
            </w:r>
          </w:p>
        </w:tc>
        <w:tc>
          <w:tcPr>
            <w:tcW w:w="1365" w:type="dxa"/>
            <w:tcBorders>
              <w:top w:val="nil"/>
              <w:left w:val="nil"/>
              <w:bottom w:val="nil"/>
              <w:right w:val="nil"/>
            </w:tcBorders>
            <w:shd w:val="clear" w:color="auto" w:fill="D3DFEE"/>
          </w:tcPr>
          <w:p w:rsidR="00F81CB0" w:rsidRPr="000545BA" w:rsidRDefault="00577808"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1</w:t>
            </w:r>
            <w:r w:rsidR="00F81CB0" w:rsidRPr="000545BA">
              <w:rPr>
                <w:rFonts w:ascii="Verdana" w:hAnsi="Verdana" w:cs="Calibri"/>
                <w:noProof/>
                <w:sz w:val="20"/>
                <w:szCs w:val="20"/>
                <w:lang w:val="sr-Cyrl-RS"/>
              </w:rPr>
              <w:t>,</w:t>
            </w:r>
            <w:r w:rsidR="00F60689" w:rsidRPr="000545BA">
              <w:rPr>
                <w:rFonts w:ascii="Verdana" w:hAnsi="Verdana" w:cs="Calibri"/>
                <w:noProof/>
                <w:sz w:val="20"/>
                <w:szCs w:val="20"/>
                <w:lang w:val="sr-Cyrl-RS"/>
              </w:rPr>
              <w:t>5</w:t>
            </w:r>
          </w:p>
        </w:tc>
        <w:tc>
          <w:tcPr>
            <w:tcW w:w="992" w:type="dxa"/>
            <w:tcBorders>
              <w:top w:val="nil"/>
              <w:left w:val="nil"/>
              <w:bottom w:val="nil"/>
            </w:tcBorders>
            <w:shd w:val="clear" w:color="auto" w:fill="D3DFEE"/>
          </w:tcPr>
          <w:p w:rsidR="00F81CB0" w:rsidRPr="000545BA" w:rsidRDefault="00577808" w:rsidP="009E0AE0">
            <w:pPr>
              <w:jc w:val="center"/>
              <w:rPr>
                <w:rFonts w:ascii="Verdana" w:hAnsi="Verdana" w:cs="Calibri"/>
                <w:noProof/>
                <w:sz w:val="20"/>
                <w:szCs w:val="20"/>
                <w:lang w:val="sr-Cyrl-RS"/>
              </w:rPr>
            </w:pPr>
            <w:r w:rsidRPr="000545BA">
              <w:rPr>
                <w:rFonts w:ascii="Verdana" w:hAnsi="Verdana" w:cs="Calibri"/>
                <w:noProof/>
                <w:sz w:val="20"/>
                <w:szCs w:val="20"/>
                <w:lang w:val="sr-Cyrl-RS"/>
              </w:rPr>
              <w:t>2</w:t>
            </w:r>
            <w:r w:rsidR="00F81CB0" w:rsidRPr="000545BA">
              <w:rPr>
                <w:rFonts w:ascii="Verdana" w:hAnsi="Verdana" w:cs="Calibri"/>
                <w:noProof/>
                <w:sz w:val="20"/>
                <w:szCs w:val="20"/>
                <w:lang w:val="sr-Cyrl-RS"/>
              </w:rPr>
              <w:t>,0</w:t>
            </w:r>
          </w:p>
        </w:tc>
      </w:tr>
      <w:tr w:rsidR="00F81CB0" w:rsidRPr="000545BA" w:rsidTr="009E0AE0">
        <w:tc>
          <w:tcPr>
            <w:tcW w:w="4364" w:type="dxa"/>
            <w:tcBorders>
              <w:left w:val="nil"/>
              <w:bottom w:val="nil"/>
              <w:right w:val="single" w:sz="8" w:space="0" w:color="4F81BD"/>
            </w:tcBorders>
            <w:shd w:val="clear" w:color="auto" w:fill="FFFFFF"/>
          </w:tcPr>
          <w:p w:rsidR="00F81CB0" w:rsidRPr="000545BA" w:rsidRDefault="00F81CB0" w:rsidP="009E0AE0">
            <w:pPr>
              <w:pStyle w:val="NoSpacing"/>
              <w:suppressAutoHyphens/>
              <w:rPr>
                <w:rFonts w:ascii="Verdana" w:hAnsi="Verdana" w:cs="Calibri"/>
                <w:noProof/>
                <w:color w:val="000000"/>
                <w:sz w:val="20"/>
                <w:szCs w:val="20"/>
                <w:lang w:val="sr-Cyrl-RS" w:eastAsia="ja-JP"/>
              </w:rPr>
            </w:pPr>
            <w:r w:rsidRPr="000545BA">
              <w:rPr>
                <w:rFonts w:ascii="Verdana" w:hAnsi="Verdana" w:cs="Calibri"/>
                <w:noProof/>
                <w:color w:val="000000"/>
                <w:sz w:val="20"/>
                <w:szCs w:val="20"/>
                <w:lang w:val="sr-Cyrl-RS"/>
              </w:rPr>
              <w:t>Инфлација, крај периода, у %</w:t>
            </w:r>
          </w:p>
        </w:tc>
        <w:tc>
          <w:tcPr>
            <w:tcW w:w="1108" w:type="dxa"/>
          </w:tcPr>
          <w:p w:rsidR="00F81CB0" w:rsidRPr="000545BA" w:rsidRDefault="00F60689"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2</w:t>
            </w:r>
            <w:r w:rsidR="00F81CB0" w:rsidRPr="000545BA">
              <w:rPr>
                <w:rFonts w:ascii="Verdana" w:hAnsi="Verdana" w:cs="Calibri"/>
                <w:noProof/>
                <w:sz w:val="20"/>
                <w:szCs w:val="20"/>
                <w:lang w:val="sr-Cyrl-RS"/>
              </w:rPr>
              <w:t>,</w:t>
            </w:r>
            <w:r w:rsidRPr="000545BA">
              <w:rPr>
                <w:rFonts w:ascii="Verdana" w:hAnsi="Verdana" w:cs="Calibri"/>
                <w:noProof/>
                <w:sz w:val="20"/>
                <w:szCs w:val="20"/>
                <w:lang w:val="sr-Cyrl-RS"/>
              </w:rPr>
              <w:t>2</w:t>
            </w:r>
          </w:p>
        </w:tc>
        <w:tc>
          <w:tcPr>
            <w:tcW w:w="1365" w:type="dxa"/>
          </w:tcPr>
          <w:p w:rsidR="00F81CB0" w:rsidRPr="000545BA" w:rsidRDefault="00F60689"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2</w:t>
            </w:r>
            <w:r w:rsidR="00F81CB0" w:rsidRPr="000545BA">
              <w:rPr>
                <w:rFonts w:ascii="Verdana" w:hAnsi="Verdana" w:cs="Calibri"/>
                <w:noProof/>
                <w:sz w:val="20"/>
                <w:szCs w:val="20"/>
                <w:lang w:val="sr-Cyrl-RS"/>
              </w:rPr>
              <w:t>,</w:t>
            </w:r>
            <w:r w:rsidRPr="000545BA">
              <w:rPr>
                <w:rFonts w:ascii="Verdana" w:hAnsi="Verdana" w:cs="Calibri"/>
                <w:noProof/>
                <w:sz w:val="20"/>
                <w:szCs w:val="20"/>
                <w:lang w:val="sr-Cyrl-RS"/>
              </w:rPr>
              <w:t>7</w:t>
            </w:r>
          </w:p>
        </w:tc>
        <w:tc>
          <w:tcPr>
            <w:tcW w:w="1365" w:type="dxa"/>
          </w:tcPr>
          <w:p w:rsidR="00F81CB0" w:rsidRPr="000545BA" w:rsidRDefault="00F60689"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4</w:t>
            </w:r>
            <w:r w:rsidR="00F81CB0" w:rsidRPr="000545BA">
              <w:rPr>
                <w:rFonts w:ascii="Verdana" w:hAnsi="Verdana" w:cs="Calibri"/>
                <w:noProof/>
                <w:sz w:val="20"/>
                <w:szCs w:val="20"/>
                <w:lang w:val="sr-Cyrl-RS"/>
              </w:rPr>
              <w:t>,</w:t>
            </w:r>
            <w:r w:rsidRPr="000545BA">
              <w:rPr>
                <w:rFonts w:ascii="Verdana" w:hAnsi="Verdana" w:cs="Calibri"/>
                <w:noProof/>
                <w:sz w:val="20"/>
                <w:szCs w:val="20"/>
                <w:lang w:val="sr-Cyrl-RS"/>
              </w:rPr>
              <w:t>1</w:t>
            </w:r>
          </w:p>
        </w:tc>
        <w:tc>
          <w:tcPr>
            <w:tcW w:w="992" w:type="dxa"/>
          </w:tcPr>
          <w:p w:rsidR="00F81CB0" w:rsidRPr="000545BA" w:rsidRDefault="00F81CB0" w:rsidP="00F60689">
            <w:pPr>
              <w:jc w:val="center"/>
              <w:rPr>
                <w:rFonts w:ascii="Verdana" w:hAnsi="Verdana" w:cs="Calibri"/>
                <w:noProof/>
                <w:sz w:val="20"/>
                <w:szCs w:val="20"/>
                <w:lang w:val="sr-Cyrl-RS"/>
              </w:rPr>
            </w:pPr>
            <w:r w:rsidRPr="000545BA">
              <w:rPr>
                <w:rFonts w:ascii="Verdana" w:hAnsi="Verdana" w:cs="Calibri"/>
                <w:noProof/>
                <w:sz w:val="20"/>
                <w:szCs w:val="20"/>
                <w:lang w:val="sr-Cyrl-RS"/>
              </w:rPr>
              <w:t>4,</w:t>
            </w:r>
            <w:r w:rsidR="00F60689" w:rsidRPr="000545BA">
              <w:rPr>
                <w:rFonts w:ascii="Verdana" w:hAnsi="Verdana" w:cs="Calibri"/>
                <w:noProof/>
                <w:sz w:val="20"/>
                <w:szCs w:val="20"/>
                <w:lang w:val="sr-Cyrl-RS"/>
              </w:rPr>
              <w:t>1</w:t>
            </w:r>
          </w:p>
        </w:tc>
      </w:tr>
    </w:tbl>
    <w:p w:rsidR="00181F1B" w:rsidRPr="000545BA" w:rsidRDefault="00181F1B" w:rsidP="00181F1B">
      <w:pPr>
        <w:pStyle w:val="Heading1"/>
        <w:numPr>
          <w:ilvl w:val="0"/>
          <w:numId w:val="0"/>
        </w:numPr>
        <w:ind w:left="431" w:hanging="431"/>
        <w:jc w:val="both"/>
        <w:rPr>
          <w:rFonts w:ascii="Verdana" w:eastAsia="Calibri" w:hAnsi="Verdana"/>
          <w:b w:val="0"/>
          <w:bCs w:val="0"/>
          <w:noProof/>
          <w:szCs w:val="22"/>
          <w:lang w:val="sr-Cyrl-RS" w:eastAsia="en-US"/>
        </w:rPr>
      </w:pPr>
      <w:bookmarkStart w:id="21" w:name="_Toc381888302"/>
      <w:bookmarkStart w:id="22" w:name="_Toc382985005"/>
      <w:bookmarkStart w:id="23" w:name="_Toc414610330"/>
      <w:bookmarkStart w:id="24" w:name="_Toc343598050"/>
      <w:r w:rsidRPr="000545BA">
        <w:rPr>
          <w:rFonts w:ascii="Verdana" w:eastAsia="Calibri" w:hAnsi="Verdana"/>
          <w:b w:val="0"/>
          <w:bCs w:val="0"/>
          <w:noProof/>
          <w:szCs w:val="22"/>
          <w:lang w:val="sr-Cyrl-RS" w:eastAsia="en-US"/>
        </w:rPr>
        <w:t>*Извор: Фискална стратегија за 201</w:t>
      </w:r>
      <w:r w:rsidR="00F60689" w:rsidRPr="000545BA">
        <w:rPr>
          <w:rFonts w:ascii="Verdana" w:eastAsia="Calibri" w:hAnsi="Verdana"/>
          <w:b w:val="0"/>
          <w:bCs w:val="0"/>
          <w:noProof/>
          <w:szCs w:val="22"/>
          <w:lang w:val="sr-Cyrl-RS" w:eastAsia="en-US"/>
        </w:rPr>
        <w:t>5</w:t>
      </w:r>
      <w:r w:rsidRPr="000545BA">
        <w:rPr>
          <w:rFonts w:ascii="Verdana" w:eastAsia="Calibri" w:hAnsi="Verdana"/>
          <w:b w:val="0"/>
          <w:bCs w:val="0"/>
          <w:noProof/>
          <w:szCs w:val="22"/>
          <w:lang w:val="sr-Cyrl-RS" w:eastAsia="en-US"/>
        </w:rPr>
        <w:t>. годину са пројекцијама за 201</w:t>
      </w:r>
      <w:r w:rsidR="00F60689" w:rsidRPr="000545BA">
        <w:rPr>
          <w:rFonts w:ascii="Verdana" w:eastAsia="Calibri" w:hAnsi="Verdana"/>
          <w:b w:val="0"/>
          <w:bCs w:val="0"/>
          <w:noProof/>
          <w:szCs w:val="22"/>
          <w:lang w:val="sr-Cyrl-RS" w:eastAsia="en-US"/>
        </w:rPr>
        <w:t>6</w:t>
      </w:r>
      <w:r w:rsidRPr="000545BA">
        <w:rPr>
          <w:rFonts w:ascii="Verdana" w:eastAsia="Calibri" w:hAnsi="Verdana"/>
          <w:b w:val="0"/>
          <w:bCs w:val="0"/>
          <w:noProof/>
          <w:szCs w:val="22"/>
          <w:lang w:val="sr-Cyrl-RS" w:eastAsia="en-US"/>
        </w:rPr>
        <w:t>. и 201</w:t>
      </w:r>
      <w:r w:rsidR="00F60689" w:rsidRPr="000545BA">
        <w:rPr>
          <w:rFonts w:ascii="Verdana" w:eastAsia="Calibri" w:hAnsi="Verdana"/>
          <w:b w:val="0"/>
          <w:bCs w:val="0"/>
          <w:noProof/>
          <w:szCs w:val="22"/>
          <w:lang w:val="sr-Cyrl-RS" w:eastAsia="en-US"/>
        </w:rPr>
        <w:t>7</w:t>
      </w:r>
      <w:r w:rsidRPr="000545BA">
        <w:rPr>
          <w:rFonts w:ascii="Verdana" w:eastAsia="Calibri" w:hAnsi="Verdana"/>
          <w:b w:val="0"/>
          <w:bCs w:val="0"/>
          <w:noProof/>
          <w:szCs w:val="22"/>
          <w:lang w:val="sr-Cyrl-RS" w:eastAsia="en-US"/>
        </w:rPr>
        <w:t>. годину</w:t>
      </w:r>
      <w:bookmarkEnd w:id="21"/>
      <w:bookmarkEnd w:id="22"/>
      <w:bookmarkEnd w:id="23"/>
    </w:p>
    <w:p w:rsidR="00F81CB0" w:rsidRPr="000545BA" w:rsidRDefault="00F81CB0" w:rsidP="00101878">
      <w:pPr>
        <w:pStyle w:val="Heading1"/>
        <w:numPr>
          <w:ilvl w:val="1"/>
          <w:numId w:val="3"/>
        </w:numPr>
        <w:tabs>
          <w:tab w:val="clear" w:pos="336"/>
        </w:tabs>
        <w:spacing w:before="240" w:after="240"/>
        <w:ind w:left="1440" w:hanging="811"/>
        <w:jc w:val="left"/>
        <w:rPr>
          <w:rFonts w:ascii="Verdana" w:hAnsi="Verdana" w:cs="Tahoma"/>
          <w:noProof/>
          <w:color w:val="365F91"/>
          <w:sz w:val="20"/>
          <w:szCs w:val="18"/>
          <w:lang w:val="sr-Cyrl-RS"/>
        </w:rPr>
      </w:pPr>
      <w:bookmarkStart w:id="25" w:name="_Toc414610331"/>
      <w:r w:rsidRPr="000545BA">
        <w:rPr>
          <w:rFonts w:ascii="Verdana" w:hAnsi="Verdana" w:cs="Tahoma"/>
          <w:noProof/>
          <w:color w:val="365F91"/>
          <w:sz w:val="20"/>
          <w:szCs w:val="18"/>
          <w:lang w:val="sr-Cyrl-RS"/>
        </w:rPr>
        <w:t>Утицај екстерних фактора на  пословање Друштва</w:t>
      </w:r>
      <w:bookmarkEnd w:id="24"/>
      <w:bookmarkEnd w:id="25"/>
    </w:p>
    <w:p w:rsidR="00F81CB0" w:rsidRPr="000545BA" w:rsidRDefault="00815107"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w:t>
      </w:r>
      <w:r w:rsidR="00F81CB0" w:rsidRPr="000545BA">
        <w:rPr>
          <w:rFonts w:ascii="Verdana" w:eastAsia="Calibri" w:hAnsi="Verdana"/>
          <w:noProof/>
          <w:sz w:val="20"/>
          <w:szCs w:val="22"/>
          <w:lang w:val="sr-Cyrl-RS" w:eastAsia="en-US"/>
        </w:rPr>
        <w:t xml:space="preserve">тицај кризе </w:t>
      </w:r>
      <w:r w:rsidRPr="000545BA">
        <w:rPr>
          <w:rFonts w:ascii="Verdana" w:eastAsia="Calibri" w:hAnsi="Verdana"/>
          <w:noProof/>
          <w:sz w:val="20"/>
          <w:szCs w:val="22"/>
          <w:lang w:val="sr-Cyrl-RS" w:eastAsia="en-US"/>
        </w:rPr>
        <w:t xml:space="preserve">присутан је </w:t>
      </w:r>
      <w:r w:rsidR="00F81CB0" w:rsidRPr="000545BA">
        <w:rPr>
          <w:rFonts w:ascii="Verdana" w:eastAsia="Calibri" w:hAnsi="Verdana"/>
          <w:noProof/>
          <w:sz w:val="20"/>
          <w:szCs w:val="22"/>
          <w:lang w:val="sr-Cyrl-RS" w:eastAsia="en-US"/>
        </w:rPr>
        <w:t xml:space="preserve">на тржишту реосигурања </w:t>
      </w:r>
      <w:r w:rsidRPr="000545BA">
        <w:rPr>
          <w:rFonts w:ascii="Verdana" w:eastAsia="Calibri" w:hAnsi="Verdana"/>
          <w:noProof/>
          <w:sz w:val="20"/>
          <w:szCs w:val="22"/>
          <w:lang w:val="sr-Cyrl-RS" w:eastAsia="en-US"/>
        </w:rPr>
        <w:t>од</w:t>
      </w:r>
      <w:r w:rsidR="00F81CB0" w:rsidRPr="000545BA">
        <w:rPr>
          <w:rFonts w:ascii="Verdana" w:eastAsia="Calibri" w:hAnsi="Verdana"/>
          <w:noProof/>
          <w:sz w:val="20"/>
          <w:szCs w:val="22"/>
          <w:lang w:val="sr-Cyrl-RS" w:eastAsia="en-US"/>
        </w:rPr>
        <w:t xml:space="preserve"> 2012.</w:t>
      </w:r>
      <w:r w:rsidR="008826CB" w:rsidRPr="000545BA">
        <w:rPr>
          <w:rFonts w:ascii="Verdana" w:eastAsia="Calibri" w:hAnsi="Verdana"/>
          <w:noProof/>
          <w:sz w:val="20"/>
          <w:szCs w:val="22"/>
          <w:lang w:val="sr-Cyrl-RS" w:eastAsia="en-US"/>
        </w:rPr>
        <w:t>, а током 2014</w:t>
      </w:r>
      <w:r w:rsidRPr="000545BA">
        <w:rPr>
          <w:rFonts w:ascii="Verdana" w:eastAsia="Calibri" w:hAnsi="Verdana"/>
          <w:noProof/>
          <w:sz w:val="20"/>
          <w:szCs w:val="22"/>
          <w:lang w:val="sr-Cyrl-RS" w:eastAsia="en-US"/>
        </w:rPr>
        <w:t>. године</w:t>
      </w:r>
      <w:r w:rsidR="008826CB" w:rsidRPr="000545BA">
        <w:rPr>
          <w:rFonts w:ascii="Verdana" w:eastAsia="Calibri" w:hAnsi="Verdana"/>
          <w:noProof/>
          <w:sz w:val="20"/>
          <w:szCs w:val="22"/>
          <w:lang w:val="sr-Cyrl-RS" w:eastAsia="en-US"/>
        </w:rPr>
        <w:t xml:space="preserve"> учава се наставак тренда </w:t>
      </w:r>
      <w:r w:rsidR="00F81CB0" w:rsidRPr="000545BA">
        <w:rPr>
          <w:rFonts w:ascii="Verdana" w:eastAsia="Calibri" w:hAnsi="Verdana"/>
          <w:noProof/>
          <w:sz w:val="20"/>
          <w:szCs w:val="22"/>
          <w:lang w:val="sr-Cyrl-RS" w:eastAsia="en-US"/>
        </w:rPr>
        <w:t>спровођењ</w:t>
      </w:r>
      <w:r w:rsidR="008826CB" w:rsidRPr="000545BA">
        <w:rPr>
          <w:rFonts w:ascii="Verdana" w:eastAsia="Calibri" w:hAnsi="Verdana"/>
          <w:noProof/>
          <w:sz w:val="20"/>
          <w:szCs w:val="22"/>
          <w:lang w:val="sr-Cyrl-RS" w:eastAsia="en-US"/>
        </w:rPr>
        <w:t>а</w:t>
      </w:r>
      <w:r w:rsidR="00F81CB0" w:rsidRPr="000545BA">
        <w:rPr>
          <w:rFonts w:ascii="Verdana" w:eastAsia="Calibri" w:hAnsi="Verdana"/>
          <w:noProof/>
          <w:sz w:val="20"/>
          <w:szCs w:val="22"/>
          <w:lang w:val="sr-Cyrl-RS" w:eastAsia="en-US"/>
        </w:rPr>
        <w:t xml:space="preserve"> рестриктивне политике реосигурања </w:t>
      </w:r>
      <w:r w:rsidR="008826CB" w:rsidRPr="000545BA">
        <w:rPr>
          <w:rFonts w:ascii="Verdana" w:eastAsia="Calibri" w:hAnsi="Verdana"/>
          <w:noProof/>
          <w:sz w:val="20"/>
          <w:szCs w:val="22"/>
          <w:lang w:val="sr-Cyrl-RS" w:eastAsia="en-US"/>
        </w:rPr>
        <w:t xml:space="preserve">код </w:t>
      </w:r>
      <w:r w:rsidR="00F81CB0" w:rsidRPr="000545BA">
        <w:rPr>
          <w:rFonts w:ascii="Verdana" w:eastAsia="Calibri" w:hAnsi="Verdana"/>
          <w:noProof/>
          <w:sz w:val="20"/>
          <w:szCs w:val="22"/>
          <w:lang w:val="sr-Cyrl-RS" w:eastAsia="en-US"/>
        </w:rPr>
        <w:t xml:space="preserve">домаћих цедената. </w:t>
      </w:r>
    </w:p>
    <w:p w:rsidR="00F81CB0" w:rsidRPr="000545BA" w:rsidRDefault="00F81CB0"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 циљу смањења расхода пословања осигуравајућа друштва су задржавала више ризика у свом потрфељу, што је узроковало смањење премије реосигурања како у висини реосигуравајућег покрића тако и у броју ризика који се ретроцедирају.</w:t>
      </w:r>
      <w:r w:rsidR="008826CB" w:rsidRPr="000545BA">
        <w:rPr>
          <w:rFonts w:ascii="Verdana" w:eastAsia="Calibri" w:hAnsi="Verdana"/>
          <w:noProof/>
          <w:sz w:val="20"/>
          <w:szCs w:val="22"/>
          <w:lang w:val="sr-Cyrl-RS" w:eastAsia="en-US"/>
        </w:rPr>
        <w:t xml:space="preserve"> Такође, узрок у паду премије реосигурања у току 2014.</w:t>
      </w:r>
      <w:r w:rsidR="00FE04B7" w:rsidRPr="000545BA">
        <w:rPr>
          <w:rFonts w:ascii="Verdana" w:eastAsia="Calibri" w:hAnsi="Verdana"/>
          <w:noProof/>
          <w:sz w:val="20"/>
          <w:szCs w:val="22"/>
          <w:lang w:val="sr-Cyrl-RS" w:eastAsia="en-US"/>
        </w:rPr>
        <w:t xml:space="preserve"> </w:t>
      </w:r>
      <w:r w:rsidR="008826CB" w:rsidRPr="000545BA">
        <w:rPr>
          <w:rFonts w:ascii="Verdana" w:eastAsia="Calibri" w:hAnsi="Verdana"/>
          <w:noProof/>
          <w:sz w:val="20"/>
          <w:szCs w:val="22"/>
          <w:lang w:val="sr-Cyrl-RS" w:eastAsia="en-US"/>
        </w:rPr>
        <w:t xml:space="preserve">године је и у повећаној хоризонталној ретроцесији ризика тј. виша је фреквенција саосигурања ризика у оквиру удружених капацитета домаћих осигуравача. </w:t>
      </w:r>
    </w:p>
    <w:p w:rsidR="006C3994" w:rsidRPr="000545BA" w:rsidRDefault="00AB63D0"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Имајући у виду рестриктивну политику осигуравајућих компанија, Друштво је посебну пажњу посветило оцени </w:t>
      </w:r>
      <w:r w:rsidR="00B40AF5" w:rsidRPr="000545BA">
        <w:rPr>
          <w:rFonts w:ascii="Verdana" w:eastAsia="Calibri" w:hAnsi="Verdana"/>
          <w:noProof/>
          <w:sz w:val="20"/>
          <w:szCs w:val="22"/>
          <w:lang w:val="sr-Cyrl-RS" w:eastAsia="en-US"/>
        </w:rPr>
        <w:t xml:space="preserve">квалитета и </w:t>
      </w:r>
      <w:r w:rsidRPr="000545BA">
        <w:rPr>
          <w:rFonts w:ascii="Verdana" w:eastAsia="Calibri" w:hAnsi="Verdana"/>
          <w:noProof/>
          <w:sz w:val="20"/>
          <w:szCs w:val="22"/>
          <w:lang w:val="sr-Cyrl-RS" w:eastAsia="en-US"/>
        </w:rPr>
        <w:t>изложености</w:t>
      </w:r>
      <w:r w:rsidR="00B40AF5" w:rsidRPr="000545BA">
        <w:rPr>
          <w:rFonts w:ascii="Verdana" w:eastAsia="Calibri" w:hAnsi="Verdana"/>
          <w:noProof/>
          <w:sz w:val="20"/>
          <w:szCs w:val="22"/>
          <w:lang w:val="sr-Cyrl-RS" w:eastAsia="en-US"/>
        </w:rPr>
        <w:t xml:space="preserve"> по </w:t>
      </w:r>
      <w:r w:rsidRPr="000545BA">
        <w:rPr>
          <w:rFonts w:ascii="Verdana" w:eastAsia="Calibri" w:hAnsi="Verdana"/>
          <w:noProof/>
          <w:sz w:val="20"/>
          <w:szCs w:val="22"/>
          <w:lang w:val="sr-Cyrl-RS" w:eastAsia="en-US"/>
        </w:rPr>
        <w:t>преузетим ризицима</w:t>
      </w:r>
      <w:r w:rsidR="00B40AF5" w:rsidRPr="000545BA">
        <w:rPr>
          <w:rFonts w:ascii="Verdana" w:eastAsia="Calibri" w:hAnsi="Verdana"/>
          <w:noProof/>
          <w:sz w:val="20"/>
          <w:szCs w:val="22"/>
          <w:lang w:val="sr-Cyrl-RS" w:eastAsia="en-US"/>
        </w:rPr>
        <w:t>. За</w:t>
      </w:r>
      <w:r w:rsidR="008826CB" w:rsidRPr="000545BA">
        <w:rPr>
          <w:rFonts w:ascii="Verdana" w:eastAsia="Calibri" w:hAnsi="Verdana"/>
          <w:noProof/>
          <w:sz w:val="20"/>
          <w:szCs w:val="22"/>
          <w:lang w:val="sr-Cyrl-RS" w:eastAsia="en-US"/>
        </w:rPr>
        <w:t xml:space="preserve"> 2015</w:t>
      </w:r>
      <w:r w:rsidR="00DD57C7" w:rsidRPr="000545BA">
        <w:rPr>
          <w:rFonts w:ascii="Verdana" w:eastAsia="Calibri" w:hAnsi="Verdana"/>
          <w:noProof/>
          <w:sz w:val="20"/>
          <w:szCs w:val="22"/>
          <w:lang w:val="sr-Cyrl-RS" w:eastAsia="en-US"/>
        </w:rPr>
        <w:t>.</w:t>
      </w:r>
      <w:r w:rsidR="00FE04B7" w:rsidRPr="000545BA">
        <w:rPr>
          <w:rFonts w:ascii="Verdana" w:eastAsia="Calibri" w:hAnsi="Verdana"/>
          <w:noProof/>
          <w:sz w:val="20"/>
          <w:szCs w:val="22"/>
          <w:lang w:val="sr-Cyrl-RS" w:eastAsia="en-US"/>
        </w:rPr>
        <w:t xml:space="preserve"> </w:t>
      </w:r>
      <w:r w:rsidR="00DD57C7" w:rsidRPr="000545BA">
        <w:rPr>
          <w:rFonts w:ascii="Verdana" w:eastAsia="Calibri" w:hAnsi="Verdana"/>
          <w:noProof/>
          <w:sz w:val="20"/>
          <w:szCs w:val="22"/>
          <w:lang w:val="sr-Cyrl-RS" w:eastAsia="en-US"/>
        </w:rPr>
        <w:t>годину обезбе</w:t>
      </w:r>
      <w:r w:rsidR="00B40AF5" w:rsidRPr="000545BA">
        <w:rPr>
          <w:rFonts w:ascii="Verdana" w:eastAsia="Calibri" w:hAnsi="Verdana"/>
          <w:noProof/>
          <w:sz w:val="20"/>
          <w:szCs w:val="22"/>
          <w:lang w:val="sr-Cyrl-RS" w:eastAsia="en-US"/>
        </w:rPr>
        <w:t>ђена је</w:t>
      </w:r>
      <w:r w:rsidR="00DD57C7" w:rsidRPr="000545BA">
        <w:rPr>
          <w:rFonts w:ascii="Verdana" w:eastAsia="Calibri" w:hAnsi="Verdana"/>
          <w:noProof/>
          <w:sz w:val="20"/>
          <w:szCs w:val="22"/>
          <w:lang w:val="sr-Cyrl-RS" w:eastAsia="en-US"/>
        </w:rPr>
        <w:t xml:space="preserve"> </w:t>
      </w:r>
      <w:r w:rsidR="008826CB" w:rsidRPr="000545BA">
        <w:rPr>
          <w:rFonts w:ascii="Verdana" w:eastAsia="Calibri" w:hAnsi="Verdana"/>
          <w:noProof/>
          <w:sz w:val="20"/>
          <w:szCs w:val="22"/>
          <w:lang w:val="sr-Cyrl-RS" w:eastAsia="en-US"/>
        </w:rPr>
        <w:t>квалитетн</w:t>
      </w:r>
      <w:r w:rsidR="00B40AF5" w:rsidRPr="000545BA">
        <w:rPr>
          <w:rFonts w:ascii="Verdana" w:eastAsia="Calibri" w:hAnsi="Verdana"/>
          <w:noProof/>
          <w:sz w:val="20"/>
          <w:szCs w:val="22"/>
          <w:lang w:val="sr-Cyrl-RS" w:eastAsia="en-US"/>
        </w:rPr>
        <w:t>а</w:t>
      </w:r>
      <w:r w:rsidR="00DD57C7" w:rsidRPr="000545BA">
        <w:rPr>
          <w:rFonts w:ascii="Verdana" w:eastAsia="Calibri" w:hAnsi="Verdana"/>
          <w:noProof/>
          <w:sz w:val="20"/>
          <w:szCs w:val="22"/>
          <w:lang w:val="sr-Cyrl-RS" w:eastAsia="en-US"/>
        </w:rPr>
        <w:t xml:space="preserve"> заштит</w:t>
      </w:r>
      <w:r w:rsidR="00B40AF5" w:rsidRPr="000545BA">
        <w:rPr>
          <w:rFonts w:ascii="Verdana" w:eastAsia="Calibri" w:hAnsi="Verdana"/>
          <w:noProof/>
          <w:sz w:val="20"/>
          <w:szCs w:val="22"/>
          <w:lang w:val="sr-Cyrl-RS" w:eastAsia="en-US"/>
        </w:rPr>
        <w:t>а</w:t>
      </w:r>
      <w:r w:rsidR="00DD57C7" w:rsidRPr="000545BA">
        <w:rPr>
          <w:rFonts w:ascii="Verdana" w:eastAsia="Calibri" w:hAnsi="Verdana"/>
          <w:noProof/>
          <w:sz w:val="20"/>
          <w:szCs w:val="22"/>
          <w:lang w:val="sr-Cyrl-RS" w:eastAsia="en-US"/>
        </w:rPr>
        <w:t xml:space="preserve"> самопридржаја за имовинске ризике задржане у оквиру сопствених капацитета, кроз реосигурање вишка штета</w:t>
      </w:r>
      <w:r w:rsidR="008826CB" w:rsidRPr="000545BA">
        <w:rPr>
          <w:rFonts w:ascii="Verdana" w:eastAsia="Calibri" w:hAnsi="Verdana"/>
          <w:noProof/>
          <w:sz w:val="20"/>
          <w:szCs w:val="22"/>
          <w:lang w:val="sr-Cyrl-RS" w:eastAsia="en-US"/>
        </w:rPr>
        <w:t>, као и уговореном пропорционалном заштитом дела портфеља за имовинске ризике у самопридржају.</w:t>
      </w:r>
      <w:r w:rsidR="00DD57C7" w:rsidRPr="000545BA">
        <w:rPr>
          <w:rFonts w:ascii="Verdana" w:eastAsia="Calibri" w:hAnsi="Verdana"/>
          <w:noProof/>
          <w:sz w:val="20"/>
          <w:szCs w:val="22"/>
          <w:lang w:val="sr-Cyrl-RS" w:eastAsia="en-US"/>
        </w:rPr>
        <w:t xml:space="preserve"> Оваквом политиком заштите,</w:t>
      </w:r>
      <w:r w:rsidR="00B40AF5" w:rsidRPr="000545BA">
        <w:rPr>
          <w:rFonts w:ascii="Verdana" w:eastAsia="Calibri" w:hAnsi="Verdana"/>
          <w:noProof/>
          <w:sz w:val="20"/>
          <w:szCs w:val="22"/>
          <w:lang w:val="sr-Cyrl-RS" w:eastAsia="en-US"/>
        </w:rPr>
        <w:t xml:space="preserve"> а</w:t>
      </w:r>
      <w:r w:rsidR="00DD57C7" w:rsidRPr="000545BA">
        <w:rPr>
          <w:rFonts w:ascii="Verdana" w:eastAsia="Calibri" w:hAnsi="Verdana"/>
          <w:noProof/>
          <w:sz w:val="20"/>
          <w:szCs w:val="22"/>
          <w:lang w:val="sr-Cyrl-RS" w:eastAsia="en-US"/>
        </w:rPr>
        <w:t xml:space="preserve"> праћењем структуре штета у портфељу</w:t>
      </w:r>
      <w:r w:rsidR="00B40AF5" w:rsidRPr="000545BA">
        <w:rPr>
          <w:rFonts w:ascii="Verdana" w:eastAsia="Calibri" w:hAnsi="Verdana"/>
          <w:noProof/>
          <w:sz w:val="20"/>
          <w:szCs w:val="22"/>
          <w:lang w:val="sr-Cyrl-RS" w:eastAsia="en-US"/>
        </w:rPr>
        <w:t>,</w:t>
      </w:r>
      <w:r w:rsidR="00DD57C7" w:rsidRPr="000545BA">
        <w:rPr>
          <w:rFonts w:ascii="Verdana" w:eastAsia="Calibri" w:hAnsi="Verdana"/>
          <w:noProof/>
          <w:sz w:val="20"/>
          <w:szCs w:val="22"/>
          <w:lang w:val="sr-Cyrl-RS" w:eastAsia="en-US"/>
        </w:rPr>
        <w:t xml:space="preserve"> Друштво је своју изложеност у уч</w:t>
      </w:r>
      <w:r w:rsidR="006C3994" w:rsidRPr="000545BA">
        <w:rPr>
          <w:rFonts w:ascii="Verdana" w:eastAsia="Calibri" w:hAnsi="Verdana"/>
          <w:noProof/>
          <w:sz w:val="20"/>
          <w:szCs w:val="22"/>
          <w:lang w:val="sr-Cyrl-RS" w:eastAsia="en-US"/>
        </w:rPr>
        <w:t>ешћу у штетама свело на минимум.</w:t>
      </w:r>
    </w:p>
    <w:p w:rsidR="00B40AF5" w:rsidRPr="000545BA" w:rsidRDefault="00B40AF5"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На пословање Друштва утицаће и измене условљене новим</w:t>
      </w:r>
      <w:r w:rsidR="00AC6D43" w:rsidRPr="000545BA">
        <w:rPr>
          <w:rFonts w:ascii="Verdana" w:eastAsia="Calibri" w:hAnsi="Verdana"/>
          <w:noProof/>
          <w:sz w:val="20"/>
          <w:szCs w:val="22"/>
          <w:lang w:val="sr-Cyrl-RS" w:eastAsia="en-US"/>
        </w:rPr>
        <w:t xml:space="preserve"> Закон</w:t>
      </w:r>
      <w:r w:rsidRPr="000545BA">
        <w:rPr>
          <w:rFonts w:ascii="Verdana" w:eastAsia="Calibri" w:hAnsi="Verdana"/>
          <w:noProof/>
          <w:sz w:val="20"/>
          <w:szCs w:val="22"/>
          <w:lang w:val="sr-Cyrl-RS" w:eastAsia="en-US"/>
        </w:rPr>
        <w:t>ом</w:t>
      </w:r>
      <w:r w:rsidR="00AC6D43" w:rsidRPr="000545BA">
        <w:rPr>
          <w:rFonts w:ascii="Verdana" w:eastAsia="Calibri" w:hAnsi="Verdana"/>
          <w:noProof/>
          <w:sz w:val="20"/>
          <w:szCs w:val="22"/>
          <w:lang w:val="sr-Cyrl-RS" w:eastAsia="en-US"/>
        </w:rPr>
        <w:t xml:space="preserve"> о осигурању</w:t>
      </w:r>
      <w:r w:rsidRPr="000545BA">
        <w:rPr>
          <w:rFonts w:ascii="Verdana" w:eastAsia="Calibri" w:hAnsi="Verdana"/>
          <w:noProof/>
          <w:sz w:val="20"/>
          <w:szCs w:val="22"/>
          <w:lang w:val="sr-Cyrl-RS" w:eastAsia="en-US"/>
        </w:rPr>
        <w:t xml:space="preserve"> који је</w:t>
      </w:r>
      <w:r w:rsidR="00AC6D43" w:rsidRPr="000545BA">
        <w:rPr>
          <w:rFonts w:ascii="Verdana" w:eastAsia="Calibri" w:hAnsi="Verdana"/>
          <w:noProof/>
          <w:sz w:val="20"/>
          <w:szCs w:val="22"/>
          <w:lang w:val="sr-Cyrl-RS" w:eastAsia="en-US"/>
        </w:rPr>
        <w:t xml:space="preserve"> усвојен 18.12.2014. године, </w:t>
      </w:r>
      <w:r w:rsidRPr="000545BA">
        <w:rPr>
          <w:rFonts w:ascii="Verdana" w:eastAsia="Calibri" w:hAnsi="Verdana"/>
          <w:noProof/>
          <w:sz w:val="20"/>
          <w:szCs w:val="22"/>
          <w:lang w:val="sr-Cyrl-RS" w:eastAsia="en-US"/>
        </w:rPr>
        <w:t>док</w:t>
      </w:r>
      <w:r w:rsidR="00AC6D43" w:rsidRPr="000545BA">
        <w:rPr>
          <w:rFonts w:ascii="Verdana" w:eastAsia="Calibri" w:hAnsi="Verdana"/>
          <w:noProof/>
          <w:sz w:val="20"/>
          <w:szCs w:val="22"/>
          <w:lang w:val="sr-Cyrl-RS" w:eastAsia="en-US"/>
        </w:rPr>
        <w:t xml:space="preserve"> примена истог почиње од 30.06.2015. године. </w:t>
      </w:r>
      <w:r w:rsidRPr="000545BA">
        <w:rPr>
          <w:rFonts w:ascii="Verdana" w:eastAsia="Calibri" w:hAnsi="Verdana"/>
          <w:noProof/>
          <w:sz w:val="20"/>
          <w:szCs w:val="22"/>
          <w:lang w:val="sr-Cyrl-RS" w:eastAsia="en-US"/>
        </w:rPr>
        <w:t>Нова решења предвиђена усвојеним Законом усклађена су са директивама ЕУ и у складу са правилима која важе у ЕУ. Предвиђена је поступна либерализацију тржишта, а до уласка Србије у ЕУ и СТО подстицаће се тржишно надметање и јачати конкурентност на тржишту, како би се оно поступно приближавало начину функционисања који влада на отвореном тржишту ЕУ.</w:t>
      </w:r>
    </w:p>
    <w:p w:rsidR="00B40AF5" w:rsidRPr="000545BA" w:rsidRDefault="00FE04B7"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У наредних шест месеци </w:t>
      </w:r>
      <w:r w:rsidR="00B40AF5" w:rsidRPr="000545BA">
        <w:rPr>
          <w:rFonts w:ascii="Verdana" w:eastAsia="Calibri" w:hAnsi="Verdana"/>
          <w:noProof/>
          <w:sz w:val="20"/>
          <w:szCs w:val="22"/>
          <w:lang w:val="sr-Cyrl-RS" w:eastAsia="en-US"/>
        </w:rPr>
        <w:t>предвиђено</w:t>
      </w:r>
      <w:r w:rsidRPr="000545BA">
        <w:rPr>
          <w:rFonts w:ascii="Verdana" w:eastAsia="Calibri" w:hAnsi="Verdana"/>
          <w:noProof/>
          <w:sz w:val="20"/>
          <w:szCs w:val="22"/>
          <w:lang w:val="sr-Cyrl-RS" w:eastAsia="en-US"/>
        </w:rPr>
        <w:t xml:space="preserve"> је усвајење сета по</w:t>
      </w:r>
      <w:r w:rsidR="00AC6D43" w:rsidRPr="000545BA">
        <w:rPr>
          <w:rFonts w:ascii="Verdana" w:eastAsia="Calibri" w:hAnsi="Verdana"/>
          <w:noProof/>
          <w:sz w:val="20"/>
          <w:szCs w:val="22"/>
          <w:lang w:val="sr-Cyrl-RS" w:eastAsia="en-US"/>
        </w:rPr>
        <w:t>дз</w:t>
      </w:r>
      <w:r w:rsidRPr="000545BA">
        <w:rPr>
          <w:rFonts w:ascii="Verdana" w:eastAsia="Calibri" w:hAnsi="Verdana"/>
          <w:noProof/>
          <w:sz w:val="20"/>
          <w:szCs w:val="22"/>
          <w:lang w:val="sr-Cyrl-RS" w:eastAsia="en-US"/>
        </w:rPr>
        <w:t>аконских аката неопходних за пуну примену новог Закона о осигурању</w:t>
      </w:r>
      <w:r w:rsidR="00AC6D43" w:rsidRPr="000545BA">
        <w:rPr>
          <w:rFonts w:ascii="Verdana" w:eastAsia="Calibri" w:hAnsi="Verdana"/>
          <w:noProof/>
          <w:sz w:val="20"/>
          <w:szCs w:val="22"/>
          <w:lang w:val="sr-Cyrl-RS" w:eastAsia="en-US"/>
        </w:rPr>
        <w:t xml:space="preserve"> којима ће се</w:t>
      </w:r>
      <w:r w:rsidRPr="000545BA">
        <w:rPr>
          <w:rFonts w:ascii="Verdana" w:eastAsia="Calibri" w:hAnsi="Verdana"/>
          <w:noProof/>
          <w:sz w:val="20"/>
          <w:szCs w:val="22"/>
          <w:lang w:val="sr-Cyrl-RS" w:eastAsia="en-US"/>
        </w:rPr>
        <w:t xml:space="preserve"> уредити капиталн</w:t>
      </w:r>
      <w:r w:rsidR="00AC6D43" w:rsidRPr="000545BA">
        <w:rPr>
          <w:rFonts w:ascii="Verdana" w:eastAsia="Calibri" w:hAnsi="Verdana"/>
          <w:noProof/>
          <w:sz w:val="20"/>
          <w:szCs w:val="22"/>
          <w:lang w:val="sr-Cyrl-RS" w:eastAsia="en-US"/>
        </w:rPr>
        <w:t>а</w:t>
      </w:r>
      <w:r w:rsidRPr="000545BA">
        <w:rPr>
          <w:rFonts w:ascii="Verdana" w:eastAsia="Calibri" w:hAnsi="Verdana"/>
          <w:noProof/>
          <w:sz w:val="20"/>
          <w:szCs w:val="22"/>
          <w:lang w:val="sr-Cyrl-RS" w:eastAsia="en-US"/>
        </w:rPr>
        <w:t xml:space="preserve"> адекватност, усмерити инвестиције, прецизирати актуарск</w:t>
      </w:r>
      <w:r w:rsidR="00AC6D43" w:rsidRPr="000545BA">
        <w:rPr>
          <w:rFonts w:ascii="Verdana" w:eastAsia="Calibri" w:hAnsi="Verdana"/>
          <w:noProof/>
          <w:sz w:val="20"/>
          <w:szCs w:val="22"/>
          <w:lang w:val="sr-Cyrl-RS" w:eastAsia="en-US"/>
        </w:rPr>
        <w:t>и</w:t>
      </w:r>
      <w:r w:rsidRPr="000545BA">
        <w:rPr>
          <w:rFonts w:ascii="Verdana" w:eastAsia="Calibri" w:hAnsi="Verdana"/>
          <w:noProof/>
          <w:sz w:val="20"/>
          <w:szCs w:val="22"/>
          <w:lang w:val="sr-Cyrl-RS" w:eastAsia="en-US"/>
        </w:rPr>
        <w:t xml:space="preserve"> обрачун</w:t>
      </w:r>
      <w:r w:rsidR="00AC6D43" w:rsidRPr="000545BA">
        <w:rPr>
          <w:rFonts w:ascii="Verdana" w:eastAsia="Calibri" w:hAnsi="Verdana"/>
          <w:noProof/>
          <w:sz w:val="20"/>
          <w:szCs w:val="22"/>
          <w:lang w:val="sr-Cyrl-RS" w:eastAsia="en-US"/>
        </w:rPr>
        <w:t>и</w:t>
      </w:r>
      <w:r w:rsidRPr="000545BA">
        <w:rPr>
          <w:rFonts w:ascii="Verdana" w:eastAsia="Calibri" w:hAnsi="Verdana"/>
          <w:noProof/>
          <w:sz w:val="20"/>
          <w:szCs w:val="22"/>
          <w:lang w:val="sr-Cyrl-RS" w:eastAsia="en-US"/>
        </w:rPr>
        <w:t>, дефинисати систем управљања и ближе регулисати мног</w:t>
      </w:r>
      <w:r w:rsidR="00AC6D43" w:rsidRPr="000545BA">
        <w:rPr>
          <w:rFonts w:ascii="Verdana" w:eastAsia="Calibri" w:hAnsi="Verdana"/>
          <w:noProof/>
          <w:sz w:val="20"/>
          <w:szCs w:val="22"/>
          <w:lang w:val="sr-Cyrl-RS" w:eastAsia="en-US"/>
        </w:rPr>
        <w:t>и</w:t>
      </w:r>
      <w:r w:rsidRPr="000545BA">
        <w:rPr>
          <w:rFonts w:ascii="Verdana" w:eastAsia="Calibri" w:hAnsi="Verdana"/>
          <w:noProof/>
          <w:sz w:val="20"/>
          <w:szCs w:val="22"/>
          <w:lang w:val="sr-Cyrl-RS" w:eastAsia="en-US"/>
        </w:rPr>
        <w:t xml:space="preserve"> друг</w:t>
      </w:r>
      <w:r w:rsidR="00AC6D43" w:rsidRPr="000545BA">
        <w:rPr>
          <w:rFonts w:ascii="Verdana" w:eastAsia="Calibri" w:hAnsi="Verdana"/>
          <w:noProof/>
          <w:sz w:val="20"/>
          <w:szCs w:val="22"/>
          <w:lang w:val="sr-Cyrl-RS" w:eastAsia="en-US"/>
        </w:rPr>
        <w:t>и</w:t>
      </w:r>
      <w:r w:rsidRPr="000545BA">
        <w:rPr>
          <w:rFonts w:ascii="Verdana" w:eastAsia="Calibri" w:hAnsi="Verdana"/>
          <w:noProof/>
          <w:sz w:val="20"/>
          <w:szCs w:val="22"/>
          <w:lang w:val="sr-Cyrl-RS" w:eastAsia="en-US"/>
        </w:rPr>
        <w:t xml:space="preserve"> аспект</w:t>
      </w:r>
      <w:r w:rsidR="00AC6D43" w:rsidRPr="000545BA">
        <w:rPr>
          <w:rFonts w:ascii="Verdana" w:eastAsia="Calibri" w:hAnsi="Verdana"/>
          <w:noProof/>
          <w:sz w:val="20"/>
          <w:szCs w:val="22"/>
          <w:lang w:val="sr-Cyrl-RS" w:eastAsia="en-US"/>
        </w:rPr>
        <w:t>и</w:t>
      </w:r>
      <w:r w:rsidRPr="000545BA">
        <w:rPr>
          <w:rFonts w:ascii="Verdana" w:eastAsia="Calibri" w:hAnsi="Verdana"/>
          <w:noProof/>
          <w:sz w:val="20"/>
          <w:szCs w:val="22"/>
          <w:lang w:val="sr-Cyrl-RS" w:eastAsia="en-US"/>
        </w:rPr>
        <w:t xml:space="preserve"> пословања друштава за осигурање</w:t>
      </w:r>
      <w:r w:rsidR="00AC6D43" w:rsidRPr="000545BA">
        <w:rPr>
          <w:rFonts w:ascii="Verdana" w:eastAsia="Calibri" w:hAnsi="Verdana"/>
          <w:noProof/>
          <w:sz w:val="20"/>
          <w:szCs w:val="22"/>
          <w:lang w:val="sr-Cyrl-RS" w:eastAsia="en-US"/>
        </w:rPr>
        <w:t>.</w:t>
      </w:r>
      <w:r w:rsidR="00B40AF5" w:rsidRPr="000545BA">
        <w:rPr>
          <w:rFonts w:ascii="Verdana" w:eastAsia="Calibri" w:hAnsi="Verdana"/>
          <w:noProof/>
          <w:sz w:val="20"/>
          <w:szCs w:val="22"/>
          <w:lang w:val="sr-Cyrl-RS" w:eastAsia="en-US"/>
        </w:rPr>
        <w:t xml:space="preserve"> </w:t>
      </w:r>
    </w:p>
    <w:p w:rsidR="00FE04B7" w:rsidRPr="000545BA" w:rsidRDefault="00B40AF5" w:rsidP="00B40AF5">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 складу са изменама у законским и подзаконским актима, Друштво планира активности на усаглашавању интерних аката и начина рада. Најзначајније измене у 2015. години које се могу очекивати као последица измене наведених прописа односе се на начин утврђивања техничких резерви где се уводи нове категорије па ће техничке резерве обухватати:</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резерве за преносне премије,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резерве за неистекле ризике,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резерве за бонусе и попусте, </w:t>
      </w:r>
    </w:p>
    <w:p w:rsidR="00B40AF5" w:rsidRPr="000545BA" w:rsidRDefault="00B40AF5" w:rsidP="00B40AF5">
      <w:pPr>
        <w:pStyle w:val="ListParagraph"/>
        <w:spacing w:line="276" w:lineRule="auto"/>
        <w:ind w:left="714"/>
        <w:jc w:val="both"/>
        <w:rPr>
          <w:rFonts w:ascii="Verdana" w:eastAsia="Calibri" w:hAnsi="Verdana"/>
          <w:noProof/>
          <w:sz w:val="20"/>
          <w:szCs w:val="22"/>
          <w:lang w:val="sr-Cyrl-RS" w:eastAsia="en-US"/>
        </w:rPr>
      </w:pP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резервисане штете,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математичку резерву,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резерву за осигурања код којих су осигураници прихватили да учествују у инвестиционом ризику,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резерве за изравнање ризика, </w:t>
      </w:r>
    </w:p>
    <w:p w:rsidR="00B40AF5" w:rsidRPr="000545BA" w:rsidRDefault="00B40AF5" w:rsidP="003E48B9">
      <w:pPr>
        <w:pStyle w:val="ListParagraph"/>
        <w:numPr>
          <w:ilvl w:val="0"/>
          <w:numId w:val="18"/>
        </w:numPr>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друге техничке резерве.</w:t>
      </w:r>
    </w:p>
    <w:p w:rsidR="00B40AF5" w:rsidRPr="000545BA" w:rsidRDefault="005874A3" w:rsidP="005001C0">
      <w:pPr>
        <w:spacing w:before="120" w:after="120"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Анализом свих полазних претпоставки за формирање Плана пословања за 2015. годину утврђено је да измене законских и подзаконских аката неће имати материјално значајна утицај на рад Друштва и планирани финансијски резултат.</w:t>
      </w:r>
    </w:p>
    <w:p w:rsidR="005001C0" w:rsidRPr="000545BA" w:rsidRDefault="005001C0" w:rsidP="005001C0">
      <w:pPr>
        <w:pStyle w:val="ListParagraph"/>
        <w:suppressAutoHyphens w:val="0"/>
        <w:autoSpaceDE w:val="0"/>
        <w:autoSpaceDN w:val="0"/>
        <w:adjustRightInd w:val="0"/>
        <w:spacing w:before="120" w:after="120" w:line="276" w:lineRule="auto"/>
        <w:ind w:left="0"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У току 2015. године, а у складу са даљим усклађивањем пословања са </w:t>
      </w:r>
      <w:r w:rsidR="00C564B6" w:rsidRPr="000545BA">
        <w:rPr>
          <w:rFonts w:ascii="Verdana" w:eastAsia="Calibri" w:hAnsi="Verdana"/>
          <w:noProof/>
          <w:sz w:val="20"/>
          <w:szCs w:val="22"/>
          <w:lang w:val="sr-Cyrl-RS" w:eastAsia="en-US"/>
        </w:rPr>
        <w:t xml:space="preserve">Одлуком НБС-а о минималним стандардима управљања информационим системом финансијске институције, </w:t>
      </w:r>
      <w:r w:rsidRPr="000545BA">
        <w:rPr>
          <w:rFonts w:ascii="Verdana" w:eastAsia="Calibri" w:hAnsi="Verdana"/>
          <w:noProof/>
          <w:sz w:val="20"/>
          <w:szCs w:val="22"/>
          <w:lang w:val="sr-Cyrl-RS" w:eastAsia="en-US"/>
        </w:rPr>
        <w:t>радиће се на даљем усаглашавању и усвајању нових интерних аката и развоју информационогог система на начин да се обезбеди пуна усклађеност пословања са законском регулативом.</w:t>
      </w:r>
    </w:p>
    <w:p w:rsidR="00E655C9" w:rsidRPr="000545BA" w:rsidRDefault="005001C0" w:rsidP="005001C0">
      <w:pPr>
        <w:pStyle w:val="ListParagraph"/>
        <w:suppressAutoHyphens w:val="0"/>
        <w:autoSpaceDE w:val="0"/>
        <w:autoSpaceDN w:val="0"/>
        <w:adjustRightInd w:val="0"/>
        <w:spacing w:before="120" w:line="276" w:lineRule="auto"/>
        <w:ind w:left="0" w:firstLine="272"/>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Друштво</w:t>
      </w:r>
      <w:r w:rsidR="00C564B6" w:rsidRPr="000545BA">
        <w:rPr>
          <w:rFonts w:ascii="Verdana" w:eastAsia="Calibri" w:hAnsi="Verdana"/>
          <w:noProof/>
          <w:sz w:val="20"/>
          <w:szCs w:val="22"/>
          <w:lang w:val="sr-Cyrl-RS" w:eastAsia="en-US"/>
        </w:rPr>
        <w:t xml:space="preserve"> је својим  интерим актима дефинисао списак акивности и  званично их усвој</w:t>
      </w:r>
      <w:r w:rsidRPr="000545BA">
        <w:rPr>
          <w:rFonts w:ascii="Verdana" w:eastAsia="Calibri" w:hAnsi="Verdana"/>
          <w:noProof/>
          <w:sz w:val="20"/>
          <w:szCs w:val="22"/>
          <w:lang w:val="sr-Cyrl-RS" w:eastAsia="en-US"/>
        </w:rPr>
        <w:t>и</w:t>
      </w:r>
      <w:r w:rsidR="00C564B6" w:rsidRPr="000545BA">
        <w:rPr>
          <w:rFonts w:ascii="Verdana" w:eastAsia="Calibri" w:hAnsi="Verdana"/>
          <w:noProof/>
          <w:sz w:val="20"/>
          <w:szCs w:val="22"/>
          <w:lang w:val="sr-Cyrl-RS" w:eastAsia="en-US"/>
        </w:rPr>
        <w:t>о од стране надлежних функција у Друштву или их ажурираро у складу са детаљним препорукама НБС-а. У зависности од потреба, ове области су покривене структуром докумената које обухватају различите нивое детаљности: стратегије, политике, процедуре, упутства, пратеће документе (темплејте, упитнике, регистре и сл.):</w:t>
      </w:r>
    </w:p>
    <w:p w:rsidR="008021F4" w:rsidRPr="000545BA" w:rsidRDefault="008021F4" w:rsidP="005001C0">
      <w:pPr>
        <w:pStyle w:val="Heading1"/>
        <w:numPr>
          <w:ilvl w:val="1"/>
          <w:numId w:val="3"/>
        </w:numPr>
        <w:tabs>
          <w:tab w:val="clear" w:pos="336"/>
        </w:tabs>
        <w:spacing w:after="240"/>
        <w:ind w:left="1440" w:hanging="811"/>
        <w:jc w:val="left"/>
        <w:rPr>
          <w:rFonts w:ascii="Verdana" w:hAnsi="Verdana" w:cs="Tahoma"/>
          <w:noProof/>
          <w:color w:val="365F91"/>
          <w:sz w:val="20"/>
          <w:szCs w:val="18"/>
          <w:lang w:val="sr-Cyrl-RS"/>
        </w:rPr>
      </w:pPr>
      <w:bookmarkStart w:id="26" w:name="_Toc319498819"/>
      <w:bookmarkStart w:id="27" w:name="_Toc414610332"/>
      <w:r w:rsidRPr="000545BA">
        <w:rPr>
          <w:rFonts w:ascii="Verdana" w:hAnsi="Verdana" w:cs="Tahoma"/>
          <w:noProof/>
          <w:color w:val="365F91"/>
          <w:sz w:val="20"/>
          <w:szCs w:val="18"/>
          <w:lang w:val="sr-Cyrl-RS"/>
        </w:rPr>
        <w:t>Тренутна позиција и перспективе</w:t>
      </w:r>
      <w:bookmarkEnd w:id="26"/>
      <w:bookmarkEnd w:id="27"/>
    </w:p>
    <w:p w:rsidR="00385790" w:rsidRPr="000545BA" w:rsidRDefault="00314F8D" w:rsidP="006C579F">
      <w:pPr>
        <w:spacing w:before="240" w:after="240"/>
        <w:rPr>
          <w:rStyle w:val="IntenseEmphasis"/>
          <w:rFonts w:ascii="Verdana" w:hAnsi="Verdana"/>
          <w:noProof/>
          <w:sz w:val="20"/>
          <w:szCs w:val="22"/>
          <w:lang w:val="sr-Cyrl-RS"/>
        </w:rPr>
      </w:pPr>
      <w:r w:rsidRPr="000545BA">
        <w:rPr>
          <w:rStyle w:val="IntenseEmphasis"/>
          <w:rFonts w:ascii="Verdana" w:hAnsi="Verdana"/>
          <w:noProof/>
          <w:sz w:val="20"/>
          <w:szCs w:val="22"/>
          <w:lang w:val="sr-Cyrl-RS"/>
        </w:rPr>
        <w:t>Стање на тржишту осигурања</w:t>
      </w:r>
      <w:r w:rsidR="0017476A" w:rsidRPr="000545BA">
        <w:rPr>
          <w:rStyle w:val="IntenseEmphasis"/>
          <w:rFonts w:ascii="Verdana" w:hAnsi="Verdana"/>
          <w:noProof/>
          <w:sz w:val="20"/>
          <w:szCs w:val="22"/>
          <w:lang w:val="sr-Cyrl-RS"/>
        </w:rPr>
        <w:t xml:space="preserve"> и реосигурања</w:t>
      </w:r>
      <w:r w:rsidRPr="000545BA">
        <w:rPr>
          <w:rStyle w:val="IntenseEmphasis"/>
          <w:rFonts w:ascii="Verdana" w:hAnsi="Verdana"/>
          <w:noProof/>
          <w:sz w:val="20"/>
          <w:szCs w:val="22"/>
          <w:lang w:val="sr-Cyrl-RS"/>
        </w:rPr>
        <w:t xml:space="preserve"> у Србији</w:t>
      </w:r>
    </w:p>
    <w:p w:rsidR="006C3994" w:rsidRPr="000545BA" w:rsidRDefault="006C3994" w:rsidP="005001C0">
      <w:pPr>
        <w:spacing w:before="120" w:after="120" w:line="276" w:lineRule="auto"/>
        <w:ind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На крају </w:t>
      </w:r>
      <w:r w:rsidR="009B7851" w:rsidRPr="000545BA">
        <w:rPr>
          <w:rFonts w:ascii="Verdana" w:eastAsia="Calibri" w:hAnsi="Verdana"/>
          <w:noProof/>
          <w:sz w:val="20"/>
          <w:szCs w:val="22"/>
          <w:lang w:val="sr-Cyrl-RS" w:eastAsia="en-US"/>
        </w:rPr>
        <w:t xml:space="preserve">2014. године у Србији je послoвало 27  друштава за осигурање, или једно друштво мање него у истом периоду претходне године. Искључиво пословима осигурања бави се 23, а пословима реосигурања четири друштва. </w:t>
      </w:r>
    </w:p>
    <w:p w:rsidR="006C3994" w:rsidRPr="000545BA" w:rsidRDefault="006C3994" w:rsidP="005001C0">
      <w:pPr>
        <w:spacing w:before="120" w:after="120" w:line="276" w:lineRule="auto"/>
        <w:ind w:firstLine="288"/>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Друштва за реосигурање су:</w:t>
      </w:r>
    </w:p>
    <w:p w:rsidR="006C3994" w:rsidRPr="000545BA" w:rsidRDefault="006C3994" w:rsidP="00AA625F">
      <w:pPr>
        <w:pStyle w:val="ListParagraph"/>
        <w:numPr>
          <w:ilvl w:val="0"/>
          <w:numId w:val="11"/>
        </w:numPr>
        <w:suppressAutoHyphens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АД за реосигурање Дунав РЕ (основано 1977. године),</w:t>
      </w:r>
    </w:p>
    <w:p w:rsidR="006C3994" w:rsidRPr="000545BA" w:rsidRDefault="006C3994" w:rsidP="00AA625F">
      <w:pPr>
        <w:pStyle w:val="ListParagraph"/>
        <w:numPr>
          <w:ilvl w:val="0"/>
          <w:numId w:val="11"/>
        </w:numPr>
        <w:suppressAutoHyphens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АД за реосигурање </w:t>
      </w:r>
      <w:r w:rsidRPr="000545BA">
        <w:rPr>
          <w:rFonts w:ascii="Verdana" w:eastAsia="Calibri" w:hAnsi="Verdana"/>
          <w:i/>
          <w:noProof/>
          <w:sz w:val="20"/>
          <w:szCs w:val="22"/>
          <w:lang w:val="sr-Cyrl-RS" w:eastAsia="en-US"/>
        </w:rPr>
        <w:t>Generali Reosiguranje</w:t>
      </w:r>
      <w:r w:rsidRPr="000545BA">
        <w:rPr>
          <w:rFonts w:ascii="Verdana" w:eastAsia="Calibri" w:hAnsi="Verdana"/>
          <w:noProof/>
          <w:sz w:val="20"/>
          <w:szCs w:val="22"/>
          <w:lang w:val="sr-Cyrl-RS" w:eastAsia="en-US"/>
        </w:rPr>
        <w:t xml:space="preserve"> (основано 2000. године),</w:t>
      </w:r>
    </w:p>
    <w:p w:rsidR="006C3994" w:rsidRPr="000545BA" w:rsidRDefault="006C3994" w:rsidP="00AA625F">
      <w:pPr>
        <w:pStyle w:val="ListParagraph"/>
        <w:numPr>
          <w:ilvl w:val="0"/>
          <w:numId w:val="11"/>
        </w:numPr>
        <w:suppressAutoHyphens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ДДОР РЕ за реосигурање Нови Сад (основано 2009. године)и</w:t>
      </w:r>
    </w:p>
    <w:p w:rsidR="006C3994" w:rsidRPr="000545BA" w:rsidRDefault="006C3994" w:rsidP="00AA625F">
      <w:pPr>
        <w:pStyle w:val="ListParagraph"/>
        <w:numPr>
          <w:ilvl w:val="0"/>
          <w:numId w:val="11"/>
        </w:numPr>
        <w:suppressAutoHyphens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i/>
          <w:noProof/>
          <w:sz w:val="20"/>
          <w:szCs w:val="22"/>
          <w:lang w:val="sr-Cyrl-RS" w:eastAsia="en-US"/>
        </w:rPr>
        <w:t>WIENER RE АД</w:t>
      </w:r>
      <w:r w:rsidRPr="000545BA">
        <w:rPr>
          <w:rFonts w:ascii="Verdana" w:eastAsia="Calibri" w:hAnsi="Verdana"/>
          <w:noProof/>
          <w:sz w:val="20"/>
          <w:szCs w:val="22"/>
          <w:lang w:val="sr-Cyrl-RS" w:eastAsia="en-US"/>
        </w:rPr>
        <w:t xml:space="preserve"> за реосигурање (основано 2008. године).</w:t>
      </w:r>
    </w:p>
    <w:p w:rsidR="006C3994" w:rsidRPr="000545BA" w:rsidRDefault="00E13D1C" w:rsidP="009B7851">
      <w:pPr>
        <w:spacing w:before="120" w:after="120" w:line="276" w:lineRule="auto"/>
        <w:ind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 току 2014.</w:t>
      </w:r>
      <w:r w:rsidR="005001C0" w:rsidRPr="000545BA">
        <w:rPr>
          <w:rFonts w:ascii="Verdana" w:eastAsia="Calibri" w:hAnsi="Verdana"/>
          <w:noProof/>
          <w:sz w:val="20"/>
          <w:szCs w:val="22"/>
          <w:lang w:val="sr-Cyrl-RS" w:eastAsia="en-US"/>
        </w:rPr>
        <w:t xml:space="preserve"> </w:t>
      </w:r>
      <w:r w:rsidRPr="000545BA">
        <w:rPr>
          <w:rFonts w:ascii="Verdana" w:eastAsia="Calibri" w:hAnsi="Verdana"/>
          <w:noProof/>
          <w:sz w:val="20"/>
          <w:szCs w:val="22"/>
          <w:lang w:val="sr-Cyrl-RS" w:eastAsia="en-US"/>
        </w:rPr>
        <w:t>године друштву</w:t>
      </w:r>
      <w:r w:rsidR="006C3994" w:rsidRPr="000545BA">
        <w:rPr>
          <w:rFonts w:ascii="Verdana" w:eastAsia="Calibri" w:hAnsi="Verdana"/>
          <w:noProof/>
          <w:sz w:val="20"/>
          <w:szCs w:val="22"/>
          <w:lang w:val="sr-Cyrl-RS" w:eastAsia="en-US"/>
        </w:rPr>
        <w:t xml:space="preserve"> Таково осигурање</w:t>
      </w:r>
      <w:r w:rsidRPr="000545BA">
        <w:rPr>
          <w:rFonts w:ascii="Verdana" w:eastAsia="Calibri" w:hAnsi="Verdana"/>
          <w:noProof/>
          <w:sz w:val="20"/>
          <w:szCs w:val="22"/>
          <w:lang w:val="sr-Cyrl-RS" w:eastAsia="en-US"/>
        </w:rPr>
        <w:t xml:space="preserve"> је одузета дозволу за рад. Т</w:t>
      </w:r>
      <w:r w:rsidR="006C3994" w:rsidRPr="000545BA">
        <w:rPr>
          <w:rFonts w:ascii="Verdana" w:eastAsia="Calibri" w:hAnsi="Verdana"/>
          <w:noProof/>
          <w:sz w:val="20"/>
          <w:szCs w:val="22"/>
          <w:lang w:val="sr-Cyrl-RS" w:eastAsia="en-US"/>
        </w:rPr>
        <w:t xml:space="preserve">акође, дошло је до промене у власничкој структури реосигуравача </w:t>
      </w:r>
      <w:r w:rsidR="006C3994" w:rsidRPr="000545BA">
        <w:rPr>
          <w:rFonts w:ascii="Verdana" w:eastAsia="Calibri" w:hAnsi="Verdana"/>
          <w:i/>
          <w:noProof/>
          <w:sz w:val="20"/>
          <w:szCs w:val="22"/>
          <w:lang w:val="sr-Cyrl-RS" w:eastAsia="en-US"/>
        </w:rPr>
        <w:t>Delta Generali</w:t>
      </w:r>
      <w:r w:rsidR="006C3994" w:rsidRPr="000545BA">
        <w:rPr>
          <w:rFonts w:ascii="Verdana" w:eastAsia="Calibri" w:hAnsi="Verdana"/>
          <w:noProof/>
          <w:sz w:val="20"/>
          <w:szCs w:val="22"/>
          <w:lang w:val="sr-Cyrl-RS" w:eastAsia="en-US"/>
        </w:rPr>
        <w:t xml:space="preserve">, који </w:t>
      </w:r>
      <w:r w:rsidRPr="000545BA">
        <w:rPr>
          <w:rFonts w:ascii="Verdana" w:eastAsia="Calibri" w:hAnsi="Verdana"/>
          <w:noProof/>
          <w:sz w:val="20"/>
          <w:szCs w:val="22"/>
          <w:lang w:val="sr-Cyrl-RS" w:eastAsia="en-US"/>
        </w:rPr>
        <w:t xml:space="preserve">је наставио да послује као </w:t>
      </w:r>
      <w:r w:rsidRPr="000545BA">
        <w:rPr>
          <w:rFonts w:ascii="Verdana" w:eastAsia="Calibri" w:hAnsi="Verdana"/>
          <w:i/>
          <w:noProof/>
          <w:sz w:val="20"/>
          <w:szCs w:val="22"/>
          <w:lang w:val="sr-Cyrl-RS" w:eastAsia="en-US"/>
        </w:rPr>
        <w:t>Generali reosiguranje</w:t>
      </w:r>
      <w:r w:rsidRPr="000545BA">
        <w:rPr>
          <w:rFonts w:ascii="Verdana" w:eastAsia="Calibri" w:hAnsi="Verdana"/>
          <w:noProof/>
          <w:sz w:val="20"/>
          <w:szCs w:val="22"/>
          <w:lang w:val="sr-Cyrl-RS" w:eastAsia="en-US"/>
        </w:rPr>
        <w:t>.</w:t>
      </w:r>
    </w:p>
    <w:p w:rsidR="00E13D1C" w:rsidRPr="000545BA" w:rsidRDefault="00E13D1C" w:rsidP="009B7851">
      <w:pPr>
        <w:spacing w:before="120" w:after="120" w:line="276" w:lineRule="auto"/>
        <w:ind w:firstLine="27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 октобру 2014.</w:t>
      </w:r>
      <w:r w:rsidR="005001C0" w:rsidRPr="000545BA">
        <w:rPr>
          <w:rFonts w:ascii="Verdana" w:eastAsia="Calibri" w:hAnsi="Verdana"/>
          <w:noProof/>
          <w:sz w:val="20"/>
          <w:szCs w:val="22"/>
          <w:lang w:val="sr-Cyrl-RS" w:eastAsia="en-US"/>
        </w:rPr>
        <w:t xml:space="preserve"> </w:t>
      </w:r>
      <w:r w:rsidRPr="000545BA">
        <w:rPr>
          <w:rFonts w:ascii="Verdana" w:eastAsia="Calibri" w:hAnsi="Verdana"/>
          <w:noProof/>
          <w:sz w:val="20"/>
          <w:szCs w:val="22"/>
          <w:lang w:val="sr-Cyrl-RS" w:eastAsia="en-US"/>
        </w:rPr>
        <w:t>године је ступио на снагу нови законски лимит везано за обавезно осигурање власника моторних возила од одговорности за штету причињену трећим лицима. На крају 2014. године пословима осигурања од домаће ауто-одговорности бавило се 11 друштава за осигурање, два мање него у истом периоду претходне године. Премија осигурања од аутоодговорности у 2014. године виша је за 6,2% у односу на исти период претходне године. Kонцентрација портфеља у овом сегменту благо je повећана, имајући у виду да су 2014. три друштва за осигурање с највећим учешћем у премији осигурања од аутоодговорности покривала 64,9% тржишта, док су у истом периоду претходне године та друштва покривала 59,3% тржишта.</w:t>
      </w:r>
    </w:p>
    <w:p w:rsidR="005F3481" w:rsidRPr="000545BA" w:rsidRDefault="005F3481" w:rsidP="006C579F">
      <w:pPr>
        <w:spacing w:before="240" w:after="240"/>
        <w:rPr>
          <w:rStyle w:val="IntenseEmphasis"/>
          <w:rFonts w:ascii="Verdana" w:hAnsi="Verdana"/>
          <w:noProof/>
          <w:sz w:val="20"/>
          <w:lang w:val="sr-Cyrl-RS"/>
        </w:rPr>
      </w:pPr>
      <w:r w:rsidRPr="000545BA">
        <w:rPr>
          <w:rStyle w:val="IntenseEmphasis"/>
          <w:rFonts w:ascii="Verdana" w:hAnsi="Verdana"/>
          <w:noProof/>
          <w:sz w:val="20"/>
          <w:lang w:val="sr-Cyrl-RS"/>
        </w:rPr>
        <w:t xml:space="preserve">Позиционирање Друштва на домаћем тржишту </w:t>
      </w:r>
    </w:p>
    <w:p w:rsidR="005001C0" w:rsidRPr="000545BA" w:rsidRDefault="005001C0" w:rsidP="005001C0">
      <w:pPr>
        <w:spacing w:before="120" w:after="120" w:line="276" w:lineRule="auto"/>
        <w:ind w:firstLine="284"/>
        <w:jc w:val="both"/>
        <w:rPr>
          <w:rFonts w:ascii="Verdana" w:eastAsia="Calibri" w:hAnsi="Verdana"/>
          <w:noProof/>
          <w:sz w:val="20"/>
          <w:lang w:val="sr-Cyrl-RS"/>
        </w:rPr>
      </w:pPr>
      <w:r w:rsidRPr="000545BA">
        <w:rPr>
          <w:rFonts w:ascii="Verdana" w:eastAsia="Calibri" w:hAnsi="Verdana"/>
          <w:noProof/>
          <w:sz w:val="20"/>
          <w:lang w:val="sr-Cyrl-RS"/>
        </w:rPr>
        <w:t>Домаће друштво за реосигурање Дунав РЕ посебно доминира у учешћу у укупним пласманима друштава за реосигурање који обухватају инвестиционе некретнине, дугорочне и краткорочне финансијске пласмане и готовину и готовинске елементе. У 2013. години, за коју се располаже последњим званично објављеним подацима на сајту НБС, Дунав РЕ је у наведене облике активе пласирао 2.278.119 хиљада динара, док су сва остала реосигуравајућа друштав у страном власништву пласирала  2.263.893 хиљада динара. Друштво је лидер у инвестиционој активности са 50% учешћа у укупним финансијским пласманима друштава за реосигурање.</w:t>
      </w:r>
    </w:p>
    <w:tbl>
      <w:tblPr>
        <w:tblW w:w="0" w:type="auto"/>
        <w:tblLook w:val="04A0" w:firstRow="1" w:lastRow="0" w:firstColumn="1" w:lastColumn="0" w:noHBand="0" w:noVBand="1"/>
      </w:tblPr>
      <w:tblGrid>
        <w:gridCol w:w="4706"/>
        <w:gridCol w:w="4916"/>
      </w:tblGrid>
      <w:tr w:rsidR="005001C0" w:rsidRPr="000545BA" w:rsidTr="000545BA">
        <w:trPr>
          <w:trHeight w:val="57"/>
        </w:trPr>
        <w:tc>
          <w:tcPr>
            <w:tcW w:w="4596" w:type="dxa"/>
          </w:tcPr>
          <w:p w:rsidR="005001C0" w:rsidRPr="000545BA" w:rsidRDefault="005001C0" w:rsidP="000545BA">
            <w:pPr>
              <w:spacing w:after="120"/>
              <w:jc w:val="center"/>
              <w:rPr>
                <w:rFonts w:ascii="Verdana" w:hAnsi="Verdana"/>
                <w:noProof/>
                <w:sz w:val="18"/>
                <w:szCs w:val="18"/>
                <w:lang w:val="sr-Cyrl-RS"/>
              </w:rPr>
            </w:pPr>
            <w:r w:rsidRPr="000545BA">
              <w:rPr>
                <w:rFonts w:ascii="Verdana" w:hAnsi="Verdana"/>
                <w:b/>
                <w:bCs/>
                <w:noProof/>
                <w:sz w:val="16"/>
                <w:szCs w:val="18"/>
                <w:lang w:val="sr-Cyrl-RS"/>
              </w:rPr>
              <w:t>Структура укупне билансне суме друштава за реосигурање у 2013.</w:t>
            </w:r>
            <w:r w:rsidRPr="000545BA">
              <w:rPr>
                <w:rFonts w:ascii="Verdana" w:hAnsi="Verdana"/>
                <w:b/>
                <w:bCs/>
                <w:noProof/>
                <w:sz w:val="18"/>
                <w:szCs w:val="18"/>
                <w:lang w:val="sr-Cyrl-RS"/>
              </w:rPr>
              <w:t xml:space="preserve"> </w:t>
            </w:r>
          </w:p>
        </w:tc>
        <w:tc>
          <w:tcPr>
            <w:tcW w:w="4690" w:type="dxa"/>
          </w:tcPr>
          <w:p w:rsidR="005001C0" w:rsidRPr="000545BA" w:rsidRDefault="005001C0" w:rsidP="000545BA">
            <w:pPr>
              <w:spacing w:after="120"/>
              <w:jc w:val="center"/>
              <w:rPr>
                <w:rFonts w:ascii="Verdana" w:hAnsi="Verdana"/>
                <w:noProof/>
                <w:sz w:val="18"/>
                <w:szCs w:val="18"/>
                <w:lang w:val="sr-Cyrl-RS"/>
              </w:rPr>
            </w:pPr>
            <w:r w:rsidRPr="000545BA">
              <w:rPr>
                <w:rFonts w:ascii="Verdana" w:hAnsi="Verdana"/>
                <w:b/>
                <w:bCs/>
                <w:noProof/>
                <w:sz w:val="16"/>
                <w:szCs w:val="18"/>
                <w:lang w:val="sr-Cyrl-RS"/>
              </w:rPr>
              <w:t xml:space="preserve">Структура укупних финансијских пласмана друштава за реосигурање у 2013. </w:t>
            </w:r>
          </w:p>
        </w:tc>
      </w:tr>
      <w:tr w:rsidR="005001C0" w:rsidRPr="000545BA" w:rsidTr="000545BA">
        <w:trPr>
          <w:trHeight w:val="1759"/>
        </w:trPr>
        <w:tc>
          <w:tcPr>
            <w:tcW w:w="4596" w:type="dxa"/>
          </w:tcPr>
          <w:p w:rsidR="005001C0" w:rsidRPr="000545BA" w:rsidRDefault="005001C0" w:rsidP="000545BA">
            <w:pPr>
              <w:spacing w:after="120"/>
              <w:jc w:val="both"/>
              <w:rPr>
                <w:rFonts w:ascii="Verdana" w:hAnsi="Verdana"/>
                <w:noProof/>
                <w:sz w:val="18"/>
                <w:szCs w:val="18"/>
                <w:lang w:val="sr-Cyrl-RS"/>
              </w:rPr>
            </w:pPr>
            <w:r w:rsidRPr="000545BA">
              <w:rPr>
                <w:noProof/>
                <w:lang w:val="sr-Latn-RS" w:eastAsia="sr-Latn-RS"/>
              </w:rPr>
              <w:drawing>
                <wp:inline distT="0" distB="0" distL="0" distR="0" wp14:anchorId="7E5596AF" wp14:editId="3482C5F0">
                  <wp:extent cx="2785731" cy="2073349"/>
                  <wp:effectExtent l="38100" t="0" r="34290" b="3175"/>
                  <wp:docPr id="674" name="Chart 6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690" w:type="dxa"/>
          </w:tcPr>
          <w:p w:rsidR="005001C0" w:rsidRPr="000545BA" w:rsidRDefault="005001C0" w:rsidP="000545BA">
            <w:pPr>
              <w:spacing w:after="120"/>
              <w:jc w:val="both"/>
              <w:rPr>
                <w:rFonts w:ascii="Verdana" w:hAnsi="Verdana"/>
                <w:noProof/>
                <w:sz w:val="18"/>
                <w:szCs w:val="18"/>
                <w:lang w:val="sr-Cyrl-RS"/>
              </w:rPr>
            </w:pPr>
            <w:r w:rsidRPr="000545BA">
              <w:rPr>
                <w:noProof/>
                <w:lang w:val="sr-Latn-RS" w:eastAsia="sr-Latn-RS"/>
              </w:rPr>
              <w:drawing>
                <wp:inline distT="0" distB="0" distL="0" distR="0" wp14:anchorId="17F06686" wp14:editId="7C99F074">
                  <wp:extent cx="2934586" cy="2009554"/>
                  <wp:effectExtent l="38100" t="19050" r="18415" b="0"/>
                  <wp:docPr id="675" name="Chart 6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5001C0" w:rsidRPr="000545BA" w:rsidRDefault="005001C0" w:rsidP="005001C0">
      <w:pPr>
        <w:rPr>
          <w:rStyle w:val="IntenseEmphasis"/>
          <w:rFonts w:ascii="Verdana" w:hAnsi="Verdana"/>
          <w:i w:val="0"/>
          <w:noProof/>
          <w:sz w:val="20"/>
          <w:lang w:val="sr-Cyrl-RS"/>
        </w:rPr>
      </w:pPr>
      <w:bookmarkStart w:id="28" w:name="_Toc342555309"/>
      <w:r w:rsidRPr="000545BA">
        <w:rPr>
          <w:rStyle w:val="IntenseEmphasis"/>
          <w:rFonts w:ascii="Verdana" w:hAnsi="Verdana"/>
          <w:noProof/>
          <w:sz w:val="20"/>
          <w:lang w:val="sr-Cyrl-RS"/>
        </w:rPr>
        <w:t>Тржишно учешће у укупној активној премији реосигурања у земљи</w:t>
      </w:r>
      <w:bookmarkEnd w:id="28"/>
    </w:p>
    <w:tbl>
      <w:tblPr>
        <w:tblW w:w="0" w:type="auto"/>
        <w:tblLook w:val="04A0" w:firstRow="1" w:lastRow="0" w:firstColumn="1" w:lastColumn="0" w:noHBand="0" w:noVBand="1"/>
      </w:tblPr>
      <w:tblGrid>
        <w:gridCol w:w="5594"/>
        <w:gridCol w:w="3692"/>
      </w:tblGrid>
      <w:tr w:rsidR="005001C0" w:rsidRPr="000545BA" w:rsidTr="000545BA">
        <w:trPr>
          <w:trHeight w:val="1861"/>
        </w:trPr>
        <w:tc>
          <w:tcPr>
            <w:tcW w:w="5594" w:type="dxa"/>
          </w:tcPr>
          <w:p w:rsidR="005001C0" w:rsidRPr="000545BA" w:rsidRDefault="005001C0" w:rsidP="000545BA">
            <w:pPr>
              <w:spacing w:after="120"/>
              <w:ind w:hanging="142"/>
              <w:jc w:val="both"/>
              <w:rPr>
                <w:noProof/>
                <w:highlight w:val="yellow"/>
                <w:lang w:val="sr-Cyrl-RS"/>
              </w:rPr>
            </w:pPr>
            <w:r w:rsidRPr="000545BA">
              <w:rPr>
                <w:noProof/>
                <w:lang w:val="sr-Latn-RS" w:eastAsia="sr-Latn-RS"/>
              </w:rPr>
              <w:drawing>
                <wp:inline distT="0" distB="0" distL="0" distR="0" wp14:anchorId="38AA80CF" wp14:editId="001C69FB">
                  <wp:extent cx="3317359" cy="1977656"/>
                  <wp:effectExtent l="38100" t="0" r="3556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3692" w:type="dxa"/>
          </w:tcPr>
          <w:p w:rsidR="00F90E8C" w:rsidRPr="000545BA" w:rsidRDefault="00F90E8C" w:rsidP="005001C0">
            <w:pPr>
              <w:spacing w:before="120" w:after="120" w:line="276" w:lineRule="auto"/>
              <w:ind w:firstLine="284"/>
              <w:jc w:val="both"/>
              <w:rPr>
                <w:rFonts w:ascii="Verdana" w:eastAsia="Calibri" w:hAnsi="Verdana"/>
                <w:noProof/>
                <w:sz w:val="8"/>
                <w:lang w:val="sr-Cyrl-RS"/>
              </w:rPr>
            </w:pPr>
          </w:p>
          <w:p w:rsidR="005001C0" w:rsidRPr="000545BA" w:rsidRDefault="005001C0" w:rsidP="005001C0">
            <w:pPr>
              <w:spacing w:before="120" w:after="120" w:line="276" w:lineRule="auto"/>
              <w:ind w:firstLine="284"/>
              <w:jc w:val="both"/>
              <w:rPr>
                <w:rFonts w:ascii="Verdana" w:eastAsia="Calibri" w:hAnsi="Verdana"/>
                <w:noProof/>
                <w:sz w:val="20"/>
                <w:lang w:val="sr-Cyrl-RS"/>
              </w:rPr>
            </w:pPr>
            <w:r w:rsidRPr="000545BA">
              <w:rPr>
                <w:rFonts w:ascii="Verdana" w:eastAsia="Calibri" w:hAnsi="Verdana"/>
                <w:noProof/>
                <w:sz w:val="20"/>
                <w:lang w:val="sr-Cyrl-RS"/>
              </w:rPr>
              <w:t>Највећу активну премију реосигурања у 2013. години остварио је WIENER RE, 3.012.791 хиљада динара, а на тржишту реосигурања у Србији (посматрано са аспекта учешћа у укупној активној премији реосигурања) учествује са 41%.</w:t>
            </w:r>
          </w:p>
        </w:tc>
      </w:tr>
    </w:tbl>
    <w:p w:rsidR="005001C0" w:rsidRPr="000545BA" w:rsidRDefault="005001C0" w:rsidP="00F90E8C">
      <w:pPr>
        <w:spacing w:before="120" w:after="120" w:line="276" w:lineRule="auto"/>
        <w:ind w:firstLine="284"/>
        <w:jc w:val="both"/>
        <w:rPr>
          <w:rFonts w:ascii="Verdana" w:eastAsia="Calibri" w:hAnsi="Verdana"/>
          <w:noProof/>
          <w:sz w:val="20"/>
          <w:lang w:val="sr-Cyrl-RS"/>
        </w:rPr>
      </w:pPr>
      <w:r w:rsidRPr="000545BA">
        <w:rPr>
          <w:rFonts w:ascii="Verdana" w:eastAsia="Calibri" w:hAnsi="Verdana"/>
          <w:noProof/>
          <w:sz w:val="20"/>
          <w:lang w:val="sr-Cyrl-RS"/>
        </w:rPr>
        <w:t>Следеће друшво по висини остварене активне премије у 2013. години је АД за реосигурање Дунав РЕ, са 2.631.252 хиљада динара и 36% тржишног учешћа.</w:t>
      </w:r>
    </w:p>
    <w:p w:rsidR="005001C0" w:rsidRPr="000545BA" w:rsidRDefault="005001C0" w:rsidP="00F90E8C">
      <w:pPr>
        <w:spacing w:before="120" w:after="120" w:line="276" w:lineRule="auto"/>
        <w:ind w:firstLine="284"/>
        <w:jc w:val="both"/>
        <w:rPr>
          <w:rFonts w:ascii="Verdana" w:eastAsia="Calibri" w:hAnsi="Verdana"/>
          <w:noProof/>
          <w:sz w:val="20"/>
          <w:highlight w:val="yellow"/>
          <w:lang w:val="sr-Cyrl-RS"/>
        </w:rPr>
      </w:pPr>
      <w:r w:rsidRPr="000545BA">
        <w:rPr>
          <w:rFonts w:ascii="Verdana" w:eastAsia="Calibri" w:hAnsi="Verdana"/>
          <w:noProof/>
          <w:sz w:val="20"/>
          <w:lang w:val="sr-Cyrl-RS"/>
        </w:rPr>
        <w:t xml:space="preserve">АД за реосигурање </w:t>
      </w:r>
      <w:r w:rsidRPr="000545BA">
        <w:rPr>
          <w:rFonts w:ascii="Verdana" w:eastAsia="Calibri" w:hAnsi="Verdana"/>
          <w:i/>
          <w:noProof/>
          <w:sz w:val="20"/>
          <w:lang w:val="sr-Cyrl-RS"/>
        </w:rPr>
        <w:t>Delta Generali Reosiguranje</w:t>
      </w:r>
      <w:r w:rsidRPr="000545BA">
        <w:rPr>
          <w:rFonts w:ascii="Verdana" w:eastAsia="Calibri" w:hAnsi="Verdana"/>
          <w:noProof/>
          <w:sz w:val="20"/>
          <w:lang w:val="sr-Cyrl-RS"/>
        </w:rPr>
        <w:t xml:space="preserve"> и ДДОР РЕ заједно остварили су укупну активну премију у износу од 1.7453333 хиљада динара и заузимају преосталих 23% тржишта.</w:t>
      </w:r>
    </w:p>
    <w:tbl>
      <w:tblPr>
        <w:tblW w:w="9270" w:type="dxa"/>
        <w:tblLayout w:type="fixed"/>
        <w:tblLook w:val="04A0" w:firstRow="1" w:lastRow="0" w:firstColumn="1" w:lastColumn="0" w:noHBand="0" w:noVBand="1"/>
      </w:tblPr>
      <w:tblGrid>
        <w:gridCol w:w="5040"/>
        <w:gridCol w:w="4230"/>
      </w:tblGrid>
      <w:tr w:rsidR="005001C0" w:rsidRPr="000545BA" w:rsidTr="000545BA">
        <w:tc>
          <w:tcPr>
            <w:tcW w:w="5040" w:type="dxa"/>
          </w:tcPr>
          <w:p w:rsidR="005001C0" w:rsidRPr="000545BA" w:rsidRDefault="005001C0" w:rsidP="000545BA">
            <w:pPr>
              <w:pStyle w:val="NoSpacing"/>
              <w:ind w:hanging="426"/>
              <w:rPr>
                <w:noProof/>
                <w:lang w:val="sr-Cyrl-RS"/>
              </w:rPr>
            </w:pPr>
            <w:r w:rsidRPr="000545BA">
              <w:rPr>
                <w:noProof/>
                <w:lang w:val="sr-Latn-RS" w:eastAsia="sr-Latn-RS"/>
              </w:rPr>
              <w:drawing>
                <wp:inline distT="0" distB="0" distL="0" distR="0" wp14:anchorId="5D1A816C" wp14:editId="5CE3F1C3">
                  <wp:extent cx="3429000" cy="1657350"/>
                  <wp:effectExtent l="0" t="19050" r="0" b="0"/>
                  <wp:docPr id="672" name="Chart 6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230" w:type="dxa"/>
          </w:tcPr>
          <w:p w:rsidR="005001C0" w:rsidRPr="000545BA" w:rsidRDefault="005001C0" w:rsidP="00F90E8C">
            <w:pPr>
              <w:spacing w:before="120" w:after="120" w:line="276" w:lineRule="auto"/>
              <w:ind w:firstLine="284"/>
              <w:jc w:val="both"/>
              <w:rPr>
                <w:rFonts w:ascii="Verdana" w:eastAsia="Calibri" w:hAnsi="Verdana"/>
                <w:noProof/>
                <w:sz w:val="20"/>
                <w:lang w:val="sr-Cyrl-RS"/>
              </w:rPr>
            </w:pPr>
            <w:r w:rsidRPr="000545BA">
              <w:rPr>
                <w:rFonts w:ascii="Verdana" w:eastAsia="Calibri" w:hAnsi="Verdana"/>
                <w:noProof/>
                <w:sz w:val="20"/>
                <w:lang w:val="sr-Cyrl-RS"/>
              </w:rPr>
              <w:t>Са аспекта учешћа у укупној премији у самопридржају друштава за реосигурање, WIENER RE је и у овом сегменту остварио највеће тржишно учешће од 54%, док је Дунав РЕ са 47% колико је тржишно учешће износило у 2012. години пао на 41% учешћа у укупно оствареној премији у самопридржају друштава за реосигурање на домаћем тржишту.</w:t>
            </w:r>
          </w:p>
        </w:tc>
      </w:tr>
    </w:tbl>
    <w:p w:rsidR="009761AF" w:rsidRPr="000545BA" w:rsidRDefault="009761AF" w:rsidP="00505861">
      <w:pPr>
        <w:pStyle w:val="Heading1"/>
        <w:numPr>
          <w:ilvl w:val="1"/>
          <w:numId w:val="3"/>
        </w:numPr>
        <w:tabs>
          <w:tab w:val="clear" w:pos="336"/>
        </w:tabs>
        <w:spacing w:before="360" w:after="360"/>
        <w:ind w:left="1440" w:hanging="811"/>
        <w:jc w:val="left"/>
        <w:rPr>
          <w:rFonts w:ascii="Verdana" w:hAnsi="Verdana" w:cs="Tahoma"/>
          <w:noProof/>
          <w:color w:val="365F91"/>
          <w:sz w:val="20"/>
          <w:szCs w:val="18"/>
          <w:lang w:val="sr-Cyrl-RS"/>
        </w:rPr>
      </w:pPr>
      <w:bookmarkStart w:id="29" w:name="_Toc414610333"/>
      <w:r w:rsidRPr="000545BA">
        <w:rPr>
          <w:rFonts w:ascii="Verdana" w:hAnsi="Verdana" w:cs="Tahoma"/>
          <w:noProof/>
          <w:color w:val="365F91"/>
          <w:sz w:val="20"/>
          <w:szCs w:val="18"/>
          <w:lang w:val="sr-Cyrl-RS"/>
        </w:rPr>
        <w:t>SWOT анализа</w:t>
      </w:r>
      <w:bookmarkEnd w:id="29"/>
      <w:r w:rsidRPr="000545BA">
        <w:rPr>
          <w:rFonts w:ascii="Verdana" w:hAnsi="Verdana" w:cs="Tahoma"/>
          <w:noProof/>
          <w:color w:val="365F91"/>
          <w:sz w:val="20"/>
          <w:szCs w:val="18"/>
          <w:lang w:val="sr-Cyrl-RS"/>
        </w:rPr>
        <w:t xml:space="preserve"> </w:t>
      </w:r>
    </w:p>
    <w:p w:rsidR="00440FC1" w:rsidRPr="000545BA" w:rsidRDefault="00E864AD" w:rsidP="004147AD">
      <w:pPr>
        <w:jc w:val="center"/>
        <w:rPr>
          <w:rFonts w:ascii="Verdana" w:hAnsi="Verdana"/>
          <w:noProof/>
          <w:vanish/>
          <w:lang w:val="sr-Cyrl-RS"/>
          <w:specVanish/>
        </w:rPr>
      </w:pPr>
      <w:r w:rsidRPr="000545BA">
        <w:rPr>
          <w:rFonts w:ascii="Verdana" w:hAnsi="Verdana"/>
          <w:noProof/>
          <w:lang w:val="sr-Latn-RS" w:eastAsia="sr-Latn-RS"/>
        </w:rPr>
        <w:drawing>
          <wp:inline distT="0" distB="0" distL="0" distR="0" wp14:anchorId="2FBEB2C9" wp14:editId="41DDA6E8">
            <wp:extent cx="5486400" cy="4688958"/>
            <wp:effectExtent l="0" t="0" r="38100" b="1651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D6235F" w:rsidRPr="000545BA" w:rsidRDefault="00D6235F" w:rsidP="00F81A3C">
      <w:pPr>
        <w:pStyle w:val="Subtitle"/>
        <w:spacing w:after="240"/>
        <w:jc w:val="left"/>
        <w:rPr>
          <w:rStyle w:val="IntenseEmphasis"/>
          <w:rFonts w:ascii="Verdana" w:hAnsi="Verdana" w:cs="Times New Roman"/>
          <w:noProof/>
          <w:sz w:val="18"/>
          <w:lang w:val="sr-Cyrl-RS"/>
        </w:rPr>
      </w:pPr>
    </w:p>
    <w:p w:rsidR="00F90E8C" w:rsidRPr="000545BA" w:rsidRDefault="00F90E8C" w:rsidP="00F90E8C">
      <w:pPr>
        <w:pStyle w:val="NoSpacing"/>
        <w:rPr>
          <w:rStyle w:val="IntenseEmphasis"/>
          <w:rFonts w:ascii="Verdana" w:hAnsi="Verdana"/>
          <w:noProof/>
          <w:sz w:val="18"/>
          <w:lang w:val="sr-Cyrl-RS"/>
        </w:rPr>
      </w:pPr>
    </w:p>
    <w:p w:rsidR="00505861" w:rsidRPr="000545BA" w:rsidRDefault="00505861" w:rsidP="00F81A3C">
      <w:pPr>
        <w:pStyle w:val="Subtitle"/>
        <w:spacing w:after="240"/>
        <w:jc w:val="left"/>
        <w:rPr>
          <w:rStyle w:val="IntenseEmphasis"/>
          <w:rFonts w:ascii="Verdana" w:hAnsi="Verdana" w:cs="Times New Roman"/>
          <w:noProof/>
          <w:sz w:val="22"/>
          <w:lang w:val="sr-Cyrl-RS"/>
        </w:rPr>
      </w:pPr>
      <w:r w:rsidRPr="000545BA">
        <w:rPr>
          <w:rStyle w:val="IntenseEmphasis"/>
          <w:rFonts w:ascii="Verdana" w:hAnsi="Verdana" w:cs="Times New Roman"/>
          <w:noProof/>
          <w:sz w:val="18"/>
          <w:lang w:val="sr-Cyrl-RS"/>
        </w:rPr>
        <w:t>Снага</w:t>
      </w:r>
      <w:r w:rsidRPr="000545BA">
        <w:rPr>
          <w:rStyle w:val="IntenseEmphasis"/>
          <w:rFonts w:ascii="Verdana" w:hAnsi="Verdana" w:cs="Times New Roman"/>
          <w:noProof/>
          <w:sz w:val="22"/>
          <w:lang w:val="sr-Cyrl-RS"/>
        </w:rPr>
        <w:t xml:space="preserve"> </w:t>
      </w:r>
    </w:p>
    <w:p w:rsidR="00505861" w:rsidRPr="000545BA" w:rsidRDefault="00505861" w:rsidP="00E13441">
      <w:pPr>
        <w:spacing w:before="120" w:after="120" w:line="276" w:lineRule="auto"/>
        <w:ind w:firstLine="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Друштво има искуство на пољу реосигурања преко 30 година што га чини препознатљивим партнером на тржишту рео</w:t>
      </w:r>
      <w:r w:rsidR="00F90E8C" w:rsidRPr="000545BA">
        <w:rPr>
          <w:rFonts w:ascii="Verdana" w:eastAsia="Calibri" w:hAnsi="Verdana"/>
          <w:noProof/>
          <w:sz w:val="20"/>
          <w:szCs w:val="22"/>
          <w:lang w:val="sr-Cyrl-RS" w:eastAsia="en-US"/>
        </w:rPr>
        <w:t>сигурања у земљи и иностранству са угледом високо-професионалног реосигуравача и на међународном тржишту.</w:t>
      </w:r>
    </w:p>
    <w:p w:rsidR="0090019A" w:rsidRPr="000545BA" w:rsidRDefault="0090019A" w:rsidP="00E13441">
      <w:pPr>
        <w:spacing w:before="120" w:after="120" w:line="276" w:lineRule="auto"/>
        <w:ind w:firstLine="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Приликом ретроцесије вишка ризика</w:t>
      </w:r>
      <w:r w:rsidR="00F90E8C" w:rsidRPr="000545BA">
        <w:rPr>
          <w:rFonts w:ascii="Verdana" w:eastAsia="Calibri" w:hAnsi="Verdana"/>
          <w:noProof/>
          <w:sz w:val="20"/>
          <w:szCs w:val="22"/>
          <w:lang w:val="sr-Cyrl-RS" w:eastAsia="en-US"/>
        </w:rPr>
        <w:t>, односно</w:t>
      </w:r>
      <w:r w:rsidRPr="000545BA">
        <w:rPr>
          <w:rFonts w:ascii="Verdana" w:eastAsia="Calibri" w:hAnsi="Verdana"/>
          <w:noProof/>
          <w:sz w:val="20"/>
          <w:szCs w:val="22"/>
          <w:lang w:val="sr-Cyrl-RS" w:eastAsia="en-US"/>
        </w:rPr>
        <w:t xml:space="preserve"> вишка штета</w:t>
      </w:r>
      <w:r w:rsidR="00F90E8C" w:rsidRPr="000545BA">
        <w:rPr>
          <w:rFonts w:ascii="Verdana" w:eastAsia="Calibri" w:hAnsi="Verdana"/>
          <w:noProof/>
          <w:sz w:val="20"/>
          <w:szCs w:val="22"/>
          <w:lang w:val="sr-Cyrl-RS" w:eastAsia="en-US"/>
        </w:rPr>
        <w:t>,</w:t>
      </w:r>
      <w:r w:rsidRPr="000545BA">
        <w:rPr>
          <w:rFonts w:ascii="Verdana" w:eastAsia="Calibri" w:hAnsi="Verdana"/>
          <w:noProof/>
          <w:sz w:val="20"/>
          <w:szCs w:val="22"/>
          <w:lang w:val="sr-Cyrl-RS" w:eastAsia="en-US"/>
        </w:rPr>
        <w:t xml:space="preserve"> </w:t>
      </w:r>
      <w:r w:rsidR="00505861" w:rsidRPr="000545BA">
        <w:rPr>
          <w:rFonts w:ascii="Verdana" w:eastAsia="Calibri" w:hAnsi="Verdana"/>
          <w:noProof/>
          <w:sz w:val="20"/>
          <w:szCs w:val="22"/>
          <w:lang w:val="sr-Cyrl-RS" w:eastAsia="en-US"/>
        </w:rPr>
        <w:t>Друштво нарочито води рачуна о бонитету</w:t>
      </w:r>
      <w:r w:rsidRPr="000545BA">
        <w:rPr>
          <w:rFonts w:ascii="Verdana" w:eastAsia="Calibri" w:hAnsi="Verdana"/>
          <w:noProof/>
          <w:sz w:val="20"/>
          <w:szCs w:val="22"/>
          <w:lang w:val="sr-Cyrl-RS" w:eastAsia="en-US"/>
        </w:rPr>
        <w:t xml:space="preserve"> реосигуравача као и квалитету остварене дисперзије ризика. </w:t>
      </w:r>
      <w:r w:rsidR="00F90E8C" w:rsidRPr="000545BA">
        <w:rPr>
          <w:rFonts w:ascii="Verdana" w:eastAsia="Calibri" w:hAnsi="Verdana"/>
          <w:noProof/>
          <w:sz w:val="20"/>
          <w:szCs w:val="22"/>
          <w:lang w:val="sr-Cyrl-RS" w:eastAsia="en-US"/>
        </w:rPr>
        <w:t>Д</w:t>
      </w:r>
      <w:r w:rsidRPr="000545BA">
        <w:rPr>
          <w:rFonts w:ascii="Verdana" w:eastAsia="Calibri" w:hAnsi="Verdana"/>
          <w:noProof/>
          <w:sz w:val="20"/>
          <w:szCs w:val="22"/>
          <w:lang w:val="sr-Cyrl-RS" w:eastAsia="en-US"/>
        </w:rPr>
        <w:t>унав Ре је као дугогодишњи партнер присутан код најпознатијих светских реосигуравача:</w:t>
      </w:r>
      <w:r w:rsidRPr="000545BA">
        <w:rPr>
          <w:rFonts w:ascii="Verdana" w:eastAsia="Calibri" w:hAnsi="Verdana"/>
          <w:i/>
          <w:noProof/>
          <w:sz w:val="20"/>
          <w:szCs w:val="22"/>
          <w:lang w:val="sr-Cyrl-RS" w:eastAsia="en-US"/>
        </w:rPr>
        <w:t xml:space="preserve"> Lloyd’s, Swiss Re,SCOR, Hannover Re,Trans Re, Partner Re</w:t>
      </w:r>
      <w:r w:rsidRPr="000545BA">
        <w:rPr>
          <w:rFonts w:ascii="Verdana" w:eastAsia="Calibri" w:hAnsi="Verdana"/>
          <w:noProof/>
          <w:sz w:val="20"/>
          <w:szCs w:val="22"/>
          <w:lang w:val="sr-Cyrl-RS" w:eastAsia="en-US"/>
        </w:rPr>
        <w:t xml:space="preserve">, </w:t>
      </w:r>
      <w:r w:rsidRPr="000545BA">
        <w:rPr>
          <w:rFonts w:ascii="Verdana" w:eastAsia="Calibri" w:hAnsi="Verdana"/>
          <w:i/>
          <w:noProof/>
          <w:sz w:val="20"/>
          <w:szCs w:val="22"/>
          <w:lang w:val="sr-Cyrl-RS" w:eastAsia="en-US"/>
        </w:rPr>
        <w:t>Odyssey Re</w:t>
      </w:r>
      <w:r w:rsidRPr="000545BA">
        <w:rPr>
          <w:rFonts w:ascii="Verdana" w:eastAsia="Calibri" w:hAnsi="Verdana"/>
          <w:noProof/>
          <w:sz w:val="20"/>
          <w:szCs w:val="22"/>
          <w:lang w:val="sr-Cyrl-RS" w:eastAsia="en-US"/>
        </w:rPr>
        <w:t xml:space="preserve">, </w:t>
      </w:r>
      <w:r w:rsidRPr="000545BA">
        <w:rPr>
          <w:rFonts w:ascii="Verdana" w:eastAsia="Calibri" w:hAnsi="Verdana"/>
          <w:i/>
          <w:noProof/>
          <w:sz w:val="20"/>
          <w:szCs w:val="22"/>
          <w:lang w:val="sr-Cyrl-RS" w:eastAsia="en-US"/>
        </w:rPr>
        <w:t>Sirius Re</w:t>
      </w:r>
      <w:r w:rsidRPr="000545BA">
        <w:rPr>
          <w:rFonts w:ascii="Verdana" w:eastAsia="Calibri" w:hAnsi="Verdana"/>
          <w:noProof/>
          <w:sz w:val="20"/>
          <w:szCs w:val="22"/>
          <w:lang w:val="sr-Cyrl-RS" w:eastAsia="en-US"/>
        </w:rPr>
        <w:t xml:space="preserve"> i dr.</w:t>
      </w:r>
    </w:p>
    <w:p w:rsidR="004147AD" w:rsidRPr="000545BA" w:rsidRDefault="00505861" w:rsidP="00E13441">
      <w:pPr>
        <w:spacing w:before="120" w:after="120" w:line="276" w:lineRule="auto"/>
        <w:ind w:firstLine="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 наредном периоду предстоји очување и ј</w:t>
      </w:r>
      <w:r w:rsidR="0090019A" w:rsidRPr="000545BA">
        <w:rPr>
          <w:rFonts w:ascii="Verdana" w:eastAsia="Calibri" w:hAnsi="Verdana"/>
          <w:noProof/>
          <w:sz w:val="20"/>
          <w:szCs w:val="22"/>
          <w:lang w:val="sr-Cyrl-RS" w:eastAsia="en-US"/>
        </w:rPr>
        <w:t>ачање постојеће позиције како</w:t>
      </w:r>
      <w:r w:rsidRPr="000545BA">
        <w:rPr>
          <w:rFonts w:ascii="Verdana" w:eastAsia="Calibri" w:hAnsi="Verdana"/>
          <w:noProof/>
          <w:sz w:val="20"/>
          <w:szCs w:val="22"/>
          <w:lang w:val="sr-Cyrl-RS" w:eastAsia="en-US"/>
        </w:rPr>
        <w:t xml:space="preserve"> </w:t>
      </w:r>
      <w:r w:rsidR="0090019A" w:rsidRPr="000545BA">
        <w:rPr>
          <w:rFonts w:ascii="Verdana" w:eastAsia="Calibri" w:hAnsi="Verdana"/>
          <w:noProof/>
          <w:sz w:val="20"/>
          <w:szCs w:val="22"/>
          <w:lang w:val="sr-Cyrl-RS" w:eastAsia="en-US"/>
        </w:rPr>
        <w:t>на домаћем тржишту, taко и на иностраном.</w:t>
      </w:r>
      <w:r w:rsidRPr="000545BA">
        <w:rPr>
          <w:rFonts w:ascii="Verdana" w:eastAsia="Calibri" w:hAnsi="Verdana"/>
          <w:noProof/>
          <w:sz w:val="20"/>
          <w:szCs w:val="22"/>
          <w:lang w:val="sr-Cyrl-RS" w:eastAsia="en-US"/>
        </w:rPr>
        <w:t xml:space="preserve"> </w:t>
      </w:r>
    </w:p>
    <w:p w:rsidR="00505861" w:rsidRPr="000545BA" w:rsidRDefault="00505861" w:rsidP="00505861">
      <w:pPr>
        <w:pStyle w:val="Subtitle"/>
        <w:spacing w:before="120" w:line="276" w:lineRule="auto"/>
        <w:jc w:val="left"/>
        <w:rPr>
          <w:rStyle w:val="IntenseEmphasis"/>
          <w:rFonts w:ascii="Verdana" w:hAnsi="Verdana" w:cs="Times New Roman"/>
          <w:noProof/>
          <w:sz w:val="18"/>
          <w:lang w:val="sr-Cyrl-RS"/>
        </w:rPr>
      </w:pPr>
      <w:r w:rsidRPr="000545BA">
        <w:rPr>
          <w:rStyle w:val="IntenseEmphasis"/>
          <w:rFonts w:ascii="Verdana" w:hAnsi="Verdana" w:cs="Times New Roman"/>
          <w:noProof/>
          <w:sz w:val="18"/>
          <w:lang w:val="sr-Cyrl-RS"/>
        </w:rPr>
        <w:t>Слабости</w:t>
      </w:r>
    </w:p>
    <w:p w:rsidR="00505861" w:rsidRPr="000545BA" w:rsidRDefault="00505861" w:rsidP="00505861">
      <w:pPr>
        <w:spacing w:before="120" w:after="120" w:line="276" w:lineRule="auto"/>
        <w:ind w:firstLine="36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Основне слабости Друштва су: </w:t>
      </w:r>
    </w:p>
    <w:p w:rsidR="001C02DE" w:rsidRPr="000545BA" w:rsidRDefault="001C02DE" w:rsidP="00AA625F">
      <w:pPr>
        <w:pStyle w:val="NoSpacing"/>
        <w:numPr>
          <w:ilvl w:val="0"/>
          <w:numId w:val="12"/>
        </w:numPr>
        <w:spacing w:line="276" w:lineRule="auto"/>
        <w:ind w:left="714" w:hanging="357"/>
        <w:jc w:val="both"/>
        <w:rPr>
          <w:rFonts w:ascii="Verdana" w:eastAsia="Calibri" w:hAnsi="Verdana"/>
          <w:noProof/>
          <w:sz w:val="20"/>
          <w:lang w:val="sr-Cyrl-RS"/>
        </w:rPr>
      </w:pPr>
      <w:r w:rsidRPr="000545BA">
        <w:rPr>
          <w:rFonts w:ascii="Verdana" w:eastAsia="Calibri" w:hAnsi="Verdana"/>
          <w:noProof/>
          <w:sz w:val="20"/>
          <w:lang w:val="sr-Cyrl-RS"/>
        </w:rPr>
        <w:t>Недовољно развијен информациони систем.</w:t>
      </w:r>
    </w:p>
    <w:p w:rsidR="001C02DE" w:rsidRPr="000545BA" w:rsidRDefault="00F90E8C" w:rsidP="00AA625F">
      <w:pPr>
        <w:pStyle w:val="NoSpacing"/>
        <w:numPr>
          <w:ilvl w:val="0"/>
          <w:numId w:val="12"/>
        </w:numPr>
        <w:spacing w:line="276" w:lineRule="auto"/>
        <w:ind w:left="714" w:hanging="357"/>
        <w:jc w:val="both"/>
        <w:rPr>
          <w:rFonts w:ascii="Verdana" w:eastAsia="Calibri" w:hAnsi="Verdana"/>
          <w:noProof/>
          <w:sz w:val="20"/>
          <w:lang w:val="sr-Cyrl-RS"/>
        </w:rPr>
      </w:pPr>
      <w:r w:rsidRPr="000545BA">
        <w:rPr>
          <w:rFonts w:ascii="Verdana" w:eastAsia="Calibri" w:hAnsi="Verdana"/>
          <w:noProof/>
          <w:sz w:val="20"/>
          <w:lang w:val="sr-Cyrl-RS"/>
        </w:rPr>
        <w:t>Н</w:t>
      </w:r>
      <w:r w:rsidR="001C02DE" w:rsidRPr="000545BA">
        <w:rPr>
          <w:rFonts w:ascii="Verdana" w:eastAsia="Calibri" w:hAnsi="Verdana"/>
          <w:noProof/>
          <w:sz w:val="20"/>
          <w:lang w:val="sr-Cyrl-RS"/>
        </w:rPr>
        <w:t>едостатак рејтинга додељеног од међународно признате агенције, уз ограничавајући фактор тренутно слабог рејтинга земље</w:t>
      </w:r>
      <w:r w:rsidRPr="000545BA">
        <w:rPr>
          <w:rFonts w:ascii="Verdana" w:eastAsia="Calibri" w:hAnsi="Verdana"/>
          <w:noProof/>
          <w:sz w:val="20"/>
          <w:lang w:val="sr-Cyrl-RS"/>
        </w:rPr>
        <w:t>.</w:t>
      </w:r>
    </w:p>
    <w:p w:rsidR="00F90E8C" w:rsidRPr="000545BA" w:rsidRDefault="00F90E8C" w:rsidP="00F90E8C">
      <w:pPr>
        <w:pStyle w:val="NoSpacing"/>
        <w:spacing w:before="120" w:after="120" w:line="276" w:lineRule="auto"/>
        <w:ind w:firstLine="426"/>
        <w:jc w:val="both"/>
        <w:rPr>
          <w:rFonts w:ascii="Verdana" w:eastAsia="Calibri" w:hAnsi="Verdana"/>
          <w:noProof/>
          <w:sz w:val="20"/>
          <w:lang w:val="sr-Cyrl-RS"/>
        </w:rPr>
      </w:pPr>
      <w:r w:rsidRPr="000545BA">
        <w:rPr>
          <w:rFonts w:ascii="Verdana" w:eastAsia="Calibri" w:hAnsi="Verdana"/>
          <w:noProof/>
          <w:sz w:val="20"/>
          <w:lang w:val="sr-Cyrl-RS"/>
        </w:rPr>
        <w:t>Друштво је Планом пословања за 2015. годину предвидело откањање прве идентификоване слабости, односно развој информационог система који ће на оптималан начин подржати пословне процесе Друштва.</w:t>
      </w:r>
    </w:p>
    <w:p w:rsidR="00F90E8C" w:rsidRPr="000545BA" w:rsidRDefault="00F90E8C" w:rsidP="00F90E8C">
      <w:pPr>
        <w:pStyle w:val="NoSpacing"/>
        <w:spacing w:before="120" w:after="120" w:line="276" w:lineRule="auto"/>
        <w:ind w:firstLine="426"/>
        <w:jc w:val="both"/>
        <w:rPr>
          <w:rFonts w:ascii="Verdana" w:eastAsia="Calibri" w:hAnsi="Verdana"/>
          <w:noProof/>
          <w:sz w:val="20"/>
          <w:lang w:val="sr-Cyrl-RS"/>
        </w:rPr>
      </w:pPr>
      <w:r w:rsidRPr="000545BA">
        <w:rPr>
          <w:rFonts w:ascii="Verdana" w:eastAsia="Calibri" w:hAnsi="Verdana"/>
          <w:noProof/>
          <w:sz w:val="20"/>
          <w:lang w:val="sr-Cyrl-RS"/>
        </w:rPr>
        <w:t xml:space="preserve">Краткорочним плану није предвиђено </w:t>
      </w:r>
      <w:r w:rsidR="00E13441" w:rsidRPr="000545BA">
        <w:rPr>
          <w:rFonts w:ascii="Verdana" w:eastAsia="Calibri" w:hAnsi="Verdana"/>
          <w:noProof/>
          <w:sz w:val="20"/>
          <w:lang w:val="sr-Cyrl-RS"/>
        </w:rPr>
        <w:t xml:space="preserve">добијање рејтинга од међународно признате агенције, а овоме ће се приступити тек када Друштво оцени да ће трошкови прибављања уз ограничење максималног нива рејтинга који се може добити бити нижи од користи које би Друштво имало од добијања рејтинга.  </w:t>
      </w:r>
    </w:p>
    <w:p w:rsidR="00505861" w:rsidRPr="000545BA" w:rsidRDefault="00505861" w:rsidP="00505861">
      <w:pPr>
        <w:pStyle w:val="Subtitle"/>
        <w:spacing w:before="120" w:line="276" w:lineRule="auto"/>
        <w:rPr>
          <w:rFonts w:ascii="Tahoma" w:hAnsi="Tahoma" w:cs="Tahoma"/>
          <w:b/>
          <w:noProof/>
          <w:color w:val="365F91"/>
          <w:sz w:val="2"/>
          <w:szCs w:val="2"/>
          <w:highlight w:val="yellow"/>
          <w:u w:val="single"/>
          <w:lang w:val="sr-Cyrl-RS"/>
        </w:rPr>
      </w:pPr>
    </w:p>
    <w:p w:rsidR="00505861" w:rsidRPr="000545BA" w:rsidRDefault="00505861" w:rsidP="00505861">
      <w:pPr>
        <w:pStyle w:val="Subtitle"/>
        <w:spacing w:before="120" w:line="276" w:lineRule="auto"/>
        <w:jc w:val="left"/>
        <w:rPr>
          <w:rStyle w:val="IntenseEmphasis"/>
          <w:rFonts w:ascii="Verdana" w:hAnsi="Verdana" w:cs="Times New Roman"/>
          <w:noProof/>
          <w:sz w:val="18"/>
          <w:lang w:val="sr-Cyrl-RS"/>
        </w:rPr>
      </w:pPr>
      <w:r w:rsidRPr="000545BA">
        <w:rPr>
          <w:rStyle w:val="IntenseEmphasis"/>
          <w:rFonts w:ascii="Verdana" w:hAnsi="Verdana" w:cs="Times New Roman"/>
          <w:noProof/>
          <w:sz w:val="18"/>
          <w:lang w:val="sr-Cyrl-RS"/>
        </w:rPr>
        <w:t>Могућности</w:t>
      </w:r>
    </w:p>
    <w:p w:rsidR="001C02DE" w:rsidRPr="000545BA" w:rsidRDefault="001C02DE" w:rsidP="00AA625F">
      <w:pPr>
        <w:pStyle w:val="NoSpacing"/>
        <w:numPr>
          <w:ilvl w:val="0"/>
          <w:numId w:val="12"/>
        </w:numPr>
        <w:spacing w:line="276" w:lineRule="auto"/>
        <w:ind w:left="714" w:hanging="357"/>
        <w:jc w:val="both"/>
        <w:rPr>
          <w:rFonts w:ascii="Verdana" w:eastAsia="Calibri" w:hAnsi="Verdana"/>
          <w:noProof/>
          <w:sz w:val="20"/>
          <w:lang w:val="sr-Cyrl-RS"/>
        </w:rPr>
      </w:pPr>
      <w:r w:rsidRPr="000545BA">
        <w:rPr>
          <w:rFonts w:ascii="Verdana" w:eastAsia="Calibri" w:hAnsi="Verdana"/>
          <w:noProof/>
          <w:sz w:val="20"/>
          <w:lang w:val="sr-Cyrl-RS"/>
        </w:rPr>
        <w:t>развој хоризонталне ретроцесије на локалном тржишту реосигурања</w:t>
      </w:r>
    </w:p>
    <w:p w:rsidR="001C02DE" w:rsidRPr="000545BA" w:rsidRDefault="001C02DE" w:rsidP="00AA625F">
      <w:pPr>
        <w:pStyle w:val="NoSpacing"/>
        <w:numPr>
          <w:ilvl w:val="0"/>
          <w:numId w:val="12"/>
        </w:numPr>
        <w:spacing w:line="276" w:lineRule="auto"/>
        <w:ind w:left="714" w:hanging="357"/>
        <w:jc w:val="both"/>
        <w:rPr>
          <w:rFonts w:ascii="Verdana" w:eastAsia="Calibri" w:hAnsi="Verdana"/>
          <w:noProof/>
          <w:sz w:val="20"/>
          <w:lang w:val="sr-Cyrl-RS"/>
        </w:rPr>
      </w:pPr>
      <w:r w:rsidRPr="000545BA">
        <w:rPr>
          <w:rFonts w:ascii="Verdana" w:eastAsia="Calibri" w:hAnsi="Verdana"/>
          <w:noProof/>
          <w:sz w:val="20"/>
          <w:lang w:val="sr-Cyrl-RS"/>
        </w:rPr>
        <w:t>обезбеђење додатних капацитета за аутоматска реосигурања на ино-тржишту за</w:t>
      </w:r>
      <w:r w:rsidRPr="000545BA">
        <w:rPr>
          <w:rFonts w:asciiTheme="minorHAnsi" w:hAnsiTheme="minorHAnsi"/>
          <w:noProof/>
          <w:lang w:val="sr-Cyrl-RS"/>
        </w:rPr>
        <w:t xml:space="preserve"> </w:t>
      </w:r>
      <w:r w:rsidRPr="000545BA">
        <w:rPr>
          <w:rFonts w:ascii="Verdana" w:eastAsia="Calibri" w:hAnsi="Verdana"/>
          <w:noProof/>
          <w:sz w:val="20"/>
          <w:lang w:val="sr-Cyrl-RS"/>
        </w:rPr>
        <w:t>нове послове према развоју потреба тржи</w:t>
      </w:r>
      <w:r w:rsidR="006B1EAA" w:rsidRPr="000545BA">
        <w:rPr>
          <w:rFonts w:ascii="Verdana" w:eastAsia="Calibri" w:hAnsi="Verdana"/>
          <w:noProof/>
          <w:sz w:val="20"/>
          <w:lang w:val="sr-Cyrl-RS"/>
        </w:rPr>
        <w:t xml:space="preserve">шта тј. аутоматски капацитети реосигурања и за мање портфеље тј. Цеденте, нове производе на локалном тржишту. </w:t>
      </w:r>
    </w:p>
    <w:p w:rsidR="00505861" w:rsidRPr="000545BA" w:rsidRDefault="00505861" w:rsidP="00C5687F">
      <w:pPr>
        <w:pStyle w:val="ListParagraph"/>
        <w:suppressAutoHyphens w:val="0"/>
        <w:spacing w:before="120" w:after="120" w:line="276" w:lineRule="auto"/>
        <w:ind w:left="0"/>
        <w:rPr>
          <w:rStyle w:val="IntenseEmphasis"/>
          <w:rFonts w:ascii="Verdana" w:hAnsi="Verdana"/>
          <w:noProof/>
          <w:sz w:val="18"/>
          <w:lang w:val="sr-Cyrl-RS"/>
        </w:rPr>
      </w:pPr>
      <w:r w:rsidRPr="000545BA">
        <w:rPr>
          <w:rStyle w:val="IntenseEmphasis"/>
          <w:rFonts w:ascii="Verdana" w:hAnsi="Verdana"/>
          <w:noProof/>
          <w:sz w:val="18"/>
          <w:lang w:val="sr-Cyrl-RS"/>
        </w:rPr>
        <w:t>Претње</w:t>
      </w:r>
    </w:p>
    <w:p w:rsidR="000240C6" w:rsidRPr="000545BA" w:rsidRDefault="00505861" w:rsidP="00E13441">
      <w:pPr>
        <w:spacing w:before="120" w:after="120" w:line="276" w:lineRule="auto"/>
        <w:ind w:firstLine="360"/>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Поред тешкоћа изазваних финансијском кризом, појачана конкуренција на тржишту реосигурања додатно ће отежати пословање Друштва у наредном периоду. </w:t>
      </w:r>
    </w:p>
    <w:p w:rsidR="00E13441" w:rsidRPr="000545BA" w:rsidRDefault="00E13441" w:rsidP="00E13441">
      <w:pPr>
        <w:spacing w:before="120" w:line="276" w:lineRule="auto"/>
        <w:ind w:firstLine="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Даља либерализација тржишта осигурања и реосигурања повећава ризик везан за:</w:t>
      </w:r>
    </w:p>
    <w:p w:rsidR="00E13441" w:rsidRPr="000545BA" w:rsidRDefault="00E13441" w:rsidP="00AA625F">
      <w:pPr>
        <w:numPr>
          <w:ilvl w:val="0"/>
          <w:numId w:val="14"/>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слабљење контроле над тржиштем осигурања,</w:t>
      </w:r>
    </w:p>
    <w:p w:rsidR="00E13441" w:rsidRPr="000545BA" w:rsidRDefault="00E13441" w:rsidP="00AA625F">
      <w:pPr>
        <w:numPr>
          <w:ilvl w:val="0"/>
          <w:numId w:val="13"/>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нелојалну конкуренцију,</w:t>
      </w:r>
    </w:p>
    <w:p w:rsidR="00E13441" w:rsidRPr="000545BA" w:rsidRDefault="00E13441" w:rsidP="00AA625F">
      <w:pPr>
        <w:numPr>
          <w:ilvl w:val="0"/>
          <w:numId w:val="13"/>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гашење реосигуравајућих друштава у већинском страним власништву и повлачење капитала,</w:t>
      </w:r>
    </w:p>
    <w:p w:rsidR="00E13441" w:rsidRPr="000545BA" w:rsidRDefault="00E13441" w:rsidP="00AA625F">
      <w:pPr>
        <w:numPr>
          <w:ilvl w:val="0"/>
          <w:numId w:val="13"/>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ризик одлива техничке премије,</w:t>
      </w:r>
    </w:p>
    <w:p w:rsidR="00E13441" w:rsidRPr="000545BA" w:rsidRDefault="00E13441" w:rsidP="00AA625F">
      <w:pPr>
        <w:numPr>
          <w:ilvl w:val="0"/>
          <w:numId w:val="13"/>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ризик смањења премије испод ниова довољног за покриће штета и</w:t>
      </w:r>
    </w:p>
    <w:p w:rsidR="00E13441" w:rsidRPr="000545BA" w:rsidRDefault="00E13441" w:rsidP="00AA625F">
      <w:pPr>
        <w:numPr>
          <w:ilvl w:val="0"/>
          <w:numId w:val="13"/>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ризик повећане флуктуације  осигураника и раста трошкова администрирања.</w:t>
      </w:r>
    </w:p>
    <w:p w:rsidR="00E13441" w:rsidRPr="000545BA" w:rsidRDefault="00E13441" w:rsidP="00E13441">
      <w:pPr>
        <w:pStyle w:val="ListParagraph"/>
        <w:spacing w:line="276" w:lineRule="auto"/>
        <w:jc w:val="both"/>
        <w:rPr>
          <w:rFonts w:ascii="Verdana" w:eastAsia="Calibri" w:hAnsi="Verdana"/>
          <w:noProof/>
          <w:sz w:val="20"/>
          <w:szCs w:val="22"/>
          <w:lang w:val="sr-Cyrl-RS" w:eastAsia="en-US"/>
        </w:rPr>
      </w:pPr>
    </w:p>
    <w:p w:rsidR="00E13441" w:rsidRPr="000545BA" w:rsidRDefault="006C5AB6" w:rsidP="006C5AB6">
      <w:pPr>
        <w:spacing w:before="120" w:after="120" w:line="276" w:lineRule="auto"/>
        <w:ind w:firstLine="425"/>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Краткорочно посматрано најзначајнији тржишни ризици на тржишту реосигурања</w:t>
      </w:r>
      <w:r w:rsidR="00CA5BB0" w:rsidRPr="000545BA">
        <w:rPr>
          <w:rFonts w:ascii="Verdana" w:eastAsia="Calibri" w:hAnsi="Verdana"/>
          <w:noProof/>
          <w:sz w:val="20"/>
          <w:szCs w:val="22"/>
          <w:lang w:val="sr-Cyrl-RS" w:eastAsia="en-US"/>
        </w:rPr>
        <w:t xml:space="preserve"> Србије повезани су са:</w:t>
      </w:r>
    </w:p>
    <w:p w:rsidR="00DD366A" w:rsidRPr="000545BA" w:rsidRDefault="00DD366A" w:rsidP="00AA625F">
      <w:pPr>
        <w:pStyle w:val="ListParagraph"/>
        <w:numPr>
          <w:ilvl w:val="0"/>
          <w:numId w:val="14"/>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експанзиј</w:t>
      </w:r>
      <w:r w:rsidR="00CA5BB0" w:rsidRPr="000545BA">
        <w:rPr>
          <w:rFonts w:ascii="Verdana" w:eastAsia="Calibri" w:hAnsi="Verdana"/>
          <w:noProof/>
          <w:sz w:val="20"/>
          <w:szCs w:val="22"/>
          <w:lang w:val="sr-Cyrl-RS" w:eastAsia="en-US"/>
        </w:rPr>
        <w:t>ом</w:t>
      </w:r>
      <w:r w:rsidRPr="000545BA">
        <w:rPr>
          <w:rFonts w:ascii="Verdana" w:eastAsia="Calibri" w:hAnsi="Verdana"/>
          <w:noProof/>
          <w:sz w:val="20"/>
          <w:szCs w:val="22"/>
          <w:lang w:val="sr-Cyrl-RS" w:eastAsia="en-US"/>
        </w:rPr>
        <w:t xml:space="preserve"> осигурања према мастер полисама за веће привредне субјекте у страном власништву</w:t>
      </w:r>
      <w:r w:rsidR="00CA5BB0" w:rsidRPr="000545BA">
        <w:rPr>
          <w:rFonts w:ascii="Verdana" w:eastAsia="Calibri" w:hAnsi="Verdana"/>
          <w:noProof/>
          <w:sz w:val="20"/>
          <w:szCs w:val="22"/>
          <w:lang w:val="sr-Cyrl-RS" w:eastAsia="en-US"/>
        </w:rPr>
        <w:t>, којима се ограничава учешће на ризику локалног осигуравача и реосигуравача,</w:t>
      </w:r>
    </w:p>
    <w:p w:rsidR="00DD366A" w:rsidRPr="000545BA" w:rsidRDefault="00DD366A" w:rsidP="00AA625F">
      <w:pPr>
        <w:pStyle w:val="ListParagraph"/>
        <w:numPr>
          <w:ilvl w:val="0"/>
          <w:numId w:val="14"/>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високи капацитети групних програма расположиви локалним реосигуравачима у страном власништву</w:t>
      </w:r>
      <w:r w:rsidR="00CA5BB0" w:rsidRPr="000545BA">
        <w:rPr>
          <w:rFonts w:ascii="Verdana" w:eastAsia="Calibri" w:hAnsi="Verdana"/>
          <w:noProof/>
          <w:sz w:val="20"/>
          <w:szCs w:val="22"/>
          <w:lang w:val="sr-Cyrl-RS" w:eastAsia="en-US"/>
        </w:rPr>
        <w:t xml:space="preserve"> и</w:t>
      </w:r>
    </w:p>
    <w:p w:rsidR="00DD366A" w:rsidRPr="000545BA" w:rsidRDefault="00DD366A" w:rsidP="00AA625F">
      <w:pPr>
        <w:pStyle w:val="ListParagraph"/>
        <w:numPr>
          <w:ilvl w:val="0"/>
          <w:numId w:val="14"/>
        </w:numPr>
        <w:spacing w:line="276" w:lineRule="auto"/>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активност посредника у осигурању који поскупљују укупну цену према осигуранику</w:t>
      </w:r>
      <w:r w:rsidR="00CA5BB0" w:rsidRPr="000545BA">
        <w:rPr>
          <w:rFonts w:ascii="Verdana" w:eastAsia="Calibri" w:hAnsi="Verdana"/>
          <w:noProof/>
          <w:sz w:val="20"/>
          <w:szCs w:val="22"/>
          <w:lang w:val="sr-Cyrl-RS" w:eastAsia="en-US"/>
        </w:rPr>
        <w:t>.</w:t>
      </w:r>
    </w:p>
    <w:p w:rsidR="00BE7043" w:rsidRPr="000545BA" w:rsidRDefault="00CA5BB0" w:rsidP="00CA5BB0">
      <w:pPr>
        <w:spacing w:before="120" w:after="120" w:line="276" w:lineRule="auto"/>
        <w:ind w:firstLine="425"/>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Поред претњи на тржишту из основне делатности, Друштво је суочено са негативним трендовима на финансијском тржишту и ограничењима у остваривању прихода из активности инвестирања. Ово се пре свега огледа у </w:t>
      </w:r>
      <w:r w:rsidR="00DD366A" w:rsidRPr="000545BA">
        <w:rPr>
          <w:rFonts w:ascii="Verdana" w:eastAsia="Calibri" w:hAnsi="Verdana"/>
          <w:noProof/>
          <w:sz w:val="20"/>
          <w:szCs w:val="22"/>
          <w:lang w:val="sr-Cyrl-RS" w:eastAsia="en-US"/>
        </w:rPr>
        <w:t>нестабилност</w:t>
      </w:r>
      <w:r w:rsidRPr="000545BA">
        <w:rPr>
          <w:rFonts w:ascii="Verdana" w:eastAsia="Calibri" w:hAnsi="Verdana"/>
          <w:noProof/>
          <w:sz w:val="20"/>
          <w:szCs w:val="22"/>
          <w:lang w:val="sr-Cyrl-RS" w:eastAsia="en-US"/>
        </w:rPr>
        <w:t>и</w:t>
      </w:r>
      <w:r w:rsidR="00DD366A" w:rsidRPr="000545BA">
        <w:rPr>
          <w:rFonts w:ascii="Verdana" w:eastAsia="Calibri" w:hAnsi="Verdana"/>
          <w:noProof/>
          <w:sz w:val="20"/>
          <w:szCs w:val="22"/>
          <w:lang w:val="sr-Cyrl-RS" w:eastAsia="en-US"/>
        </w:rPr>
        <w:t xml:space="preserve"> банкарског тржишта</w:t>
      </w:r>
      <w:r w:rsidRPr="000545BA">
        <w:rPr>
          <w:rFonts w:ascii="Verdana" w:eastAsia="Calibri" w:hAnsi="Verdana"/>
          <w:noProof/>
          <w:sz w:val="20"/>
          <w:szCs w:val="22"/>
          <w:lang w:val="sr-Cyrl-RS" w:eastAsia="en-US"/>
        </w:rPr>
        <w:t xml:space="preserve"> и паду каматних стопа.</w:t>
      </w:r>
    </w:p>
    <w:p w:rsidR="00011D6B" w:rsidRPr="000545BA" w:rsidRDefault="00011D6B" w:rsidP="00011D6B">
      <w:pPr>
        <w:pStyle w:val="ListParagraph"/>
        <w:spacing w:line="276" w:lineRule="auto"/>
        <w:jc w:val="both"/>
        <w:rPr>
          <w:rFonts w:ascii="Verdana" w:eastAsia="Calibri" w:hAnsi="Verdana"/>
          <w:noProof/>
          <w:sz w:val="20"/>
          <w:szCs w:val="22"/>
          <w:lang w:val="sr-Cyrl-RS" w:eastAsia="en-US"/>
        </w:rPr>
      </w:pPr>
    </w:p>
    <w:p w:rsidR="00F81A3C" w:rsidRPr="000545BA" w:rsidRDefault="00F81A3C" w:rsidP="00F81A3C">
      <w:pPr>
        <w:pStyle w:val="Heading1"/>
        <w:numPr>
          <w:ilvl w:val="0"/>
          <w:numId w:val="3"/>
        </w:numPr>
        <w:tabs>
          <w:tab w:val="clear" w:pos="432"/>
        </w:tabs>
        <w:ind w:left="0" w:firstLine="0"/>
        <w:rPr>
          <w:rFonts w:ascii="Verdana" w:hAnsi="Verdana" w:cs="Tahoma"/>
          <w:noProof/>
          <w:color w:val="365F91"/>
          <w:sz w:val="24"/>
          <w:szCs w:val="18"/>
          <w:lang w:val="sr-Cyrl-RS"/>
        </w:rPr>
      </w:pPr>
      <w:bookmarkStart w:id="30" w:name="_Toc414610334"/>
      <w:bookmarkStart w:id="31" w:name="_Toc343598053"/>
      <w:r w:rsidRPr="000545BA">
        <w:rPr>
          <w:rFonts w:ascii="Verdana" w:hAnsi="Verdana" w:cs="Tahoma"/>
          <w:noProof/>
          <w:color w:val="365F91"/>
          <w:sz w:val="24"/>
          <w:szCs w:val="18"/>
          <w:lang w:val="sr-Cyrl-RS"/>
        </w:rPr>
        <w:t>СТРАТЕШКИ ЦИЉЕВИ И ПРАВЦИ РАЗВОЈА</w:t>
      </w:r>
      <w:bookmarkEnd w:id="30"/>
      <w:r w:rsidRPr="000545BA">
        <w:rPr>
          <w:rFonts w:ascii="Verdana" w:hAnsi="Verdana" w:cs="Tahoma"/>
          <w:noProof/>
          <w:color w:val="365F91"/>
          <w:sz w:val="24"/>
          <w:szCs w:val="18"/>
          <w:lang w:val="sr-Cyrl-RS"/>
        </w:rPr>
        <w:t xml:space="preserve">                                       </w:t>
      </w:r>
      <w:bookmarkEnd w:id="31"/>
    </w:p>
    <w:p w:rsidR="00F81A3C" w:rsidRPr="000545BA" w:rsidRDefault="00F81A3C" w:rsidP="00F81A3C">
      <w:pPr>
        <w:pStyle w:val="Heading1"/>
        <w:numPr>
          <w:ilvl w:val="1"/>
          <w:numId w:val="3"/>
        </w:numPr>
        <w:tabs>
          <w:tab w:val="clear" w:pos="336"/>
        </w:tabs>
        <w:spacing w:before="240" w:after="240"/>
        <w:ind w:left="331" w:firstLine="230"/>
        <w:jc w:val="left"/>
        <w:rPr>
          <w:rFonts w:ascii="Verdana" w:hAnsi="Verdana" w:cs="Tahoma"/>
          <w:noProof/>
          <w:color w:val="365F91"/>
          <w:sz w:val="20"/>
          <w:szCs w:val="18"/>
          <w:lang w:val="sr-Cyrl-RS"/>
        </w:rPr>
      </w:pPr>
      <w:bookmarkStart w:id="32" w:name="_Toc343598054"/>
      <w:bookmarkStart w:id="33" w:name="_Toc414610335"/>
      <w:r w:rsidRPr="000545BA">
        <w:rPr>
          <w:rFonts w:ascii="Verdana" w:hAnsi="Verdana" w:cs="Tahoma"/>
          <w:noProof/>
          <w:color w:val="365F91"/>
          <w:sz w:val="20"/>
          <w:szCs w:val="18"/>
          <w:lang w:val="sr-Cyrl-RS"/>
        </w:rPr>
        <w:t>Стратешки правци развоја Друштва</w:t>
      </w:r>
      <w:bookmarkEnd w:id="32"/>
      <w:bookmarkEnd w:id="33"/>
    </w:p>
    <w:p w:rsidR="00F81A3C" w:rsidRPr="000545BA" w:rsidRDefault="00F81A3C" w:rsidP="00F81A3C">
      <w:pPr>
        <w:spacing w:before="120" w:after="120" w:line="276" w:lineRule="auto"/>
        <w:ind w:firstLine="360"/>
        <w:jc w:val="both"/>
        <w:rPr>
          <w:rFonts w:ascii="Verdana" w:hAnsi="Verdana"/>
          <w:noProof/>
          <w:sz w:val="20"/>
          <w:lang w:val="sr-Cyrl-RS"/>
        </w:rPr>
      </w:pPr>
      <w:r w:rsidRPr="000545BA">
        <w:rPr>
          <w:rFonts w:ascii="Verdana" w:hAnsi="Verdana"/>
          <w:noProof/>
          <w:sz w:val="20"/>
          <w:lang w:val="sr-Cyrl-RS"/>
        </w:rPr>
        <w:t>Стратешки правци развоја Друштва су:</w:t>
      </w:r>
    </w:p>
    <w:p w:rsidR="00F81A3C" w:rsidRPr="000545BA" w:rsidRDefault="00F81A3C" w:rsidP="00AA625F">
      <w:pPr>
        <w:pStyle w:val="Subtitle"/>
        <w:keepNext w:val="0"/>
        <w:numPr>
          <w:ilvl w:val="0"/>
          <w:numId w:val="15"/>
        </w:numPr>
        <w:suppressAutoHyphens w:val="0"/>
        <w:spacing w:before="0" w:after="60" w:line="276" w:lineRule="auto"/>
        <w:jc w:val="both"/>
        <w:rPr>
          <w:rFonts w:ascii="Verdana" w:eastAsia="Calibri" w:hAnsi="Verdana" w:cs="Times New Roman"/>
          <w:strike/>
          <w:noProof/>
          <w:sz w:val="20"/>
          <w:szCs w:val="22"/>
          <w:lang w:val="sr-Cyrl-RS" w:eastAsia="en-US"/>
        </w:rPr>
      </w:pPr>
      <w:r w:rsidRPr="000545BA">
        <w:rPr>
          <w:rFonts w:ascii="Verdana" w:eastAsia="Calibri" w:hAnsi="Verdana" w:cs="Times New Roman"/>
          <w:noProof/>
          <w:sz w:val="20"/>
          <w:szCs w:val="22"/>
          <w:lang w:val="sr-Cyrl-RS" w:eastAsia="en-US"/>
        </w:rPr>
        <w:t>благи раст бруто премије</w:t>
      </w:r>
      <w:r w:rsidR="00AA2D6D" w:rsidRPr="000545BA">
        <w:rPr>
          <w:rFonts w:ascii="Verdana" w:eastAsia="Calibri" w:hAnsi="Verdana" w:cs="Times New Roman"/>
          <w:noProof/>
          <w:sz w:val="20"/>
          <w:szCs w:val="22"/>
          <w:lang w:val="sr-Cyrl-RS" w:eastAsia="en-US"/>
        </w:rPr>
        <w:t xml:space="preserve"> уз задржавање квалитета портфеља</w:t>
      </w:r>
      <w:r w:rsidR="00DD366A" w:rsidRPr="000545BA">
        <w:rPr>
          <w:rFonts w:ascii="Verdana" w:eastAsia="Calibri" w:hAnsi="Verdana" w:cs="Times New Roman"/>
          <w:noProof/>
          <w:sz w:val="20"/>
          <w:szCs w:val="22"/>
          <w:lang w:val="sr-Cyrl-RS" w:eastAsia="en-US"/>
        </w:rPr>
        <w:t xml:space="preserve">, </w:t>
      </w:r>
      <w:r w:rsidR="00AA2D6D" w:rsidRPr="000545BA">
        <w:rPr>
          <w:rFonts w:ascii="Verdana" w:eastAsia="Calibri" w:hAnsi="Verdana" w:cs="Times New Roman"/>
          <w:noProof/>
          <w:sz w:val="20"/>
          <w:szCs w:val="22"/>
          <w:lang w:val="sr-Cyrl-RS" w:eastAsia="en-US"/>
        </w:rPr>
        <w:t xml:space="preserve"> </w:t>
      </w:r>
    </w:p>
    <w:p w:rsidR="00F81A3C" w:rsidRPr="000545BA" w:rsidRDefault="00F81A3C" w:rsidP="00AA625F">
      <w:pPr>
        <w:pStyle w:val="BodyText"/>
        <w:numPr>
          <w:ilvl w:val="0"/>
          <w:numId w:val="15"/>
        </w:numPr>
        <w:spacing w:after="60" w:line="276" w:lineRule="auto"/>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инвестициона полтика која обезбеђује висок степен сигурности улагања и одржање ликвидности уз остваривање задовољавајућих приноса,</w:t>
      </w:r>
    </w:p>
    <w:p w:rsidR="00F81A3C" w:rsidRPr="000545BA" w:rsidRDefault="00F81A3C" w:rsidP="00AA625F">
      <w:pPr>
        <w:pStyle w:val="BodyText"/>
        <w:numPr>
          <w:ilvl w:val="0"/>
          <w:numId w:val="15"/>
        </w:numPr>
        <w:spacing w:after="60" w:line="276" w:lineRule="auto"/>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висок ниво корпоративног управљања и</w:t>
      </w:r>
    </w:p>
    <w:p w:rsidR="00F81A3C" w:rsidRPr="000545BA" w:rsidRDefault="00F81A3C" w:rsidP="00AA625F">
      <w:pPr>
        <w:pStyle w:val="BodyText"/>
        <w:numPr>
          <w:ilvl w:val="0"/>
          <w:numId w:val="15"/>
        </w:numPr>
        <w:spacing w:after="60" w:line="276" w:lineRule="auto"/>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развој интегрисаног информационог система.</w:t>
      </w:r>
    </w:p>
    <w:p w:rsidR="00F81A3C" w:rsidRPr="000545BA" w:rsidRDefault="00F81A3C" w:rsidP="00F81A3C">
      <w:pPr>
        <w:pStyle w:val="Heading1"/>
        <w:numPr>
          <w:ilvl w:val="1"/>
          <w:numId w:val="3"/>
        </w:numPr>
        <w:tabs>
          <w:tab w:val="clear" w:pos="336"/>
        </w:tabs>
        <w:spacing w:before="240" w:after="240"/>
        <w:ind w:left="331" w:firstLine="230"/>
        <w:jc w:val="left"/>
        <w:rPr>
          <w:rFonts w:ascii="Verdana" w:hAnsi="Verdana" w:cs="Tahoma"/>
          <w:noProof/>
          <w:color w:val="365F91"/>
          <w:sz w:val="20"/>
          <w:szCs w:val="18"/>
          <w:lang w:val="sr-Cyrl-RS"/>
        </w:rPr>
      </w:pPr>
      <w:bookmarkStart w:id="34" w:name="_Toc414610336"/>
      <w:bookmarkStart w:id="35" w:name="_Toc343598055"/>
      <w:r w:rsidRPr="000545BA">
        <w:rPr>
          <w:rFonts w:ascii="Verdana" w:hAnsi="Verdana" w:cs="Tahoma"/>
          <w:noProof/>
          <w:color w:val="365F91"/>
          <w:sz w:val="20"/>
          <w:szCs w:val="18"/>
          <w:lang w:val="sr-Cyrl-RS"/>
        </w:rPr>
        <w:t>Дефинисање стратешких циљева</w:t>
      </w:r>
      <w:bookmarkEnd w:id="34"/>
      <w:r w:rsidRPr="000545BA">
        <w:rPr>
          <w:rFonts w:ascii="Verdana" w:hAnsi="Verdana" w:cs="Tahoma"/>
          <w:noProof/>
          <w:color w:val="365F91"/>
          <w:sz w:val="20"/>
          <w:szCs w:val="18"/>
          <w:lang w:val="sr-Cyrl-RS"/>
        </w:rPr>
        <w:t xml:space="preserve"> </w:t>
      </w:r>
      <w:bookmarkEnd w:id="35"/>
    </w:p>
    <w:p w:rsidR="00F81A3C" w:rsidRPr="000545BA" w:rsidRDefault="00F81A3C" w:rsidP="00F81A3C">
      <w:pPr>
        <w:pStyle w:val="Subtitle"/>
        <w:spacing w:before="120" w:line="276" w:lineRule="auto"/>
        <w:jc w:val="left"/>
        <w:rPr>
          <w:rStyle w:val="IntenseEmphasis"/>
          <w:rFonts w:ascii="Verdana" w:hAnsi="Verdana" w:cs="Times New Roman"/>
          <w:noProof/>
          <w:sz w:val="20"/>
          <w:lang w:val="sr-Cyrl-RS"/>
        </w:rPr>
      </w:pPr>
      <w:r w:rsidRPr="000545BA">
        <w:rPr>
          <w:rStyle w:val="IntenseEmphasis"/>
          <w:rFonts w:ascii="Verdana" w:hAnsi="Verdana" w:cs="Times New Roman"/>
          <w:noProof/>
          <w:sz w:val="20"/>
          <w:lang w:val="sr-Cyrl-RS"/>
        </w:rPr>
        <w:t>Стратегија развоја пословања</w:t>
      </w:r>
    </w:p>
    <w:p w:rsidR="00F81A3C" w:rsidRPr="000545BA" w:rsidRDefault="00F81A3C" w:rsidP="00F81A3C">
      <w:pPr>
        <w:pStyle w:val="BodyText"/>
        <w:rPr>
          <w:rFonts w:ascii="Verdana" w:hAnsi="Verdana"/>
          <w:noProof/>
          <w:sz w:val="2"/>
          <w:szCs w:val="2"/>
          <w:lang w:val="sr-Cyrl-RS"/>
        </w:rPr>
      </w:pPr>
    </w:p>
    <w:p w:rsidR="004E76A1" w:rsidRPr="000545BA" w:rsidRDefault="00371654" w:rsidP="00371654">
      <w:pPr>
        <w:pStyle w:val="ListParagraph"/>
        <w:numPr>
          <w:ilvl w:val="0"/>
          <w:numId w:val="4"/>
        </w:numPr>
        <w:suppressAutoHyphens w:val="0"/>
        <w:spacing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Очување обима реосигуравајућих покрића </w:t>
      </w:r>
      <w:r w:rsidR="00BE7043" w:rsidRPr="000545BA">
        <w:rPr>
          <w:rFonts w:ascii="Verdana" w:eastAsia="Calibri" w:hAnsi="Verdana"/>
          <w:noProof/>
          <w:sz w:val="20"/>
          <w:szCs w:val="22"/>
          <w:lang w:val="sr-Cyrl-RS" w:eastAsia="en-US"/>
        </w:rPr>
        <w:t>везано за портфељ постојећих цедената, као</w:t>
      </w:r>
      <w:r w:rsidR="004E76A1" w:rsidRPr="000545BA">
        <w:rPr>
          <w:rFonts w:ascii="Verdana" w:eastAsia="Calibri" w:hAnsi="Verdana"/>
          <w:noProof/>
          <w:sz w:val="20"/>
          <w:szCs w:val="22"/>
          <w:lang w:val="sr-Cyrl-RS" w:eastAsia="en-US"/>
        </w:rPr>
        <w:t xml:space="preserve"> успостављање нових покрића за нове </w:t>
      </w:r>
    </w:p>
    <w:p w:rsidR="00371654" w:rsidRPr="000545BA" w:rsidRDefault="00371654" w:rsidP="00371654">
      <w:pPr>
        <w:pStyle w:val="ListParagraph"/>
        <w:numPr>
          <w:ilvl w:val="0"/>
          <w:numId w:val="4"/>
        </w:numPr>
        <w:suppressAutoHyphens w:val="0"/>
        <w:spacing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Побољшање меродавног техничког резултата;</w:t>
      </w:r>
    </w:p>
    <w:p w:rsidR="004E76A1" w:rsidRPr="000545BA" w:rsidRDefault="00BE7043" w:rsidP="00F81A3C">
      <w:pPr>
        <w:pStyle w:val="ListParagraph"/>
        <w:numPr>
          <w:ilvl w:val="0"/>
          <w:numId w:val="4"/>
        </w:numPr>
        <w:suppressAutoHyphens w:val="0"/>
        <w:spacing w:before="120" w:after="120" w:line="276" w:lineRule="auto"/>
        <w:contextualSpacing/>
        <w:rPr>
          <w:rFonts w:ascii="Verdana" w:hAnsi="Verdana"/>
          <w:b/>
          <w:bCs/>
          <w:i/>
          <w:iCs/>
          <w:noProof/>
          <w:color w:val="4F81BD"/>
          <w:sz w:val="20"/>
          <w:lang w:val="sr-Cyrl-RS"/>
        </w:rPr>
      </w:pPr>
      <w:r w:rsidRPr="000545BA">
        <w:rPr>
          <w:rFonts w:ascii="Verdana" w:eastAsia="Calibri" w:hAnsi="Verdana"/>
          <w:noProof/>
          <w:sz w:val="20"/>
          <w:szCs w:val="22"/>
          <w:lang w:val="sr-Cyrl-RS" w:eastAsia="en-US"/>
        </w:rPr>
        <w:t xml:space="preserve">Пласман </w:t>
      </w:r>
      <w:r w:rsidR="004E76A1" w:rsidRPr="000545BA">
        <w:rPr>
          <w:rFonts w:ascii="Verdana" w:eastAsia="Calibri" w:hAnsi="Verdana"/>
          <w:noProof/>
          <w:sz w:val="20"/>
          <w:szCs w:val="22"/>
          <w:lang w:val="sr-Cyrl-RS" w:eastAsia="en-US"/>
        </w:rPr>
        <w:t xml:space="preserve">ризика на ино-тржиште према критеријуму што бољег бонитета укупног пласмана уз висок ниво дисперзије ризика и на бази директног реосигурања и / или уз </w:t>
      </w:r>
      <w:r w:rsidRPr="000545BA">
        <w:rPr>
          <w:rFonts w:ascii="Verdana" w:eastAsia="Calibri" w:hAnsi="Verdana"/>
          <w:noProof/>
          <w:sz w:val="20"/>
          <w:szCs w:val="22"/>
          <w:lang w:val="sr-Cyrl-RS" w:eastAsia="en-US"/>
        </w:rPr>
        <w:t>ангажо</w:t>
      </w:r>
      <w:r w:rsidR="004E76A1" w:rsidRPr="000545BA">
        <w:rPr>
          <w:rFonts w:ascii="Verdana" w:eastAsia="Calibri" w:hAnsi="Verdana"/>
          <w:noProof/>
          <w:sz w:val="20"/>
          <w:szCs w:val="22"/>
          <w:lang w:val="sr-Cyrl-RS" w:eastAsia="en-US"/>
        </w:rPr>
        <w:t>вање</w:t>
      </w:r>
      <w:r w:rsidRPr="000545BA">
        <w:rPr>
          <w:rFonts w:ascii="Verdana" w:eastAsia="Calibri" w:hAnsi="Verdana"/>
          <w:noProof/>
          <w:sz w:val="20"/>
          <w:szCs w:val="22"/>
          <w:lang w:val="sr-Cyrl-RS" w:eastAsia="en-US"/>
        </w:rPr>
        <w:t xml:space="preserve"> ино-брокера</w:t>
      </w:r>
      <w:r w:rsidR="004E76A1" w:rsidRPr="000545BA">
        <w:rPr>
          <w:rFonts w:ascii="Verdana" w:eastAsia="Calibri" w:hAnsi="Verdana"/>
          <w:noProof/>
          <w:sz w:val="20"/>
          <w:szCs w:val="22"/>
          <w:lang w:val="sr-Cyrl-RS" w:eastAsia="en-US"/>
        </w:rPr>
        <w:t>.</w:t>
      </w:r>
      <w:r w:rsidRPr="000545BA">
        <w:rPr>
          <w:rFonts w:ascii="Verdana" w:eastAsia="Calibri" w:hAnsi="Verdana"/>
          <w:noProof/>
          <w:sz w:val="20"/>
          <w:szCs w:val="22"/>
          <w:lang w:val="sr-Cyrl-RS" w:eastAsia="en-US"/>
        </w:rPr>
        <w:t xml:space="preserve"> </w:t>
      </w:r>
    </w:p>
    <w:p w:rsidR="004E76A1" w:rsidRPr="000545BA" w:rsidRDefault="004E76A1" w:rsidP="004E76A1">
      <w:pPr>
        <w:pStyle w:val="ListParagraph"/>
        <w:suppressAutoHyphens w:val="0"/>
        <w:spacing w:before="120" w:after="120" w:line="276" w:lineRule="auto"/>
        <w:ind w:left="1050"/>
        <w:contextualSpacing/>
        <w:rPr>
          <w:rFonts w:ascii="Verdana" w:hAnsi="Verdana"/>
          <w:b/>
          <w:bCs/>
          <w:i/>
          <w:iCs/>
          <w:noProof/>
          <w:color w:val="4F81BD"/>
          <w:sz w:val="6"/>
          <w:szCs w:val="6"/>
          <w:lang w:val="sr-Cyrl-RS"/>
        </w:rPr>
      </w:pPr>
    </w:p>
    <w:p w:rsidR="00F81A3C" w:rsidRPr="000545BA" w:rsidRDefault="00F81A3C" w:rsidP="00A9718A">
      <w:pPr>
        <w:suppressAutoHyphens w:val="0"/>
        <w:spacing w:before="120" w:after="240" w:line="276" w:lineRule="auto"/>
        <w:rPr>
          <w:rStyle w:val="IntenseEmphasis"/>
          <w:rFonts w:ascii="Verdana" w:hAnsi="Verdana"/>
          <w:noProof/>
          <w:sz w:val="20"/>
          <w:lang w:val="sr-Cyrl-RS"/>
        </w:rPr>
      </w:pPr>
      <w:r w:rsidRPr="000545BA">
        <w:rPr>
          <w:rStyle w:val="IntenseEmphasis"/>
          <w:rFonts w:ascii="Verdana" w:eastAsia="Calibri" w:hAnsi="Verdana"/>
          <w:noProof/>
          <w:sz w:val="20"/>
          <w:szCs w:val="22"/>
          <w:lang w:val="sr-Cyrl-RS" w:eastAsia="en-US"/>
        </w:rPr>
        <w:t>С</w:t>
      </w:r>
      <w:r w:rsidRPr="000545BA">
        <w:rPr>
          <w:rStyle w:val="IntenseEmphasis"/>
          <w:rFonts w:ascii="Verdana" w:hAnsi="Verdana"/>
          <w:noProof/>
          <w:sz w:val="20"/>
          <w:lang w:val="sr-Cyrl-RS"/>
        </w:rPr>
        <w:t>тратегија инвестиционе политике</w:t>
      </w:r>
    </w:p>
    <w:p w:rsidR="00F81A3C" w:rsidRPr="000545BA" w:rsidRDefault="00F81A3C" w:rsidP="00F81A3C">
      <w:pPr>
        <w:autoSpaceDE w:val="0"/>
        <w:autoSpaceDN w:val="0"/>
        <w:adjustRightInd w:val="0"/>
        <w:spacing w:before="120" w:after="120" w:line="276" w:lineRule="auto"/>
        <w:ind w:firstLine="288"/>
        <w:jc w:val="both"/>
        <w:rPr>
          <w:rFonts w:ascii="Verdana" w:eastAsia="Calibri" w:hAnsi="Verdana"/>
          <w:noProof/>
          <w:sz w:val="20"/>
          <w:szCs w:val="22"/>
          <w:lang w:val="sr-Cyrl-RS" w:eastAsia="en-US"/>
        </w:rPr>
      </w:pPr>
      <w:r w:rsidRPr="000545BA">
        <w:rPr>
          <w:rFonts w:ascii="Verdana" w:eastAsia="Calibri" w:hAnsi="Verdana"/>
          <w:noProof/>
          <w:sz w:val="22"/>
          <w:szCs w:val="22"/>
          <w:lang w:val="sr-Cyrl-RS" w:eastAsia="en-US"/>
        </w:rPr>
        <w:t>О</w:t>
      </w:r>
      <w:r w:rsidRPr="000545BA">
        <w:rPr>
          <w:rFonts w:ascii="Verdana" w:eastAsia="Calibri" w:hAnsi="Verdana"/>
          <w:noProof/>
          <w:sz w:val="20"/>
          <w:szCs w:val="22"/>
          <w:lang w:val="sr-Cyrl-RS" w:eastAsia="en-US"/>
        </w:rPr>
        <w:t>сновне смернице за креирање инвестиционог програма и структуре портфолиа Дунав Ре а.д.о. за 201</w:t>
      </w:r>
      <w:r w:rsidR="000E0004" w:rsidRPr="000545BA">
        <w:rPr>
          <w:rFonts w:ascii="Verdana" w:eastAsia="Calibri" w:hAnsi="Verdana"/>
          <w:noProof/>
          <w:sz w:val="20"/>
          <w:szCs w:val="22"/>
          <w:lang w:val="sr-Cyrl-RS" w:eastAsia="en-US"/>
        </w:rPr>
        <w:t>4</w:t>
      </w:r>
      <w:r w:rsidRPr="000545BA">
        <w:rPr>
          <w:rFonts w:ascii="Verdana" w:eastAsia="Calibri" w:hAnsi="Verdana"/>
          <w:noProof/>
          <w:sz w:val="20"/>
          <w:szCs w:val="22"/>
          <w:lang w:val="sr-Cyrl-RS" w:eastAsia="en-US"/>
        </w:rPr>
        <w:t>. годину дефинисане су Законом, Одлуком НБС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и Правилником Друштва о условима и начину депоновања и улагања средстава.</w:t>
      </w:r>
    </w:p>
    <w:p w:rsidR="00A9718A" w:rsidRPr="000545BA" w:rsidRDefault="00A9718A" w:rsidP="00F81A3C">
      <w:pPr>
        <w:autoSpaceDE w:val="0"/>
        <w:autoSpaceDN w:val="0"/>
        <w:adjustRightInd w:val="0"/>
        <w:spacing w:before="120" w:after="120" w:line="276" w:lineRule="auto"/>
        <w:ind w:firstLine="288"/>
        <w:jc w:val="both"/>
        <w:rPr>
          <w:rFonts w:ascii="Verdana" w:eastAsia="Calibri" w:hAnsi="Verdana"/>
          <w:noProof/>
          <w:sz w:val="20"/>
          <w:szCs w:val="22"/>
          <w:lang w:val="sr-Cyrl-RS" w:eastAsia="en-US"/>
        </w:rPr>
      </w:pPr>
    </w:p>
    <w:p w:rsidR="00A9718A" w:rsidRPr="000545BA" w:rsidRDefault="00A9718A" w:rsidP="00F81A3C">
      <w:pPr>
        <w:autoSpaceDE w:val="0"/>
        <w:autoSpaceDN w:val="0"/>
        <w:adjustRightInd w:val="0"/>
        <w:spacing w:before="120" w:after="120" w:line="276" w:lineRule="auto"/>
        <w:ind w:firstLine="288"/>
        <w:jc w:val="both"/>
        <w:rPr>
          <w:rFonts w:ascii="Verdana" w:eastAsia="Calibri" w:hAnsi="Verdana"/>
          <w:noProof/>
          <w:sz w:val="20"/>
          <w:szCs w:val="22"/>
          <w:lang w:val="sr-Cyrl-RS" w:eastAsia="en-US"/>
        </w:rPr>
      </w:pPr>
    </w:p>
    <w:p w:rsidR="00F81A3C" w:rsidRPr="000545BA" w:rsidRDefault="00F81A3C" w:rsidP="00F81A3C">
      <w:pPr>
        <w:autoSpaceDE w:val="0"/>
        <w:autoSpaceDN w:val="0"/>
        <w:adjustRightInd w:val="0"/>
        <w:spacing w:before="120" w:after="120" w:line="276" w:lineRule="auto"/>
        <w:ind w:firstLine="288"/>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Стратешки циљеви инвестиционе политике Друштва су:</w:t>
      </w:r>
    </w:p>
    <w:p w:rsidR="00F81A3C" w:rsidRPr="000545BA" w:rsidRDefault="00F81A3C" w:rsidP="009E0AE0">
      <w:pPr>
        <w:numPr>
          <w:ilvl w:val="0"/>
          <w:numId w:val="6"/>
        </w:numPr>
        <w:autoSpaceDE w:val="0"/>
        <w:autoSpaceDN w:val="0"/>
        <w:adjustRightInd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одржавање високог степена ликвидности,</w:t>
      </w:r>
    </w:p>
    <w:p w:rsidR="00F81A3C" w:rsidRPr="000545BA" w:rsidRDefault="00F81A3C" w:rsidP="009E0AE0">
      <w:pPr>
        <w:numPr>
          <w:ilvl w:val="0"/>
          <w:numId w:val="6"/>
        </w:numPr>
        <w:autoSpaceDE w:val="0"/>
        <w:autoSpaceDN w:val="0"/>
        <w:adjustRightInd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пажљива политика инвестирања, која води рачуна о дугорочним могућностима покрића техничких и гарантних резерви у складу са прописима и интерним акт</w:t>
      </w:r>
      <w:r w:rsidR="009A606D" w:rsidRPr="000545BA">
        <w:rPr>
          <w:rFonts w:ascii="Verdana" w:eastAsia="Calibri" w:hAnsi="Verdana"/>
          <w:noProof/>
          <w:sz w:val="20"/>
          <w:szCs w:val="22"/>
          <w:lang w:val="sr-Cyrl-RS" w:eastAsia="en-US"/>
        </w:rPr>
        <w:t>има Друштва,</w:t>
      </w:r>
    </w:p>
    <w:p w:rsidR="00F81A3C" w:rsidRPr="000545BA" w:rsidRDefault="00F81A3C" w:rsidP="009E0AE0">
      <w:pPr>
        <w:numPr>
          <w:ilvl w:val="0"/>
          <w:numId w:val="6"/>
        </w:numPr>
        <w:autoSpaceDE w:val="0"/>
        <w:autoSpaceDN w:val="0"/>
        <w:adjustRightInd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депоновање и улагање краткорочних и дугорочних извора средстава у складу са захтевима за хоризонталном и вертикалном усклађености активе и пасиве уз оств</w:t>
      </w:r>
      <w:r w:rsidR="009A606D" w:rsidRPr="000545BA">
        <w:rPr>
          <w:rFonts w:ascii="Verdana" w:eastAsia="Calibri" w:hAnsi="Verdana"/>
          <w:noProof/>
          <w:sz w:val="20"/>
          <w:szCs w:val="22"/>
          <w:lang w:val="sr-Cyrl-RS" w:eastAsia="en-US"/>
        </w:rPr>
        <w:t>аривање задовољавајућих приноса и</w:t>
      </w:r>
    </w:p>
    <w:p w:rsidR="009A606D" w:rsidRPr="000545BA" w:rsidRDefault="009A606D" w:rsidP="009E0AE0">
      <w:pPr>
        <w:numPr>
          <w:ilvl w:val="0"/>
          <w:numId w:val="6"/>
        </w:numPr>
        <w:autoSpaceDE w:val="0"/>
        <w:autoSpaceDN w:val="0"/>
        <w:adjustRightInd w:val="0"/>
        <w:spacing w:before="120" w:after="120" w:line="276" w:lineRule="auto"/>
        <w:contextualSpacing/>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сагледавање могућности повећања дисперзије улагања у Законом прописане облике уз уважавање приноса по истим.</w:t>
      </w:r>
    </w:p>
    <w:p w:rsidR="00BE7043" w:rsidRPr="000545BA" w:rsidRDefault="00BE7043" w:rsidP="00BE7043">
      <w:pPr>
        <w:autoSpaceDE w:val="0"/>
        <w:autoSpaceDN w:val="0"/>
        <w:adjustRightInd w:val="0"/>
        <w:spacing w:before="120" w:after="120" w:line="276" w:lineRule="auto"/>
        <w:contextualSpacing/>
        <w:jc w:val="both"/>
        <w:rPr>
          <w:rFonts w:ascii="Verdana" w:eastAsia="Calibri" w:hAnsi="Verdana"/>
          <w:noProof/>
          <w:sz w:val="20"/>
          <w:szCs w:val="22"/>
          <w:lang w:val="sr-Cyrl-RS" w:eastAsia="en-US"/>
        </w:rPr>
      </w:pPr>
    </w:p>
    <w:p w:rsidR="00F81A3C" w:rsidRPr="000545BA" w:rsidRDefault="00F81A3C" w:rsidP="00F81A3C">
      <w:pPr>
        <w:pStyle w:val="Subtitle"/>
        <w:spacing w:before="120" w:line="276" w:lineRule="auto"/>
        <w:jc w:val="left"/>
        <w:rPr>
          <w:rStyle w:val="IntenseEmphasis"/>
          <w:rFonts w:ascii="Verdana" w:hAnsi="Verdana" w:cs="Times New Roman"/>
          <w:noProof/>
          <w:sz w:val="22"/>
          <w:lang w:val="sr-Cyrl-RS"/>
        </w:rPr>
      </w:pPr>
      <w:r w:rsidRPr="000545BA">
        <w:rPr>
          <w:rStyle w:val="IntenseEmphasis"/>
          <w:rFonts w:ascii="Verdana" w:hAnsi="Verdana" w:cs="Times New Roman"/>
          <w:noProof/>
          <w:sz w:val="22"/>
          <w:lang w:val="sr-Cyrl-RS"/>
        </w:rPr>
        <w:t>Стратешки циљеви корпоративног управљања</w:t>
      </w:r>
    </w:p>
    <w:p w:rsidR="00F81A3C" w:rsidRPr="000545BA" w:rsidRDefault="00F81A3C" w:rsidP="00F81A3C">
      <w:pPr>
        <w:pStyle w:val="BodyText"/>
        <w:rPr>
          <w:rFonts w:ascii="Verdana" w:hAnsi="Verdana"/>
          <w:noProof/>
          <w:sz w:val="2"/>
          <w:szCs w:val="2"/>
          <w:highlight w:val="yellow"/>
          <w:lang w:val="sr-Cyrl-RS"/>
        </w:rPr>
      </w:pPr>
    </w:p>
    <w:p w:rsidR="00F81A3C" w:rsidRPr="000545BA" w:rsidRDefault="00F81A3C" w:rsidP="00F81A3C">
      <w:pPr>
        <w:autoSpaceDE w:val="0"/>
        <w:autoSpaceDN w:val="0"/>
        <w:adjustRightInd w:val="0"/>
        <w:spacing w:line="276" w:lineRule="auto"/>
        <w:ind w:firstLine="28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Ови циљеви обухватају:  </w:t>
      </w:r>
    </w:p>
    <w:p w:rsidR="00F81A3C" w:rsidRPr="000545BA" w:rsidRDefault="00F81A3C" w:rsidP="00F81A3C">
      <w:pPr>
        <w:pStyle w:val="ListParagraph"/>
        <w:suppressAutoHyphens w:val="0"/>
        <w:autoSpaceDE w:val="0"/>
        <w:autoSpaceDN w:val="0"/>
        <w:adjustRightInd w:val="0"/>
        <w:spacing w:after="60" w:line="276" w:lineRule="auto"/>
        <w:ind w:left="714"/>
        <w:contextualSpacing/>
        <w:jc w:val="both"/>
        <w:rPr>
          <w:rFonts w:ascii="Verdana" w:hAnsi="Verdana" w:cs="Tahoma"/>
          <w:noProof/>
          <w:sz w:val="6"/>
          <w:szCs w:val="6"/>
          <w:lang w:val="sr-Cyrl-RS"/>
        </w:rPr>
      </w:pPr>
    </w:p>
    <w:p w:rsidR="00F81A3C" w:rsidRPr="000545BA" w:rsidRDefault="00A9718A" w:rsidP="009E0AE0">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повећање ефикасности рада Управе Друштва кроз смањење броја чланова Извршног одбора</w:t>
      </w:r>
      <w:r w:rsidR="00F81A3C" w:rsidRPr="000545BA">
        <w:rPr>
          <w:rFonts w:ascii="Verdana" w:eastAsia="Calibri" w:hAnsi="Verdana"/>
          <w:noProof/>
          <w:sz w:val="20"/>
          <w:szCs w:val="22"/>
          <w:lang w:val="sr-Cyrl-RS" w:eastAsia="en-US"/>
        </w:rPr>
        <w:t xml:space="preserve">, </w:t>
      </w:r>
    </w:p>
    <w:p w:rsidR="00F81A3C" w:rsidRPr="000545BA" w:rsidRDefault="00A9718A" w:rsidP="009E0AE0">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увођење </w:t>
      </w:r>
      <w:r w:rsidR="00F81A3C" w:rsidRPr="000545BA">
        <w:rPr>
          <w:rFonts w:ascii="Verdana" w:eastAsia="Calibri" w:hAnsi="Verdana"/>
          <w:noProof/>
          <w:sz w:val="20"/>
          <w:szCs w:val="22"/>
          <w:lang w:val="sr-Cyrl-RS" w:eastAsia="en-US"/>
        </w:rPr>
        <w:t>стимул</w:t>
      </w:r>
      <w:r w:rsidRPr="000545BA">
        <w:rPr>
          <w:rFonts w:ascii="Verdana" w:eastAsia="Calibri" w:hAnsi="Verdana"/>
          <w:noProof/>
          <w:sz w:val="20"/>
          <w:szCs w:val="22"/>
          <w:lang w:val="sr-Cyrl-RS" w:eastAsia="en-US"/>
        </w:rPr>
        <w:t xml:space="preserve">ативног начина обрачуна зарада чиме ће се повећати мотивација и допринос </w:t>
      </w:r>
      <w:r w:rsidR="00865F66" w:rsidRPr="000545BA">
        <w:rPr>
          <w:rFonts w:ascii="Verdana" w:eastAsia="Calibri" w:hAnsi="Verdana"/>
          <w:noProof/>
          <w:sz w:val="20"/>
          <w:szCs w:val="22"/>
          <w:lang w:val="sr-Cyrl-RS" w:eastAsia="en-US"/>
        </w:rPr>
        <w:t>запослених у реализацији пословних циљева</w:t>
      </w:r>
    </w:p>
    <w:p w:rsidR="00F81A3C" w:rsidRPr="000545BA" w:rsidRDefault="00F81A3C" w:rsidP="00F81A3C">
      <w:pPr>
        <w:pStyle w:val="ListParagraph"/>
        <w:suppressAutoHyphens w:val="0"/>
        <w:autoSpaceDE w:val="0"/>
        <w:autoSpaceDN w:val="0"/>
        <w:adjustRightInd w:val="0"/>
        <w:spacing w:line="276" w:lineRule="auto"/>
        <w:ind w:left="714"/>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 xml:space="preserve">и </w:t>
      </w:r>
    </w:p>
    <w:p w:rsidR="00F81A3C" w:rsidRPr="000545BA" w:rsidRDefault="00865F66" w:rsidP="009E0AE0">
      <w:pPr>
        <w:pStyle w:val="ListParagraph"/>
        <w:numPr>
          <w:ilvl w:val="0"/>
          <w:numId w:val="5"/>
        </w:numPr>
        <w:suppressAutoHyphens w:val="0"/>
        <w:autoSpaceDE w:val="0"/>
        <w:autoSpaceDN w:val="0"/>
        <w:adjustRightInd w:val="0"/>
        <w:spacing w:line="276" w:lineRule="auto"/>
        <w:ind w:left="714" w:hanging="357"/>
        <w:jc w:val="both"/>
        <w:rPr>
          <w:rFonts w:ascii="Verdana" w:eastAsia="Calibri" w:hAnsi="Verdana"/>
          <w:noProof/>
          <w:sz w:val="20"/>
          <w:szCs w:val="22"/>
          <w:lang w:val="sr-Cyrl-RS" w:eastAsia="en-US"/>
        </w:rPr>
      </w:pPr>
      <w:r w:rsidRPr="000545BA">
        <w:rPr>
          <w:rFonts w:ascii="Verdana" w:eastAsia="Calibri" w:hAnsi="Verdana"/>
          <w:noProof/>
          <w:sz w:val="20"/>
          <w:szCs w:val="22"/>
          <w:lang w:val="sr-Cyrl-RS" w:eastAsia="en-US"/>
        </w:rPr>
        <w:t>увођење нове организационе структуре која ће омогућити максимално коришћење ресурса и ефикасан рад уз смењење трошкова пословања</w:t>
      </w:r>
      <w:r w:rsidR="00F81A3C" w:rsidRPr="000545BA">
        <w:rPr>
          <w:rFonts w:ascii="Verdana" w:eastAsia="Calibri" w:hAnsi="Verdana"/>
          <w:noProof/>
          <w:sz w:val="20"/>
          <w:szCs w:val="22"/>
          <w:lang w:val="sr-Cyrl-RS" w:eastAsia="en-US"/>
        </w:rPr>
        <w:t>.</w:t>
      </w:r>
    </w:p>
    <w:p w:rsidR="00F81A3C" w:rsidRPr="000545BA" w:rsidRDefault="00F81A3C" w:rsidP="00F81A3C">
      <w:pPr>
        <w:pStyle w:val="Subtitle"/>
        <w:spacing w:before="120" w:line="276" w:lineRule="auto"/>
        <w:jc w:val="left"/>
        <w:rPr>
          <w:rStyle w:val="IntenseEmphasis"/>
          <w:rFonts w:ascii="Verdana" w:hAnsi="Verdana" w:cs="Times New Roman"/>
          <w:noProof/>
          <w:sz w:val="22"/>
          <w:lang w:val="sr-Cyrl-RS"/>
        </w:rPr>
      </w:pPr>
      <w:r w:rsidRPr="000545BA">
        <w:rPr>
          <w:rStyle w:val="IntenseEmphasis"/>
          <w:rFonts w:ascii="Verdana" w:hAnsi="Verdana" w:cs="Times New Roman"/>
          <w:noProof/>
          <w:sz w:val="22"/>
          <w:lang w:val="sr-Cyrl-RS"/>
        </w:rPr>
        <w:t>Стратешки циљ развоја интегрисаног информационог система</w:t>
      </w:r>
    </w:p>
    <w:p w:rsidR="00F81A3C" w:rsidRPr="000545BA" w:rsidRDefault="00F81A3C" w:rsidP="00F81A3C">
      <w:pPr>
        <w:pStyle w:val="BodyText"/>
        <w:rPr>
          <w:rFonts w:ascii="Verdana" w:hAnsi="Verdana"/>
          <w:noProof/>
          <w:sz w:val="2"/>
          <w:szCs w:val="2"/>
          <w:lang w:val="sr-Cyrl-RS"/>
        </w:rPr>
      </w:pPr>
      <w:r w:rsidRPr="000545BA">
        <w:rPr>
          <w:rFonts w:ascii="Verdana" w:eastAsia="Calibri" w:hAnsi="Verdana"/>
          <w:noProof/>
          <w:sz w:val="20"/>
          <w:szCs w:val="22"/>
          <w:lang w:val="sr-Cyrl-RS" w:eastAsia="en-US"/>
        </w:rPr>
        <w:t xml:space="preserve">  </w:t>
      </w:r>
    </w:p>
    <w:p w:rsidR="00A9718A" w:rsidRPr="000545BA" w:rsidRDefault="00A9718A" w:rsidP="00A9718A">
      <w:pPr>
        <w:autoSpaceDE w:val="0"/>
        <w:autoSpaceDN w:val="0"/>
        <w:adjustRightInd w:val="0"/>
        <w:spacing w:before="120" w:after="120" w:line="276" w:lineRule="auto"/>
        <w:ind w:firstLine="272"/>
        <w:jc w:val="both"/>
        <w:rPr>
          <w:rFonts w:ascii="Verdana" w:hAnsi="Verdana" w:cs="Tahoma"/>
          <w:noProof/>
          <w:sz w:val="20"/>
          <w:szCs w:val="14"/>
          <w:lang w:val="sr-Cyrl-RS"/>
        </w:rPr>
      </w:pPr>
      <w:r w:rsidRPr="000545BA">
        <w:rPr>
          <w:rFonts w:ascii="Verdana" w:hAnsi="Verdana" w:cs="Tahoma"/>
          <w:noProof/>
          <w:sz w:val="20"/>
          <w:szCs w:val="14"/>
          <w:lang w:val="sr-Cyrl-RS"/>
        </w:rPr>
        <w:t>Друштво је за 2015. годину, као приоритетне означила активности на реализацији и увођењу интегрисаног информационог система.</w:t>
      </w:r>
    </w:p>
    <w:p w:rsidR="00D032A4" w:rsidRPr="000545BA" w:rsidRDefault="00A9718A" w:rsidP="00A9718A">
      <w:pPr>
        <w:autoSpaceDE w:val="0"/>
        <w:autoSpaceDN w:val="0"/>
        <w:adjustRightInd w:val="0"/>
        <w:spacing w:before="120" w:after="120" w:line="276" w:lineRule="auto"/>
        <w:ind w:firstLine="272"/>
        <w:jc w:val="both"/>
        <w:rPr>
          <w:rFonts w:ascii="Verdana" w:eastAsia="Calibri" w:hAnsi="Verdana"/>
          <w:noProof/>
          <w:sz w:val="20"/>
          <w:szCs w:val="22"/>
          <w:lang w:val="sr-Cyrl-RS" w:eastAsia="en-US"/>
        </w:rPr>
      </w:pPr>
      <w:r w:rsidRPr="000545BA">
        <w:rPr>
          <w:rFonts w:ascii="Verdana" w:hAnsi="Verdana" w:cs="Tahoma"/>
          <w:noProof/>
          <w:sz w:val="20"/>
          <w:szCs w:val="14"/>
          <w:lang w:val="sr-Cyrl-RS"/>
        </w:rPr>
        <w:t>Поред унапређења постојећег информационог система, Друштво ће унапредити и интерна акта којима се регулишу активности повезане са информационим системом на начин да се задовоље уобичајни стандарди рада у овој области и Одлука НБС о минималним стандардима управљања информационим системом финансијских институција.</w:t>
      </w:r>
    </w:p>
    <w:p w:rsidR="00371654" w:rsidRPr="000545BA" w:rsidRDefault="00371654" w:rsidP="00371654">
      <w:pPr>
        <w:keepNext/>
        <w:jc w:val="center"/>
        <w:outlineLvl w:val="0"/>
        <w:rPr>
          <w:rFonts w:ascii="Verdana" w:hAnsi="Verdana" w:cs="Tahoma"/>
          <w:b/>
          <w:bCs/>
          <w:noProof/>
          <w:color w:val="365F91"/>
          <w:szCs w:val="18"/>
          <w:lang w:val="sr-Cyrl-RS"/>
        </w:rPr>
      </w:pPr>
    </w:p>
    <w:p w:rsidR="00371654" w:rsidRDefault="00371654" w:rsidP="00265EBD">
      <w:pPr>
        <w:pStyle w:val="Heading1"/>
        <w:numPr>
          <w:ilvl w:val="0"/>
          <w:numId w:val="3"/>
        </w:numPr>
        <w:tabs>
          <w:tab w:val="clear" w:pos="432"/>
        </w:tabs>
        <w:ind w:left="0" w:firstLine="0"/>
        <w:rPr>
          <w:rFonts w:ascii="Verdana" w:hAnsi="Verdana" w:cs="Tahoma"/>
          <w:noProof/>
          <w:color w:val="365F91"/>
          <w:sz w:val="24"/>
          <w:szCs w:val="18"/>
          <w:lang w:val="sr-Latn-RS"/>
        </w:rPr>
      </w:pPr>
      <w:bookmarkStart w:id="36" w:name="_Toc414610337"/>
      <w:r w:rsidRPr="000545BA">
        <w:rPr>
          <w:rFonts w:ascii="Verdana" w:hAnsi="Verdana" w:cs="Tahoma"/>
          <w:noProof/>
          <w:color w:val="365F91"/>
          <w:sz w:val="24"/>
          <w:szCs w:val="18"/>
          <w:lang w:val="sr-Cyrl-RS"/>
        </w:rPr>
        <w:t>ПЛАНИРАНЕ ПОСЛОВНЕ АКТИВНОСТИ У ТОКУ 2014. ГОДИНЕ</w:t>
      </w:r>
      <w:bookmarkEnd w:id="36"/>
      <w:r w:rsidRPr="000545BA">
        <w:rPr>
          <w:rFonts w:ascii="Verdana" w:hAnsi="Verdana" w:cs="Tahoma"/>
          <w:noProof/>
          <w:color w:val="365F91"/>
          <w:sz w:val="24"/>
          <w:szCs w:val="18"/>
          <w:lang w:val="sr-Cyrl-RS"/>
        </w:rPr>
        <w:t xml:space="preserve"> </w:t>
      </w:r>
    </w:p>
    <w:p w:rsidR="003644B4" w:rsidRPr="003644B4" w:rsidRDefault="003644B4" w:rsidP="003644B4">
      <w:pPr>
        <w:rPr>
          <w:lang w:val="sr-Latn-RS"/>
        </w:rPr>
      </w:pPr>
    </w:p>
    <w:p w:rsidR="003644B4" w:rsidRPr="00955F0E" w:rsidRDefault="003644B4" w:rsidP="00955F0E">
      <w:pPr>
        <w:pStyle w:val="Heading1"/>
        <w:numPr>
          <w:ilvl w:val="1"/>
          <w:numId w:val="3"/>
        </w:numPr>
        <w:tabs>
          <w:tab w:val="clear" w:pos="336"/>
        </w:tabs>
        <w:spacing w:before="240" w:after="240"/>
        <w:ind w:left="331" w:firstLine="230"/>
        <w:jc w:val="left"/>
        <w:rPr>
          <w:rFonts w:ascii="Verdana" w:hAnsi="Verdana" w:cs="Tahoma"/>
          <w:noProof/>
          <w:color w:val="365F91"/>
          <w:sz w:val="20"/>
          <w:szCs w:val="18"/>
          <w:lang w:val="sr-Cyrl-RS"/>
        </w:rPr>
      </w:pPr>
      <w:bookmarkStart w:id="37" w:name="_Toc414610338"/>
      <w:r w:rsidRPr="00955F0E">
        <w:rPr>
          <w:rFonts w:ascii="Verdana" w:hAnsi="Verdana" w:cs="Tahoma"/>
          <w:noProof/>
          <w:color w:val="365F91"/>
          <w:sz w:val="20"/>
          <w:szCs w:val="18"/>
          <w:lang w:val="sr-Cyrl-RS"/>
        </w:rPr>
        <w:t>Претпоставке за израду плана премије за 2015. годину су:</w:t>
      </w:r>
      <w:bookmarkEnd w:id="37"/>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премије аутоматских пропорционалних уговора о реосигурању је рађен са информацијом о постојећим и обновљеним уговорима за 2015. годину и њиховом очекиваном развоју премије током године,</w:t>
      </w:r>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премије непропорционалних уговора о реосигурању је дат на основу развоја постојећих и познатих података о уговореним аутоматским програмима за 2015. годину,</w:t>
      </w:r>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премије факултативних програма је дат на основу постојећих и обновљених кровних уговора за међународне програме и планираних обнова појединачних факултативних уговора у 2015. години,</w:t>
      </w:r>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Друштво током 2015. године планира рад на развоју нових аутоматских и појединачних програма рео</w:t>
      </w:r>
      <w:r w:rsidR="00DF1EA6" w:rsidRPr="00955F0E">
        <w:rPr>
          <w:rFonts w:ascii="Verdana" w:hAnsi="Verdana" w:cs="Tahoma"/>
          <w:noProof/>
          <w:sz w:val="20"/>
          <w:szCs w:val="14"/>
          <w:lang w:val="sr-Cyrl-RS"/>
        </w:rPr>
        <w:t>сигурања са постојећим и новим Ц</w:t>
      </w:r>
      <w:r w:rsidRPr="00955F0E">
        <w:rPr>
          <w:rFonts w:ascii="Verdana" w:hAnsi="Verdana" w:cs="Tahoma"/>
          <w:noProof/>
          <w:sz w:val="20"/>
          <w:szCs w:val="14"/>
          <w:lang w:val="sr-Cyrl-RS"/>
        </w:rPr>
        <w:t>едентима,</w:t>
      </w:r>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Друштво планира током 2015. године рад на развоју нових аутоматских и појединачних програма реосигурања са инореосигуравачима и другим локалним реосигуравачима на тржишту и</w:t>
      </w:r>
    </w:p>
    <w:p w:rsidR="003644B4" w:rsidRPr="00955F0E" w:rsidRDefault="003644B4"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 xml:space="preserve">Планира се развој постојећег портфеља са територије Србије као и учвршћивање пословних односа са реосигуравачима са Ex YU територије у циљу повећања дисперзије ризика, као и побољшања квалитета реципроцитетне размене портфеља које Друштво има са овим реосигуравачима дуги низ година. </w:t>
      </w:r>
    </w:p>
    <w:p w:rsidR="003644B4" w:rsidRPr="00955F0E" w:rsidRDefault="003644B4" w:rsidP="00955F0E">
      <w:pPr>
        <w:pStyle w:val="Heading1"/>
        <w:numPr>
          <w:ilvl w:val="2"/>
          <w:numId w:val="3"/>
        </w:numPr>
        <w:tabs>
          <w:tab w:val="clear" w:pos="6870"/>
        </w:tabs>
        <w:spacing w:before="240" w:after="240"/>
        <w:ind w:left="1418" w:hanging="851"/>
        <w:jc w:val="left"/>
        <w:rPr>
          <w:rFonts w:ascii="Verdana" w:hAnsi="Verdana" w:cs="Tahoma"/>
          <w:noProof/>
          <w:color w:val="365F91"/>
          <w:sz w:val="20"/>
          <w:szCs w:val="18"/>
          <w:lang w:val="sr-Cyrl-RS"/>
        </w:rPr>
      </w:pPr>
      <w:bookmarkStart w:id="38" w:name="_Toc414610339"/>
      <w:r w:rsidRPr="00955F0E">
        <w:rPr>
          <w:rFonts w:ascii="Verdana" w:hAnsi="Verdana" w:cs="Tahoma"/>
          <w:noProof/>
          <w:color w:val="365F91"/>
          <w:sz w:val="20"/>
          <w:szCs w:val="18"/>
          <w:lang w:val="sr-Cyrl-RS"/>
        </w:rPr>
        <w:t>Планирана премија за 2015. годину</w:t>
      </w:r>
      <w:bookmarkEnd w:id="38"/>
    </w:p>
    <w:p w:rsidR="003644B4" w:rsidRPr="00955F0E" w:rsidRDefault="003644B4"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 xml:space="preserve">Планирана </w:t>
      </w:r>
      <w:r w:rsidRPr="00EF00A1">
        <w:rPr>
          <w:rFonts w:ascii="Verdana" w:hAnsi="Verdana" w:cs="Tahoma"/>
          <w:b/>
          <w:i/>
          <w:noProof/>
          <w:sz w:val="20"/>
          <w:szCs w:val="14"/>
          <w:lang w:val="sr-Cyrl-RS"/>
        </w:rPr>
        <w:t>активна премија реосигурања</w:t>
      </w:r>
      <w:r w:rsidRPr="00955F0E">
        <w:rPr>
          <w:rFonts w:ascii="Verdana" w:hAnsi="Verdana" w:cs="Tahoma"/>
          <w:noProof/>
          <w:sz w:val="20"/>
          <w:szCs w:val="14"/>
          <w:lang w:val="sr-Cyrl-RS"/>
        </w:rPr>
        <w:t xml:space="preserve"> Друштва за 2015. годину износи 2.569.000 хиљада динара и већа је за 10,49% у односу на остварење у 2014. години.</w:t>
      </w:r>
    </w:p>
    <w:p w:rsidR="00A05A6E" w:rsidRPr="00955F0E" w:rsidRDefault="00A05A6E"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Раст планиране премије заснован је на следећим претпоставкама:</w:t>
      </w:r>
    </w:p>
    <w:p w:rsidR="00FB0B4E" w:rsidRPr="00955F0E" w:rsidRDefault="00FB0B4E"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Активно учествовање Друштва у формирању понуда за велика осигуравајућа покрића матичне Компаније са циљем повећања конкурентности Дунав групе</w:t>
      </w:r>
      <w:r w:rsidR="00955F0E">
        <w:rPr>
          <w:rFonts w:ascii="Verdana" w:hAnsi="Verdana" w:cs="Tahoma"/>
          <w:noProof/>
          <w:sz w:val="20"/>
          <w:szCs w:val="14"/>
          <w:lang w:val="sr-Latn-RS"/>
        </w:rPr>
        <w:t>;</w:t>
      </w:r>
    </w:p>
    <w:p w:rsidR="000C6686" w:rsidRPr="00955F0E" w:rsidRDefault="000C6686"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Развој нових програма реосигурања са Цедентима који већ имају сарадњу са Друштвом и са новим Цедентима</w:t>
      </w:r>
      <w:r w:rsidR="00955F0E">
        <w:rPr>
          <w:rFonts w:ascii="Verdana" w:hAnsi="Verdana" w:cs="Tahoma"/>
          <w:noProof/>
          <w:sz w:val="20"/>
          <w:szCs w:val="14"/>
          <w:lang w:val="sr-Latn-RS"/>
        </w:rPr>
        <w:t>;</w:t>
      </w:r>
    </w:p>
    <w:p w:rsidR="00A05A6E" w:rsidRPr="00955F0E" w:rsidRDefault="00A05A6E"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 xml:space="preserve">Развој нових </w:t>
      </w:r>
      <w:r w:rsidR="00DF1EA6" w:rsidRPr="00955F0E">
        <w:rPr>
          <w:rFonts w:ascii="Verdana" w:hAnsi="Verdana" w:cs="Tahoma"/>
          <w:noProof/>
          <w:sz w:val="20"/>
          <w:szCs w:val="14"/>
          <w:lang w:val="sr-Cyrl-RS"/>
        </w:rPr>
        <w:t>понуда реосигуравајућих покрића</w:t>
      </w:r>
      <w:r w:rsidRPr="00955F0E">
        <w:rPr>
          <w:rFonts w:ascii="Verdana" w:hAnsi="Verdana" w:cs="Tahoma"/>
          <w:noProof/>
          <w:sz w:val="20"/>
          <w:szCs w:val="14"/>
          <w:lang w:val="sr-Cyrl-RS"/>
        </w:rPr>
        <w:t xml:space="preserve"> (послови </w:t>
      </w:r>
      <w:r w:rsidR="00DF1EA6" w:rsidRPr="00955F0E">
        <w:rPr>
          <w:rFonts w:ascii="Verdana" w:hAnsi="Verdana" w:cs="Tahoma"/>
          <w:noProof/>
          <w:sz w:val="20"/>
          <w:szCs w:val="14"/>
          <w:lang w:val="sr-Cyrl-RS"/>
        </w:rPr>
        <w:t>ре</w:t>
      </w:r>
      <w:r w:rsidRPr="00955F0E">
        <w:rPr>
          <w:rFonts w:ascii="Verdana" w:hAnsi="Verdana" w:cs="Tahoma"/>
          <w:noProof/>
          <w:sz w:val="20"/>
          <w:szCs w:val="14"/>
          <w:lang w:val="sr-Cyrl-RS"/>
        </w:rPr>
        <w:t>осигурања одговорности, незгоде, правне заштите и остали)</w:t>
      </w:r>
      <w:r w:rsidR="00955F0E">
        <w:rPr>
          <w:rFonts w:ascii="Verdana" w:hAnsi="Verdana" w:cs="Tahoma"/>
          <w:noProof/>
          <w:sz w:val="20"/>
          <w:szCs w:val="14"/>
          <w:lang w:val="sr-Latn-RS"/>
        </w:rPr>
        <w:t>;</w:t>
      </w:r>
    </w:p>
    <w:p w:rsidR="00A05A6E" w:rsidRPr="00955F0E" w:rsidRDefault="00163AAB"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 xml:space="preserve">Развој Службе за продају у оквиру Друштва која ће проактивно радити на </w:t>
      </w:r>
      <w:r w:rsidR="00DF1EA6" w:rsidRPr="00955F0E">
        <w:rPr>
          <w:rFonts w:ascii="Verdana" w:hAnsi="Verdana" w:cs="Tahoma"/>
          <w:noProof/>
          <w:sz w:val="20"/>
          <w:szCs w:val="14"/>
          <w:lang w:val="sr-Cyrl-RS"/>
        </w:rPr>
        <w:t>упознавању Цедената са реосигуравајућим покрићима које  Друштво</w:t>
      </w:r>
      <w:r w:rsidRPr="00955F0E">
        <w:rPr>
          <w:rFonts w:ascii="Verdana" w:hAnsi="Verdana" w:cs="Tahoma"/>
          <w:noProof/>
          <w:sz w:val="20"/>
          <w:szCs w:val="14"/>
          <w:lang w:val="sr-Cyrl-RS"/>
        </w:rPr>
        <w:t xml:space="preserve"> </w:t>
      </w:r>
      <w:r w:rsidR="00DF1EA6" w:rsidRPr="00955F0E">
        <w:rPr>
          <w:rFonts w:ascii="Verdana" w:hAnsi="Verdana" w:cs="Tahoma"/>
          <w:noProof/>
          <w:sz w:val="20"/>
          <w:szCs w:val="14"/>
          <w:lang w:val="sr-Cyrl-RS"/>
        </w:rPr>
        <w:t>може да понуди</w:t>
      </w:r>
      <w:r w:rsidR="000C6686" w:rsidRPr="00955F0E">
        <w:rPr>
          <w:rFonts w:ascii="Verdana" w:hAnsi="Verdana" w:cs="Tahoma"/>
          <w:noProof/>
          <w:sz w:val="20"/>
          <w:szCs w:val="14"/>
          <w:lang w:val="sr-Cyrl-RS"/>
        </w:rPr>
        <w:t>.</w:t>
      </w:r>
    </w:p>
    <w:p w:rsidR="003644B4" w:rsidRPr="00955F0E" w:rsidRDefault="003644B4"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 xml:space="preserve">Планирана </w:t>
      </w:r>
      <w:r w:rsidRPr="00EF00A1">
        <w:rPr>
          <w:rFonts w:ascii="Verdana" w:hAnsi="Verdana" w:cs="Tahoma"/>
          <w:b/>
          <w:i/>
          <w:noProof/>
          <w:sz w:val="20"/>
          <w:szCs w:val="14"/>
          <w:lang w:val="sr-Cyrl-RS"/>
        </w:rPr>
        <w:t>пасивна премија реосигурања</w:t>
      </w:r>
      <w:r w:rsidRPr="00955F0E">
        <w:rPr>
          <w:rFonts w:ascii="Verdana" w:hAnsi="Verdana" w:cs="Tahoma"/>
          <w:noProof/>
          <w:sz w:val="20"/>
          <w:szCs w:val="14"/>
          <w:lang w:val="sr-Cyrl-RS"/>
        </w:rPr>
        <w:t xml:space="preserve"> Друштва за 2015. годину износи 2.157.000 хиљада динара и већа је за 10,18% у односу на остварење у 2014. години.</w:t>
      </w:r>
    </w:p>
    <w:p w:rsidR="000C6686" w:rsidRPr="00955F0E" w:rsidRDefault="000C6686"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Раст планиране премије заснован је на следећим претпоставкама:</w:t>
      </w:r>
    </w:p>
    <w:p w:rsidR="000C6686" w:rsidRPr="00955F0E" w:rsidRDefault="00DA1F74"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 xml:space="preserve">За </w:t>
      </w:r>
      <w:r w:rsidR="00905CFE" w:rsidRPr="00955F0E">
        <w:rPr>
          <w:rFonts w:ascii="Verdana" w:hAnsi="Verdana" w:cs="Tahoma"/>
          <w:noProof/>
          <w:sz w:val="20"/>
          <w:szCs w:val="14"/>
          <w:lang w:val="sr-Cyrl-RS"/>
        </w:rPr>
        <w:t xml:space="preserve">нове </w:t>
      </w:r>
      <w:r w:rsidRPr="00955F0E">
        <w:rPr>
          <w:rFonts w:ascii="Verdana" w:hAnsi="Verdana" w:cs="Tahoma"/>
          <w:noProof/>
          <w:sz w:val="20"/>
          <w:szCs w:val="14"/>
          <w:lang w:val="sr-Cyrl-RS"/>
        </w:rPr>
        <w:t>ризике преузете у реосигурање планирано је обезбеђивање адекватног покрића у ретроцесији</w:t>
      </w:r>
      <w:r w:rsidR="00955F0E">
        <w:rPr>
          <w:rFonts w:ascii="Verdana" w:hAnsi="Verdana" w:cs="Tahoma"/>
          <w:noProof/>
          <w:sz w:val="20"/>
          <w:szCs w:val="14"/>
          <w:lang w:val="sr-Latn-RS"/>
        </w:rPr>
        <w:t>;</w:t>
      </w:r>
    </w:p>
    <w:p w:rsidR="00DA1F74" w:rsidRPr="00955F0E" w:rsidRDefault="00DA1F74"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За велика осигуравајућа покрића матичне Компаније планирано је квалитетно обезбеђивање ретроцесије</w:t>
      </w:r>
      <w:r w:rsidR="00955F0E">
        <w:rPr>
          <w:rFonts w:ascii="Verdana" w:hAnsi="Verdana" w:cs="Tahoma"/>
          <w:noProof/>
          <w:sz w:val="20"/>
          <w:szCs w:val="14"/>
          <w:lang w:val="sr-Latn-RS"/>
        </w:rPr>
        <w:t>;</w:t>
      </w:r>
    </w:p>
    <w:p w:rsidR="00DA1F74" w:rsidRPr="00955F0E" w:rsidRDefault="00905CFE"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Развој с</w:t>
      </w:r>
      <w:r w:rsidR="00DA1F74" w:rsidRPr="00955F0E">
        <w:rPr>
          <w:rFonts w:ascii="Verdana" w:hAnsi="Verdana" w:cs="Tahoma"/>
          <w:noProof/>
          <w:sz w:val="20"/>
          <w:szCs w:val="14"/>
          <w:lang w:val="sr-Cyrl-RS"/>
        </w:rPr>
        <w:t>арадњ</w:t>
      </w:r>
      <w:r w:rsidRPr="00955F0E">
        <w:rPr>
          <w:rFonts w:ascii="Verdana" w:hAnsi="Verdana" w:cs="Tahoma"/>
          <w:noProof/>
          <w:sz w:val="20"/>
          <w:szCs w:val="14"/>
          <w:lang w:val="sr-Cyrl-RS"/>
        </w:rPr>
        <w:t>е</w:t>
      </w:r>
      <w:r w:rsidR="00DA1F74" w:rsidRPr="00955F0E">
        <w:rPr>
          <w:rFonts w:ascii="Verdana" w:hAnsi="Verdana" w:cs="Tahoma"/>
          <w:noProof/>
          <w:sz w:val="20"/>
          <w:szCs w:val="14"/>
          <w:lang w:val="sr-Cyrl-RS"/>
        </w:rPr>
        <w:t xml:space="preserve"> са Цедентима на адекватној процени максимално могуће штете имовинских ризика </w:t>
      </w:r>
      <w:r w:rsidRPr="00955F0E">
        <w:rPr>
          <w:rFonts w:ascii="Verdana" w:hAnsi="Verdana" w:cs="Tahoma"/>
          <w:noProof/>
          <w:sz w:val="20"/>
          <w:szCs w:val="14"/>
          <w:lang w:val="sr-Cyrl-RS"/>
        </w:rPr>
        <w:t>очекујемо</w:t>
      </w:r>
      <w:r w:rsidR="00DA1F74" w:rsidRPr="00955F0E">
        <w:rPr>
          <w:rFonts w:ascii="Verdana" w:hAnsi="Verdana" w:cs="Tahoma"/>
          <w:noProof/>
          <w:sz w:val="20"/>
          <w:szCs w:val="14"/>
          <w:lang w:val="sr-Cyrl-RS"/>
        </w:rPr>
        <w:t xml:space="preserve"> да </w:t>
      </w:r>
      <w:r w:rsidRPr="00955F0E">
        <w:rPr>
          <w:rFonts w:ascii="Verdana" w:hAnsi="Verdana" w:cs="Tahoma"/>
          <w:noProof/>
          <w:sz w:val="20"/>
          <w:szCs w:val="14"/>
          <w:lang w:val="sr-Cyrl-RS"/>
        </w:rPr>
        <w:t>резултира</w:t>
      </w:r>
      <w:r w:rsidR="00DA1F74" w:rsidRPr="00955F0E">
        <w:rPr>
          <w:rFonts w:ascii="Verdana" w:hAnsi="Verdana" w:cs="Tahoma"/>
          <w:noProof/>
          <w:sz w:val="20"/>
          <w:szCs w:val="14"/>
          <w:lang w:val="sr-Cyrl-RS"/>
        </w:rPr>
        <w:t xml:space="preserve"> већи</w:t>
      </w:r>
      <w:r w:rsidRPr="00955F0E">
        <w:rPr>
          <w:rFonts w:ascii="Verdana" w:hAnsi="Verdana" w:cs="Tahoma"/>
          <w:noProof/>
          <w:sz w:val="20"/>
          <w:szCs w:val="14"/>
          <w:lang w:val="sr-Cyrl-RS"/>
        </w:rPr>
        <w:t>м</w:t>
      </w:r>
      <w:r w:rsidR="00DA1F74" w:rsidRPr="00955F0E">
        <w:rPr>
          <w:rFonts w:ascii="Verdana" w:hAnsi="Verdana" w:cs="Tahoma"/>
          <w:noProof/>
          <w:sz w:val="20"/>
          <w:szCs w:val="14"/>
          <w:lang w:val="sr-Cyrl-RS"/>
        </w:rPr>
        <w:t xml:space="preserve"> обим</w:t>
      </w:r>
      <w:r w:rsidRPr="00955F0E">
        <w:rPr>
          <w:rFonts w:ascii="Verdana" w:hAnsi="Verdana" w:cs="Tahoma"/>
          <w:noProof/>
          <w:sz w:val="20"/>
          <w:szCs w:val="14"/>
          <w:lang w:val="sr-Cyrl-RS"/>
        </w:rPr>
        <w:t>ом</w:t>
      </w:r>
      <w:r w:rsidR="00DA1F74" w:rsidRPr="00955F0E">
        <w:rPr>
          <w:rFonts w:ascii="Verdana" w:hAnsi="Verdana" w:cs="Tahoma"/>
          <w:noProof/>
          <w:sz w:val="20"/>
          <w:szCs w:val="14"/>
          <w:lang w:val="sr-Cyrl-RS"/>
        </w:rPr>
        <w:t xml:space="preserve"> премије ретроцесије</w:t>
      </w:r>
      <w:r w:rsidR="00955F0E">
        <w:rPr>
          <w:rFonts w:ascii="Verdana" w:hAnsi="Verdana" w:cs="Tahoma"/>
          <w:noProof/>
          <w:sz w:val="20"/>
          <w:szCs w:val="14"/>
          <w:lang w:val="sr-Latn-RS"/>
        </w:rPr>
        <w:t>;</w:t>
      </w:r>
    </w:p>
    <w:p w:rsidR="00DA1F74" w:rsidRPr="00955F0E" w:rsidRDefault="00DA1F74"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Развој нових производа реосигурања ће се вршити уз неопходну диспрезију ризика у ретроцесију</w:t>
      </w:r>
      <w:r w:rsidR="00955F0E">
        <w:rPr>
          <w:rFonts w:ascii="Verdana" w:hAnsi="Verdana" w:cs="Tahoma"/>
          <w:noProof/>
          <w:sz w:val="20"/>
          <w:szCs w:val="14"/>
          <w:lang w:val="sr-Latn-RS"/>
        </w:rPr>
        <w:t>;</w:t>
      </w:r>
    </w:p>
    <w:p w:rsidR="003644B4" w:rsidRPr="00CB62A3" w:rsidRDefault="003644B4" w:rsidP="003644B4">
      <w:pPr>
        <w:pStyle w:val="CommentText"/>
        <w:rPr>
          <w:rFonts w:ascii="Verdana" w:hAnsi="Verdana"/>
          <w:snapToGrid/>
          <w:color w:val="FF0000"/>
          <w:sz w:val="20"/>
          <w:szCs w:val="20"/>
          <w:lang w:val="sr-Latn-RS"/>
        </w:rPr>
      </w:pPr>
    </w:p>
    <w:p w:rsidR="003644B4" w:rsidRPr="00955F0E" w:rsidRDefault="003644B4"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 xml:space="preserve">Планирана </w:t>
      </w:r>
      <w:r w:rsidRPr="00EF00A1">
        <w:rPr>
          <w:rFonts w:ascii="Verdana" w:hAnsi="Verdana" w:cs="Tahoma"/>
          <w:b/>
          <w:i/>
          <w:noProof/>
          <w:sz w:val="20"/>
          <w:szCs w:val="14"/>
          <w:lang w:val="sr-Cyrl-RS"/>
        </w:rPr>
        <w:t>премија у самопридржају</w:t>
      </w:r>
      <w:r w:rsidRPr="00955F0E">
        <w:rPr>
          <w:rFonts w:ascii="Verdana" w:hAnsi="Verdana" w:cs="Tahoma"/>
          <w:noProof/>
          <w:sz w:val="20"/>
          <w:szCs w:val="14"/>
          <w:lang w:val="sr-Cyrl-RS"/>
        </w:rPr>
        <w:t xml:space="preserve"> Друштва за 2015. годину износи 411.750 хиљада динара и већа је за 12,12% у односу на остварење у 2014. години.</w:t>
      </w:r>
    </w:p>
    <w:p w:rsidR="001E0D54" w:rsidRPr="00955F0E" w:rsidRDefault="001E0D54" w:rsidP="00955F0E">
      <w:pPr>
        <w:autoSpaceDE w:val="0"/>
        <w:autoSpaceDN w:val="0"/>
        <w:adjustRightInd w:val="0"/>
        <w:spacing w:before="120" w:after="120" w:line="276" w:lineRule="auto"/>
        <w:ind w:firstLine="272"/>
        <w:jc w:val="both"/>
        <w:rPr>
          <w:rFonts w:ascii="Verdana" w:hAnsi="Verdana" w:cs="Tahoma"/>
          <w:noProof/>
          <w:sz w:val="20"/>
          <w:szCs w:val="14"/>
          <w:lang w:val="sr-Cyrl-RS"/>
        </w:rPr>
      </w:pPr>
      <w:r w:rsidRPr="00955F0E">
        <w:rPr>
          <w:rFonts w:ascii="Verdana" w:hAnsi="Verdana" w:cs="Tahoma"/>
          <w:noProof/>
          <w:sz w:val="20"/>
          <w:szCs w:val="14"/>
          <w:lang w:val="sr-Cyrl-RS"/>
        </w:rPr>
        <w:t>Раст планиране премије заснован је на следећим претпоставкама:</w:t>
      </w:r>
    </w:p>
    <w:p w:rsidR="001E0D54" w:rsidRPr="00955F0E" w:rsidRDefault="001E0D54"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Адекватно коришћење капацитета друштва за нове ризике и нове производе преузете у реосигурање</w:t>
      </w:r>
      <w:r w:rsidR="00955F0E">
        <w:rPr>
          <w:rFonts w:ascii="Verdana" w:hAnsi="Verdana" w:cs="Tahoma"/>
          <w:noProof/>
          <w:sz w:val="20"/>
          <w:szCs w:val="14"/>
          <w:lang w:val="sr-Latn-RS"/>
        </w:rPr>
        <w:t>;</w:t>
      </w:r>
    </w:p>
    <w:p w:rsidR="001E0D54" w:rsidRPr="00955F0E" w:rsidRDefault="001E0D54"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955F0E">
        <w:rPr>
          <w:rFonts w:ascii="Verdana" w:hAnsi="Verdana" w:cs="Tahoma"/>
          <w:noProof/>
          <w:sz w:val="20"/>
          <w:szCs w:val="14"/>
          <w:lang w:val="sr-Cyrl-RS"/>
        </w:rPr>
        <w:t xml:space="preserve">Развој сарадње са Цедентима на адекватној процени максимално могуће штете имовинских ризика очекујемо да резултира већим обимом премије </w:t>
      </w:r>
      <w:r w:rsidR="00A9093F" w:rsidRPr="00955F0E">
        <w:rPr>
          <w:rFonts w:ascii="Verdana" w:hAnsi="Verdana" w:cs="Tahoma"/>
          <w:noProof/>
          <w:sz w:val="20"/>
          <w:szCs w:val="14"/>
          <w:lang w:val="sr-Cyrl-RS"/>
        </w:rPr>
        <w:t>пренете у реосигурање</w:t>
      </w:r>
      <w:r w:rsidR="00955F0E">
        <w:rPr>
          <w:rFonts w:ascii="Verdana" w:hAnsi="Verdana" w:cs="Tahoma"/>
          <w:noProof/>
          <w:sz w:val="20"/>
          <w:szCs w:val="14"/>
          <w:lang w:val="sr-Latn-RS"/>
        </w:rPr>
        <w:t>.</w:t>
      </w:r>
    </w:p>
    <w:p w:rsidR="00CD5592" w:rsidRPr="00CB62A3" w:rsidRDefault="00D059BD" w:rsidP="003644B4">
      <w:pPr>
        <w:jc w:val="both"/>
        <w:rPr>
          <w:rFonts w:ascii="Verdana" w:hAnsi="Verdana"/>
          <w:color w:val="FF0000"/>
          <w:sz w:val="20"/>
          <w:szCs w:val="20"/>
          <w:lang w:val="sr-Latn-RS"/>
        </w:rPr>
      </w:pPr>
      <w:r>
        <w:rPr>
          <w:noProof/>
          <w:lang w:val="sr-Latn-RS" w:eastAsia="sr-Latn-RS"/>
        </w:rPr>
        <w:drawing>
          <wp:inline distT="0" distB="0" distL="0" distR="0" wp14:anchorId="6F58DC9C" wp14:editId="3F142DB4">
            <wp:extent cx="6146359" cy="2655735"/>
            <wp:effectExtent l="0" t="0" r="698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CD5592" w:rsidRPr="00CB62A3" w:rsidRDefault="00CD5592" w:rsidP="003644B4">
      <w:pPr>
        <w:jc w:val="both"/>
        <w:rPr>
          <w:rFonts w:ascii="Verdana" w:hAnsi="Verdana"/>
          <w:color w:val="FF0000"/>
          <w:sz w:val="20"/>
          <w:szCs w:val="20"/>
          <w:lang w:val="sr-Latn-RS"/>
        </w:rPr>
      </w:pPr>
    </w:p>
    <w:p w:rsidR="00CD5592" w:rsidRPr="00955F0E" w:rsidRDefault="00CD5592" w:rsidP="00955F0E">
      <w:pPr>
        <w:pStyle w:val="Heading1"/>
        <w:numPr>
          <w:ilvl w:val="1"/>
          <w:numId w:val="3"/>
        </w:numPr>
        <w:tabs>
          <w:tab w:val="clear" w:pos="336"/>
        </w:tabs>
        <w:spacing w:before="240" w:after="240"/>
        <w:ind w:left="331" w:firstLine="230"/>
        <w:jc w:val="left"/>
        <w:rPr>
          <w:rFonts w:ascii="Verdana" w:hAnsi="Verdana" w:cs="Tahoma"/>
          <w:noProof/>
          <w:color w:val="365F91"/>
          <w:sz w:val="20"/>
          <w:szCs w:val="18"/>
          <w:lang w:val="sr-Cyrl-RS"/>
        </w:rPr>
      </w:pPr>
      <w:bookmarkStart w:id="39" w:name="_Toc414610340"/>
      <w:r w:rsidRPr="00955F0E">
        <w:rPr>
          <w:rFonts w:ascii="Verdana" w:hAnsi="Verdana" w:cs="Tahoma"/>
          <w:noProof/>
          <w:color w:val="365F91"/>
          <w:sz w:val="20"/>
          <w:szCs w:val="18"/>
          <w:lang w:val="sr-Cyrl-RS"/>
        </w:rPr>
        <w:t>Претпоставке за израду плана плана ликвидираних и резервисаних  штета за 2015. годину су:</w:t>
      </w:r>
      <w:bookmarkEnd w:id="39"/>
    </w:p>
    <w:p w:rsidR="00CD5592" w:rsidRPr="00955F0E" w:rsidRDefault="00CD5592"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ликвидираних и резервисаних штета реосигурања по аутоматским пропорционалним уговорима је рађен са информацијом о познатим штетама, као и постојећим и обновљеним уговорима за 2015. годину и развоју штета у протеклом периоду</w:t>
      </w:r>
      <w:r w:rsidR="00955F0E">
        <w:rPr>
          <w:rFonts w:ascii="Verdana" w:hAnsi="Verdana" w:cs="Tahoma"/>
          <w:noProof/>
          <w:sz w:val="20"/>
          <w:szCs w:val="14"/>
          <w:lang w:val="sr-Latn-RS"/>
        </w:rPr>
        <w:t>;</w:t>
      </w:r>
    </w:p>
    <w:p w:rsidR="00CD5592" w:rsidRPr="00955F0E" w:rsidRDefault="00CD5592"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ликвидираних и резервисаних штета непропорционалних уговора о реосигурању је дат на основу података о познатим штетама реосигурања</w:t>
      </w:r>
      <w:r w:rsidR="00955F0E">
        <w:rPr>
          <w:rFonts w:ascii="Verdana" w:hAnsi="Verdana" w:cs="Tahoma"/>
          <w:noProof/>
          <w:sz w:val="20"/>
          <w:szCs w:val="14"/>
          <w:lang w:val="sr-Latn-RS"/>
        </w:rPr>
        <w:t>;</w:t>
      </w:r>
    </w:p>
    <w:p w:rsidR="00CD5592" w:rsidRPr="00955F0E" w:rsidRDefault="00CD5592"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План ликвидираних и резервисаних штета факултативних уговора о реосигурању је дат на основу познатих штета</w:t>
      </w:r>
      <w:r w:rsidR="00955F0E">
        <w:rPr>
          <w:rFonts w:ascii="Verdana" w:hAnsi="Verdana" w:cs="Tahoma"/>
          <w:noProof/>
          <w:sz w:val="20"/>
          <w:szCs w:val="14"/>
          <w:lang w:val="sr-Latn-RS"/>
        </w:rPr>
        <w:t>;</w:t>
      </w:r>
    </w:p>
    <w:p w:rsidR="00F71425" w:rsidRPr="00955F0E" w:rsidRDefault="00F71425" w:rsidP="003E48B9">
      <w:pPr>
        <w:pStyle w:val="ListParagraph"/>
        <w:numPr>
          <w:ilvl w:val="0"/>
          <w:numId w:val="24"/>
        </w:numPr>
        <w:autoSpaceDE w:val="0"/>
        <w:autoSpaceDN w:val="0"/>
        <w:adjustRightInd w:val="0"/>
        <w:spacing w:before="120" w:after="120" w:line="276" w:lineRule="auto"/>
        <w:ind w:left="426" w:hanging="284"/>
        <w:jc w:val="both"/>
        <w:rPr>
          <w:rFonts w:ascii="Verdana" w:hAnsi="Verdana" w:cs="Tahoma"/>
          <w:noProof/>
          <w:sz w:val="20"/>
          <w:szCs w:val="14"/>
          <w:lang w:val="sr-Cyrl-RS"/>
        </w:rPr>
      </w:pPr>
      <w:r w:rsidRPr="00955F0E">
        <w:rPr>
          <w:rFonts w:ascii="Verdana" w:hAnsi="Verdana" w:cs="Tahoma"/>
          <w:noProof/>
          <w:sz w:val="20"/>
          <w:szCs w:val="14"/>
          <w:lang w:val="sr-Cyrl-RS"/>
        </w:rPr>
        <w:t>У</w:t>
      </w:r>
      <w:r w:rsidR="00CD5592" w:rsidRPr="00955F0E">
        <w:rPr>
          <w:rFonts w:ascii="Verdana" w:hAnsi="Verdana" w:cs="Tahoma"/>
          <w:noProof/>
          <w:sz w:val="20"/>
          <w:szCs w:val="14"/>
          <w:lang w:val="sr-Cyrl-RS"/>
        </w:rPr>
        <w:t xml:space="preserve"> планирању </w:t>
      </w:r>
      <w:r w:rsidRPr="00955F0E">
        <w:rPr>
          <w:rFonts w:ascii="Verdana" w:hAnsi="Verdana" w:cs="Tahoma"/>
          <w:noProof/>
          <w:sz w:val="20"/>
          <w:szCs w:val="14"/>
          <w:lang w:val="sr-Cyrl-RS"/>
        </w:rPr>
        <w:t>штета</w:t>
      </w:r>
      <w:r w:rsidR="00CD5592" w:rsidRPr="00955F0E">
        <w:rPr>
          <w:rFonts w:ascii="Verdana" w:hAnsi="Verdana" w:cs="Tahoma"/>
          <w:noProof/>
          <w:sz w:val="20"/>
          <w:szCs w:val="14"/>
          <w:lang w:val="sr-Cyrl-RS"/>
        </w:rPr>
        <w:t xml:space="preserve"> за 2015. годину </w:t>
      </w:r>
      <w:r w:rsidRPr="00955F0E">
        <w:rPr>
          <w:rFonts w:ascii="Verdana" w:hAnsi="Verdana" w:cs="Tahoma"/>
          <w:noProof/>
          <w:sz w:val="20"/>
          <w:szCs w:val="14"/>
          <w:lang w:val="sr-Cyrl-RS"/>
        </w:rPr>
        <w:t xml:space="preserve">узете </w:t>
      </w:r>
      <w:r w:rsidR="00CD5592" w:rsidRPr="00955F0E">
        <w:rPr>
          <w:rFonts w:ascii="Verdana" w:hAnsi="Verdana" w:cs="Tahoma"/>
          <w:noProof/>
          <w:sz w:val="20"/>
          <w:szCs w:val="14"/>
          <w:lang w:val="sr-Cyrl-RS"/>
        </w:rPr>
        <w:t xml:space="preserve">су </w:t>
      </w:r>
      <w:r w:rsidRPr="00955F0E">
        <w:rPr>
          <w:rFonts w:ascii="Verdana" w:hAnsi="Verdana" w:cs="Tahoma"/>
          <w:noProof/>
          <w:sz w:val="20"/>
          <w:szCs w:val="14"/>
          <w:lang w:val="sr-Cyrl-RS"/>
        </w:rPr>
        <w:t>у обзир и штете у спору</w:t>
      </w:r>
      <w:r w:rsidR="00FB0B4E" w:rsidRPr="00955F0E">
        <w:rPr>
          <w:rFonts w:ascii="Verdana" w:hAnsi="Verdana" w:cs="Tahoma"/>
          <w:noProof/>
          <w:sz w:val="20"/>
          <w:szCs w:val="14"/>
          <w:lang w:val="sr-Cyrl-RS"/>
        </w:rPr>
        <w:t xml:space="preserve"> у оквирима у којима су се кретале 2014. године</w:t>
      </w:r>
      <w:r w:rsidRPr="00955F0E">
        <w:rPr>
          <w:rFonts w:ascii="Verdana" w:hAnsi="Verdana" w:cs="Tahoma"/>
          <w:noProof/>
          <w:sz w:val="20"/>
          <w:szCs w:val="14"/>
          <w:lang w:val="sr-Cyrl-RS"/>
        </w:rPr>
        <w:t>:</w:t>
      </w:r>
    </w:p>
    <w:p w:rsidR="00F71425" w:rsidRPr="00955F0E" w:rsidRDefault="00F71425" w:rsidP="003E48B9">
      <w:pPr>
        <w:pStyle w:val="ListParagraph"/>
        <w:numPr>
          <w:ilvl w:val="2"/>
          <w:numId w:val="26"/>
        </w:numPr>
        <w:autoSpaceDE w:val="0"/>
        <w:autoSpaceDN w:val="0"/>
        <w:adjustRightInd w:val="0"/>
        <w:spacing w:line="276" w:lineRule="auto"/>
        <w:jc w:val="both"/>
        <w:rPr>
          <w:rFonts w:ascii="Verdana" w:hAnsi="Verdana" w:cs="Tahoma"/>
          <w:noProof/>
          <w:sz w:val="20"/>
          <w:szCs w:val="14"/>
          <w:lang w:val="sr-Cyrl-RS"/>
        </w:rPr>
      </w:pPr>
      <w:r w:rsidRPr="00955F0E">
        <w:rPr>
          <w:rFonts w:ascii="Verdana" w:hAnsi="Verdana" w:cs="Tahoma"/>
          <w:noProof/>
          <w:sz w:val="20"/>
          <w:szCs w:val="14"/>
          <w:lang w:val="sr-Cyrl-RS"/>
        </w:rPr>
        <w:t>штета у спору „Левоб“,</w:t>
      </w:r>
    </w:p>
    <w:p w:rsidR="00F71425" w:rsidRPr="00955F0E" w:rsidRDefault="00F71425" w:rsidP="003E48B9">
      <w:pPr>
        <w:pStyle w:val="ListParagraph"/>
        <w:numPr>
          <w:ilvl w:val="2"/>
          <w:numId w:val="26"/>
        </w:numPr>
        <w:autoSpaceDE w:val="0"/>
        <w:autoSpaceDN w:val="0"/>
        <w:adjustRightInd w:val="0"/>
        <w:spacing w:line="276" w:lineRule="auto"/>
        <w:jc w:val="both"/>
        <w:rPr>
          <w:rFonts w:ascii="Verdana" w:hAnsi="Verdana" w:cs="Tahoma"/>
          <w:noProof/>
          <w:sz w:val="20"/>
          <w:szCs w:val="14"/>
          <w:lang w:val="sr-Cyrl-RS"/>
        </w:rPr>
      </w:pPr>
      <w:r w:rsidRPr="00955F0E">
        <w:rPr>
          <w:rFonts w:ascii="Verdana" w:hAnsi="Verdana" w:cs="Tahoma"/>
          <w:noProof/>
          <w:sz w:val="20"/>
          <w:szCs w:val="14"/>
          <w:lang w:val="sr-Cyrl-RS"/>
        </w:rPr>
        <w:t>штета „Глобос“ – у спору,</w:t>
      </w:r>
    </w:p>
    <w:p w:rsidR="00F71425" w:rsidRPr="00955F0E" w:rsidRDefault="00F71425" w:rsidP="003E48B9">
      <w:pPr>
        <w:pStyle w:val="ListParagraph"/>
        <w:numPr>
          <w:ilvl w:val="2"/>
          <w:numId w:val="26"/>
        </w:numPr>
        <w:autoSpaceDE w:val="0"/>
        <w:autoSpaceDN w:val="0"/>
        <w:adjustRightInd w:val="0"/>
        <w:spacing w:line="276" w:lineRule="auto"/>
        <w:jc w:val="both"/>
        <w:rPr>
          <w:rFonts w:ascii="Verdana" w:hAnsi="Verdana" w:cs="Tahoma"/>
          <w:noProof/>
          <w:sz w:val="20"/>
          <w:szCs w:val="14"/>
          <w:lang w:val="sr-Cyrl-RS"/>
        </w:rPr>
      </w:pPr>
      <w:r w:rsidRPr="00955F0E">
        <w:rPr>
          <w:rFonts w:ascii="Verdana" w:hAnsi="Verdana" w:cs="Tahoma"/>
          <w:noProof/>
          <w:sz w:val="20"/>
          <w:szCs w:val="14"/>
          <w:lang w:val="sr-Cyrl-RS"/>
        </w:rPr>
        <w:t>штета „Колзец“ – такође у спору,</w:t>
      </w:r>
    </w:p>
    <w:p w:rsidR="00955F0E" w:rsidRPr="00955F0E" w:rsidRDefault="00F71425" w:rsidP="003E48B9">
      <w:pPr>
        <w:pStyle w:val="ListParagraph"/>
        <w:numPr>
          <w:ilvl w:val="2"/>
          <w:numId w:val="26"/>
        </w:numPr>
        <w:autoSpaceDE w:val="0"/>
        <w:autoSpaceDN w:val="0"/>
        <w:adjustRightInd w:val="0"/>
        <w:spacing w:line="276" w:lineRule="auto"/>
        <w:jc w:val="both"/>
        <w:rPr>
          <w:rFonts w:ascii="Verdana" w:hAnsi="Verdana" w:cs="Tahoma"/>
          <w:noProof/>
          <w:sz w:val="20"/>
          <w:szCs w:val="14"/>
          <w:lang w:val="sr-Cyrl-RS"/>
        </w:rPr>
      </w:pPr>
      <w:r w:rsidRPr="00955F0E">
        <w:rPr>
          <w:rFonts w:ascii="Verdana" w:hAnsi="Verdana" w:cs="Tahoma"/>
          <w:noProof/>
          <w:sz w:val="20"/>
          <w:szCs w:val="14"/>
          <w:lang w:val="sr-Cyrl-RS"/>
        </w:rPr>
        <w:t>штете по старим активноиностраним пословима (</w:t>
      </w:r>
      <w:r w:rsidR="00CD5592" w:rsidRPr="00955F0E">
        <w:rPr>
          <w:rFonts w:ascii="Verdana" w:hAnsi="Verdana" w:cs="Tahoma"/>
          <w:noProof/>
          <w:sz w:val="20"/>
          <w:szCs w:val="14"/>
          <w:lang w:val="sr-Cyrl-RS"/>
        </w:rPr>
        <w:t xml:space="preserve"> „Мидланд“</w:t>
      </w:r>
      <w:r w:rsidRPr="00955F0E">
        <w:rPr>
          <w:rFonts w:ascii="Verdana" w:hAnsi="Verdana" w:cs="Tahoma"/>
          <w:noProof/>
          <w:sz w:val="20"/>
          <w:szCs w:val="14"/>
          <w:lang w:val="sr-Cyrl-RS"/>
        </w:rPr>
        <w:t>) и</w:t>
      </w:r>
      <w:r w:rsidR="00CD5592" w:rsidRPr="00955F0E">
        <w:rPr>
          <w:rFonts w:ascii="Verdana" w:hAnsi="Verdana" w:cs="Tahoma"/>
          <w:noProof/>
          <w:sz w:val="20"/>
          <w:szCs w:val="14"/>
          <w:lang w:val="sr-Cyrl-RS"/>
        </w:rPr>
        <w:t xml:space="preserve"> </w:t>
      </w:r>
    </w:p>
    <w:p w:rsidR="00CD5592" w:rsidRPr="00955F0E" w:rsidRDefault="00CD5592" w:rsidP="003E48B9">
      <w:pPr>
        <w:pStyle w:val="ListParagraph"/>
        <w:numPr>
          <w:ilvl w:val="2"/>
          <w:numId w:val="26"/>
        </w:numPr>
        <w:autoSpaceDE w:val="0"/>
        <w:autoSpaceDN w:val="0"/>
        <w:adjustRightInd w:val="0"/>
        <w:spacing w:line="276" w:lineRule="auto"/>
        <w:jc w:val="both"/>
        <w:rPr>
          <w:rFonts w:ascii="Verdana" w:hAnsi="Verdana" w:cs="Tahoma"/>
          <w:noProof/>
          <w:sz w:val="20"/>
          <w:szCs w:val="14"/>
          <w:lang w:val="sr-Cyrl-RS"/>
        </w:rPr>
      </w:pPr>
      <w:r w:rsidRPr="00955F0E">
        <w:rPr>
          <w:rFonts w:ascii="Verdana" w:hAnsi="Verdana" w:cs="Tahoma"/>
          <w:noProof/>
          <w:sz w:val="20"/>
          <w:szCs w:val="14"/>
          <w:lang w:val="sr-Cyrl-RS"/>
        </w:rPr>
        <w:t xml:space="preserve">штете изазване поплавама у мају 2014. годинe. </w:t>
      </w:r>
    </w:p>
    <w:p w:rsidR="00F71425" w:rsidRPr="00EF00A1" w:rsidRDefault="00F71425" w:rsidP="00EF00A1">
      <w:pPr>
        <w:pStyle w:val="Heading1"/>
        <w:numPr>
          <w:ilvl w:val="2"/>
          <w:numId w:val="3"/>
        </w:numPr>
        <w:tabs>
          <w:tab w:val="clear" w:pos="6870"/>
        </w:tabs>
        <w:spacing w:before="240" w:after="240"/>
        <w:ind w:left="1418" w:hanging="851"/>
        <w:jc w:val="left"/>
        <w:rPr>
          <w:rFonts w:ascii="Verdana" w:hAnsi="Verdana" w:cs="Tahoma"/>
          <w:noProof/>
          <w:color w:val="365F91"/>
          <w:sz w:val="20"/>
          <w:szCs w:val="18"/>
          <w:lang w:val="sr-Cyrl-RS"/>
        </w:rPr>
      </w:pPr>
      <w:bookmarkStart w:id="40" w:name="_Toc414610341"/>
      <w:r w:rsidRPr="00EF00A1">
        <w:rPr>
          <w:rFonts w:ascii="Verdana" w:hAnsi="Verdana" w:cs="Tahoma"/>
          <w:noProof/>
          <w:color w:val="365F91"/>
          <w:sz w:val="20"/>
          <w:szCs w:val="18"/>
          <w:lang w:val="sr-Cyrl-RS"/>
        </w:rPr>
        <w:t>Планиране штете за 2015. годину</w:t>
      </w:r>
      <w:bookmarkEnd w:id="40"/>
    </w:p>
    <w:p w:rsidR="00F71425" w:rsidRPr="00EF00A1" w:rsidRDefault="00F71425"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активне ликвидиране штете</w:t>
      </w:r>
      <w:r w:rsidRPr="00EF00A1">
        <w:rPr>
          <w:rFonts w:ascii="Verdana" w:hAnsi="Verdana" w:cs="Tahoma"/>
          <w:noProof/>
          <w:sz w:val="20"/>
          <w:szCs w:val="14"/>
          <w:lang w:val="sr-Cyrl-RS"/>
        </w:rPr>
        <w:t xml:space="preserve"> за 2015. годину износе 811.913 хиљада динара и веће су за 5,4% у односу на активне ликвидиране штете остварене у 2014. години.</w:t>
      </w:r>
    </w:p>
    <w:p w:rsidR="002530D5" w:rsidRPr="00EF00A1" w:rsidRDefault="002530D5"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Раст планираних штета заснован је на следећим претпоставкама:</w:t>
      </w:r>
    </w:p>
    <w:p w:rsidR="002530D5" w:rsidRPr="00EF00A1" w:rsidRDefault="002530D5"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EF00A1">
        <w:rPr>
          <w:rFonts w:ascii="Verdana" w:hAnsi="Verdana" w:cs="Tahoma"/>
          <w:noProof/>
          <w:sz w:val="20"/>
          <w:szCs w:val="14"/>
          <w:lang w:val="sr-Cyrl-RS"/>
        </w:rPr>
        <w:t>Услед планираног повећаног обима пословања са Матичном компанијом на великим реосигураним ризицима очекује се већи обим одштетних захтева, односно већи број мањих штета</w:t>
      </w:r>
      <w:r w:rsidR="00EF00A1">
        <w:rPr>
          <w:rFonts w:ascii="Verdana" w:hAnsi="Verdana" w:cs="Tahoma"/>
          <w:noProof/>
          <w:sz w:val="20"/>
          <w:szCs w:val="14"/>
          <w:lang w:val="sr-Latn-RS"/>
        </w:rPr>
        <w:t xml:space="preserve"> </w:t>
      </w:r>
      <w:r w:rsidR="00EF00A1">
        <w:rPr>
          <w:rFonts w:ascii="Verdana" w:hAnsi="Verdana" w:cs="Tahoma"/>
          <w:noProof/>
          <w:sz w:val="20"/>
          <w:szCs w:val="14"/>
          <w:lang w:val="sr-Cyrl-RS"/>
        </w:rPr>
        <w:t>и</w:t>
      </w:r>
    </w:p>
    <w:p w:rsidR="002530D5" w:rsidRPr="00EF00A1" w:rsidRDefault="002530D5"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EF00A1">
        <w:rPr>
          <w:rFonts w:ascii="Verdana" w:hAnsi="Verdana" w:cs="Tahoma"/>
          <w:noProof/>
          <w:sz w:val="20"/>
          <w:szCs w:val="14"/>
          <w:lang w:val="sr-Cyrl-RS"/>
        </w:rPr>
        <w:t>Узета је у обзир историја штета са сличних тржишта, односно са тржита са којима Друштво планира повећану сарадњу</w:t>
      </w:r>
      <w:r w:rsidR="00EF00A1">
        <w:rPr>
          <w:rFonts w:ascii="Verdana" w:hAnsi="Verdana" w:cs="Tahoma"/>
          <w:noProof/>
          <w:sz w:val="20"/>
          <w:szCs w:val="14"/>
          <w:lang w:val="sr-Cyrl-RS"/>
        </w:rPr>
        <w:t>.</w:t>
      </w:r>
    </w:p>
    <w:p w:rsidR="00F71425" w:rsidRPr="00EF00A1" w:rsidRDefault="00F71425"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пасивне ликвидиране штете</w:t>
      </w:r>
      <w:r w:rsidRPr="00EF00A1">
        <w:rPr>
          <w:rFonts w:ascii="Verdana" w:hAnsi="Verdana" w:cs="Tahoma"/>
          <w:noProof/>
          <w:sz w:val="20"/>
          <w:szCs w:val="14"/>
          <w:lang w:val="sr-Cyrl-RS"/>
        </w:rPr>
        <w:t xml:space="preserve"> за 2015. годину износе 501.913 хиљада динара и веће су за 10,82% у односу на остварење у 2014. години.</w:t>
      </w:r>
    </w:p>
    <w:p w:rsidR="0043506B" w:rsidRPr="00EF00A1" w:rsidRDefault="0043506B"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Раст планираних штета заснован је на следећим претпоставкама:</w:t>
      </w:r>
    </w:p>
    <w:p w:rsidR="0043506B" w:rsidRPr="00EF00A1" w:rsidRDefault="0043506B"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EF00A1">
        <w:rPr>
          <w:rFonts w:ascii="Verdana" w:hAnsi="Verdana" w:cs="Tahoma"/>
          <w:noProof/>
          <w:sz w:val="20"/>
          <w:szCs w:val="14"/>
          <w:lang w:val="sr-Cyrl-RS"/>
        </w:rPr>
        <w:t>Услед планираног повећаног обима пословања са Матичном компанијом на великим реосигураним ризицима очекује се већи обим одштетних захтева, односно већи број мањих штета на ретроцедираним ризицима</w:t>
      </w:r>
      <w:r w:rsidR="00EF00A1">
        <w:rPr>
          <w:rFonts w:ascii="Verdana" w:hAnsi="Verdana" w:cs="Tahoma"/>
          <w:noProof/>
          <w:sz w:val="20"/>
          <w:szCs w:val="14"/>
          <w:lang w:val="sr-Cyrl-RS"/>
        </w:rPr>
        <w:t xml:space="preserve"> и</w:t>
      </w:r>
    </w:p>
    <w:p w:rsidR="0043506B" w:rsidRPr="00EF00A1" w:rsidRDefault="0043506B"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EF00A1">
        <w:rPr>
          <w:rFonts w:ascii="Verdana" w:hAnsi="Verdana" w:cs="Tahoma"/>
          <w:noProof/>
          <w:sz w:val="20"/>
          <w:szCs w:val="14"/>
          <w:lang w:val="sr-Cyrl-RS"/>
        </w:rPr>
        <w:t>Узета је у обзир историја штета са сличних тржишта, односно са тржита са којима Друштво планира повећану сарадњу, а на ризицима који су предмет ретроцесије</w:t>
      </w:r>
      <w:r w:rsidR="00EF00A1">
        <w:rPr>
          <w:rFonts w:ascii="Verdana" w:hAnsi="Verdana" w:cs="Tahoma"/>
          <w:noProof/>
          <w:sz w:val="20"/>
          <w:szCs w:val="14"/>
          <w:lang w:val="sr-Cyrl-RS"/>
        </w:rPr>
        <w:t>.</w:t>
      </w:r>
    </w:p>
    <w:p w:rsidR="00F71425" w:rsidRPr="00EF00A1" w:rsidRDefault="00F71425"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ликвидиране штете у самопридржају</w:t>
      </w:r>
      <w:r w:rsidRPr="00EF00A1">
        <w:rPr>
          <w:rFonts w:ascii="Verdana" w:hAnsi="Verdana" w:cs="Tahoma"/>
          <w:noProof/>
          <w:sz w:val="20"/>
          <w:szCs w:val="14"/>
          <w:lang w:val="sr-Cyrl-RS"/>
        </w:rPr>
        <w:t xml:space="preserve"> за 2015. годину износе 310.000 хиљада динара и готово су на истом нивоу у односу на остварење у 2014. години.</w:t>
      </w:r>
    </w:p>
    <w:p w:rsidR="00993B80" w:rsidRPr="00EF00A1" w:rsidRDefault="00993B80"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Планиране штета засноване су на следећим претпоставкама:</w:t>
      </w:r>
    </w:p>
    <w:p w:rsidR="00993B80" w:rsidRPr="00EF00A1" w:rsidRDefault="00993B80" w:rsidP="003E48B9">
      <w:pPr>
        <w:pStyle w:val="ListParagraph"/>
        <w:numPr>
          <w:ilvl w:val="0"/>
          <w:numId w:val="25"/>
        </w:numPr>
        <w:autoSpaceDE w:val="0"/>
        <w:autoSpaceDN w:val="0"/>
        <w:adjustRightInd w:val="0"/>
        <w:spacing w:before="120" w:after="120" w:line="276" w:lineRule="auto"/>
        <w:ind w:left="567" w:hanging="283"/>
        <w:jc w:val="both"/>
        <w:rPr>
          <w:rFonts w:ascii="Verdana" w:hAnsi="Verdana" w:cs="Tahoma"/>
          <w:noProof/>
          <w:sz w:val="20"/>
          <w:szCs w:val="14"/>
          <w:lang w:val="sr-Cyrl-RS"/>
        </w:rPr>
      </w:pPr>
      <w:r w:rsidRPr="00EF00A1">
        <w:rPr>
          <w:rFonts w:ascii="Verdana" w:hAnsi="Verdana" w:cs="Tahoma"/>
          <w:noProof/>
          <w:sz w:val="20"/>
          <w:szCs w:val="14"/>
          <w:lang w:val="sr-Cyrl-RS"/>
        </w:rPr>
        <w:t xml:space="preserve">За 2015 годину планирано је преузимање великих ризика уз висок ниво ретроцесије </w:t>
      </w:r>
      <w:r w:rsidR="00D13953" w:rsidRPr="00EF00A1">
        <w:rPr>
          <w:rFonts w:ascii="Verdana" w:hAnsi="Verdana" w:cs="Tahoma"/>
          <w:noProof/>
          <w:sz w:val="20"/>
          <w:szCs w:val="14"/>
          <w:lang w:val="sr-Cyrl-RS"/>
        </w:rPr>
        <w:t>што условљава веће покриће штета из ретроцесије у односу на 2014 годину, односно приближно исти ниво штета у самопридржају</w:t>
      </w:r>
      <w:r w:rsidR="00EF00A1">
        <w:rPr>
          <w:rFonts w:ascii="Verdana" w:hAnsi="Verdana" w:cs="Tahoma"/>
          <w:noProof/>
          <w:sz w:val="20"/>
          <w:szCs w:val="14"/>
          <w:lang w:val="sr-Cyrl-RS"/>
        </w:rPr>
        <w:t>.</w:t>
      </w:r>
    </w:p>
    <w:p w:rsidR="00F71425" w:rsidRPr="00EF00A1" w:rsidRDefault="00F71425" w:rsidP="00EF00A1">
      <w:pPr>
        <w:autoSpaceDE w:val="0"/>
        <w:autoSpaceDN w:val="0"/>
        <w:adjustRightInd w:val="0"/>
        <w:spacing w:before="200" w:after="20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активне резервисане штете</w:t>
      </w:r>
      <w:r w:rsidRPr="00EF00A1">
        <w:rPr>
          <w:rFonts w:ascii="Verdana" w:hAnsi="Verdana" w:cs="Tahoma"/>
          <w:noProof/>
          <w:sz w:val="20"/>
          <w:szCs w:val="14"/>
          <w:lang w:val="sr-Cyrl-RS"/>
        </w:rPr>
        <w:t xml:space="preserve"> на дан 31.12.2015. године износе 1.247.261 хиљада динара и мање су за 12,20% у односу на остварење на дан 31.12.2014. године.</w:t>
      </w:r>
    </w:p>
    <w:p w:rsidR="00F71425" w:rsidRPr="00EF00A1" w:rsidRDefault="00F71425" w:rsidP="00EF00A1">
      <w:pPr>
        <w:autoSpaceDE w:val="0"/>
        <w:autoSpaceDN w:val="0"/>
        <w:adjustRightInd w:val="0"/>
        <w:spacing w:before="200" w:after="20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пасивне резервисане штете</w:t>
      </w:r>
      <w:r w:rsidRPr="00EF00A1">
        <w:rPr>
          <w:rFonts w:ascii="Verdana" w:hAnsi="Verdana" w:cs="Tahoma"/>
          <w:noProof/>
          <w:sz w:val="20"/>
          <w:szCs w:val="14"/>
          <w:lang w:val="sr-Cyrl-RS"/>
        </w:rPr>
        <w:t xml:space="preserve"> на дан 31.12.2015. године 880.410 хиљада динара и мање су за 12,79% у односу на остварење на дан 31.12.2014. године.</w:t>
      </w:r>
    </w:p>
    <w:p w:rsidR="00F71425" w:rsidRDefault="00F71425" w:rsidP="00EF00A1">
      <w:pPr>
        <w:autoSpaceDE w:val="0"/>
        <w:autoSpaceDN w:val="0"/>
        <w:adjustRightInd w:val="0"/>
        <w:spacing w:before="200" w:after="20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резервисане штете у самопридржају</w:t>
      </w:r>
      <w:r w:rsidRPr="00EF00A1">
        <w:rPr>
          <w:rFonts w:ascii="Verdana" w:hAnsi="Verdana" w:cs="Tahoma"/>
          <w:noProof/>
          <w:sz w:val="20"/>
          <w:szCs w:val="14"/>
          <w:lang w:val="sr-Cyrl-RS"/>
        </w:rPr>
        <w:t xml:space="preserve"> на дан 31.12.2015. године износе 366.851 хиљада динара и мање су за 10,76% у односу на остварење на дан 31.12.2014. године.</w:t>
      </w:r>
    </w:p>
    <w:p w:rsidR="00EF00A1" w:rsidRPr="00EF00A1" w:rsidRDefault="00EF00A1"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Планиране</w:t>
      </w:r>
      <w:r>
        <w:rPr>
          <w:rFonts w:ascii="Verdana" w:hAnsi="Verdana" w:cs="Tahoma"/>
          <w:noProof/>
          <w:sz w:val="20"/>
          <w:szCs w:val="14"/>
          <w:lang w:val="sr-Cyrl-RS"/>
        </w:rPr>
        <w:t xml:space="preserve"> резервисане</w:t>
      </w:r>
      <w:r w:rsidRPr="00EF00A1">
        <w:rPr>
          <w:rFonts w:ascii="Verdana" w:hAnsi="Verdana" w:cs="Tahoma"/>
          <w:noProof/>
          <w:sz w:val="20"/>
          <w:szCs w:val="14"/>
          <w:lang w:val="sr-Cyrl-RS"/>
        </w:rPr>
        <w:t xml:space="preserve"> штет</w:t>
      </w:r>
      <w:r>
        <w:rPr>
          <w:rFonts w:ascii="Verdana" w:hAnsi="Verdana" w:cs="Tahoma"/>
          <w:noProof/>
          <w:sz w:val="20"/>
          <w:szCs w:val="14"/>
          <w:lang w:val="sr-Cyrl-RS"/>
        </w:rPr>
        <w:t>е</w:t>
      </w:r>
      <w:r w:rsidRPr="00EF00A1">
        <w:rPr>
          <w:rFonts w:ascii="Verdana" w:hAnsi="Verdana" w:cs="Tahoma"/>
          <w:noProof/>
          <w:sz w:val="20"/>
          <w:szCs w:val="14"/>
          <w:lang w:val="sr-Cyrl-RS"/>
        </w:rPr>
        <w:t xml:space="preserve"> засноване су на следећим претпоставкама:</w:t>
      </w:r>
    </w:p>
    <w:p w:rsidR="00D13953" w:rsidRPr="00EF00A1" w:rsidRDefault="00EF00A1" w:rsidP="003E48B9">
      <w:pPr>
        <w:pStyle w:val="ListParagraph"/>
        <w:numPr>
          <w:ilvl w:val="0"/>
          <w:numId w:val="25"/>
        </w:numPr>
        <w:autoSpaceDE w:val="0"/>
        <w:autoSpaceDN w:val="0"/>
        <w:adjustRightInd w:val="0"/>
        <w:spacing w:before="120" w:after="120" w:line="276" w:lineRule="auto"/>
        <w:jc w:val="both"/>
        <w:rPr>
          <w:rFonts w:ascii="Verdana" w:hAnsi="Verdana" w:cs="Tahoma"/>
          <w:noProof/>
          <w:sz w:val="20"/>
          <w:szCs w:val="14"/>
          <w:lang w:val="sr-Cyrl-RS"/>
        </w:rPr>
      </w:pPr>
      <w:r w:rsidRPr="00EF00A1">
        <w:rPr>
          <w:rFonts w:ascii="Verdana" w:hAnsi="Verdana" w:cs="Tahoma"/>
          <w:noProof/>
          <w:sz w:val="20"/>
          <w:szCs w:val="14"/>
          <w:lang w:val="sr-Cyrl-RS"/>
        </w:rPr>
        <w:t>Пад планираних штета заснован је на претпоставци да ће се током 2015 године повећати обим решавања штета из резервације.</w:t>
      </w:r>
    </w:p>
    <w:p w:rsidR="00CD5592" w:rsidRPr="00CB62A3" w:rsidRDefault="00CD5592" w:rsidP="003644B4">
      <w:pPr>
        <w:jc w:val="both"/>
        <w:rPr>
          <w:rFonts w:ascii="Verdana" w:hAnsi="Verdana"/>
          <w:color w:val="FF0000"/>
          <w:sz w:val="20"/>
          <w:szCs w:val="20"/>
          <w:lang w:val="sr-Cyrl-RS"/>
        </w:rPr>
      </w:pPr>
    </w:p>
    <w:p w:rsidR="00D059BD" w:rsidRDefault="00D059BD" w:rsidP="003644B4">
      <w:pPr>
        <w:jc w:val="both"/>
        <w:rPr>
          <w:rFonts w:ascii="Verdana" w:hAnsi="Verdana"/>
          <w:color w:val="FF0000"/>
          <w:sz w:val="20"/>
          <w:szCs w:val="20"/>
        </w:rPr>
      </w:pPr>
      <w:r>
        <w:rPr>
          <w:noProof/>
          <w:lang w:val="sr-Latn-RS" w:eastAsia="sr-Latn-RS"/>
        </w:rPr>
        <w:drawing>
          <wp:inline distT="0" distB="0" distL="0" distR="0" wp14:anchorId="042A34ED" wp14:editId="623D161A">
            <wp:extent cx="6130456" cy="2743200"/>
            <wp:effectExtent l="0" t="0" r="381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71425" w:rsidRPr="00EF00A1" w:rsidRDefault="00F71425" w:rsidP="00EF00A1">
      <w:pPr>
        <w:pStyle w:val="Heading1"/>
        <w:numPr>
          <w:ilvl w:val="1"/>
          <w:numId w:val="3"/>
        </w:numPr>
        <w:tabs>
          <w:tab w:val="clear" w:pos="336"/>
        </w:tabs>
        <w:spacing w:after="120"/>
        <w:ind w:left="329" w:firstLine="232"/>
        <w:jc w:val="left"/>
        <w:rPr>
          <w:rFonts w:ascii="Verdana" w:hAnsi="Verdana" w:cs="Tahoma"/>
          <w:noProof/>
          <w:color w:val="365F91"/>
          <w:sz w:val="20"/>
          <w:szCs w:val="18"/>
          <w:lang w:val="sr-Cyrl-RS"/>
        </w:rPr>
      </w:pPr>
      <w:bookmarkStart w:id="41" w:name="_Toc414610342"/>
      <w:r w:rsidRPr="00EF00A1">
        <w:rPr>
          <w:rFonts w:ascii="Verdana" w:hAnsi="Verdana" w:cs="Tahoma"/>
          <w:noProof/>
          <w:color w:val="365F91"/>
          <w:sz w:val="20"/>
          <w:szCs w:val="18"/>
          <w:lang w:val="sr-Cyrl-RS"/>
        </w:rPr>
        <w:t>ДОДАТНЕ ИНФОРМАЦИЈЕ</w:t>
      </w:r>
      <w:bookmarkEnd w:id="41"/>
    </w:p>
    <w:p w:rsidR="00F71425" w:rsidRPr="00EF00A1" w:rsidRDefault="00F71425" w:rsidP="00EF00A1">
      <w:pPr>
        <w:pStyle w:val="Heading1"/>
        <w:numPr>
          <w:ilvl w:val="2"/>
          <w:numId w:val="3"/>
        </w:numPr>
        <w:tabs>
          <w:tab w:val="clear" w:pos="6870"/>
        </w:tabs>
        <w:spacing w:before="120" w:after="120"/>
        <w:ind w:left="1418" w:hanging="851"/>
        <w:jc w:val="left"/>
        <w:rPr>
          <w:rFonts w:ascii="Verdana" w:hAnsi="Verdana" w:cs="Tahoma"/>
          <w:noProof/>
          <w:color w:val="365F91"/>
          <w:sz w:val="20"/>
          <w:szCs w:val="18"/>
          <w:lang w:val="sr-Cyrl-RS"/>
        </w:rPr>
      </w:pPr>
      <w:bookmarkStart w:id="42" w:name="_Toc414610343"/>
      <w:r w:rsidRPr="00EF00A1">
        <w:rPr>
          <w:rFonts w:ascii="Verdana" w:hAnsi="Verdana" w:cs="Tahoma"/>
          <w:noProof/>
          <w:color w:val="365F91"/>
          <w:sz w:val="20"/>
          <w:szCs w:val="18"/>
          <w:lang w:val="sr-Cyrl-RS"/>
        </w:rPr>
        <w:t>П</w:t>
      </w:r>
      <w:r w:rsidR="00B56BAD" w:rsidRPr="00EF00A1">
        <w:rPr>
          <w:rFonts w:ascii="Verdana" w:hAnsi="Verdana" w:cs="Tahoma"/>
          <w:noProof/>
          <w:color w:val="365F91"/>
          <w:sz w:val="20"/>
          <w:szCs w:val="18"/>
          <w:lang w:val="sr-Cyrl-RS"/>
        </w:rPr>
        <w:t>лан провизије за 2015. годину</w:t>
      </w:r>
      <w:bookmarkEnd w:id="42"/>
    </w:p>
    <w:p w:rsidR="00F71425" w:rsidRPr="00EF00A1" w:rsidRDefault="00CB62A3"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Планирано благо повећање провизије је усклађено са планираним развојем премије у 2015 години.</w:t>
      </w:r>
    </w:p>
    <w:p w:rsidR="00CB62A3" w:rsidRPr="00EF00A1" w:rsidRDefault="00CB62A3"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Планирани </w:t>
      </w:r>
      <w:r w:rsidRPr="00EF00A1">
        <w:rPr>
          <w:rFonts w:ascii="Verdana" w:hAnsi="Verdana" w:cs="Tahoma"/>
          <w:b/>
          <w:i/>
          <w:noProof/>
          <w:sz w:val="20"/>
          <w:szCs w:val="14"/>
          <w:lang w:val="sr-Cyrl-RS"/>
        </w:rPr>
        <w:t>приход од провизије</w:t>
      </w:r>
      <w:r w:rsidRPr="00EF00A1">
        <w:rPr>
          <w:rFonts w:ascii="Verdana" w:hAnsi="Verdana" w:cs="Tahoma"/>
          <w:noProof/>
          <w:sz w:val="20"/>
          <w:szCs w:val="14"/>
          <w:lang w:val="sr-Cyrl-RS"/>
        </w:rPr>
        <w:t xml:space="preserve"> износи 281.031 хиљада динара, а планирани расход по основу провизија износи  266.031 хиљада динара.</w:t>
      </w:r>
    </w:p>
    <w:p w:rsidR="00CB62A3" w:rsidRPr="00EF00A1" w:rsidRDefault="00CB62A3"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w:t>
      </w:r>
      <w:r w:rsidR="00D13953" w:rsidRPr="00EF00A1">
        <w:rPr>
          <w:rFonts w:ascii="Verdana" w:hAnsi="Verdana" w:cs="Tahoma"/>
          <w:noProof/>
          <w:sz w:val="20"/>
          <w:szCs w:val="14"/>
          <w:lang w:val="sr-Cyrl-RS"/>
        </w:rPr>
        <w:t>л</w:t>
      </w:r>
      <w:r w:rsidRPr="00EF00A1">
        <w:rPr>
          <w:rFonts w:ascii="Verdana" w:hAnsi="Verdana" w:cs="Tahoma"/>
          <w:noProof/>
          <w:sz w:val="20"/>
          <w:szCs w:val="14"/>
          <w:lang w:val="sr-Cyrl-RS"/>
        </w:rPr>
        <w:t xml:space="preserve">анирани износ </w:t>
      </w:r>
      <w:r w:rsidRPr="00EF00A1">
        <w:rPr>
          <w:rFonts w:ascii="Verdana" w:hAnsi="Verdana" w:cs="Tahoma"/>
          <w:b/>
          <w:i/>
          <w:noProof/>
          <w:sz w:val="20"/>
          <w:szCs w:val="14"/>
          <w:lang w:val="sr-Cyrl-RS"/>
        </w:rPr>
        <w:t>провизије у самопридржају</w:t>
      </w:r>
      <w:r w:rsidRPr="00EF00A1">
        <w:rPr>
          <w:rFonts w:ascii="Verdana" w:hAnsi="Verdana" w:cs="Tahoma"/>
          <w:noProof/>
          <w:sz w:val="20"/>
          <w:szCs w:val="14"/>
          <w:lang w:val="sr-Cyrl-RS"/>
        </w:rPr>
        <w:t xml:space="preserve"> износи 15.000 хиљада динара</w:t>
      </w:r>
      <w:r w:rsidR="00FB0B4E" w:rsidRPr="00EF00A1">
        <w:rPr>
          <w:rFonts w:ascii="Verdana" w:hAnsi="Verdana" w:cs="Tahoma"/>
          <w:noProof/>
          <w:sz w:val="20"/>
          <w:szCs w:val="14"/>
          <w:lang w:val="sr-Cyrl-RS"/>
        </w:rPr>
        <w:t>, што је за 4,48% веће од остварења у 2014. години.</w:t>
      </w:r>
    </w:p>
    <w:p w:rsidR="00F71425" w:rsidRPr="00EF00A1" w:rsidRDefault="0060076D" w:rsidP="00EF00A1">
      <w:pPr>
        <w:pStyle w:val="Heading1"/>
        <w:numPr>
          <w:ilvl w:val="2"/>
          <w:numId w:val="3"/>
        </w:numPr>
        <w:tabs>
          <w:tab w:val="clear" w:pos="6870"/>
        </w:tabs>
        <w:spacing w:before="120" w:after="120"/>
        <w:ind w:left="1418" w:hanging="851"/>
        <w:jc w:val="left"/>
        <w:rPr>
          <w:rFonts w:ascii="Verdana" w:hAnsi="Verdana" w:cs="Tahoma"/>
          <w:noProof/>
          <w:color w:val="365F91"/>
          <w:sz w:val="20"/>
          <w:szCs w:val="18"/>
          <w:lang w:val="sr-Cyrl-RS"/>
        </w:rPr>
      </w:pPr>
      <w:bookmarkStart w:id="43" w:name="_Toc414610344"/>
      <w:r w:rsidRPr="00EF00A1">
        <w:rPr>
          <w:rFonts w:ascii="Verdana" w:hAnsi="Verdana" w:cs="Tahoma"/>
          <w:noProof/>
          <w:color w:val="365F91"/>
          <w:sz w:val="20"/>
          <w:szCs w:val="18"/>
          <w:lang w:val="sr-Cyrl-RS"/>
        </w:rPr>
        <w:t>План резервација за настале непријављене штете (ИБНР)</w:t>
      </w:r>
      <w:r w:rsidR="00B56BAD" w:rsidRPr="00EF00A1">
        <w:rPr>
          <w:rFonts w:ascii="Verdana" w:hAnsi="Verdana" w:cs="Tahoma"/>
          <w:noProof/>
          <w:color w:val="365F91"/>
          <w:sz w:val="20"/>
          <w:szCs w:val="18"/>
          <w:lang w:val="sr-Cyrl-RS"/>
        </w:rPr>
        <w:t xml:space="preserve"> за 2015.</w:t>
      </w:r>
      <w:bookmarkEnd w:id="43"/>
      <w:r w:rsidR="00B56BAD" w:rsidRPr="00EF00A1">
        <w:rPr>
          <w:rFonts w:ascii="Verdana" w:hAnsi="Verdana" w:cs="Tahoma"/>
          <w:noProof/>
          <w:color w:val="365F91"/>
          <w:sz w:val="20"/>
          <w:szCs w:val="18"/>
          <w:lang w:val="sr-Cyrl-RS"/>
        </w:rPr>
        <w:t xml:space="preserve"> </w:t>
      </w:r>
    </w:p>
    <w:p w:rsidR="0060076D" w:rsidRPr="00EF00A1" w:rsidRDefault="0060076D"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Планирани износ резервација за настале непријавњене штете је израчунат на основу остварених категорија у 2013 и 2014 години као и планираних вредности ликвидираних и резервисаних штета за 2015 годину.</w:t>
      </w:r>
    </w:p>
    <w:p w:rsidR="00E14493" w:rsidRPr="00EF00A1" w:rsidRDefault="0060076D"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резервације за настале непријављене</w:t>
      </w:r>
      <w:r w:rsidRPr="00EF00A1">
        <w:rPr>
          <w:rFonts w:ascii="Verdana" w:hAnsi="Verdana" w:cs="Tahoma"/>
          <w:noProof/>
          <w:sz w:val="20"/>
          <w:szCs w:val="14"/>
          <w:lang w:val="sr-Cyrl-RS"/>
        </w:rPr>
        <w:t xml:space="preserve"> </w:t>
      </w:r>
      <w:r w:rsidRPr="00EF00A1">
        <w:rPr>
          <w:rFonts w:ascii="Verdana" w:hAnsi="Verdana" w:cs="Tahoma"/>
          <w:b/>
          <w:i/>
          <w:noProof/>
          <w:sz w:val="20"/>
          <w:szCs w:val="14"/>
          <w:lang w:val="sr-Cyrl-RS"/>
        </w:rPr>
        <w:t>штете</w:t>
      </w:r>
      <w:r w:rsidRPr="00EF00A1">
        <w:rPr>
          <w:rFonts w:ascii="Verdana" w:hAnsi="Verdana" w:cs="Tahoma"/>
          <w:noProof/>
          <w:sz w:val="20"/>
          <w:szCs w:val="14"/>
          <w:lang w:val="sr-Cyrl-RS"/>
        </w:rPr>
        <w:t xml:space="preserve"> за 2015 годину износе 113.000 хиљада динара.</w:t>
      </w:r>
    </w:p>
    <w:p w:rsidR="00F71425" w:rsidRPr="00EF00A1" w:rsidRDefault="00E14493" w:rsidP="00EF00A1">
      <w:pPr>
        <w:pStyle w:val="Heading1"/>
        <w:numPr>
          <w:ilvl w:val="2"/>
          <w:numId w:val="3"/>
        </w:numPr>
        <w:tabs>
          <w:tab w:val="clear" w:pos="6870"/>
        </w:tabs>
        <w:spacing w:before="120" w:after="120"/>
        <w:ind w:left="1418" w:hanging="851"/>
        <w:jc w:val="left"/>
        <w:rPr>
          <w:rFonts w:ascii="Verdana" w:hAnsi="Verdana" w:cs="Tahoma"/>
          <w:noProof/>
          <w:color w:val="365F91"/>
          <w:sz w:val="20"/>
          <w:szCs w:val="18"/>
          <w:lang w:val="sr-Cyrl-RS"/>
        </w:rPr>
      </w:pPr>
      <w:bookmarkStart w:id="44" w:name="_Toc414610345"/>
      <w:r w:rsidRPr="00EF00A1">
        <w:rPr>
          <w:rFonts w:ascii="Verdana" w:hAnsi="Verdana" w:cs="Tahoma"/>
          <w:noProof/>
          <w:color w:val="365F91"/>
          <w:sz w:val="20"/>
          <w:szCs w:val="18"/>
          <w:lang w:val="sr-Cyrl-RS"/>
        </w:rPr>
        <w:t>План р</w:t>
      </w:r>
      <w:r w:rsidR="00CB62A3" w:rsidRPr="00EF00A1">
        <w:rPr>
          <w:rFonts w:ascii="Verdana" w:hAnsi="Verdana" w:cs="Tahoma"/>
          <w:noProof/>
          <w:color w:val="365F91"/>
          <w:sz w:val="20"/>
          <w:szCs w:val="18"/>
          <w:lang w:val="sr-Cyrl-RS"/>
        </w:rPr>
        <w:t>езерв</w:t>
      </w:r>
      <w:r w:rsidRPr="00EF00A1">
        <w:rPr>
          <w:rFonts w:ascii="Verdana" w:hAnsi="Verdana" w:cs="Tahoma"/>
          <w:noProof/>
          <w:color w:val="365F91"/>
          <w:sz w:val="20"/>
          <w:szCs w:val="18"/>
          <w:lang w:val="sr-Cyrl-RS"/>
        </w:rPr>
        <w:t>и</w:t>
      </w:r>
      <w:r w:rsidR="00CB62A3" w:rsidRPr="00EF00A1">
        <w:rPr>
          <w:rFonts w:ascii="Verdana" w:hAnsi="Verdana" w:cs="Tahoma"/>
          <w:noProof/>
          <w:color w:val="365F91"/>
          <w:sz w:val="20"/>
          <w:szCs w:val="18"/>
          <w:lang w:val="sr-Cyrl-RS"/>
        </w:rPr>
        <w:t xml:space="preserve"> за изравнање ризика (</w:t>
      </w:r>
      <w:r w:rsidR="00F71425" w:rsidRPr="00EF00A1">
        <w:rPr>
          <w:rFonts w:ascii="Verdana" w:hAnsi="Verdana" w:cs="Tahoma"/>
          <w:noProof/>
          <w:color w:val="365F91"/>
          <w:sz w:val="20"/>
          <w:szCs w:val="18"/>
          <w:lang w:val="sr-Cyrl-RS"/>
        </w:rPr>
        <w:t>РЗИР</w:t>
      </w:r>
      <w:r w:rsidR="00CB62A3" w:rsidRPr="00EF00A1">
        <w:rPr>
          <w:rFonts w:ascii="Verdana" w:hAnsi="Verdana" w:cs="Tahoma"/>
          <w:noProof/>
          <w:color w:val="365F91"/>
          <w:sz w:val="20"/>
          <w:szCs w:val="18"/>
          <w:lang w:val="sr-Cyrl-RS"/>
        </w:rPr>
        <w:t>)</w:t>
      </w:r>
      <w:r w:rsidR="00B56BAD" w:rsidRPr="00EF00A1">
        <w:rPr>
          <w:rFonts w:ascii="Verdana" w:hAnsi="Verdana" w:cs="Tahoma"/>
          <w:noProof/>
          <w:color w:val="365F91"/>
          <w:sz w:val="20"/>
          <w:szCs w:val="18"/>
          <w:lang w:val="sr-Cyrl-RS"/>
        </w:rPr>
        <w:t xml:space="preserve"> за 2015. годину</w:t>
      </w:r>
      <w:bookmarkEnd w:id="44"/>
    </w:p>
    <w:p w:rsidR="0060076D" w:rsidRPr="00EF00A1" w:rsidRDefault="0060076D"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Планирани износ резервација за изравнање ризика је израчунат на основу тренда кретања РЗИР у претходне три године.</w:t>
      </w:r>
    </w:p>
    <w:p w:rsidR="0060076D" w:rsidRPr="00EF00A1" w:rsidRDefault="0060076D"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резервације за изравнање ризика</w:t>
      </w:r>
      <w:r w:rsidRPr="00EF00A1">
        <w:rPr>
          <w:rFonts w:ascii="Verdana" w:hAnsi="Verdana" w:cs="Tahoma"/>
          <w:noProof/>
          <w:sz w:val="20"/>
          <w:szCs w:val="14"/>
          <w:lang w:val="sr-Cyrl-RS"/>
        </w:rPr>
        <w:t xml:space="preserve"> за 2015 годину износе 240.000 хиљада динара.</w:t>
      </w:r>
    </w:p>
    <w:p w:rsidR="0060076D" w:rsidRPr="00EF00A1" w:rsidRDefault="00B56BAD" w:rsidP="00EF00A1">
      <w:pPr>
        <w:pStyle w:val="Heading1"/>
        <w:numPr>
          <w:ilvl w:val="2"/>
          <w:numId w:val="3"/>
        </w:numPr>
        <w:tabs>
          <w:tab w:val="clear" w:pos="6870"/>
        </w:tabs>
        <w:spacing w:before="120" w:after="120"/>
        <w:ind w:left="1418" w:hanging="851"/>
        <w:jc w:val="left"/>
        <w:rPr>
          <w:rFonts w:ascii="Verdana" w:hAnsi="Verdana" w:cs="Tahoma"/>
          <w:noProof/>
          <w:color w:val="365F91"/>
          <w:sz w:val="20"/>
          <w:szCs w:val="18"/>
          <w:lang w:val="sr-Cyrl-RS"/>
        </w:rPr>
      </w:pPr>
      <w:bookmarkStart w:id="45" w:name="_Toc414610346"/>
      <w:r w:rsidRPr="00EF00A1">
        <w:rPr>
          <w:rFonts w:ascii="Verdana" w:hAnsi="Verdana" w:cs="Tahoma"/>
          <w:noProof/>
          <w:color w:val="365F91"/>
          <w:sz w:val="20"/>
          <w:szCs w:val="18"/>
          <w:lang w:val="sr-Cyrl-RS"/>
        </w:rPr>
        <w:t>Планирани м</w:t>
      </w:r>
      <w:r w:rsidR="0060076D" w:rsidRPr="00EF00A1">
        <w:rPr>
          <w:rFonts w:ascii="Verdana" w:hAnsi="Verdana" w:cs="Tahoma"/>
          <w:noProof/>
          <w:color w:val="365F91"/>
          <w:sz w:val="20"/>
          <w:szCs w:val="18"/>
          <w:lang w:val="sr-Cyrl-RS"/>
        </w:rPr>
        <w:t>еродавни технички резултат</w:t>
      </w:r>
      <w:r w:rsidRPr="00EF00A1">
        <w:rPr>
          <w:rFonts w:ascii="Verdana" w:hAnsi="Verdana" w:cs="Tahoma"/>
          <w:noProof/>
          <w:color w:val="365F91"/>
          <w:sz w:val="20"/>
          <w:szCs w:val="18"/>
          <w:lang w:val="sr-Cyrl-RS"/>
        </w:rPr>
        <w:t xml:space="preserve"> у самопридржају Друштва за 2015. годину</w:t>
      </w:r>
      <w:bookmarkEnd w:id="45"/>
    </w:p>
    <w:p w:rsidR="00CD5592" w:rsidRPr="00EF00A1" w:rsidRDefault="00CB62A3"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Планирани меродавни технички резултат у самопридржају Друштва је израчунат на основу планираних категорија за 2015 годину, као и остварења преносне премије и резервисаних штета на дан 31.12.2014 године.</w:t>
      </w:r>
    </w:p>
    <w:p w:rsidR="0060076D" w:rsidRPr="00EF00A1" w:rsidRDefault="0060076D" w:rsidP="00EF00A1">
      <w:pPr>
        <w:autoSpaceDE w:val="0"/>
        <w:autoSpaceDN w:val="0"/>
        <w:adjustRightInd w:val="0"/>
        <w:spacing w:before="120" w:after="120" w:line="276" w:lineRule="auto"/>
        <w:ind w:firstLine="272"/>
        <w:jc w:val="both"/>
        <w:rPr>
          <w:rFonts w:ascii="Verdana" w:hAnsi="Verdana" w:cs="Tahoma"/>
          <w:noProof/>
          <w:sz w:val="20"/>
          <w:szCs w:val="14"/>
          <w:lang w:val="sr-Cyrl-RS"/>
        </w:rPr>
      </w:pPr>
      <w:r w:rsidRPr="00EF00A1">
        <w:rPr>
          <w:rFonts w:ascii="Verdana" w:hAnsi="Verdana" w:cs="Tahoma"/>
          <w:noProof/>
          <w:sz w:val="20"/>
          <w:szCs w:val="14"/>
          <w:lang w:val="sr-Cyrl-RS"/>
        </w:rPr>
        <w:t xml:space="preserve">Планиране </w:t>
      </w:r>
      <w:r w:rsidRPr="00EF00A1">
        <w:rPr>
          <w:rFonts w:ascii="Verdana" w:hAnsi="Verdana" w:cs="Tahoma"/>
          <w:b/>
          <w:i/>
          <w:noProof/>
          <w:sz w:val="20"/>
          <w:szCs w:val="14"/>
          <w:lang w:val="sr-Cyrl-RS"/>
        </w:rPr>
        <w:t>меродавни технички резултат</w:t>
      </w:r>
      <w:r w:rsidRPr="00EF00A1">
        <w:rPr>
          <w:rFonts w:ascii="Verdana" w:hAnsi="Verdana" w:cs="Tahoma"/>
          <w:noProof/>
          <w:sz w:val="20"/>
          <w:szCs w:val="14"/>
          <w:lang w:val="sr-Cyrl-RS"/>
        </w:rPr>
        <w:t xml:space="preserve"> за 2015 годину је 90,37%.</w:t>
      </w:r>
    </w:p>
    <w:p w:rsidR="000A2B54" w:rsidRDefault="00E76054" w:rsidP="000A2B54">
      <w:pPr>
        <w:keepNext/>
        <w:numPr>
          <w:ilvl w:val="0"/>
          <w:numId w:val="3"/>
        </w:numPr>
        <w:tabs>
          <w:tab w:val="clear" w:pos="432"/>
        </w:tabs>
        <w:spacing w:before="360" w:after="240"/>
        <w:ind w:left="0" w:firstLine="0"/>
        <w:jc w:val="center"/>
        <w:outlineLvl w:val="0"/>
        <w:rPr>
          <w:rFonts w:ascii="Verdana" w:hAnsi="Verdana" w:cs="Tahoma"/>
          <w:b/>
          <w:bCs/>
          <w:noProof/>
          <w:color w:val="365F91"/>
          <w:szCs w:val="18"/>
          <w:lang w:val="sr-Cyrl-RS"/>
        </w:rPr>
      </w:pPr>
      <w:bookmarkStart w:id="46" w:name="_Toc414610347"/>
      <w:r w:rsidRPr="000545BA">
        <w:rPr>
          <w:rFonts w:ascii="Verdana" w:hAnsi="Verdana" w:cs="Tahoma"/>
          <w:b/>
          <w:bCs/>
          <w:noProof/>
          <w:color w:val="365F91"/>
          <w:szCs w:val="18"/>
          <w:lang w:val="sr-Cyrl-RS"/>
        </w:rPr>
        <w:t>ПЛАН ИНВЕСТИЦИОНИХ УЛАГАЊА У ТОКУ 201</w:t>
      </w:r>
      <w:r w:rsidR="008827D1" w:rsidRPr="000545BA">
        <w:rPr>
          <w:rFonts w:ascii="Verdana" w:hAnsi="Verdana" w:cs="Tahoma"/>
          <w:b/>
          <w:bCs/>
          <w:noProof/>
          <w:color w:val="365F91"/>
          <w:szCs w:val="18"/>
          <w:lang w:val="sr-Cyrl-RS"/>
        </w:rPr>
        <w:t>4</w:t>
      </w:r>
      <w:r w:rsidRPr="000545BA">
        <w:rPr>
          <w:rFonts w:ascii="Verdana" w:hAnsi="Verdana" w:cs="Tahoma"/>
          <w:b/>
          <w:bCs/>
          <w:noProof/>
          <w:color w:val="365F91"/>
          <w:szCs w:val="18"/>
          <w:lang w:val="sr-Cyrl-RS"/>
        </w:rPr>
        <w:t>. ГОДИНЕ</w:t>
      </w:r>
      <w:bookmarkEnd w:id="46"/>
      <w:r w:rsidRPr="000545BA">
        <w:rPr>
          <w:rFonts w:ascii="Verdana" w:hAnsi="Verdana" w:cs="Tahoma"/>
          <w:b/>
          <w:bCs/>
          <w:noProof/>
          <w:color w:val="365F91"/>
          <w:szCs w:val="18"/>
          <w:lang w:val="sr-Cyrl-RS"/>
        </w:rPr>
        <w:t xml:space="preserve"> </w:t>
      </w:r>
    </w:p>
    <w:p w:rsidR="000A2B54" w:rsidRPr="000A2B54" w:rsidRDefault="000A2B54" w:rsidP="000A2B54">
      <w:pPr>
        <w:spacing w:before="120" w:after="120" w:line="276" w:lineRule="auto"/>
        <w:ind w:firstLine="284"/>
        <w:jc w:val="both"/>
        <w:rPr>
          <w:rFonts w:ascii="Verdana" w:hAnsi="Verdana"/>
          <w:noProof/>
          <w:sz w:val="20"/>
          <w:lang w:val="sr-Cyrl-CS"/>
        </w:rPr>
      </w:pPr>
      <w:r w:rsidRPr="000A2B54">
        <w:rPr>
          <w:rFonts w:ascii="Verdana" w:hAnsi="Verdana"/>
          <w:noProof/>
          <w:sz w:val="20"/>
          <w:lang w:val="sr-Cyrl-CS"/>
        </w:rPr>
        <w:t>На основу спроведене свеобухватне анализе дат је предлог мера везан за консолидацију постојећег и планирање развоја и увођења интегрисаног информационог система Друштва.</w:t>
      </w:r>
    </w:p>
    <w:p w:rsidR="000A2B54" w:rsidRPr="000A2B54" w:rsidRDefault="000A2B54" w:rsidP="000A2B54">
      <w:pPr>
        <w:widowControl w:val="0"/>
        <w:tabs>
          <w:tab w:val="left" w:pos="0"/>
        </w:tabs>
        <w:overflowPunct w:val="0"/>
        <w:autoSpaceDE w:val="0"/>
        <w:autoSpaceDN w:val="0"/>
        <w:adjustRightInd w:val="0"/>
        <w:spacing w:line="276" w:lineRule="auto"/>
        <w:ind w:right="-33" w:firstLine="284"/>
        <w:jc w:val="both"/>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 xml:space="preserve">Спровешће се набавка пословног информационог система која обухвата набавку софтвера за подршку пословним функцијама Дунав Ре и односи се на имплементацију софтверских решења која обезбеђује аутоматизацију следећих пословних процеса Дунав Ре-а: </w:t>
      </w:r>
    </w:p>
    <w:p w:rsidR="000A2B54" w:rsidRPr="004B5F72" w:rsidRDefault="000A2B54" w:rsidP="000A2B54">
      <w:pPr>
        <w:widowControl w:val="0"/>
        <w:tabs>
          <w:tab w:val="left" w:pos="0"/>
        </w:tabs>
        <w:overflowPunct w:val="0"/>
        <w:autoSpaceDE w:val="0"/>
        <w:autoSpaceDN w:val="0"/>
        <w:adjustRightInd w:val="0"/>
        <w:spacing w:line="276" w:lineRule="auto"/>
        <w:ind w:right="-33"/>
        <w:jc w:val="both"/>
        <w:rPr>
          <w:rFonts w:ascii="Verdana" w:eastAsia="Arial Unicode MS" w:hAnsi="Verdana"/>
          <w:noProof/>
          <w:kern w:val="1"/>
          <w:sz w:val="10"/>
          <w:szCs w:val="10"/>
          <w:lang w:val="sr-Cyrl-CS"/>
        </w:rPr>
      </w:pPr>
    </w:p>
    <w:p w:rsidR="000A2B54" w:rsidRPr="000A2B54" w:rsidRDefault="000A2B54" w:rsidP="003E48B9">
      <w:pPr>
        <w:numPr>
          <w:ilvl w:val="0"/>
          <w:numId w:val="20"/>
        </w:numPr>
        <w:tabs>
          <w:tab w:val="left" w:pos="426"/>
        </w:tabs>
        <w:spacing w:line="276" w:lineRule="auto"/>
        <w:ind w:left="0" w:firstLine="0"/>
        <w:contextualSpacing/>
        <w:jc w:val="both"/>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Подсистем пословних процеса реосигурања (уговарање, обрачуни, штете),</w:t>
      </w:r>
    </w:p>
    <w:p w:rsidR="000A2B54" w:rsidRPr="000A2B54" w:rsidRDefault="000A2B54" w:rsidP="003E48B9">
      <w:pPr>
        <w:numPr>
          <w:ilvl w:val="0"/>
          <w:numId w:val="20"/>
        </w:numPr>
        <w:tabs>
          <w:tab w:val="left" w:pos="426"/>
        </w:tabs>
        <w:spacing w:line="276" w:lineRule="auto"/>
        <w:ind w:left="0" w:firstLine="0"/>
        <w:contextualSpacing/>
        <w:jc w:val="both"/>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Подсистем финансијских и рачуноводствених процеса,</w:t>
      </w:r>
    </w:p>
    <w:p w:rsidR="000A2B54" w:rsidRPr="000A2B54" w:rsidRDefault="000A2B54" w:rsidP="003E48B9">
      <w:pPr>
        <w:numPr>
          <w:ilvl w:val="0"/>
          <w:numId w:val="20"/>
        </w:numPr>
        <w:tabs>
          <w:tab w:val="left" w:pos="426"/>
        </w:tabs>
        <w:spacing w:line="276" w:lineRule="auto"/>
        <w:ind w:left="0" w:firstLine="0"/>
        <w:contextualSpacing/>
        <w:jc w:val="both"/>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 xml:space="preserve">Подсистем за процесе контроле и актуарства, </w:t>
      </w:r>
    </w:p>
    <w:p w:rsidR="000A2B54" w:rsidRPr="000A2B54" w:rsidRDefault="000A2B54" w:rsidP="003E48B9">
      <w:pPr>
        <w:numPr>
          <w:ilvl w:val="0"/>
          <w:numId w:val="20"/>
        </w:numPr>
        <w:tabs>
          <w:tab w:val="left" w:pos="426"/>
        </w:tabs>
        <w:spacing w:line="276" w:lineRule="auto"/>
        <w:ind w:left="0" w:firstLine="0"/>
        <w:contextualSpacing/>
        <w:jc w:val="both"/>
        <w:rPr>
          <w:rFonts w:eastAsia="Arial Unicode MS"/>
          <w:noProof/>
          <w:kern w:val="1"/>
          <w:lang w:val="sr-Cyrl-CS"/>
        </w:rPr>
      </w:pPr>
      <w:r w:rsidRPr="000A2B54">
        <w:rPr>
          <w:rFonts w:ascii="Verdana" w:eastAsia="Arial Unicode MS" w:hAnsi="Verdana"/>
          <w:noProof/>
          <w:kern w:val="1"/>
          <w:sz w:val="20"/>
          <w:szCs w:val="20"/>
          <w:lang w:val="sr-Cyrl-CS"/>
        </w:rPr>
        <w:t>Подсистем извештавања и планирања</w:t>
      </w:r>
      <w:r w:rsidRPr="000A2B54">
        <w:rPr>
          <w:rFonts w:eastAsia="Arial Unicode MS"/>
          <w:noProof/>
          <w:kern w:val="1"/>
          <w:lang w:val="sr-Cyrl-CS"/>
        </w:rPr>
        <w:t>,</w:t>
      </w:r>
    </w:p>
    <w:p w:rsidR="000A2B54" w:rsidRPr="004B5F72" w:rsidRDefault="000A2B54" w:rsidP="000A2B54">
      <w:pPr>
        <w:spacing w:line="276" w:lineRule="auto"/>
        <w:jc w:val="both"/>
        <w:rPr>
          <w:rFonts w:eastAsia="Arial Unicode MS"/>
          <w:noProof/>
          <w:kern w:val="1"/>
          <w:sz w:val="10"/>
          <w:szCs w:val="10"/>
          <w:lang w:val="sr-Cyrl-CS"/>
        </w:rPr>
      </w:pPr>
    </w:p>
    <w:p w:rsidR="000A2B54" w:rsidRDefault="000A2B54" w:rsidP="000A2B54">
      <w:pPr>
        <w:widowControl w:val="0"/>
        <w:overflowPunct w:val="0"/>
        <w:autoSpaceDE w:val="0"/>
        <w:autoSpaceDN w:val="0"/>
        <w:adjustRightInd w:val="0"/>
        <w:spacing w:line="276" w:lineRule="auto"/>
        <w:ind w:firstLine="284"/>
        <w:jc w:val="both"/>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Поред напред наведене набавке софтвера за подршку пословним процесима Дунав Ре, интегрисаће се постојећа софтверских решења која се користе у продукцији и то:</w:t>
      </w:r>
    </w:p>
    <w:p w:rsidR="000A2B54" w:rsidRPr="004B5F72" w:rsidRDefault="000A2B54" w:rsidP="000A2B54">
      <w:pPr>
        <w:widowControl w:val="0"/>
        <w:overflowPunct w:val="0"/>
        <w:autoSpaceDE w:val="0"/>
        <w:autoSpaceDN w:val="0"/>
        <w:adjustRightInd w:val="0"/>
        <w:spacing w:line="276" w:lineRule="auto"/>
        <w:ind w:firstLine="284"/>
        <w:jc w:val="both"/>
        <w:rPr>
          <w:rFonts w:ascii="Verdana" w:eastAsia="Arial Unicode MS" w:hAnsi="Verdana"/>
          <w:noProof/>
          <w:kern w:val="1"/>
          <w:sz w:val="10"/>
          <w:szCs w:val="10"/>
          <w:lang w:val="sr-Cyrl-CS"/>
        </w:rPr>
      </w:pPr>
    </w:p>
    <w:p w:rsidR="000A2B54" w:rsidRPr="000A2B54" w:rsidRDefault="000A2B54" w:rsidP="003E48B9">
      <w:pPr>
        <w:widowControl w:val="0"/>
        <w:numPr>
          <w:ilvl w:val="0"/>
          <w:numId w:val="20"/>
        </w:numPr>
        <w:overflowPunct w:val="0"/>
        <w:autoSpaceDE w:val="0"/>
        <w:autoSpaceDN w:val="0"/>
        <w:adjustRightInd w:val="0"/>
        <w:spacing w:line="276" w:lineRule="auto"/>
        <w:ind w:left="426" w:hanging="426"/>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 xml:space="preserve">Подсистем општих процеса (правни и општи послови), </w:t>
      </w:r>
    </w:p>
    <w:p w:rsidR="000A2B54" w:rsidRPr="000A2B54" w:rsidRDefault="000A2B54" w:rsidP="003E48B9">
      <w:pPr>
        <w:widowControl w:val="0"/>
        <w:numPr>
          <w:ilvl w:val="0"/>
          <w:numId w:val="20"/>
        </w:numPr>
        <w:overflowPunct w:val="0"/>
        <w:autoSpaceDE w:val="0"/>
        <w:autoSpaceDN w:val="0"/>
        <w:adjustRightInd w:val="0"/>
        <w:spacing w:line="276" w:lineRule="auto"/>
        <w:ind w:left="426" w:hanging="426"/>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Подсистем за управљање документацијом и пословним процесима,</w:t>
      </w:r>
    </w:p>
    <w:p w:rsidR="000A2B54" w:rsidRPr="000A2B54" w:rsidRDefault="000A2B54" w:rsidP="003E48B9">
      <w:pPr>
        <w:widowControl w:val="0"/>
        <w:numPr>
          <w:ilvl w:val="0"/>
          <w:numId w:val="20"/>
        </w:numPr>
        <w:overflowPunct w:val="0"/>
        <w:autoSpaceDE w:val="0"/>
        <w:autoSpaceDN w:val="0"/>
        <w:adjustRightInd w:val="0"/>
        <w:spacing w:line="276" w:lineRule="auto"/>
        <w:ind w:left="426" w:hanging="426"/>
        <w:rPr>
          <w:rFonts w:ascii="Verdana" w:eastAsia="Arial Unicode MS" w:hAnsi="Verdana"/>
          <w:noProof/>
          <w:kern w:val="1"/>
          <w:sz w:val="20"/>
          <w:szCs w:val="20"/>
          <w:lang w:val="sr-Cyrl-CS"/>
        </w:rPr>
      </w:pPr>
      <w:r w:rsidRPr="000A2B54">
        <w:rPr>
          <w:rFonts w:ascii="Verdana" w:eastAsia="Arial Unicode MS" w:hAnsi="Verdana"/>
          <w:noProof/>
          <w:kern w:val="1"/>
          <w:sz w:val="20"/>
          <w:szCs w:val="20"/>
          <w:lang w:val="sr-Cyrl-CS"/>
        </w:rPr>
        <w:t>Подсистем администрације и управљање шифарским системом.</w:t>
      </w:r>
    </w:p>
    <w:p w:rsidR="000A2B54" w:rsidRPr="000A2B54" w:rsidRDefault="000A2B54" w:rsidP="000A2B54">
      <w:pPr>
        <w:spacing w:before="120" w:after="120" w:line="276" w:lineRule="auto"/>
        <w:ind w:firstLine="284"/>
        <w:jc w:val="both"/>
        <w:rPr>
          <w:rFonts w:ascii="Verdana" w:hAnsi="Verdana"/>
          <w:noProof/>
          <w:sz w:val="20"/>
          <w:lang w:val="sr-Cyrl-CS"/>
        </w:rPr>
      </w:pPr>
      <w:r w:rsidRPr="000A2B54">
        <w:rPr>
          <w:rFonts w:ascii="Verdana" w:hAnsi="Verdana"/>
          <w:noProof/>
          <w:sz w:val="20"/>
          <w:lang w:val="sr-Cyrl-CS"/>
        </w:rPr>
        <w:t>У складу са утврђеним стратешким циљевима развоја информационог система кроз спровођење одлуке</w:t>
      </w:r>
      <w:r w:rsidRPr="000A2B54">
        <w:rPr>
          <w:rFonts w:ascii="Verdana" w:hAnsi="Verdana"/>
          <w:noProof/>
          <w:sz w:val="20"/>
          <w:szCs w:val="20"/>
          <w:lang w:val="sr-Cyrl-CS"/>
        </w:rPr>
        <w:t xml:space="preserve"> НБС-а о Минималним стандардима управљања информационим системом финансијске институције и спровођење набавке</w:t>
      </w:r>
      <w:r w:rsidRPr="000A2B54">
        <w:rPr>
          <w:rFonts w:ascii="Verdana" w:eastAsia="Arial Unicode MS" w:hAnsi="Verdana"/>
          <w:noProof/>
          <w:kern w:val="1"/>
          <w:sz w:val="20"/>
          <w:szCs w:val="20"/>
          <w:lang w:val="sr-Cyrl-CS"/>
        </w:rPr>
        <w:t xml:space="preserve"> софтвера за подршку пословним процесима Дунав Ре,потребе </w:t>
      </w:r>
      <w:r w:rsidRPr="000A2B54">
        <w:rPr>
          <w:rFonts w:ascii="Verdana" w:hAnsi="Verdana"/>
          <w:noProof/>
          <w:sz w:val="20"/>
          <w:lang w:val="sr-Cyrl-CS"/>
        </w:rPr>
        <w:t xml:space="preserve"> за опремом, лиценцама и реконструкцијом сервер сале, планирана су следећа инвестициона улагања:</w:t>
      </w:r>
    </w:p>
    <w:tbl>
      <w:tblPr>
        <w:tblW w:w="9424" w:type="dxa"/>
        <w:tblBorders>
          <w:top w:val="single" w:sz="8" w:space="0" w:color="4F81BD"/>
          <w:left w:val="single" w:sz="8" w:space="0" w:color="4F81BD"/>
          <w:bottom w:val="single" w:sz="8" w:space="0" w:color="4F81BD"/>
          <w:right w:val="single" w:sz="8" w:space="0" w:color="4F81BD"/>
        </w:tblBorders>
        <w:tblLook w:val="04E0" w:firstRow="1" w:lastRow="1" w:firstColumn="1" w:lastColumn="0" w:noHBand="0" w:noVBand="1"/>
      </w:tblPr>
      <w:tblGrid>
        <w:gridCol w:w="6629"/>
        <w:gridCol w:w="1420"/>
        <w:gridCol w:w="1375"/>
      </w:tblGrid>
      <w:tr w:rsidR="004B5F72" w:rsidRPr="004B5F72" w:rsidTr="004B5F72">
        <w:trPr>
          <w:trHeight w:val="600"/>
        </w:trPr>
        <w:tc>
          <w:tcPr>
            <w:tcW w:w="6629" w:type="dxa"/>
            <w:tcBorders>
              <w:top w:val="nil"/>
              <w:left w:val="nil"/>
              <w:bottom w:val="single" w:sz="24" w:space="0" w:color="4F81BD"/>
              <w:right w:val="nil"/>
            </w:tcBorders>
            <w:shd w:val="clear" w:color="auto" w:fill="FFFFFF"/>
            <w:vAlign w:val="center"/>
            <w:hideMark/>
          </w:tcPr>
          <w:p w:rsidR="004B5F72" w:rsidRPr="004B5F72" w:rsidRDefault="004B5F72" w:rsidP="004B5F72">
            <w:pPr>
              <w:pStyle w:val="NoSpacing"/>
              <w:jc w:val="center"/>
              <w:rPr>
                <w:rFonts w:ascii="Verdana" w:eastAsia="Calibri" w:hAnsi="Verdana"/>
                <w:sz w:val="18"/>
                <w:szCs w:val="18"/>
                <w:lang w:val="sr-Latn-RS"/>
              </w:rPr>
            </w:pPr>
            <w:r w:rsidRPr="004B5F72">
              <w:rPr>
                <w:rFonts w:ascii="Verdana" w:eastAsia="Calibri" w:hAnsi="Verdana"/>
                <w:sz w:val="18"/>
                <w:szCs w:val="18"/>
                <w:lang w:val="sr-Latn-RS"/>
              </w:rPr>
              <w:t>Опис</w:t>
            </w:r>
          </w:p>
        </w:tc>
        <w:tc>
          <w:tcPr>
            <w:tcW w:w="1420" w:type="dxa"/>
            <w:tcBorders>
              <w:top w:val="nil"/>
              <w:left w:val="nil"/>
              <w:bottom w:val="single" w:sz="24" w:space="0" w:color="4F81BD"/>
              <w:right w:val="nil"/>
            </w:tcBorders>
            <w:shd w:val="clear" w:color="auto" w:fill="FFFFFF"/>
            <w:vAlign w:val="center"/>
            <w:hideMark/>
          </w:tcPr>
          <w:p w:rsidR="004B5F72" w:rsidRPr="004B5F72" w:rsidRDefault="004B5F72" w:rsidP="004B5F72">
            <w:pPr>
              <w:pStyle w:val="NoSpacing"/>
              <w:jc w:val="center"/>
              <w:rPr>
                <w:rFonts w:ascii="Verdana" w:eastAsia="Calibri" w:hAnsi="Verdana"/>
                <w:sz w:val="18"/>
                <w:szCs w:val="18"/>
                <w:lang w:val="sr-Latn-RS"/>
              </w:rPr>
            </w:pPr>
            <w:r w:rsidRPr="004B5F72">
              <w:rPr>
                <w:rFonts w:ascii="Verdana" w:eastAsia="Calibri" w:hAnsi="Verdana"/>
                <w:sz w:val="18"/>
                <w:szCs w:val="18"/>
                <w:lang w:val="sr-Latn-RS"/>
              </w:rPr>
              <w:t>Процењена вредност у ЕУР</w:t>
            </w:r>
          </w:p>
        </w:tc>
        <w:tc>
          <w:tcPr>
            <w:tcW w:w="1375" w:type="dxa"/>
            <w:tcBorders>
              <w:top w:val="nil"/>
              <w:left w:val="nil"/>
              <w:bottom w:val="single" w:sz="24" w:space="0" w:color="4F81BD"/>
              <w:right w:val="nil"/>
            </w:tcBorders>
            <w:shd w:val="clear" w:color="auto" w:fill="FFFFFF"/>
            <w:vAlign w:val="center"/>
            <w:hideMark/>
          </w:tcPr>
          <w:p w:rsidR="004B5F72" w:rsidRPr="004B5F72" w:rsidRDefault="004B5F72" w:rsidP="004B5F72">
            <w:pPr>
              <w:pStyle w:val="NoSpacing"/>
              <w:jc w:val="center"/>
              <w:rPr>
                <w:rFonts w:ascii="Verdana" w:eastAsia="Calibri" w:hAnsi="Verdana"/>
                <w:sz w:val="18"/>
                <w:szCs w:val="18"/>
                <w:lang w:val="sr-Latn-RS"/>
              </w:rPr>
            </w:pPr>
            <w:r w:rsidRPr="004B5F72">
              <w:rPr>
                <w:rFonts w:ascii="Verdana" w:eastAsia="Calibri" w:hAnsi="Verdana"/>
                <w:sz w:val="18"/>
                <w:szCs w:val="18"/>
                <w:lang w:val="sr-Latn-RS"/>
              </w:rPr>
              <w:t>Набавка у кварталу</w:t>
            </w:r>
          </w:p>
        </w:tc>
      </w:tr>
      <w:tr w:rsidR="004B5F72" w:rsidRPr="004B5F72" w:rsidTr="004B5F72">
        <w:trPr>
          <w:trHeight w:val="283"/>
        </w:trPr>
        <w:tc>
          <w:tcPr>
            <w:tcW w:w="6629" w:type="dxa"/>
            <w:tcBorders>
              <w:top w:val="nil"/>
              <w:left w:val="nil"/>
              <w:bottom w:val="nil"/>
              <w:right w:val="single" w:sz="8" w:space="0" w:color="4F81BD"/>
            </w:tcBorders>
            <w:shd w:val="clear" w:color="auto" w:fill="FFFFFF"/>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 xml:space="preserve">1.   </w:t>
            </w:r>
            <w:r w:rsidRPr="004B5F72">
              <w:rPr>
                <w:rFonts w:ascii="Verdana" w:eastAsia="Calibri" w:hAnsi="Verdana"/>
                <w:color w:val="000000"/>
                <w:sz w:val="18"/>
                <w:szCs w:val="18"/>
                <w:lang w:val="sr-Latn-RS"/>
              </w:rPr>
              <w:t>Модул реосигурања</w:t>
            </w:r>
          </w:p>
        </w:tc>
        <w:tc>
          <w:tcPr>
            <w:tcW w:w="1420" w:type="dxa"/>
            <w:tcBorders>
              <w:top w:val="nil"/>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155.000,00</w:t>
            </w:r>
          </w:p>
        </w:tc>
        <w:tc>
          <w:tcPr>
            <w:tcW w:w="1375" w:type="dxa"/>
            <w:tcBorders>
              <w:top w:val="nil"/>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hAnsi="Verdana"/>
                <w:sz w:val="18"/>
                <w:szCs w:val="18"/>
              </w:rPr>
            </w:pPr>
            <w:r w:rsidRPr="004B5F72">
              <w:rPr>
                <w:rFonts w:ascii="Verdana" w:hAnsi="Verdana"/>
                <w:color w:val="000000"/>
                <w:sz w:val="18"/>
                <w:szCs w:val="18"/>
                <w:lang w:val="sr-Latn-RS"/>
              </w:rPr>
              <w:t>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 xml:space="preserve">2.   </w:t>
            </w:r>
            <w:r w:rsidRPr="004B5F72">
              <w:rPr>
                <w:rFonts w:ascii="Verdana" w:eastAsia="Calibri" w:hAnsi="Verdana"/>
                <w:color w:val="000000"/>
                <w:sz w:val="18"/>
                <w:szCs w:val="18"/>
                <w:lang w:val="sr-Latn-RS"/>
              </w:rPr>
              <w:t>Модул финансијски и рачуноводствени</w:t>
            </w:r>
            <w:r w:rsidRPr="004B5F72">
              <w:rPr>
                <w:rFonts w:ascii="Verdana" w:eastAsia="Calibri" w:hAnsi="Verdana"/>
                <w:color w:val="000000"/>
                <w:sz w:val="18"/>
                <w:szCs w:val="18"/>
                <w:lang w:val="sr-Cyrl-RS"/>
              </w:rPr>
              <w:t xml:space="preserve"> п</w:t>
            </w:r>
            <w:r w:rsidRPr="004B5F72">
              <w:rPr>
                <w:rFonts w:ascii="Verdana" w:eastAsia="Calibri" w:hAnsi="Verdana"/>
                <w:color w:val="000000"/>
                <w:sz w:val="18"/>
                <w:szCs w:val="18"/>
                <w:lang w:val="sr-Latn-RS"/>
              </w:rPr>
              <w:t>роцеси</w:t>
            </w:r>
          </w:p>
        </w:tc>
        <w:tc>
          <w:tcPr>
            <w:tcW w:w="1420" w:type="dxa"/>
            <w:tcBorders>
              <w:top w:val="nil"/>
              <w:left w:val="nil"/>
              <w:bottom w:val="nil"/>
              <w:right w:val="nil"/>
            </w:tcBorders>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100.000,00</w:t>
            </w:r>
          </w:p>
        </w:tc>
        <w:tc>
          <w:tcPr>
            <w:tcW w:w="1375" w:type="dxa"/>
            <w:tcBorders>
              <w:top w:val="nil"/>
              <w:left w:val="nil"/>
              <w:bottom w:val="nil"/>
              <w:right w:val="single" w:sz="8" w:space="0" w:color="4F81BD"/>
            </w:tcBorders>
            <w:noWrap/>
            <w:vAlign w:val="center"/>
            <w:hideMark/>
          </w:tcPr>
          <w:p w:rsidR="004B5F72" w:rsidRPr="004B5F72" w:rsidRDefault="004B5F72" w:rsidP="004B5F72">
            <w:pPr>
              <w:pStyle w:val="NoSpacing"/>
              <w:jc w:val="center"/>
              <w:rPr>
                <w:rFonts w:ascii="Verdana" w:hAnsi="Verdana"/>
                <w:sz w:val="18"/>
                <w:szCs w:val="18"/>
              </w:rPr>
            </w:pPr>
            <w:r w:rsidRPr="004B5F72">
              <w:rPr>
                <w:rFonts w:ascii="Verdana" w:hAnsi="Verdana"/>
                <w:color w:val="000000"/>
                <w:sz w:val="18"/>
                <w:szCs w:val="18"/>
                <w:lang w:val="sr-Latn-RS"/>
              </w:rPr>
              <w:t>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 xml:space="preserve">3.   </w:t>
            </w:r>
            <w:r w:rsidRPr="004B5F72">
              <w:rPr>
                <w:rFonts w:ascii="Verdana" w:eastAsia="Calibri" w:hAnsi="Verdana"/>
                <w:color w:val="000000"/>
                <w:sz w:val="18"/>
                <w:szCs w:val="18"/>
                <w:lang w:val="sr-Latn-RS"/>
              </w:rPr>
              <w:t>Модул процеси контроле и актуарства</w:t>
            </w:r>
          </w:p>
        </w:tc>
        <w:tc>
          <w:tcPr>
            <w:tcW w:w="1420" w:type="dxa"/>
            <w:tcBorders>
              <w:top w:val="nil"/>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15.000,00</w:t>
            </w:r>
          </w:p>
        </w:tc>
        <w:tc>
          <w:tcPr>
            <w:tcW w:w="1375" w:type="dxa"/>
            <w:tcBorders>
              <w:top w:val="nil"/>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hAnsi="Verdana"/>
                <w:sz w:val="18"/>
                <w:szCs w:val="18"/>
              </w:rPr>
            </w:pPr>
            <w:r w:rsidRPr="004B5F72">
              <w:rPr>
                <w:rFonts w:ascii="Verdana" w:hAnsi="Verdana"/>
                <w:color w:val="000000"/>
                <w:sz w:val="18"/>
                <w:szCs w:val="18"/>
                <w:lang w:val="sr-Latn-RS"/>
              </w:rPr>
              <w:t>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 xml:space="preserve">4.   </w:t>
            </w:r>
            <w:r w:rsidRPr="004B5F72">
              <w:rPr>
                <w:rFonts w:ascii="Verdana" w:eastAsia="Calibri" w:hAnsi="Verdana"/>
                <w:color w:val="000000"/>
                <w:sz w:val="18"/>
                <w:szCs w:val="18"/>
                <w:lang w:val="sr-Latn-RS"/>
              </w:rPr>
              <w:t>Модул извештавање и планирање</w:t>
            </w:r>
          </w:p>
        </w:tc>
        <w:tc>
          <w:tcPr>
            <w:tcW w:w="1420" w:type="dxa"/>
            <w:tcBorders>
              <w:top w:val="nil"/>
              <w:left w:val="nil"/>
              <w:bottom w:val="nil"/>
              <w:right w:val="nil"/>
            </w:tcBorders>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55.000,00</w:t>
            </w:r>
          </w:p>
        </w:tc>
        <w:tc>
          <w:tcPr>
            <w:tcW w:w="1375" w:type="dxa"/>
            <w:tcBorders>
              <w:top w:val="nil"/>
              <w:left w:val="nil"/>
              <w:bottom w:val="nil"/>
              <w:right w:val="single" w:sz="8" w:space="0" w:color="4F81BD"/>
            </w:tcBorders>
            <w:noWrap/>
            <w:vAlign w:val="center"/>
            <w:hideMark/>
          </w:tcPr>
          <w:p w:rsidR="004B5F72" w:rsidRPr="004B5F72" w:rsidRDefault="004B5F72" w:rsidP="004B5F72">
            <w:pPr>
              <w:pStyle w:val="NoSpacing"/>
              <w:jc w:val="center"/>
              <w:rPr>
                <w:rFonts w:ascii="Verdana" w:hAnsi="Verdana"/>
                <w:sz w:val="18"/>
                <w:szCs w:val="18"/>
              </w:rPr>
            </w:pPr>
            <w:r w:rsidRPr="004B5F72">
              <w:rPr>
                <w:rFonts w:ascii="Verdana" w:hAnsi="Verdana"/>
                <w:color w:val="000000"/>
                <w:sz w:val="18"/>
                <w:szCs w:val="18"/>
                <w:lang w:val="sr-Latn-RS"/>
              </w:rPr>
              <w:t>IV</w:t>
            </w:r>
          </w:p>
        </w:tc>
      </w:tr>
      <w:tr w:rsidR="004B5F72" w:rsidRPr="004B5F72" w:rsidTr="004B5F72">
        <w:trPr>
          <w:trHeight w:val="283"/>
        </w:trPr>
        <w:tc>
          <w:tcPr>
            <w:tcW w:w="6629" w:type="dxa"/>
            <w:tcBorders>
              <w:top w:val="nil"/>
              <w:left w:val="nil"/>
              <w:bottom w:val="single" w:sz="8" w:space="0" w:color="4F81BD"/>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Latn-RS"/>
              </w:rPr>
              <w:t>имплементација и обука корисника</w:t>
            </w:r>
          </w:p>
        </w:tc>
        <w:tc>
          <w:tcPr>
            <w:tcW w:w="1420" w:type="dxa"/>
            <w:tcBorders>
              <w:top w:val="nil"/>
              <w:left w:val="nil"/>
              <w:bottom w:val="single" w:sz="8" w:space="0" w:color="4F81BD"/>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35.000,00</w:t>
            </w:r>
          </w:p>
        </w:tc>
        <w:tc>
          <w:tcPr>
            <w:tcW w:w="1375" w:type="dxa"/>
            <w:tcBorders>
              <w:top w:val="nil"/>
              <w:left w:val="nil"/>
              <w:bottom w:val="single" w:sz="8" w:space="0" w:color="4F81BD"/>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IV</w:t>
            </w:r>
          </w:p>
        </w:tc>
      </w:tr>
      <w:tr w:rsidR="004B5F72" w:rsidRPr="004B5F72" w:rsidTr="004B5F72">
        <w:trPr>
          <w:trHeight w:val="283"/>
        </w:trPr>
        <w:tc>
          <w:tcPr>
            <w:tcW w:w="6629" w:type="dxa"/>
            <w:tcBorders>
              <w:top w:val="single" w:sz="8" w:space="0" w:color="4F81BD"/>
              <w:left w:val="nil"/>
              <w:bottom w:val="single" w:sz="8" w:space="0" w:color="4F81BD"/>
              <w:right w:val="nil"/>
            </w:tcBorders>
            <w:shd w:val="clear" w:color="auto" w:fill="FFFFFF"/>
            <w:noWrap/>
            <w:vAlign w:val="center"/>
            <w:hideMark/>
          </w:tcPr>
          <w:p w:rsidR="004B5F72" w:rsidRPr="004B5F72" w:rsidRDefault="004B5F72" w:rsidP="004B5F72">
            <w:pPr>
              <w:pStyle w:val="NoSpacing"/>
              <w:rPr>
                <w:rFonts w:ascii="Verdana" w:eastAsia="Calibri" w:hAnsi="Verdana"/>
                <w:b/>
                <w:color w:val="000000"/>
                <w:sz w:val="18"/>
                <w:szCs w:val="18"/>
                <w:lang w:val="sr-Latn-RS"/>
              </w:rPr>
            </w:pPr>
            <w:r w:rsidRPr="004B5F72">
              <w:rPr>
                <w:rFonts w:ascii="Verdana" w:eastAsia="Calibri" w:hAnsi="Verdana"/>
                <w:b/>
                <w:color w:val="000000"/>
                <w:sz w:val="18"/>
                <w:szCs w:val="18"/>
                <w:lang w:val="sr-Latn-RS"/>
              </w:rPr>
              <w:t>Укупно:</w:t>
            </w:r>
          </w:p>
        </w:tc>
        <w:tc>
          <w:tcPr>
            <w:tcW w:w="1420" w:type="dxa"/>
            <w:tcBorders>
              <w:top w:val="single" w:sz="8" w:space="0" w:color="4F81BD"/>
              <w:left w:val="nil"/>
              <w:bottom w:val="single" w:sz="8" w:space="0" w:color="4F81BD"/>
              <w:right w:val="nil"/>
            </w:tcBorders>
            <w:noWrap/>
            <w:vAlign w:val="center"/>
            <w:hideMark/>
          </w:tcPr>
          <w:p w:rsidR="004B5F72" w:rsidRPr="004B5F72" w:rsidRDefault="004B5F72" w:rsidP="004B5F72">
            <w:pPr>
              <w:pStyle w:val="NoSpacing"/>
              <w:jc w:val="right"/>
              <w:rPr>
                <w:rFonts w:ascii="Verdana" w:eastAsia="Calibri" w:hAnsi="Verdana"/>
                <w:b/>
                <w:color w:val="000000"/>
                <w:sz w:val="18"/>
                <w:szCs w:val="18"/>
                <w:lang w:val="sr-Latn-RS"/>
              </w:rPr>
            </w:pPr>
            <w:r w:rsidRPr="004B5F72">
              <w:rPr>
                <w:rFonts w:ascii="Verdana" w:eastAsia="Calibri" w:hAnsi="Verdana"/>
                <w:b/>
                <w:color w:val="000000"/>
                <w:sz w:val="18"/>
                <w:szCs w:val="18"/>
                <w:lang w:val="sr-Latn-RS"/>
              </w:rPr>
              <w:t>360.000,00</w:t>
            </w:r>
          </w:p>
        </w:tc>
        <w:tc>
          <w:tcPr>
            <w:tcW w:w="1375" w:type="dxa"/>
            <w:tcBorders>
              <w:top w:val="single" w:sz="8" w:space="0" w:color="4F81BD"/>
              <w:left w:val="nil"/>
              <w:bottom w:val="single" w:sz="8" w:space="0" w:color="4F81BD"/>
              <w:right w:val="nil"/>
            </w:tcBorders>
            <w:noWrap/>
            <w:vAlign w:val="center"/>
            <w:hideMark/>
          </w:tcPr>
          <w:p w:rsidR="004B5F72" w:rsidRPr="004B5F72" w:rsidRDefault="004B5F72" w:rsidP="004B5F72">
            <w:pPr>
              <w:pStyle w:val="NoSpacing"/>
              <w:jc w:val="center"/>
              <w:rPr>
                <w:rFonts w:ascii="Verdana" w:hAnsi="Verdana"/>
                <w:b/>
                <w:sz w:val="18"/>
                <w:szCs w:val="18"/>
                <w:lang w:val="sr-Latn-RS" w:eastAsia="sr-Latn-RS"/>
              </w:rPr>
            </w:pPr>
          </w:p>
        </w:tc>
      </w:tr>
      <w:tr w:rsidR="004B5F72" w:rsidRPr="004B5F72" w:rsidTr="004B5F72">
        <w:trPr>
          <w:trHeight w:val="283"/>
        </w:trPr>
        <w:tc>
          <w:tcPr>
            <w:tcW w:w="6629" w:type="dxa"/>
            <w:tcBorders>
              <w:top w:val="single" w:sz="8" w:space="0" w:color="4F81BD"/>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 xml:space="preserve">5.   Радне станице </w:t>
            </w:r>
            <w:r w:rsidRPr="004B5F72">
              <w:rPr>
                <w:rFonts w:ascii="Verdana" w:eastAsia="Calibri" w:hAnsi="Verdana"/>
                <w:color w:val="000000"/>
                <w:sz w:val="18"/>
                <w:szCs w:val="18"/>
                <w:lang w:val="sr-Latn-RS"/>
              </w:rPr>
              <w:t xml:space="preserve">- </w:t>
            </w:r>
            <w:r w:rsidRPr="004B5F72">
              <w:rPr>
                <w:rFonts w:ascii="Verdana" w:eastAsia="Calibri" w:hAnsi="Verdana"/>
                <w:color w:val="000000"/>
                <w:sz w:val="18"/>
                <w:szCs w:val="18"/>
                <w:lang w:val="sr-Cyrl-RS"/>
              </w:rPr>
              <w:t>комада</w:t>
            </w:r>
            <w:r w:rsidRPr="004B5F72">
              <w:rPr>
                <w:rFonts w:ascii="Verdana" w:eastAsia="Calibri" w:hAnsi="Verdana"/>
                <w:color w:val="000000"/>
                <w:sz w:val="18"/>
                <w:szCs w:val="18"/>
                <w:lang w:val="sr-Latn-RS"/>
              </w:rPr>
              <w:t xml:space="preserve"> 10</w:t>
            </w:r>
          </w:p>
        </w:tc>
        <w:tc>
          <w:tcPr>
            <w:tcW w:w="1420" w:type="dxa"/>
            <w:tcBorders>
              <w:top w:val="single" w:sz="8" w:space="0" w:color="4F81BD"/>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6.000,00</w:t>
            </w:r>
          </w:p>
        </w:tc>
        <w:tc>
          <w:tcPr>
            <w:tcW w:w="1375" w:type="dxa"/>
            <w:tcBorders>
              <w:top w:val="single" w:sz="8" w:space="0" w:color="4F81BD"/>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 xml:space="preserve">8.   </w:t>
            </w:r>
            <w:r w:rsidRPr="004B5F72">
              <w:rPr>
                <w:rFonts w:ascii="Verdana" w:eastAsia="Calibri" w:hAnsi="Verdana"/>
                <w:i/>
                <w:color w:val="000000"/>
                <w:sz w:val="18"/>
                <w:szCs w:val="18"/>
                <w:lang w:val="sr-Latn-RS"/>
              </w:rPr>
              <w:t>HP</w:t>
            </w:r>
            <w:r w:rsidRPr="004B5F72">
              <w:rPr>
                <w:rFonts w:ascii="Verdana" w:eastAsia="Calibri" w:hAnsi="Verdana"/>
                <w:color w:val="000000"/>
                <w:sz w:val="18"/>
                <w:szCs w:val="18"/>
                <w:lang w:val="sr-Latn-RS"/>
              </w:rPr>
              <w:t xml:space="preserve"> </w:t>
            </w:r>
            <w:r w:rsidRPr="004B5F72">
              <w:rPr>
                <w:rFonts w:ascii="Verdana" w:eastAsia="Calibri" w:hAnsi="Verdana"/>
                <w:color w:val="000000"/>
                <w:sz w:val="18"/>
                <w:szCs w:val="18"/>
                <w:lang w:val="sr-Cyrl-RS"/>
              </w:rPr>
              <w:t>штампач</w:t>
            </w:r>
            <w:r w:rsidRPr="004B5F72">
              <w:rPr>
                <w:rFonts w:ascii="Verdana" w:eastAsia="Calibri" w:hAnsi="Verdana"/>
                <w:color w:val="000000"/>
                <w:sz w:val="18"/>
                <w:szCs w:val="18"/>
                <w:lang w:val="sr-Latn-RS"/>
              </w:rPr>
              <w:t xml:space="preserve"> </w:t>
            </w:r>
            <w:r w:rsidRPr="004B5F72">
              <w:rPr>
                <w:rFonts w:ascii="Verdana" w:eastAsia="Calibri" w:hAnsi="Verdana"/>
                <w:i/>
                <w:color w:val="000000"/>
                <w:sz w:val="18"/>
                <w:szCs w:val="18"/>
                <w:lang w:val="sr-Latn-RS"/>
              </w:rPr>
              <w:t>MF</w:t>
            </w:r>
            <w:r w:rsidRPr="004B5F72">
              <w:rPr>
                <w:rFonts w:ascii="Verdana" w:eastAsia="Calibri" w:hAnsi="Verdana"/>
                <w:color w:val="000000"/>
                <w:sz w:val="18"/>
                <w:szCs w:val="18"/>
                <w:lang w:val="sr-Latn-RS"/>
              </w:rPr>
              <w:t xml:space="preserve"> - 7 </w:t>
            </w:r>
            <w:r w:rsidRPr="004B5F72">
              <w:rPr>
                <w:rFonts w:ascii="Verdana" w:eastAsia="Calibri" w:hAnsi="Verdana"/>
                <w:color w:val="000000"/>
                <w:sz w:val="18"/>
                <w:szCs w:val="18"/>
                <w:lang w:val="sr-Cyrl-RS"/>
              </w:rPr>
              <w:t>комада</w:t>
            </w:r>
          </w:p>
        </w:tc>
        <w:tc>
          <w:tcPr>
            <w:tcW w:w="1420" w:type="dxa"/>
            <w:tcBorders>
              <w:top w:val="nil"/>
              <w:left w:val="nil"/>
              <w:bottom w:val="nil"/>
              <w:right w:val="nil"/>
            </w:tcBorders>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2.100,00</w:t>
            </w:r>
          </w:p>
        </w:tc>
        <w:tc>
          <w:tcPr>
            <w:tcW w:w="1375" w:type="dxa"/>
            <w:tcBorders>
              <w:top w:val="nil"/>
              <w:left w:val="nil"/>
              <w:bottom w:val="nil"/>
              <w:right w:val="single" w:sz="8" w:space="0" w:color="4F81BD"/>
            </w:tcBorders>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9.   Лаптоп</w:t>
            </w:r>
            <w:r w:rsidRPr="004B5F72">
              <w:rPr>
                <w:rFonts w:ascii="Verdana" w:eastAsia="Calibri" w:hAnsi="Verdana"/>
                <w:color w:val="000000"/>
                <w:sz w:val="18"/>
                <w:szCs w:val="18"/>
                <w:lang w:val="sr-Latn-RS"/>
              </w:rPr>
              <w:t xml:space="preserve"> - 5 </w:t>
            </w:r>
            <w:r w:rsidRPr="004B5F72">
              <w:rPr>
                <w:rFonts w:ascii="Verdana" w:eastAsia="Calibri" w:hAnsi="Verdana"/>
                <w:color w:val="000000"/>
                <w:sz w:val="18"/>
                <w:szCs w:val="18"/>
                <w:lang w:val="sr-Cyrl-RS"/>
              </w:rPr>
              <w:t>комада</w:t>
            </w:r>
          </w:p>
        </w:tc>
        <w:tc>
          <w:tcPr>
            <w:tcW w:w="1420" w:type="dxa"/>
            <w:tcBorders>
              <w:top w:val="nil"/>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2.000,00</w:t>
            </w:r>
          </w:p>
        </w:tc>
        <w:tc>
          <w:tcPr>
            <w:tcW w:w="1375" w:type="dxa"/>
            <w:tcBorders>
              <w:top w:val="nil"/>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11. Пројектор са пратећом опремом</w:t>
            </w:r>
          </w:p>
        </w:tc>
        <w:tc>
          <w:tcPr>
            <w:tcW w:w="1420" w:type="dxa"/>
            <w:tcBorders>
              <w:top w:val="nil"/>
              <w:left w:val="nil"/>
              <w:bottom w:val="nil"/>
              <w:right w:val="nil"/>
            </w:tcBorders>
            <w:shd w:val="clear" w:color="auto" w:fill="auto"/>
            <w:noWrap/>
            <w:vAlign w:val="center"/>
          </w:tcPr>
          <w:p w:rsidR="004B5F72" w:rsidRPr="004B5F72" w:rsidRDefault="004B5F72" w:rsidP="00D175C6">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1.500,00</w:t>
            </w:r>
          </w:p>
        </w:tc>
        <w:tc>
          <w:tcPr>
            <w:tcW w:w="1375" w:type="dxa"/>
            <w:tcBorders>
              <w:top w:val="nil"/>
              <w:left w:val="nil"/>
              <w:bottom w:val="nil"/>
              <w:right w:val="single" w:sz="8" w:space="0" w:color="4F81BD"/>
            </w:tcBorders>
            <w:shd w:val="clear" w:color="auto" w:fill="auto"/>
            <w:noWrap/>
            <w:vAlign w:val="center"/>
          </w:tcPr>
          <w:p w:rsidR="004B5F72" w:rsidRPr="004B5F72" w:rsidRDefault="004B5F72" w:rsidP="00D175C6">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12. Обнова лиценце</w:t>
            </w:r>
            <w:r w:rsidRPr="004B5F72">
              <w:rPr>
                <w:rFonts w:ascii="Verdana" w:eastAsia="Calibri" w:hAnsi="Verdana"/>
                <w:color w:val="000000"/>
                <w:sz w:val="18"/>
                <w:szCs w:val="18"/>
                <w:lang w:val="sr-Latn-RS"/>
              </w:rPr>
              <w:t xml:space="preserve"> </w:t>
            </w:r>
            <w:r w:rsidRPr="004B5F72">
              <w:rPr>
                <w:rFonts w:ascii="Verdana" w:eastAsia="Calibri" w:hAnsi="Verdana"/>
                <w:i/>
                <w:color w:val="000000"/>
                <w:sz w:val="18"/>
                <w:szCs w:val="18"/>
                <w:lang w:val="sr-Latn-RS"/>
              </w:rPr>
              <w:t xml:space="preserve">AVG </w:t>
            </w:r>
            <w:r w:rsidRPr="004B5F72">
              <w:rPr>
                <w:rFonts w:ascii="Verdana" w:eastAsia="Calibri" w:hAnsi="Verdana"/>
                <w:color w:val="000000"/>
                <w:sz w:val="18"/>
                <w:szCs w:val="18"/>
                <w:lang w:val="sr-Latn-RS"/>
              </w:rPr>
              <w:t xml:space="preserve">(40 </w:t>
            </w:r>
            <w:r w:rsidRPr="004B5F72">
              <w:rPr>
                <w:rFonts w:ascii="Verdana" w:eastAsia="Calibri" w:hAnsi="Verdana"/>
                <w:color w:val="000000"/>
                <w:sz w:val="18"/>
                <w:szCs w:val="18"/>
                <w:lang w:val="sr-Cyrl-RS"/>
              </w:rPr>
              <w:t>комада</w:t>
            </w:r>
            <w:r w:rsidRPr="004B5F72">
              <w:rPr>
                <w:rFonts w:ascii="Verdana" w:eastAsia="Calibri" w:hAnsi="Verdana"/>
                <w:color w:val="000000"/>
                <w:sz w:val="18"/>
                <w:szCs w:val="18"/>
                <w:lang w:val="sr-Latn-RS"/>
              </w:rPr>
              <w:t>)</w:t>
            </w:r>
          </w:p>
        </w:tc>
        <w:tc>
          <w:tcPr>
            <w:tcW w:w="1420" w:type="dxa"/>
            <w:tcBorders>
              <w:top w:val="nil"/>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1.000,00</w:t>
            </w:r>
          </w:p>
        </w:tc>
        <w:tc>
          <w:tcPr>
            <w:tcW w:w="1375" w:type="dxa"/>
            <w:tcBorders>
              <w:top w:val="nil"/>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noWrap/>
            <w:vAlign w:val="center"/>
            <w:hideMark/>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13. Израда</w:t>
            </w:r>
            <w:r w:rsidRPr="004B5F72">
              <w:rPr>
                <w:rFonts w:ascii="Verdana" w:eastAsia="Calibri" w:hAnsi="Verdana"/>
                <w:color w:val="000000"/>
                <w:sz w:val="18"/>
                <w:szCs w:val="18"/>
                <w:lang w:val="sr-Latn-RS"/>
              </w:rPr>
              <w:t xml:space="preserve"> </w:t>
            </w:r>
            <w:r w:rsidRPr="004B5F72">
              <w:rPr>
                <w:rFonts w:ascii="Verdana" w:eastAsia="Calibri" w:hAnsi="Verdana"/>
                <w:i/>
                <w:color w:val="000000"/>
                <w:sz w:val="18"/>
                <w:szCs w:val="18"/>
                <w:lang w:val="sr-Latn-RS"/>
              </w:rPr>
              <w:t>Web</w:t>
            </w:r>
            <w:r w:rsidRPr="004B5F72">
              <w:rPr>
                <w:rFonts w:ascii="Verdana" w:eastAsia="Calibri" w:hAnsi="Verdana"/>
                <w:color w:val="000000"/>
                <w:sz w:val="18"/>
                <w:szCs w:val="18"/>
                <w:lang w:val="sr-Latn-RS"/>
              </w:rPr>
              <w:t xml:space="preserve"> </w:t>
            </w:r>
            <w:r w:rsidRPr="004B5F72">
              <w:rPr>
                <w:rFonts w:ascii="Verdana" w:eastAsia="Calibri" w:hAnsi="Verdana"/>
                <w:color w:val="000000"/>
                <w:sz w:val="18"/>
                <w:szCs w:val="18"/>
                <w:lang w:val="sr-Cyrl-RS"/>
              </w:rPr>
              <w:t>сајта</w:t>
            </w:r>
          </w:p>
        </w:tc>
        <w:tc>
          <w:tcPr>
            <w:tcW w:w="1420" w:type="dxa"/>
            <w:tcBorders>
              <w:top w:val="nil"/>
              <w:left w:val="nil"/>
              <w:bottom w:val="nil"/>
              <w:right w:val="nil"/>
            </w:tcBorders>
            <w:shd w:val="clear" w:color="auto" w:fill="auto"/>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5.000,00</w:t>
            </w:r>
          </w:p>
        </w:tc>
        <w:tc>
          <w:tcPr>
            <w:tcW w:w="1375" w:type="dxa"/>
            <w:tcBorders>
              <w:top w:val="nil"/>
              <w:left w:val="nil"/>
              <w:bottom w:val="nil"/>
              <w:right w:val="single" w:sz="8" w:space="0" w:color="4F81BD"/>
            </w:tcBorders>
            <w:shd w:val="clear" w:color="auto" w:fill="auto"/>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vAlign w:val="center"/>
            <w:hideMark/>
          </w:tcPr>
          <w:p w:rsidR="004B5F72" w:rsidRPr="004B5F72" w:rsidRDefault="004B5F72" w:rsidP="004B5F72">
            <w:pPr>
              <w:pStyle w:val="NoSpacing"/>
              <w:rPr>
                <w:rFonts w:ascii="Verdana" w:eastAsia="Calibri" w:hAnsi="Verdana"/>
                <w:color w:val="000000"/>
                <w:sz w:val="18"/>
                <w:szCs w:val="18"/>
                <w:lang w:val="sr-Latn-RS"/>
              </w:rPr>
            </w:pPr>
            <w:r w:rsidRPr="004B5F72">
              <w:rPr>
                <w:rFonts w:ascii="Verdana" w:eastAsia="Calibri" w:hAnsi="Verdana"/>
                <w:color w:val="000000"/>
                <w:sz w:val="18"/>
                <w:szCs w:val="18"/>
                <w:lang w:val="sr-Cyrl-RS"/>
              </w:rPr>
              <w:t>15. Ситан инвентар</w:t>
            </w:r>
            <w:r w:rsidRPr="004B5F72">
              <w:rPr>
                <w:rFonts w:ascii="Verdana" w:eastAsia="Calibri" w:hAnsi="Verdana"/>
                <w:color w:val="000000"/>
                <w:sz w:val="18"/>
                <w:szCs w:val="18"/>
                <w:lang w:val="sr-Latn-RS"/>
              </w:rPr>
              <w:t xml:space="preserve"> (</w:t>
            </w:r>
            <w:r w:rsidRPr="004B5F72">
              <w:rPr>
                <w:rFonts w:ascii="Verdana" w:eastAsia="Calibri" w:hAnsi="Verdana"/>
                <w:color w:val="000000"/>
                <w:sz w:val="18"/>
                <w:szCs w:val="18"/>
                <w:lang w:val="sr-Cyrl-RS"/>
              </w:rPr>
              <w:t>тастатуре, миш, каблови и др.</w:t>
            </w:r>
            <w:r w:rsidRPr="004B5F72">
              <w:rPr>
                <w:rFonts w:ascii="Verdana" w:eastAsia="Calibri" w:hAnsi="Verdana"/>
                <w:color w:val="000000"/>
                <w:sz w:val="18"/>
                <w:szCs w:val="18"/>
                <w:lang w:val="sr-Latn-RS"/>
              </w:rPr>
              <w:t>)</w:t>
            </w:r>
          </w:p>
        </w:tc>
        <w:tc>
          <w:tcPr>
            <w:tcW w:w="1420" w:type="dxa"/>
            <w:tcBorders>
              <w:top w:val="nil"/>
              <w:left w:val="nil"/>
              <w:bottom w:val="nil"/>
              <w:right w:val="nil"/>
            </w:tcBorders>
            <w:shd w:val="clear" w:color="auto" w:fill="DBE5F1" w:themeFill="accent1" w:themeFillTint="33"/>
            <w:noWrap/>
            <w:vAlign w:val="center"/>
            <w:hideMark/>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2.000,00</w:t>
            </w:r>
          </w:p>
        </w:tc>
        <w:tc>
          <w:tcPr>
            <w:tcW w:w="1375" w:type="dxa"/>
            <w:tcBorders>
              <w:top w:val="nil"/>
              <w:left w:val="nil"/>
              <w:bottom w:val="nil"/>
              <w:right w:val="single" w:sz="8" w:space="0" w:color="4F81BD"/>
            </w:tcBorders>
            <w:shd w:val="clear" w:color="auto" w:fill="DBE5F1" w:themeFill="accent1" w:themeFillTint="33"/>
            <w:noWrap/>
            <w:vAlign w:val="center"/>
            <w:hideMark/>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I-IV</w:t>
            </w:r>
          </w:p>
        </w:tc>
      </w:tr>
      <w:tr w:rsidR="004B5F72" w:rsidRPr="004B5F72" w:rsidTr="004B5F72">
        <w:trPr>
          <w:trHeight w:val="283"/>
        </w:trPr>
        <w:tc>
          <w:tcPr>
            <w:tcW w:w="6629" w:type="dxa"/>
            <w:tcBorders>
              <w:top w:val="nil"/>
              <w:left w:val="nil"/>
              <w:bottom w:val="nil"/>
              <w:right w:val="single" w:sz="8" w:space="0" w:color="4F81BD"/>
            </w:tcBorders>
            <w:shd w:val="clear" w:color="auto" w:fill="FFFFFF"/>
            <w:vAlign w:val="center"/>
            <w:hideMark/>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16. Рекострукција и израда систем сале</w:t>
            </w:r>
          </w:p>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Cyrl-RS"/>
              </w:rPr>
              <w:t>Са пратећом опремом и програмима</w:t>
            </w:r>
          </w:p>
        </w:tc>
        <w:tc>
          <w:tcPr>
            <w:tcW w:w="1420" w:type="dxa"/>
            <w:tcBorders>
              <w:top w:val="nil"/>
              <w:left w:val="nil"/>
              <w:bottom w:val="nil"/>
              <w:right w:val="nil"/>
            </w:tcBorders>
            <w:shd w:val="clear" w:color="auto" w:fill="auto"/>
            <w:vAlign w:val="center"/>
            <w:hideMark/>
          </w:tcPr>
          <w:p w:rsidR="004B5F72" w:rsidRPr="004B5F72" w:rsidRDefault="004B5F72" w:rsidP="004B5F72">
            <w:pPr>
              <w:pStyle w:val="NoSpacing"/>
              <w:jc w:val="right"/>
              <w:rPr>
                <w:rFonts w:ascii="Verdana" w:eastAsia="Calibri" w:hAnsi="Verdana"/>
                <w:color w:val="000000"/>
                <w:sz w:val="18"/>
                <w:szCs w:val="18"/>
                <w:lang w:val="sr-Cyrl-RS"/>
              </w:rPr>
            </w:pPr>
            <w:r w:rsidRPr="004B5F72">
              <w:rPr>
                <w:rFonts w:ascii="Verdana" w:eastAsia="Calibri" w:hAnsi="Verdana"/>
                <w:color w:val="000000"/>
                <w:sz w:val="18"/>
                <w:szCs w:val="18"/>
                <w:lang w:val="sr-Latn-RS"/>
              </w:rPr>
              <w:t>40.000,00</w:t>
            </w:r>
          </w:p>
        </w:tc>
        <w:tc>
          <w:tcPr>
            <w:tcW w:w="1375" w:type="dxa"/>
            <w:tcBorders>
              <w:top w:val="nil"/>
              <w:left w:val="nil"/>
              <w:bottom w:val="nil"/>
              <w:right w:val="single" w:sz="8" w:space="0" w:color="4F81BD"/>
            </w:tcBorders>
            <w:shd w:val="clear" w:color="auto" w:fill="auto"/>
            <w:noWrap/>
            <w:vAlign w:val="center"/>
            <w:hideMark/>
          </w:tcPr>
          <w:p w:rsidR="004B5F72" w:rsidRPr="004B5F72" w:rsidRDefault="004B5F72" w:rsidP="004B5F72">
            <w:pPr>
              <w:pStyle w:val="NoSpacing"/>
              <w:jc w:val="center"/>
              <w:rPr>
                <w:rFonts w:ascii="Verdana" w:eastAsia="Calibri" w:hAnsi="Verdana"/>
                <w:color w:val="000000"/>
                <w:sz w:val="18"/>
                <w:szCs w:val="18"/>
                <w:lang w:val="sr-Cyrl-RS"/>
              </w:rPr>
            </w:pPr>
            <w:r>
              <w:rPr>
                <w:rFonts w:ascii="Verdana" w:eastAsia="Calibri" w:hAnsi="Verdana"/>
                <w:color w:val="000000"/>
                <w:sz w:val="18"/>
                <w:szCs w:val="18"/>
                <w:lang w:val="sr-Latn-RS"/>
              </w:rPr>
              <w:t>I-III</w:t>
            </w:r>
          </w:p>
        </w:tc>
      </w:tr>
      <w:tr w:rsidR="004B5F72" w:rsidRPr="004B5F72" w:rsidTr="004B5F72">
        <w:trPr>
          <w:trHeight w:val="283"/>
        </w:trPr>
        <w:tc>
          <w:tcPr>
            <w:tcW w:w="6629" w:type="dxa"/>
            <w:tcBorders>
              <w:top w:val="nil"/>
              <w:left w:val="nil"/>
              <w:bottom w:val="single" w:sz="8" w:space="0" w:color="4F81BD"/>
              <w:right w:val="single" w:sz="8" w:space="0" w:color="4F81BD"/>
            </w:tcBorders>
            <w:shd w:val="clear" w:color="auto" w:fill="FFFFFF"/>
            <w:vAlign w:val="center"/>
          </w:tcPr>
          <w:p w:rsidR="004B5F72" w:rsidRPr="004B5F72" w:rsidRDefault="004B5F72" w:rsidP="004B5F72">
            <w:pPr>
              <w:pStyle w:val="NoSpacing"/>
              <w:rPr>
                <w:rFonts w:ascii="Verdana" w:eastAsia="Calibri" w:hAnsi="Verdana"/>
                <w:color w:val="000000"/>
                <w:sz w:val="18"/>
                <w:szCs w:val="18"/>
                <w:lang w:val="sr-Cyrl-RS"/>
              </w:rPr>
            </w:pPr>
            <w:r w:rsidRPr="004B5F72">
              <w:rPr>
                <w:rFonts w:ascii="Verdana" w:eastAsia="Calibri" w:hAnsi="Verdana"/>
                <w:color w:val="000000"/>
                <w:sz w:val="18"/>
                <w:szCs w:val="18"/>
                <w:lang w:val="sr-Latn-RS"/>
              </w:rPr>
              <w:t>17.</w:t>
            </w:r>
            <w:r w:rsidRPr="004B5F72">
              <w:rPr>
                <w:rFonts w:ascii="Verdana" w:eastAsia="Calibri" w:hAnsi="Verdana"/>
                <w:color w:val="000000"/>
                <w:sz w:val="18"/>
                <w:szCs w:val="18"/>
                <w:lang w:val="sr-Cyrl-RS"/>
              </w:rPr>
              <w:t xml:space="preserve"> </w:t>
            </w:r>
            <w:r w:rsidRPr="004B5F72">
              <w:rPr>
                <w:rFonts w:ascii="Verdana" w:eastAsia="Calibri" w:hAnsi="Verdana"/>
                <w:color w:val="000000"/>
                <w:sz w:val="18"/>
                <w:szCs w:val="18"/>
                <w:lang w:val="sr-Latn-RS"/>
              </w:rPr>
              <w:t>Color laser JET</w:t>
            </w:r>
          </w:p>
        </w:tc>
        <w:tc>
          <w:tcPr>
            <w:tcW w:w="1420" w:type="dxa"/>
            <w:tcBorders>
              <w:top w:val="nil"/>
              <w:left w:val="nil"/>
              <w:bottom w:val="single" w:sz="8" w:space="0" w:color="4F81BD"/>
              <w:right w:val="nil"/>
            </w:tcBorders>
            <w:shd w:val="clear" w:color="auto" w:fill="DBE5F1" w:themeFill="accent1" w:themeFillTint="33"/>
            <w:vAlign w:val="center"/>
          </w:tcPr>
          <w:p w:rsidR="004B5F72" w:rsidRPr="004B5F72" w:rsidRDefault="004B5F72" w:rsidP="004B5F72">
            <w:pPr>
              <w:pStyle w:val="NoSpacing"/>
              <w:jc w:val="right"/>
              <w:rPr>
                <w:rFonts w:ascii="Verdana" w:eastAsia="Calibri" w:hAnsi="Verdana"/>
                <w:color w:val="000000"/>
                <w:sz w:val="18"/>
                <w:szCs w:val="18"/>
                <w:lang w:val="sr-Latn-RS"/>
              </w:rPr>
            </w:pPr>
            <w:r w:rsidRPr="004B5F72">
              <w:rPr>
                <w:rFonts w:ascii="Verdana" w:eastAsia="Calibri" w:hAnsi="Verdana"/>
                <w:color w:val="000000"/>
                <w:sz w:val="18"/>
                <w:szCs w:val="18"/>
                <w:lang w:val="sr-Latn-RS"/>
              </w:rPr>
              <w:t>1.000,00</w:t>
            </w:r>
          </w:p>
        </w:tc>
        <w:tc>
          <w:tcPr>
            <w:tcW w:w="1375" w:type="dxa"/>
            <w:tcBorders>
              <w:top w:val="nil"/>
              <w:left w:val="nil"/>
              <w:bottom w:val="single" w:sz="8" w:space="0" w:color="4F81BD"/>
              <w:right w:val="single" w:sz="8" w:space="0" w:color="4F81BD"/>
            </w:tcBorders>
            <w:shd w:val="clear" w:color="auto" w:fill="DBE5F1" w:themeFill="accent1" w:themeFillTint="33"/>
            <w:noWrap/>
            <w:vAlign w:val="center"/>
          </w:tcPr>
          <w:p w:rsidR="004B5F72" w:rsidRPr="004B5F72" w:rsidRDefault="004B5F72" w:rsidP="004B5F72">
            <w:pPr>
              <w:pStyle w:val="NoSpacing"/>
              <w:jc w:val="center"/>
              <w:rPr>
                <w:rFonts w:ascii="Verdana" w:eastAsia="Calibri" w:hAnsi="Verdana"/>
                <w:color w:val="000000"/>
                <w:sz w:val="18"/>
                <w:szCs w:val="18"/>
                <w:lang w:val="sr-Latn-RS"/>
              </w:rPr>
            </w:pPr>
            <w:r w:rsidRPr="004B5F72">
              <w:rPr>
                <w:rFonts w:ascii="Verdana" w:eastAsia="Calibri" w:hAnsi="Verdana"/>
                <w:color w:val="000000"/>
                <w:sz w:val="18"/>
                <w:szCs w:val="18"/>
                <w:lang w:val="sr-Latn-RS"/>
              </w:rPr>
              <w:t>IV</w:t>
            </w:r>
          </w:p>
        </w:tc>
      </w:tr>
      <w:tr w:rsidR="004B5F72" w:rsidRPr="004B5F72" w:rsidTr="004B5F72">
        <w:trPr>
          <w:trHeight w:val="283"/>
        </w:trPr>
        <w:tc>
          <w:tcPr>
            <w:tcW w:w="6629" w:type="dxa"/>
            <w:tcBorders>
              <w:top w:val="single" w:sz="8" w:space="0" w:color="4F81BD"/>
              <w:left w:val="nil"/>
              <w:bottom w:val="single" w:sz="8" w:space="0" w:color="4F81BD"/>
              <w:right w:val="nil"/>
            </w:tcBorders>
            <w:shd w:val="clear" w:color="auto" w:fill="FFFFFF"/>
            <w:vAlign w:val="center"/>
          </w:tcPr>
          <w:p w:rsidR="004B5F72" w:rsidRPr="004B5F72" w:rsidRDefault="004B5F72" w:rsidP="004B5F72">
            <w:pPr>
              <w:pStyle w:val="NoSpacing"/>
              <w:rPr>
                <w:rFonts w:ascii="Verdana" w:eastAsia="Calibri" w:hAnsi="Verdana"/>
                <w:b/>
                <w:color w:val="000000"/>
                <w:sz w:val="18"/>
                <w:szCs w:val="18"/>
                <w:lang w:val="sr-Latn-RS"/>
              </w:rPr>
            </w:pPr>
            <w:r w:rsidRPr="004B5F72">
              <w:rPr>
                <w:rFonts w:ascii="Verdana" w:eastAsia="Calibri" w:hAnsi="Verdana"/>
                <w:b/>
                <w:color w:val="000000"/>
                <w:sz w:val="18"/>
                <w:szCs w:val="18"/>
                <w:lang w:val="sr-Latn-RS"/>
              </w:rPr>
              <w:t>Укупно:</w:t>
            </w:r>
          </w:p>
        </w:tc>
        <w:tc>
          <w:tcPr>
            <w:tcW w:w="1420" w:type="dxa"/>
            <w:tcBorders>
              <w:top w:val="single" w:sz="8" w:space="0" w:color="4F81BD"/>
              <w:left w:val="nil"/>
              <w:bottom w:val="single" w:sz="8" w:space="0" w:color="4F81BD"/>
              <w:right w:val="nil"/>
            </w:tcBorders>
            <w:shd w:val="clear" w:color="auto" w:fill="auto"/>
            <w:vAlign w:val="center"/>
          </w:tcPr>
          <w:p w:rsidR="004B5F72" w:rsidRPr="004B5F72" w:rsidRDefault="004B5F72" w:rsidP="004B5F72">
            <w:pPr>
              <w:pStyle w:val="NoSpacing"/>
              <w:jc w:val="center"/>
              <w:rPr>
                <w:rFonts w:ascii="Verdana" w:eastAsia="Calibri" w:hAnsi="Verdana"/>
                <w:b/>
                <w:color w:val="000000"/>
                <w:sz w:val="18"/>
                <w:szCs w:val="18"/>
                <w:lang w:val="sr-Latn-RS"/>
              </w:rPr>
            </w:pPr>
            <w:r w:rsidRPr="004B5F72">
              <w:rPr>
                <w:rFonts w:ascii="Verdana" w:eastAsia="Calibri" w:hAnsi="Verdana"/>
                <w:b/>
                <w:color w:val="000000"/>
                <w:sz w:val="18"/>
                <w:szCs w:val="18"/>
                <w:lang w:val="sr-Latn-RS"/>
              </w:rPr>
              <w:t>419.600,00</w:t>
            </w:r>
          </w:p>
        </w:tc>
        <w:tc>
          <w:tcPr>
            <w:tcW w:w="1375" w:type="dxa"/>
            <w:tcBorders>
              <w:top w:val="single" w:sz="8" w:space="0" w:color="4F81BD"/>
              <w:left w:val="nil"/>
              <w:bottom w:val="single" w:sz="8" w:space="0" w:color="4F81BD"/>
              <w:right w:val="nil"/>
            </w:tcBorders>
            <w:shd w:val="clear" w:color="auto" w:fill="auto"/>
            <w:noWrap/>
            <w:vAlign w:val="center"/>
          </w:tcPr>
          <w:p w:rsidR="004B5F72" w:rsidRPr="004B5F72" w:rsidRDefault="004B5F72" w:rsidP="004B5F72">
            <w:pPr>
              <w:pStyle w:val="NoSpacing"/>
              <w:jc w:val="center"/>
              <w:rPr>
                <w:rFonts w:ascii="Verdana" w:eastAsia="Calibri" w:hAnsi="Verdana"/>
                <w:b/>
                <w:color w:val="000000"/>
                <w:sz w:val="18"/>
                <w:szCs w:val="18"/>
                <w:lang w:val="sr-Latn-RS"/>
              </w:rPr>
            </w:pPr>
          </w:p>
        </w:tc>
      </w:tr>
    </w:tbl>
    <w:p w:rsidR="00C444C5" w:rsidRPr="000545BA" w:rsidRDefault="00C444C5" w:rsidP="00EC128F">
      <w:pPr>
        <w:pStyle w:val="Heading1"/>
        <w:numPr>
          <w:ilvl w:val="0"/>
          <w:numId w:val="3"/>
        </w:numPr>
        <w:tabs>
          <w:tab w:val="clear" w:pos="432"/>
        </w:tabs>
        <w:ind w:left="0" w:firstLine="0"/>
        <w:rPr>
          <w:rFonts w:ascii="Verdana" w:hAnsi="Verdana" w:cs="Tahoma"/>
          <w:noProof/>
          <w:color w:val="365F91"/>
          <w:sz w:val="24"/>
          <w:szCs w:val="18"/>
          <w:lang w:val="sr-Cyrl-RS"/>
        </w:rPr>
      </w:pPr>
      <w:bookmarkStart w:id="47" w:name="_Toc414610348"/>
      <w:bookmarkEnd w:id="2"/>
      <w:r w:rsidRPr="000545BA">
        <w:rPr>
          <w:rFonts w:ascii="Verdana" w:hAnsi="Verdana" w:cs="Tahoma"/>
          <w:noProof/>
          <w:color w:val="365F91"/>
          <w:sz w:val="24"/>
          <w:szCs w:val="18"/>
          <w:lang w:val="sr-Cyrl-RS"/>
        </w:rPr>
        <w:t>ПЛАН ТРОШКОВА СПРОВОЂЕЊА ЗА 201</w:t>
      </w:r>
      <w:r w:rsidR="004B5F72">
        <w:rPr>
          <w:rFonts w:ascii="Verdana" w:hAnsi="Verdana" w:cs="Tahoma"/>
          <w:noProof/>
          <w:color w:val="365F91"/>
          <w:sz w:val="24"/>
          <w:szCs w:val="18"/>
          <w:lang w:val="sr-Cyrl-RS"/>
        </w:rPr>
        <w:t>5</w:t>
      </w:r>
      <w:r w:rsidRPr="000545BA">
        <w:rPr>
          <w:rFonts w:ascii="Verdana" w:hAnsi="Verdana" w:cs="Tahoma"/>
          <w:noProof/>
          <w:color w:val="365F91"/>
          <w:sz w:val="24"/>
          <w:szCs w:val="18"/>
          <w:lang w:val="sr-Cyrl-RS"/>
        </w:rPr>
        <w:t>. ГОДИНУ</w:t>
      </w:r>
      <w:bookmarkEnd w:id="47"/>
      <w:r w:rsidRPr="000545BA">
        <w:rPr>
          <w:rFonts w:ascii="Verdana" w:hAnsi="Verdana" w:cs="Tahoma"/>
          <w:noProof/>
          <w:color w:val="365F91"/>
          <w:sz w:val="24"/>
          <w:szCs w:val="18"/>
          <w:lang w:val="sr-Cyrl-RS"/>
        </w:rPr>
        <w:t xml:space="preserve"> </w:t>
      </w:r>
    </w:p>
    <w:p w:rsidR="00C444C5" w:rsidRPr="000545BA" w:rsidRDefault="00C444C5" w:rsidP="00C444C5">
      <w:pPr>
        <w:jc w:val="center"/>
        <w:rPr>
          <w:rFonts w:ascii="Verdana" w:hAnsi="Verdana"/>
          <w:b/>
          <w:i/>
          <w:noProof/>
          <w:color w:val="365F91"/>
          <w:sz w:val="10"/>
          <w:szCs w:val="10"/>
          <w:lang w:val="sr-Cyrl-RS"/>
        </w:rPr>
      </w:pPr>
    </w:p>
    <w:p w:rsidR="00076662" w:rsidRPr="00076662" w:rsidRDefault="00076662" w:rsidP="004B5F72">
      <w:pPr>
        <w:spacing w:after="60"/>
        <w:jc w:val="center"/>
        <w:rPr>
          <w:rFonts w:ascii="Verdana" w:hAnsi="Verdana"/>
          <w:b/>
          <w:i/>
          <w:noProof/>
          <w:color w:val="365F91"/>
          <w:sz w:val="10"/>
          <w:szCs w:val="10"/>
          <w:lang w:val="sr-Cyrl-RS"/>
        </w:rPr>
      </w:pPr>
    </w:p>
    <w:p w:rsidR="00EC128F" w:rsidRDefault="00C444C5" w:rsidP="004B5F72">
      <w:pPr>
        <w:spacing w:after="60"/>
        <w:jc w:val="center"/>
        <w:rPr>
          <w:rFonts w:ascii="Verdana" w:hAnsi="Verdana"/>
          <w:b/>
          <w:i/>
          <w:noProof/>
          <w:color w:val="365F91"/>
          <w:sz w:val="20"/>
          <w:szCs w:val="20"/>
          <w:lang w:val="sr-Cyrl-RS"/>
        </w:rPr>
      </w:pPr>
      <w:r w:rsidRPr="000545BA">
        <w:rPr>
          <w:rFonts w:ascii="Verdana" w:hAnsi="Verdana"/>
          <w:b/>
          <w:i/>
          <w:noProof/>
          <w:color w:val="365F91"/>
          <w:sz w:val="20"/>
          <w:szCs w:val="20"/>
          <w:lang w:val="sr-Cyrl-RS"/>
        </w:rPr>
        <w:t>Спецификација планираних трошкова спровођ</w:t>
      </w:r>
      <w:r w:rsidR="004B5F72">
        <w:rPr>
          <w:rFonts w:ascii="Verdana" w:hAnsi="Verdana"/>
          <w:b/>
          <w:i/>
          <w:noProof/>
          <w:color w:val="365F91"/>
          <w:sz w:val="20"/>
          <w:szCs w:val="20"/>
          <w:lang w:val="sr-Cyrl-RS"/>
        </w:rPr>
        <w:t xml:space="preserve">ења са структуром по носиоцима </w:t>
      </w:r>
    </w:p>
    <w:p w:rsidR="00076662" w:rsidRPr="00076662" w:rsidRDefault="00076662" w:rsidP="004B5F72">
      <w:pPr>
        <w:spacing w:after="60"/>
        <w:jc w:val="center"/>
        <w:rPr>
          <w:rFonts w:ascii="Verdana" w:hAnsi="Verdana"/>
          <w:b/>
          <w:i/>
          <w:noProof/>
          <w:color w:val="365F91"/>
          <w:sz w:val="10"/>
          <w:szCs w:val="10"/>
          <w:lang w:val="sr-Cyrl-RS"/>
        </w:rPr>
      </w:pPr>
    </w:p>
    <w:tbl>
      <w:tblPr>
        <w:tblW w:w="12180" w:type="dxa"/>
        <w:tblInd w:w="-1168" w:type="dxa"/>
        <w:tblLook w:val="04A0" w:firstRow="1" w:lastRow="0" w:firstColumn="1" w:lastColumn="0" w:noHBand="0" w:noVBand="1"/>
      </w:tblPr>
      <w:tblGrid>
        <w:gridCol w:w="573"/>
        <w:gridCol w:w="2546"/>
        <w:gridCol w:w="1646"/>
        <w:gridCol w:w="1527"/>
        <w:gridCol w:w="1414"/>
        <w:gridCol w:w="1414"/>
        <w:gridCol w:w="1414"/>
        <w:gridCol w:w="1646"/>
      </w:tblGrid>
      <w:tr w:rsidR="004B5F72" w:rsidRPr="0019076B" w:rsidTr="00076662">
        <w:trPr>
          <w:trHeight w:val="170"/>
        </w:trPr>
        <w:tc>
          <w:tcPr>
            <w:tcW w:w="573"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Рн</w:t>
            </w:r>
          </w:p>
        </w:tc>
        <w:tc>
          <w:tcPr>
            <w:tcW w:w="2546"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Врста трошкова</w:t>
            </w:r>
          </w:p>
        </w:tc>
        <w:tc>
          <w:tcPr>
            <w:tcW w:w="1646"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Прибава</w:t>
            </w:r>
          </w:p>
        </w:tc>
        <w:tc>
          <w:tcPr>
            <w:tcW w:w="1527"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Управа</w:t>
            </w:r>
          </w:p>
        </w:tc>
        <w:tc>
          <w:tcPr>
            <w:tcW w:w="1414"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Штете</w:t>
            </w:r>
          </w:p>
        </w:tc>
        <w:tc>
          <w:tcPr>
            <w:tcW w:w="1414"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Депоновање</w:t>
            </w:r>
          </w:p>
        </w:tc>
        <w:tc>
          <w:tcPr>
            <w:tcW w:w="1414"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Остало</w:t>
            </w:r>
          </w:p>
        </w:tc>
        <w:tc>
          <w:tcPr>
            <w:tcW w:w="1646"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6"/>
                <w:szCs w:val="16"/>
                <w:lang w:val="sr-Cyrl-RS" w:eastAsia="sr-Latn-RS"/>
              </w:rPr>
            </w:pPr>
            <w:r w:rsidRPr="0019076B">
              <w:rPr>
                <w:rFonts w:ascii="Verdana" w:hAnsi="Verdana" w:cs="Tahoma"/>
                <w:b/>
                <w:bCs/>
                <w:sz w:val="16"/>
                <w:szCs w:val="16"/>
                <w:lang w:val="sr-Cyrl-RS" w:eastAsia="sr-Latn-RS"/>
              </w:rPr>
              <w:t>Укупно</w:t>
            </w:r>
          </w:p>
        </w:tc>
      </w:tr>
      <w:tr w:rsidR="004B5F72" w:rsidRPr="0019076B" w:rsidTr="00076662">
        <w:trPr>
          <w:trHeight w:val="227"/>
        </w:trPr>
        <w:tc>
          <w:tcPr>
            <w:tcW w:w="573" w:type="dxa"/>
            <w:tcBorders>
              <w:top w:val="doub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530</w:t>
            </w:r>
          </w:p>
        </w:tc>
        <w:tc>
          <w:tcPr>
            <w:tcW w:w="2546" w:type="dxa"/>
            <w:tcBorders>
              <w:top w:val="doub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амортизације</w:t>
            </w:r>
          </w:p>
        </w:tc>
        <w:tc>
          <w:tcPr>
            <w:tcW w:w="1646" w:type="dxa"/>
            <w:tcBorders>
              <w:top w:val="doub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p>
        </w:tc>
        <w:tc>
          <w:tcPr>
            <w:tcW w:w="1527" w:type="dxa"/>
            <w:tcBorders>
              <w:top w:val="doub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lang w:val="sr-Cyrl-RS"/>
              </w:rPr>
            </w:pPr>
            <w:r w:rsidRPr="004B5F72">
              <w:rPr>
                <w:rFonts w:ascii="Tahoma" w:hAnsi="Tahoma" w:cs="Tahoma"/>
                <w:b/>
                <w:bCs/>
                <w:sz w:val="14"/>
                <w:szCs w:val="14"/>
              </w:rPr>
              <w:t>10,540,000.00</w:t>
            </w:r>
          </w:p>
        </w:tc>
        <w:tc>
          <w:tcPr>
            <w:tcW w:w="1414" w:type="dxa"/>
            <w:tcBorders>
              <w:top w:val="doub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p>
        </w:tc>
        <w:tc>
          <w:tcPr>
            <w:tcW w:w="1414" w:type="dxa"/>
            <w:tcBorders>
              <w:top w:val="doub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p>
        </w:tc>
        <w:tc>
          <w:tcPr>
            <w:tcW w:w="1414" w:type="dxa"/>
            <w:tcBorders>
              <w:top w:val="doub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p>
        </w:tc>
        <w:tc>
          <w:tcPr>
            <w:tcW w:w="1646" w:type="dxa"/>
            <w:tcBorders>
              <w:top w:val="doub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10,510,000.00</w:t>
            </w:r>
          </w:p>
        </w:tc>
      </w:tr>
      <w:tr w:rsidR="004B5F72" w:rsidRPr="003D40A5"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535</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Latn-RS" w:eastAsia="sr-Latn-RS"/>
              </w:rPr>
            </w:pPr>
            <w:r w:rsidRPr="0019076B">
              <w:rPr>
                <w:rFonts w:ascii="Verdana" w:hAnsi="Verdana" w:cs="Tahoma"/>
                <w:b/>
                <w:bCs/>
                <w:sz w:val="14"/>
                <w:szCs w:val="14"/>
                <w:lang w:val="sr-Cyrl-RS" w:eastAsia="sr-Latn-RS"/>
              </w:rPr>
              <w:t>Т.</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резервисања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861,400.00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72,000.00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1,046,600.00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20,000.00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2,000,000.00</w:t>
            </w:r>
          </w:p>
        </w:tc>
      </w:tr>
      <w:tr w:rsidR="004B5F72" w:rsidRPr="0019076B" w:rsidTr="00076662">
        <w:trPr>
          <w:trHeight w:val="170"/>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Cs/>
                <w:sz w:val="14"/>
                <w:szCs w:val="14"/>
                <w:lang w:val="sr-Latn-RS" w:eastAsia="sr-Latn-RS"/>
              </w:rPr>
            </w:pPr>
            <w:r w:rsidRPr="0019076B">
              <w:rPr>
                <w:rFonts w:ascii="Verdana" w:hAnsi="Verdana" w:cs="Tahoma"/>
                <w:bCs/>
                <w:sz w:val="14"/>
                <w:szCs w:val="14"/>
                <w:lang w:val="sr-Latn-RS" w:eastAsia="sr-Latn-RS"/>
              </w:rPr>
              <w:t>5350</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Cs/>
                <w:sz w:val="14"/>
                <w:szCs w:val="14"/>
                <w:lang w:val="sr-Cyrl-RS" w:eastAsia="sr-Latn-RS"/>
              </w:rPr>
            </w:pPr>
            <w:r w:rsidRPr="0019076B">
              <w:rPr>
                <w:rFonts w:ascii="Verdana" w:hAnsi="Verdana" w:cs="Tahoma"/>
                <w:bCs/>
                <w:sz w:val="14"/>
                <w:szCs w:val="14"/>
                <w:lang w:val="sr-Latn-RS" w:eastAsia="sr-Latn-RS"/>
              </w:rPr>
              <w:t>T</w:t>
            </w:r>
            <w:r w:rsidRPr="0019076B">
              <w:rPr>
                <w:rFonts w:ascii="Verdana" w:hAnsi="Verdana" w:cs="Tahoma"/>
                <w:bCs/>
                <w:sz w:val="14"/>
                <w:szCs w:val="14"/>
                <w:lang w:val="sr-Cyrl-RS" w:eastAsia="sr-Latn-RS"/>
              </w:rPr>
              <w:t>.</w:t>
            </w:r>
            <w:r w:rsidRPr="0019076B">
              <w:rPr>
                <w:rFonts w:ascii="Verdana" w:hAnsi="Verdana" w:cs="Tahoma"/>
                <w:bCs/>
                <w:sz w:val="14"/>
                <w:szCs w:val="14"/>
                <w:lang w:val="sr-Latn-RS" w:eastAsia="sr-Latn-RS"/>
              </w:rPr>
              <w:t xml:space="preserve"> </w:t>
            </w:r>
            <w:r w:rsidRPr="0019076B">
              <w:rPr>
                <w:rFonts w:ascii="Verdana" w:hAnsi="Verdana" w:cs="Tahoma"/>
                <w:bCs/>
                <w:sz w:val="14"/>
                <w:szCs w:val="14"/>
                <w:lang w:val="sr-Cyrl-RS" w:eastAsia="sr-Latn-RS"/>
              </w:rPr>
              <w:t>резерв.</w:t>
            </w:r>
            <w:r w:rsidRPr="0019076B">
              <w:rPr>
                <w:rFonts w:ascii="Verdana" w:hAnsi="Verdana" w:cs="Tahoma"/>
                <w:bCs/>
                <w:sz w:val="14"/>
                <w:szCs w:val="14"/>
                <w:lang w:val="sr-Latn-RS" w:eastAsia="sr-Latn-RS"/>
              </w:rPr>
              <w:t xml:space="preserve"> </w:t>
            </w:r>
            <w:r w:rsidRPr="0019076B">
              <w:rPr>
                <w:rFonts w:ascii="Verdana" w:hAnsi="Verdana" w:cs="Tahoma"/>
                <w:bCs/>
                <w:sz w:val="14"/>
                <w:szCs w:val="14"/>
                <w:lang w:val="sr-Cyrl-RS" w:eastAsia="sr-Latn-RS"/>
              </w:rPr>
              <w:t>за отпремнине</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861,400.00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72,000.00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1,046,600.00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20,000.00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2,000,000.00</w:t>
            </w:r>
          </w:p>
        </w:tc>
      </w:tr>
      <w:tr w:rsidR="004B5F72" w:rsidRPr="003D40A5"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540</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материјала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534,498.70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649,415.30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44,676.00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12,410.00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1,241,000.00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5402</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Утрошени материјал</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456,972.70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555,221.30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38,196.00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10,610.00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1,061,000.00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5404</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Latn-RS" w:eastAsia="sr-Latn-RS"/>
              </w:rPr>
            </w:pPr>
            <w:r w:rsidRPr="0019076B">
              <w:rPr>
                <w:rFonts w:ascii="Verdana" w:hAnsi="Verdana" w:cs="Tahoma"/>
                <w:sz w:val="14"/>
                <w:szCs w:val="14"/>
                <w:lang w:val="sr-Cyrl-RS" w:eastAsia="sr-Latn-RS"/>
              </w:rPr>
              <w:t>Утрошени остали материјал</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30,149.00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36,631.00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2,520.00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700.00</w:t>
            </w:r>
          </w:p>
        </w:tc>
        <w:tc>
          <w:tcPr>
            <w:tcW w:w="1414" w:type="dxa"/>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5405</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Резервни делови</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12,921.00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15,699.00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1,080.00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300.00</w:t>
            </w:r>
          </w:p>
        </w:tc>
        <w:tc>
          <w:tcPr>
            <w:tcW w:w="1414" w:type="dxa"/>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30,000.00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5406</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Ситан инвентар</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34,456.00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41,864.00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2,880.00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80,000.00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541</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горива и енергије</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148,591.50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180,538.50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12,420.00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3,450.00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345,000.00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5410</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Ел. енергија</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5411</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Грејање</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5412</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Гориво</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148,591.50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180,538.50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12,420.00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3,450.00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345,000.00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542</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 производних услуга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273,586,035.26</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9,179,623.94</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631,504.80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175,418.00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Tahoma" w:hAnsi="Tahoma" w:cs="Tahoma"/>
                <w:b/>
                <w:bCs/>
                <w:sz w:val="14"/>
                <w:szCs w:val="14"/>
              </w:rPr>
            </w:pPr>
            <w:r w:rsidRPr="004B5F72">
              <w:rPr>
                <w:rFonts w:ascii="Verdana" w:hAnsi="Verdana" w:cs="Tahoma"/>
                <w:b/>
                <w:bCs/>
                <w:sz w:val="14"/>
                <w:szCs w:val="14"/>
                <w:lang w:val="sr-Latn-RS" w:eastAsia="sr-Latn-RS"/>
              </w:rPr>
              <w:t>283,572,582.00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5421</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ПТТ услуге</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1,634,506.50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1,985,923.50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136,620.00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37,950.00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3,795,000.00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5422</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Услуге одржавања</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159,359.00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193,621.00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13,320.00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3,700.00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370,000.00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5423</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Закупнина</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5,506,413.36</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6,690,285.84</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460,252.80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127,848.00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12,784,800.00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5424</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Комуналне услуге</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r>
      <w:tr w:rsidR="004B5F72" w:rsidRPr="0019076B" w:rsidTr="00076662">
        <w:trPr>
          <w:trHeight w:val="170"/>
        </w:trPr>
        <w:tc>
          <w:tcPr>
            <w:tcW w:w="573" w:type="dxa"/>
            <w:shd w:val="clear" w:color="auto" w:fill="auto"/>
            <w:noWrap/>
            <w:vAlign w:val="center"/>
          </w:tcPr>
          <w:p w:rsidR="004B5F72" w:rsidRPr="0019076B" w:rsidRDefault="004B5F72" w:rsidP="00076662">
            <w:pPr>
              <w:suppressAutoHyphens w:val="0"/>
              <w:jc w:val="center"/>
              <w:rPr>
                <w:rFonts w:ascii="Verdana" w:hAnsi="Verdana" w:cs="Tahoma"/>
                <w:sz w:val="14"/>
                <w:szCs w:val="14"/>
                <w:lang w:val="sr-Latn-RS" w:eastAsia="sr-Latn-RS"/>
              </w:rPr>
            </w:pPr>
            <w:r>
              <w:rPr>
                <w:rFonts w:ascii="Verdana" w:hAnsi="Verdana" w:cs="Tahoma"/>
                <w:sz w:val="14"/>
                <w:szCs w:val="14"/>
                <w:lang w:val="sr-Latn-RS" w:eastAsia="sr-Latn-RS"/>
              </w:rPr>
              <w:t>5426</w:t>
            </w:r>
          </w:p>
        </w:tc>
        <w:tc>
          <w:tcPr>
            <w:tcW w:w="2546" w:type="dxa"/>
            <w:shd w:val="clear" w:color="auto" w:fill="auto"/>
            <w:noWrap/>
            <w:vAlign w:val="center"/>
          </w:tcPr>
          <w:p w:rsidR="004B5F72" w:rsidRPr="003D40A5" w:rsidRDefault="004B5F72" w:rsidP="00076662">
            <w:pPr>
              <w:suppressAutoHyphens w:val="0"/>
              <w:rPr>
                <w:rFonts w:ascii="Verdana" w:hAnsi="Verdana" w:cs="Tahoma"/>
                <w:sz w:val="14"/>
                <w:szCs w:val="14"/>
                <w:lang w:val="sr-Cyrl-RS" w:eastAsia="sr-Latn-RS"/>
              </w:rPr>
            </w:pPr>
            <w:r>
              <w:rPr>
                <w:rFonts w:ascii="Verdana" w:hAnsi="Verdana" w:cs="Tahoma"/>
                <w:sz w:val="14"/>
                <w:szCs w:val="14"/>
                <w:lang w:val="sr-Cyrl-RS" w:eastAsia="sr-Latn-RS"/>
              </w:rPr>
              <w:t>Трошкови провизије реос.</w:t>
            </w:r>
          </w:p>
        </w:tc>
        <w:tc>
          <w:tcPr>
            <w:tcW w:w="1646" w:type="dxa"/>
            <w:shd w:val="clear" w:color="auto" w:fill="auto"/>
            <w:noWrap/>
            <w:vAlign w:val="center"/>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266,030,782.00</w:t>
            </w:r>
          </w:p>
        </w:tc>
        <w:tc>
          <w:tcPr>
            <w:tcW w:w="1527" w:type="dxa"/>
            <w:shd w:val="clear" w:color="auto" w:fill="auto"/>
            <w:noWrap/>
            <w:vAlign w:val="center"/>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266,030,782.00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5429</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Остале произв. услуге</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254,974.40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309,793.60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21,312.00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5,920.00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592,000.00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543</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рекламе</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100,000.00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100,000.00</w:t>
            </w:r>
          </w:p>
        </w:tc>
      </w:tr>
      <w:tr w:rsidR="004B5F72" w:rsidRPr="00A56ED0"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544</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репрезентација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993,420.00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313,980.00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21,600.00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1,335,000.00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5440</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Угоститељске услуге</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615,000.00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615,000.00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5441</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Репрезентација</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lang w:val="sr-Cyrl-RS"/>
              </w:rPr>
              <w:t>36</w:t>
            </w:r>
            <w:r w:rsidRPr="004B5F72">
              <w:rPr>
                <w:rFonts w:ascii="Tahoma" w:hAnsi="Tahoma" w:cs="Tahoma"/>
                <w:sz w:val="14"/>
                <w:szCs w:val="14"/>
              </w:rPr>
              <w:t>8,420.00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313,980.00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21,600.00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6,000.00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720,000.00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545</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премије осигурања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486,691.00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591,329.00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40,680.00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11,300.00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bCs/>
                <w:sz w:val="14"/>
                <w:szCs w:val="14"/>
                <w:lang w:val="sr-Latn-RS" w:eastAsia="sr-Latn-RS"/>
              </w:rPr>
            </w:pPr>
            <w:r w:rsidRPr="004B5F72">
              <w:rPr>
                <w:rFonts w:ascii="Verdana" w:hAnsi="Verdana" w:cs="Tahoma"/>
                <w:b/>
                <w:bCs/>
                <w:sz w:val="14"/>
                <w:szCs w:val="14"/>
                <w:lang w:val="sr-Latn-RS" w:eastAsia="sr-Latn-RS"/>
              </w:rPr>
              <w:t>1,630,000.00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5450</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Осиг. имовине</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232,578.00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282,582.00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19,440.00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5,400.00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540,000.00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5451</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Осигу. радника</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254,113.00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808,747,00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21,240.00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5,900.00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1.090.000.00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546</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пореза и доприноса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5,205,850.00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5,205,850.00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5464</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Такса за фирму</w:t>
            </w:r>
          </w:p>
        </w:tc>
        <w:tc>
          <w:tcPr>
            <w:tcW w:w="1646"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620,850.00</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620,850.00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5465</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Остали порези</w:t>
            </w:r>
          </w:p>
        </w:tc>
        <w:tc>
          <w:tcPr>
            <w:tcW w:w="1646" w:type="dxa"/>
            <w:tcBorders>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tcBorders>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4,585,000.00</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4,585,000.00</w:t>
            </w:r>
          </w:p>
        </w:tc>
      </w:tr>
      <w:tr w:rsidR="004B5F72" w:rsidRPr="0019076B" w:rsidTr="00076662">
        <w:trPr>
          <w:trHeight w:val="170"/>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547</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Нак. за банк. услуге</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2,257,000.00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2,257,000.00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548</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непроизв. услуга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6,482,035.00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9,287,665.00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5,814,800.00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1,150,500.00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22,334,000.00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5481</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Адвокатске услуге</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1,412,000.00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5,273,000.00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6,685,000.00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5484</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Нак. НБС и ревизору</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5,383,750.00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6,541,250.00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450,000.00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125,000.00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12,500,000.00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5485</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Чишћење</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5486</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Стручно усавршавање</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430.000,00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456,000,00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10,800.00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899.800,00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5487</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Друге непроизв. услуге</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969,075.00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1,177,425.00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81,000.00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1,022,500.00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3,250,000.00</w:t>
            </w:r>
          </w:p>
        </w:tc>
      </w:tr>
      <w:tr w:rsidR="004B5F72" w:rsidRPr="002D19D4"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549</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Остали немат. т.</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646,050.00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1,339,550.00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54,000.00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15,000.00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2,054,600.00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5490</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Доприноси коморама</w:t>
            </w:r>
          </w:p>
        </w:tc>
        <w:tc>
          <w:tcPr>
            <w:tcW w:w="1646"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309,600.00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309,600.00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5491</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Други немат. т.</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465,156.00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565,164.00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38,880.00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10,800.00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1,080,000.00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5493</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Чланарина удружењима</w:t>
            </w:r>
          </w:p>
        </w:tc>
        <w:tc>
          <w:tcPr>
            <w:tcW w:w="1646" w:type="dxa"/>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245,000.00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245,000.00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5495</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Т. претплате на часописе</w:t>
            </w: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180,894.00</w:t>
            </w: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219,786.00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15,120.00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4,200.00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420,000.00</w:t>
            </w:r>
          </w:p>
        </w:tc>
      </w:tr>
      <w:tr w:rsidR="004B5F72" w:rsidRPr="0019076B" w:rsidTr="00076662">
        <w:trPr>
          <w:trHeight w:val="170"/>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550</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Т. зарада и накнада</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30,612,400,00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24.052.600.00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2,405.000.00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930,000.00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58.000,000.00</w:t>
            </w:r>
          </w:p>
        </w:tc>
      </w:tr>
      <w:tr w:rsidR="004B5F72" w:rsidRPr="0019076B" w:rsidTr="00076662">
        <w:trPr>
          <w:trHeight w:val="170"/>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551</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доприноса на зараде</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4,285,736.00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3.367.364.00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390,960.00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108,600.00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10,860,000.00</w:t>
            </w:r>
          </w:p>
        </w:tc>
      </w:tr>
      <w:tr w:rsidR="004B5F72" w:rsidRPr="0019076B" w:rsidTr="00076662">
        <w:trPr>
          <w:trHeight w:val="170"/>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552</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Latn-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нак.</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по</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уговору и делу</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b/>
                <w:sz w:val="14"/>
                <w:szCs w:val="14"/>
                <w:lang w:val="sr-Latn-RS" w:eastAsia="sr-Latn-RS"/>
              </w:rPr>
            </w:pP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2.532.000,00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3.568.000.00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6,100,000.00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556</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Latn-RS" w:eastAsia="sr-Latn-RS"/>
              </w:rPr>
              <w:t>T</w:t>
            </w:r>
            <w:r w:rsidRPr="0019076B">
              <w:rPr>
                <w:rFonts w:ascii="Verdana" w:hAnsi="Verdana" w:cs="Tahoma"/>
                <w:b/>
                <w:bCs/>
                <w:sz w:val="14"/>
                <w:szCs w:val="14"/>
                <w:lang w:val="sr-Cyrl-RS" w:eastAsia="sr-Latn-RS"/>
              </w:rPr>
              <w:t>.</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нак.</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члан.</w:t>
            </w:r>
            <w:r w:rsidRPr="0019076B">
              <w:rPr>
                <w:rFonts w:ascii="Verdana" w:hAnsi="Verdana" w:cs="Tahoma"/>
                <w:b/>
                <w:bCs/>
                <w:sz w:val="14"/>
                <w:szCs w:val="14"/>
                <w:lang w:val="sr-Latn-RS" w:eastAsia="sr-Latn-RS"/>
              </w:rPr>
              <w:t xml:space="preserve"> </w:t>
            </w:r>
            <w:r w:rsidRPr="0019076B">
              <w:rPr>
                <w:rFonts w:ascii="Verdana" w:hAnsi="Verdana" w:cs="Tahoma"/>
                <w:b/>
                <w:bCs/>
                <w:sz w:val="14"/>
                <w:szCs w:val="14"/>
                <w:lang w:val="sr-Cyrl-RS" w:eastAsia="sr-Latn-RS"/>
              </w:rPr>
              <w:t>НО</w:t>
            </w:r>
            <w:r w:rsidRPr="0019076B">
              <w:rPr>
                <w:rFonts w:ascii="Verdana" w:hAnsi="Verdana" w:cs="Tahoma"/>
                <w:b/>
                <w:bCs/>
                <w:sz w:val="14"/>
                <w:szCs w:val="14"/>
                <w:lang w:val="sr-Latn-RS" w:eastAsia="sr-Latn-RS"/>
              </w:rPr>
              <w:t xml:space="preserve"> i </w:t>
            </w:r>
            <w:r w:rsidRPr="0019076B">
              <w:rPr>
                <w:rFonts w:ascii="Verdana" w:hAnsi="Verdana" w:cs="Tahoma"/>
                <w:b/>
                <w:bCs/>
                <w:sz w:val="14"/>
                <w:szCs w:val="14"/>
                <w:lang w:val="sr-Cyrl-RS" w:eastAsia="sr-Latn-RS"/>
              </w:rPr>
              <w:t>КЗР</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5,376,000.00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5,376,000.00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5562</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Latn-RS" w:eastAsia="sr-Latn-RS"/>
              </w:rPr>
            </w:pPr>
            <w:r w:rsidRPr="0019076B">
              <w:rPr>
                <w:rFonts w:ascii="Verdana" w:hAnsi="Verdana" w:cs="Tahoma"/>
                <w:sz w:val="14"/>
                <w:szCs w:val="14"/>
                <w:lang w:val="sr-Cyrl-RS" w:eastAsia="sr-Latn-RS"/>
              </w:rPr>
              <w:t>Нак. члан. НО</w:t>
            </w:r>
          </w:p>
        </w:tc>
        <w:tc>
          <w:tcPr>
            <w:tcW w:w="1646" w:type="dxa"/>
            <w:tcBorders>
              <w:top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2,880,000.00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2,880,000.00</w:t>
            </w:r>
          </w:p>
        </w:tc>
      </w:tr>
      <w:tr w:rsidR="004B5F72" w:rsidRPr="0019076B" w:rsidTr="00076662">
        <w:trPr>
          <w:trHeight w:val="170"/>
        </w:trPr>
        <w:tc>
          <w:tcPr>
            <w:tcW w:w="573" w:type="dxa"/>
            <w:tcBorders>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5563</w:t>
            </w:r>
          </w:p>
        </w:tc>
        <w:tc>
          <w:tcPr>
            <w:tcW w:w="2546" w:type="dxa"/>
            <w:tcBorders>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Latn-RS" w:eastAsia="sr-Latn-RS"/>
              </w:rPr>
            </w:pPr>
            <w:r w:rsidRPr="0019076B">
              <w:rPr>
                <w:rFonts w:ascii="Verdana" w:hAnsi="Verdana" w:cs="Tahoma"/>
                <w:sz w:val="14"/>
                <w:szCs w:val="14"/>
                <w:lang w:val="sr-Cyrl-RS" w:eastAsia="sr-Latn-RS"/>
              </w:rPr>
              <w:t>Нак. члан. КЗР</w:t>
            </w:r>
          </w:p>
        </w:tc>
        <w:tc>
          <w:tcPr>
            <w:tcW w:w="1646" w:type="dxa"/>
            <w:tcBorders>
              <w:bottom w:val="single" w:sz="4" w:space="0" w:color="4F81BD"/>
            </w:tcBorders>
            <w:shd w:val="clear" w:color="auto" w:fill="auto"/>
            <w:noWrap/>
            <w:vAlign w:val="center"/>
            <w:hideMark/>
          </w:tcPr>
          <w:p w:rsidR="004B5F72" w:rsidRPr="004B5F72" w:rsidRDefault="004B5F72" w:rsidP="00076662">
            <w:pPr>
              <w:suppressAutoHyphens w:val="0"/>
              <w:jc w:val="right"/>
              <w:rPr>
                <w:rFonts w:ascii="Verdana" w:hAnsi="Verdana" w:cs="Tahoma"/>
                <w:sz w:val="14"/>
                <w:szCs w:val="14"/>
                <w:lang w:val="sr-Latn-RS" w:eastAsia="sr-Latn-RS"/>
              </w:rPr>
            </w:pPr>
          </w:p>
        </w:tc>
        <w:tc>
          <w:tcPr>
            <w:tcW w:w="1527"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2,496,000.00</w:t>
            </w: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414"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2,496,000.00</w:t>
            </w:r>
          </w:p>
        </w:tc>
      </w:tr>
      <w:tr w:rsidR="004B5F72" w:rsidRPr="0019076B" w:rsidTr="00076662">
        <w:trPr>
          <w:trHeight w:val="227"/>
        </w:trPr>
        <w:tc>
          <w:tcPr>
            <w:tcW w:w="573"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b/>
                <w:bCs/>
                <w:sz w:val="14"/>
                <w:szCs w:val="14"/>
                <w:lang w:val="sr-Latn-RS" w:eastAsia="sr-Latn-RS"/>
              </w:rPr>
            </w:pPr>
            <w:r w:rsidRPr="0019076B">
              <w:rPr>
                <w:rFonts w:ascii="Verdana" w:hAnsi="Verdana" w:cs="Tahoma"/>
                <w:b/>
                <w:bCs/>
                <w:sz w:val="14"/>
                <w:szCs w:val="14"/>
                <w:lang w:val="sr-Latn-RS" w:eastAsia="sr-Latn-RS"/>
              </w:rPr>
              <w:t>559</w:t>
            </w:r>
          </w:p>
        </w:tc>
        <w:tc>
          <w:tcPr>
            <w:tcW w:w="2546" w:type="dxa"/>
            <w:tcBorders>
              <w:top w:val="single" w:sz="4" w:space="0" w:color="4F81BD"/>
              <w:bottom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b/>
                <w:bCs/>
                <w:sz w:val="14"/>
                <w:szCs w:val="14"/>
                <w:lang w:val="sr-Cyrl-RS" w:eastAsia="sr-Latn-RS"/>
              </w:rPr>
            </w:pPr>
            <w:r w:rsidRPr="0019076B">
              <w:rPr>
                <w:rFonts w:ascii="Verdana" w:hAnsi="Verdana" w:cs="Tahoma"/>
                <w:b/>
                <w:bCs/>
                <w:sz w:val="14"/>
                <w:szCs w:val="14"/>
                <w:lang w:val="sr-Cyrl-RS" w:eastAsia="sr-Latn-RS"/>
              </w:rPr>
              <w:t>Остали лични расходи</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2,619,086.70</w:t>
            </w:r>
          </w:p>
        </w:tc>
        <w:tc>
          <w:tcPr>
            <w:tcW w:w="1527"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3,182,187.30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218,916.00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60,810.00</w:t>
            </w:r>
          </w:p>
        </w:tc>
        <w:tc>
          <w:tcPr>
            <w:tcW w:w="1414"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0.00</w:t>
            </w:r>
          </w:p>
        </w:tc>
        <w:tc>
          <w:tcPr>
            <w:tcW w:w="1646" w:type="dxa"/>
            <w:tcBorders>
              <w:top w:val="single" w:sz="4" w:space="0" w:color="4F81BD"/>
              <w:bottom w:val="single" w:sz="4" w:space="0" w:color="4F81BD"/>
            </w:tcBorders>
            <w:shd w:val="clear" w:color="auto" w:fill="auto"/>
            <w:noWrap/>
            <w:vAlign w:val="center"/>
            <w:hideMark/>
          </w:tcPr>
          <w:p w:rsidR="004B5F72" w:rsidRPr="004B5F72" w:rsidRDefault="004B5F72" w:rsidP="00076662">
            <w:pPr>
              <w:jc w:val="right"/>
              <w:rPr>
                <w:rFonts w:ascii="Tahoma" w:hAnsi="Tahoma" w:cs="Tahoma"/>
                <w:b/>
                <w:bCs/>
                <w:sz w:val="14"/>
                <w:szCs w:val="14"/>
              </w:rPr>
            </w:pPr>
            <w:r w:rsidRPr="004B5F72">
              <w:rPr>
                <w:rFonts w:ascii="Tahoma" w:hAnsi="Tahoma" w:cs="Tahoma"/>
                <w:b/>
                <w:bCs/>
                <w:sz w:val="14"/>
                <w:szCs w:val="14"/>
              </w:rPr>
              <w:t>6,081,000.00</w:t>
            </w:r>
          </w:p>
        </w:tc>
      </w:tr>
      <w:tr w:rsidR="004B5F72" w:rsidRPr="0019076B" w:rsidTr="00076662">
        <w:trPr>
          <w:trHeight w:val="170"/>
        </w:trPr>
        <w:tc>
          <w:tcPr>
            <w:tcW w:w="573" w:type="dxa"/>
            <w:tcBorders>
              <w:top w:val="sing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5590</w:t>
            </w:r>
          </w:p>
        </w:tc>
        <w:tc>
          <w:tcPr>
            <w:tcW w:w="2546" w:type="dxa"/>
            <w:tcBorders>
              <w:top w:val="sing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Latn-RS" w:eastAsia="sr-Latn-RS"/>
              </w:rPr>
            </w:pPr>
            <w:r w:rsidRPr="0019076B">
              <w:rPr>
                <w:rFonts w:ascii="Verdana" w:hAnsi="Verdana" w:cs="Tahoma"/>
                <w:sz w:val="14"/>
                <w:szCs w:val="14"/>
                <w:lang w:val="sr-Cyrl-RS" w:eastAsia="sr-Latn-RS"/>
              </w:rPr>
              <w:t>Нак. смеш. и искране на сл.п.</w:t>
            </w: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206,736.00</w:t>
            </w:r>
          </w:p>
        </w:tc>
        <w:tc>
          <w:tcPr>
            <w:tcW w:w="1527"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251,184.00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17,280.00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4,800.00</w:t>
            </w:r>
          </w:p>
        </w:tc>
        <w:tc>
          <w:tcPr>
            <w:tcW w:w="1414"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top w:val="sing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480,000.00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5591</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Нак. т. превоза на сл.п.</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4,307.00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5,233.00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360.00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5592</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Остала лична примања</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150,745.00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183,155.00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12,600.00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3,500.00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350,000.00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5594</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Дневнице сл.п.</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267,034.00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324,446.00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22,320.00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6,200.00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620,000.00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5595</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Latn-RS" w:eastAsia="sr-Latn-RS"/>
              </w:rPr>
            </w:pPr>
            <w:r w:rsidRPr="0019076B">
              <w:rPr>
                <w:rFonts w:ascii="Verdana" w:hAnsi="Verdana" w:cs="Tahoma"/>
                <w:sz w:val="14"/>
                <w:szCs w:val="14"/>
                <w:lang w:val="sr-Cyrl-RS" w:eastAsia="sr-Latn-RS"/>
              </w:rPr>
              <w:t>Нак. т. на сл.п.</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633,129.00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769,251.00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52,920.00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14,700.00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1,470,000.00</w:t>
            </w:r>
          </w:p>
        </w:tc>
      </w:tr>
      <w:tr w:rsidR="004B5F72" w:rsidRPr="0019076B" w:rsidTr="00076662">
        <w:trPr>
          <w:trHeight w:val="170"/>
        </w:trPr>
        <w:tc>
          <w:tcPr>
            <w:tcW w:w="573" w:type="dxa"/>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5596</w:t>
            </w:r>
          </w:p>
        </w:tc>
        <w:tc>
          <w:tcPr>
            <w:tcW w:w="2546" w:type="dxa"/>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Т. превоза на посао</w:t>
            </w: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447,497.30</w:t>
            </w:r>
          </w:p>
        </w:tc>
        <w:tc>
          <w:tcPr>
            <w:tcW w:w="1527"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543,708.70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37,404.00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10,390.00</w:t>
            </w:r>
          </w:p>
        </w:tc>
        <w:tc>
          <w:tcPr>
            <w:tcW w:w="1414" w:type="dxa"/>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1,039,000.00</w:t>
            </w:r>
          </w:p>
        </w:tc>
      </w:tr>
      <w:tr w:rsidR="004B5F72" w:rsidRPr="0019076B" w:rsidTr="00076662">
        <w:trPr>
          <w:trHeight w:val="170"/>
        </w:trPr>
        <w:tc>
          <w:tcPr>
            <w:tcW w:w="573" w:type="dxa"/>
            <w:tcBorders>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4"/>
                <w:szCs w:val="14"/>
                <w:lang w:val="sr-Latn-RS" w:eastAsia="sr-Latn-RS"/>
              </w:rPr>
            </w:pPr>
            <w:r w:rsidRPr="0019076B">
              <w:rPr>
                <w:rFonts w:ascii="Verdana" w:hAnsi="Verdana" w:cs="Tahoma"/>
                <w:sz w:val="14"/>
                <w:szCs w:val="14"/>
                <w:lang w:val="sr-Latn-RS" w:eastAsia="sr-Latn-RS"/>
              </w:rPr>
              <w:t>5599</w:t>
            </w:r>
          </w:p>
        </w:tc>
        <w:tc>
          <w:tcPr>
            <w:tcW w:w="2546" w:type="dxa"/>
            <w:tcBorders>
              <w:bottom w:val="double" w:sz="4" w:space="0" w:color="4F81BD"/>
            </w:tcBorders>
            <w:shd w:val="clear" w:color="auto" w:fill="auto"/>
            <w:noWrap/>
            <w:vAlign w:val="center"/>
            <w:hideMark/>
          </w:tcPr>
          <w:p w:rsidR="004B5F72" w:rsidRPr="0019076B" w:rsidRDefault="004B5F72" w:rsidP="00076662">
            <w:pPr>
              <w:suppressAutoHyphens w:val="0"/>
              <w:rPr>
                <w:rFonts w:ascii="Verdana" w:hAnsi="Verdana" w:cs="Tahoma"/>
                <w:sz w:val="14"/>
                <w:szCs w:val="14"/>
                <w:lang w:val="sr-Cyrl-RS" w:eastAsia="sr-Latn-RS"/>
              </w:rPr>
            </w:pPr>
            <w:r w:rsidRPr="0019076B">
              <w:rPr>
                <w:rFonts w:ascii="Verdana" w:hAnsi="Verdana" w:cs="Tahoma"/>
                <w:sz w:val="14"/>
                <w:szCs w:val="14"/>
                <w:lang w:val="sr-Cyrl-RS" w:eastAsia="sr-Latn-RS"/>
              </w:rPr>
              <w:t>Добров. пенз. осигурање</w:t>
            </w:r>
          </w:p>
        </w:tc>
        <w:tc>
          <w:tcPr>
            <w:tcW w:w="1646"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909,638.40</w:t>
            </w:r>
          </w:p>
        </w:tc>
        <w:tc>
          <w:tcPr>
            <w:tcW w:w="1527"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1,105,209.60</w:t>
            </w:r>
          </w:p>
        </w:tc>
        <w:tc>
          <w:tcPr>
            <w:tcW w:w="1414"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76,032.00</w:t>
            </w:r>
          </w:p>
        </w:tc>
        <w:tc>
          <w:tcPr>
            <w:tcW w:w="1414"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21,120.00</w:t>
            </w:r>
          </w:p>
        </w:tc>
        <w:tc>
          <w:tcPr>
            <w:tcW w:w="1414"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p>
        </w:tc>
        <w:tc>
          <w:tcPr>
            <w:tcW w:w="1646" w:type="dxa"/>
            <w:tcBorders>
              <w:bottom w:val="double" w:sz="4" w:space="0" w:color="4F81BD"/>
            </w:tcBorders>
            <w:shd w:val="clear" w:color="auto" w:fill="auto"/>
            <w:noWrap/>
            <w:vAlign w:val="center"/>
            <w:hideMark/>
          </w:tcPr>
          <w:p w:rsidR="004B5F72" w:rsidRPr="004B5F72" w:rsidRDefault="004B5F72" w:rsidP="00076662">
            <w:pPr>
              <w:jc w:val="right"/>
              <w:rPr>
                <w:rFonts w:ascii="Tahoma" w:hAnsi="Tahoma" w:cs="Tahoma"/>
                <w:sz w:val="14"/>
                <w:szCs w:val="14"/>
              </w:rPr>
            </w:pPr>
            <w:r w:rsidRPr="004B5F72">
              <w:rPr>
                <w:rFonts w:ascii="Tahoma" w:hAnsi="Tahoma" w:cs="Tahoma"/>
                <w:sz w:val="14"/>
                <w:szCs w:val="14"/>
              </w:rPr>
              <w:t>2,112,000.00</w:t>
            </w:r>
          </w:p>
        </w:tc>
      </w:tr>
      <w:tr w:rsidR="004B5F72" w:rsidRPr="0019076B" w:rsidTr="00076662">
        <w:trPr>
          <w:trHeight w:val="283"/>
        </w:trPr>
        <w:tc>
          <w:tcPr>
            <w:tcW w:w="573" w:type="dxa"/>
            <w:tcBorders>
              <w:top w:val="double" w:sz="4" w:space="0" w:color="4F81BD"/>
              <w:bottom w:val="double" w:sz="4" w:space="0" w:color="4F81BD"/>
            </w:tcBorders>
            <w:shd w:val="clear" w:color="auto" w:fill="auto"/>
            <w:noWrap/>
            <w:vAlign w:val="center"/>
            <w:hideMark/>
          </w:tcPr>
          <w:p w:rsidR="004B5F72" w:rsidRPr="0019076B" w:rsidRDefault="004B5F72" w:rsidP="00076662">
            <w:pPr>
              <w:suppressAutoHyphens w:val="0"/>
              <w:jc w:val="center"/>
              <w:rPr>
                <w:rFonts w:ascii="Verdana" w:hAnsi="Verdana" w:cs="Tahoma"/>
                <w:sz w:val="16"/>
                <w:szCs w:val="16"/>
                <w:lang w:val="sr-Latn-RS" w:eastAsia="sr-Latn-RS"/>
              </w:rPr>
            </w:pPr>
          </w:p>
        </w:tc>
        <w:tc>
          <w:tcPr>
            <w:tcW w:w="2546" w:type="dxa"/>
            <w:tcBorders>
              <w:top w:val="double" w:sz="4" w:space="0" w:color="4F81BD"/>
              <w:bottom w:val="double" w:sz="4" w:space="0" w:color="4F81BD"/>
            </w:tcBorders>
            <w:shd w:val="clear" w:color="auto" w:fill="auto"/>
            <w:noWrap/>
            <w:vAlign w:val="center"/>
            <w:hideMark/>
          </w:tcPr>
          <w:p w:rsidR="004B5F72" w:rsidRPr="004E27E0" w:rsidRDefault="004B5F72" w:rsidP="00076662">
            <w:pPr>
              <w:suppressAutoHyphens w:val="0"/>
              <w:rPr>
                <w:rFonts w:ascii="Verdana" w:hAnsi="Verdana" w:cs="Tahoma"/>
                <w:b/>
                <w:bCs/>
                <w:sz w:val="16"/>
                <w:szCs w:val="16"/>
                <w:lang w:val="sr-Cyrl-RS" w:eastAsia="sr-Latn-RS"/>
              </w:rPr>
            </w:pPr>
            <w:r>
              <w:rPr>
                <w:rFonts w:ascii="Verdana" w:hAnsi="Verdana" w:cs="Tahoma"/>
                <w:b/>
                <w:bCs/>
                <w:sz w:val="16"/>
                <w:szCs w:val="16"/>
                <w:lang w:val="sr-Cyrl-RS" w:eastAsia="sr-Latn-RS"/>
              </w:rPr>
              <w:t>УКУПНО</w:t>
            </w:r>
          </w:p>
        </w:tc>
        <w:tc>
          <w:tcPr>
            <w:tcW w:w="1646"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323,704,451,00</w:t>
            </w:r>
          </w:p>
        </w:tc>
        <w:tc>
          <w:tcPr>
            <w:tcW w:w="1527"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70.319.944,04</w:t>
            </w:r>
          </w:p>
        </w:tc>
        <w:tc>
          <w:tcPr>
            <w:tcW w:w="1414"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18.404.616,16</w:t>
            </w:r>
          </w:p>
        </w:tc>
        <w:tc>
          <w:tcPr>
            <w:tcW w:w="1414"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1.517.788,00</w:t>
            </w:r>
          </w:p>
        </w:tc>
        <w:tc>
          <w:tcPr>
            <w:tcW w:w="1414"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5,205,850.00</w:t>
            </w:r>
          </w:p>
        </w:tc>
        <w:tc>
          <w:tcPr>
            <w:tcW w:w="1646" w:type="dxa"/>
            <w:tcBorders>
              <w:top w:val="double" w:sz="4" w:space="0" w:color="4F81BD"/>
              <w:bottom w:val="double" w:sz="4" w:space="0" w:color="4F81BD"/>
            </w:tcBorders>
            <w:shd w:val="clear" w:color="auto" w:fill="auto"/>
            <w:noWrap/>
            <w:vAlign w:val="center"/>
            <w:hideMark/>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420.252.450.00</w:t>
            </w:r>
          </w:p>
        </w:tc>
      </w:tr>
      <w:tr w:rsidR="004B5F72" w:rsidRPr="0019076B" w:rsidTr="00076662">
        <w:trPr>
          <w:trHeight w:val="283"/>
        </w:trPr>
        <w:tc>
          <w:tcPr>
            <w:tcW w:w="573" w:type="dxa"/>
            <w:tcBorders>
              <w:top w:val="double" w:sz="4" w:space="0" w:color="4F81BD"/>
              <w:bottom w:val="double" w:sz="4" w:space="0" w:color="4F81BD"/>
            </w:tcBorders>
            <w:shd w:val="clear" w:color="auto" w:fill="auto"/>
            <w:noWrap/>
            <w:vAlign w:val="center"/>
          </w:tcPr>
          <w:p w:rsidR="004B5F72" w:rsidRPr="0019076B" w:rsidRDefault="004B5F72" w:rsidP="00076662">
            <w:pPr>
              <w:suppressAutoHyphens w:val="0"/>
              <w:jc w:val="center"/>
              <w:rPr>
                <w:rFonts w:ascii="Verdana" w:hAnsi="Verdana" w:cs="Tahoma"/>
                <w:sz w:val="16"/>
                <w:szCs w:val="16"/>
                <w:lang w:val="sr-Latn-RS" w:eastAsia="sr-Latn-RS"/>
              </w:rPr>
            </w:pPr>
          </w:p>
        </w:tc>
        <w:tc>
          <w:tcPr>
            <w:tcW w:w="2546" w:type="dxa"/>
            <w:tcBorders>
              <w:top w:val="double" w:sz="4" w:space="0" w:color="4F81BD"/>
              <w:bottom w:val="double" w:sz="4" w:space="0" w:color="4F81BD"/>
            </w:tcBorders>
            <w:shd w:val="clear" w:color="auto" w:fill="auto"/>
            <w:noWrap/>
            <w:vAlign w:val="center"/>
          </w:tcPr>
          <w:p w:rsidR="004B5F72" w:rsidRPr="004E27E0" w:rsidRDefault="004B5F72" w:rsidP="00076662">
            <w:pPr>
              <w:suppressAutoHyphens w:val="0"/>
              <w:rPr>
                <w:rFonts w:ascii="Verdana" w:hAnsi="Verdana" w:cs="Tahoma"/>
                <w:b/>
                <w:bCs/>
                <w:sz w:val="16"/>
                <w:szCs w:val="16"/>
                <w:lang w:val="sr-Cyrl-RS" w:eastAsia="sr-Latn-RS"/>
              </w:rPr>
            </w:pPr>
            <w:r>
              <w:rPr>
                <w:rFonts w:ascii="Verdana" w:hAnsi="Verdana" w:cs="Tahoma"/>
                <w:b/>
                <w:bCs/>
                <w:sz w:val="16"/>
                <w:szCs w:val="16"/>
                <w:lang w:val="sr-Cyrl-RS" w:eastAsia="sr-Latn-RS"/>
              </w:rPr>
              <w:t>Приходи од провизије</w:t>
            </w:r>
          </w:p>
        </w:tc>
        <w:tc>
          <w:tcPr>
            <w:tcW w:w="1646"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281.031.000,00</w:t>
            </w:r>
          </w:p>
        </w:tc>
        <w:tc>
          <w:tcPr>
            <w:tcW w:w="1527"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p>
        </w:tc>
        <w:tc>
          <w:tcPr>
            <w:tcW w:w="1646"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281.031.000,00</w:t>
            </w:r>
          </w:p>
        </w:tc>
      </w:tr>
      <w:tr w:rsidR="004B5F72" w:rsidRPr="0019076B" w:rsidTr="00076662">
        <w:trPr>
          <w:trHeight w:val="283"/>
        </w:trPr>
        <w:tc>
          <w:tcPr>
            <w:tcW w:w="573" w:type="dxa"/>
            <w:tcBorders>
              <w:top w:val="double" w:sz="4" w:space="0" w:color="4F81BD"/>
              <w:bottom w:val="double" w:sz="4" w:space="0" w:color="4F81BD"/>
            </w:tcBorders>
            <w:shd w:val="clear" w:color="auto" w:fill="auto"/>
            <w:noWrap/>
            <w:vAlign w:val="center"/>
          </w:tcPr>
          <w:p w:rsidR="004B5F72" w:rsidRPr="0019076B" w:rsidRDefault="004B5F72" w:rsidP="00076662">
            <w:pPr>
              <w:suppressAutoHyphens w:val="0"/>
              <w:jc w:val="center"/>
              <w:rPr>
                <w:rFonts w:ascii="Verdana" w:hAnsi="Verdana" w:cs="Tahoma"/>
                <w:sz w:val="16"/>
                <w:szCs w:val="16"/>
                <w:lang w:val="sr-Latn-RS" w:eastAsia="sr-Latn-RS"/>
              </w:rPr>
            </w:pPr>
          </w:p>
        </w:tc>
        <w:tc>
          <w:tcPr>
            <w:tcW w:w="2546" w:type="dxa"/>
            <w:tcBorders>
              <w:top w:val="double" w:sz="4" w:space="0" w:color="4F81BD"/>
              <w:bottom w:val="double" w:sz="4" w:space="0" w:color="4F81BD"/>
            </w:tcBorders>
            <w:shd w:val="clear" w:color="auto" w:fill="auto"/>
            <w:noWrap/>
            <w:vAlign w:val="center"/>
          </w:tcPr>
          <w:p w:rsidR="004B5F72" w:rsidRPr="004E27E0" w:rsidRDefault="004B5F72" w:rsidP="00076662">
            <w:pPr>
              <w:suppressAutoHyphens w:val="0"/>
              <w:rPr>
                <w:rFonts w:ascii="Verdana" w:hAnsi="Verdana" w:cs="Tahoma"/>
                <w:b/>
                <w:bCs/>
                <w:sz w:val="16"/>
                <w:szCs w:val="16"/>
                <w:lang w:val="sr-Cyrl-RS" w:eastAsia="sr-Latn-RS"/>
              </w:rPr>
            </w:pPr>
            <w:r>
              <w:rPr>
                <w:rFonts w:ascii="Verdana" w:hAnsi="Verdana" w:cs="Tahoma"/>
                <w:b/>
                <w:bCs/>
                <w:sz w:val="16"/>
                <w:szCs w:val="16"/>
                <w:lang w:val="sr-Cyrl-RS" w:eastAsia="sr-Latn-RS"/>
              </w:rPr>
              <w:t>УКУПНО</w:t>
            </w:r>
          </w:p>
        </w:tc>
        <w:tc>
          <w:tcPr>
            <w:tcW w:w="1646"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42.673.451,16</w:t>
            </w:r>
          </w:p>
        </w:tc>
        <w:tc>
          <w:tcPr>
            <w:tcW w:w="1527"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70.319.944,04</w:t>
            </w: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18.404.616,16</w:t>
            </w: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1.517.788,00</w:t>
            </w:r>
          </w:p>
        </w:tc>
        <w:tc>
          <w:tcPr>
            <w:tcW w:w="1414"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5,205,850.00</w:t>
            </w:r>
          </w:p>
        </w:tc>
        <w:tc>
          <w:tcPr>
            <w:tcW w:w="1646" w:type="dxa"/>
            <w:tcBorders>
              <w:top w:val="double" w:sz="4" w:space="0" w:color="4F81BD"/>
              <w:bottom w:val="double" w:sz="4" w:space="0" w:color="4F81BD"/>
            </w:tcBorders>
            <w:shd w:val="clear" w:color="auto" w:fill="auto"/>
            <w:noWrap/>
            <w:vAlign w:val="center"/>
          </w:tcPr>
          <w:p w:rsidR="004B5F72" w:rsidRPr="00076662" w:rsidRDefault="004B5F72" w:rsidP="00076662">
            <w:pPr>
              <w:jc w:val="right"/>
              <w:rPr>
                <w:rFonts w:ascii="Tahoma" w:hAnsi="Tahoma" w:cs="Tahoma"/>
                <w:b/>
                <w:bCs/>
                <w:sz w:val="16"/>
                <w:szCs w:val="14"/>
              </w:rPr>
            </w:pPr>
            <w:r w:rsidRPr="00076662">
              <w:rPr>
                <w:rFonts w:ascii="Tahoma" w:hAnsi="Tahoma" w:cs="Tahoma"/>
                <w:b/>
                <w:bCs/>
                <w:sz w:val="16"/>
                <w:szCs w:val="14"/>
              </w:rPr>
              <w:t>139.221.450,00</w:t>
            </w:r>
          </w:p>
        </w:tc>
      </w:tr>
    </w:tbl>
    <w:p w:rsidR="004B5F72" w:rsidRPr="000545BA" w:rsidRDefault="004B5F72" w:rsidP="00C14C24">
      <w:pPr>
        <w:rPr>
          <w:rFonts w:ascii="Verdana" w:hAnsi="Verdana"/>
          <w:noProof/>
          <w:color w:val="365F91"/>
          <w:highlight w:val="cyan"/>
          <w:lang w:val="sr-Cyrl-RS"/>
        </w:rPr>
        <w:sectPr w:rsidR="004B5F72" w:rsidRPr="000545BA" w:rsidSect="00A6242B">
          <w:footerReference w:type="default" r:id="rId25"/>
          <w:headerReference w:type="first" r:id="rId26"/>
          <w:footnotePr>
            <w:pos w:val="beneathText"/>
          </w:footnotePr>
          <w:pgSz w:w="12240" w:h="15840" w:code="1"/>
          <w:pgMar w:top="1417" w:right="1417" w:bottom="1417" w:left="1417" w:header="708" w:footer="709" w:gutter="0"/>
          <w:cols w:space="708"/>
          <w:titlePg/>
          <w:docGrid w:linePitch="360"/>
        </w:sectPr>
      </w:pPr>
    </w:p>
    <w:p w:rsidR="009A798D" w:rsidRDefault="009A798D" w:rsidP="009A798D">
      <w:pPr>
        <w:spacing w:after="60"/>
        <w:jc w:val="center"/>
        <w:rPr>
          <w:rFonts w:ascii="Verdana" w:hAnsi="Verdana"/>
          <w:b/>
          <w:i/>
          <w:noProof/>
          <w:color w:val="365F91"/>
          <w:sz w:val="20"/>
          <w:szCs w:val="20"/>
          <w:lang w:val="sr-Cyrl-RS"/>
        </w:rPr>
      </w:pPr>
      <w:r w:rsidRPr="000545BA">
        <w:rPr>
          <w:rFonts w:ascii="Verdana" w:hAnsi="Verdana"/>
          <w:b/>
          <w:i/>
          <w:noProof/>
          <w:color w:val="365F91"/>
          <w:sz w:val="20"/>
          <w:szCs w:val="20"/>
          <w:lang w:val="sr-Cyrl-RS"/>
        </w:rPr>
        <w:t xml:space="preserve">Спецификација планираних трошкова спровођења у односу на план и остварење претходне године </w:t>
      </w:r>
    </w:p>
    <w:p w:rsidR="00D175C6" w:rsidRPr="00D175C6" w:rsidRDefault="00D175C6" w:rsidP="009A798D">
      <w:pPr>
        <w:spacing w:after="60"/>
        <w:jc w:val="center"/>
        <w:rPr>
          <w:rFonts w:ascii="Verdana" w:hAnsi="Verdana"/>
          <w:b/>
          <w:i/>
          <w:noProof/>
          <w:color w:val="365F91"/>
          <w:sz w:val="6"/>
          <w:szCs w:val="6"/>
          <w:lang w:val="sr-Cyrl-RS"/>
        </w:rPr>
      </w:pPr>
    </w:p>
    <w:tbl>
      <w:tblPr>
        <w:tblW w:w="11918" w:type="dxa"/>
        <w:tblInd w:w="650" w:type="dxa"/>
        <w:tblLook w:val="04A0" w:firstRow="1" w:lastRow="0" w:firstColumn="1" w:lastColumn="0" w:noHBand="0" w:noVBand="1"/>
      </w:tblPr>
      <w:tblGrid>
        <w:gridCol w:w="896"/>
        <w:gridCol w:w="5508"/>
        <w:gridCol w:w="1997"/>
        <w:gridCol w:w="1997"/>
        <w:gridCol w:w="1520"/>
      </w:tblGrid>
      <w:tr w:rsidR="00D175C6" w:rsidRPr="00D175C6" w:rsidTr="00D175C6">
        <w:trPr>
          <w:trHeight w:val="397"/>
        </w:trPr>
        <w:tc>
          <w:tcPr>
            <w:tcW w:w="896"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b/>
                <w:sz w:val="20"/>
                <w:szCs w:val="20"/>
                <w:lang w:val="sr-Latn-RS"/>
              </w:rPr>
            </w:pPr>
            <w:r w:rsidRPr="00D175C6">
              <w:rPr>
                <w:rFonts w:ascii="Verdana" w:hAnsi="Verdana"/>
                <w:b/>
                <w:sz w:val="20"/>
                <w:szCs w:val="20"/>
                <w:lang w:val="sr-Latn-RS"/>
              </w:rPr>
              <w:t>Конто</w:t>
            </w:r>
          </w:p>
        </w:tc>
        <w:tc>
          <w:tcPr>
            <w:tcW w:w="5508"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b/>
                <w:sz w:val="20"/>
                <w:szCs w:val="20"/>
                <w:lang w:val="sr-Latn-RS"/>
              </w:rPr>
            </w:pPr>
            <w:r w:rsidRPr="00D175C6">
              <w:rPr>
                <w:rFonts w:ascii="Verdana" w:hAnsi="Verdana"/>
                <w:b/>
                <w:sz w:val="20"/>
                <w:szCs w:val="20"/>
                <w:lang w:val="sr-Latn-RS"/>
              </w:rPr>
              <w:t>Врста трошка</w:t>
            </w:r>
          </w:p>
        </w:tc>
        <w:tc>
          <w:tcPr>
            <w:tcW w:w="1997"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b/>
                <w:sz w:val="20"/>
                <w:szCs w:val="20"/>
                <w:lang w:val="sr-Cyrl-RS"/>
              </w:rPr>
            </w:pPr>
            <w:r w:rsidRPr="00D175C6">
              <w:rPr>
                <w:rFonts w:ascii="Verdana" w:hAnsi="Verdana"/>
                <w:b/>
                <w:sz w:val="20"/>
                <w:szCs w:val="20"/>
                <w:lang w:val="sr-Latn-RS"/>
              </w:rPr>
              <w:t>ИЗВРШЕЊЕ 201</w:t>
            </w:r>
            <w:r w:rsidRPr="00D175C6">
              <w:rPr>
                <w:rFonts w:ascii="Verdana" w:hAnsi="Verdana"/>
                <w:b/>
                <w:sz w:val="20"/>
                <w:szCs w:val="20"/>
                <w:lang w:val="sr-Cyrl-RS"/>
              </w:rPr>
              <w:t>4</w:t>
            </w:r>
          </w:p>
        </w:tc>
        <w:tc>
          <w:tcPr>
            <w:tcW w:w="1997"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b/>
                <w:sz w:val="20"/>
                <w:szCs w:val="20"/>
                <w:lang w:val="sr-Cyrl-RS"/>
              </w:rPr>
            </w:pPr>
            <w:r w:rsidRPr="00D175C6">
              <w:rPr>
                <w:rFonts w:ascii="Verdana" w:hAnsi="Verdana"/>
                <w:b/>
                <w:sz w:val="20"/>
                <w:szCs w:val="20"/>
                <w:lang w:val="sr-Latn-RS"/>
              </w:rPr>
              <w:t>ПЛАН 201</w:t>
            </w:r>
            <w:r w:rsidRPr="00D175C6">
              <w:rPr>
                <w:rFonts w:ascii="Verdana" w:hAnsi="Verdana"/>
                <w:b/>
                <w:sz w:val="20"/>
                <w:szCs w:val="20"/>
                <w:lang w:val="sr-Cyrl-RS"/>
              </w:rPr>
              <w:t>5</w:t>
            </w:r>
          </w:p>
        </w:tc>
        <w:tc>
          <w:tcPr>
            <w:tcW w:w="1520"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b/>
                <w:sz w:val="20"/>
                <w:szCs w:val="20"/>
                <w:lang w:val="sr-Latn-RS"/>
              </w:rPr>
            </w:pPr>
            <w:r w:rsidRPr="00D175C6">
              <w:rPr>
                <w:rFonts w:ascii="Verdana" w:hAnsi="Verdana"/>
                <w:b/>
                <w:sz w:val="20"/>
                <w:szCs w:val="20"/>
                <w:lang w:val="sr-Latn-RS"/>
              </w:rPr>
              <w:t>ИНДЕКС (4:3)</w:t>
            </w:r>
          </w:p>
        </w:tc>
      </w:tr>
      <w:tr w:rsidR="00D175C6" w:rsidRPr="00D175C6" w:rsidTr="00D175C6">
        <w:trPr>
          <w:trHeight w:val="113"/>
        </w:trPr>
        <w:tc>
          <w:tcPr>
            <w:tcW w:w="896" w:type="dxa"/>
            <w:tcBorders>
              <w:top w:val="nil"/>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16"/>
                <w:szCs w:val="16"/>
                <w:lang w:val="sr-Latn-RS"/>
              </w:rPr>
            </w:pPr>
            <w:r w:rsidRPr="00D175C6">
              <w:rPr>
                <w:rFonts w:ascii="Verdana" w:hAnsi="Verdana"/>
                <w:sz w:val="16"/>
                <w:szCs w:val="16"/>
                <w:lang w:val="sr-Latn-RS"/>
              </w:rPr>
              <w:t>1</w:t>
            </w:r>
          </w:p>
        </w:tc>
        <w:tc>
          <w:tcPr>
            <w:tcW w:w="5508" w:type="dxa"/>
            <w:tcBorders>
              <w:top w:val="nil"/>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16"/>
                <w:szCs w:val="16"/>
                <w:lang w:val="sr-Latn-RS"/>
              </w:rPr>
            </w:pPr>
            <w:r w:rsidRPr="00D175C6">
              <w:rPr>
                <w:rFonts w:ascii="Verdana" w:hAnsi="Verdana"/>
                <w:sz w:val="16"/>
                <w:szCs w:val="16"/>
                <w:lang w:val="sr-Latn-RS"/>
              </w:rPr>
              <w:t>2</w:t>
            </w:r>
          </w:p>
        </w:tc>
        <w:tc>
          <w:tcPr>
            <w:tcW w:w="1997" w:type="dxa"/>
            <w:tcBorders>
              <w:top w:val="nil"/>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16"/>
                <w:szCs w:val="16"/>
                <w:lang w:val="sr-Cyrl-RS"/>
              </w:rPr>
            </w:pPr>
            <w:r w:rsidRPr="00D175C6">
              <w:rPr>
                <w:rFonts w:ascii="Verdana" w:hAnsi="Verdana"/>
                <w:sz w:val="16"/>
                <w:szCs w:val="16"/>
                <w:lang w:val="sr-Cyrl-RS"/>
              </w:rPr>
              <w:t>3</w:t>
            </w:r>
          </w:p>
        </w:tc>
        <w:tc>
          <w:tcPr>
            <w:tcW w:w="1997" w:type="dxa"/>
            <w:tcBorders>
              <w:top w:val="nil"/>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16"/>
                <w:szCs w:val="16"/>
                <w:lang w:val="sr-Cyrl-RS"/>
              </w:rPr>
            </w:pPr>
            <w:r w:rsidRPr="00D175C6">
              <w:rPr>
                <w:rFonts w:ascii="Verdana" w:hAnsi="Verdana"/>
                <w:sz w:val="16"/>
                <w:szCs w:val="16"/>
                <w:lang w:val="sr-Cyrl-RS"/>
              </w:rPr>
              <w:t>4</w:t>
            </w:r>
          </w:p>
        </w:tc>
        <w:tc>
          <w:tcPr>
            <w:tcW w:w="1520" w:type="dxa"/>
            <w:tcBorders>
              <w:top w:val="nil"/>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16"/>
                <w:szCs w:val="16"/>
                <w:lang w:val="sr-Cyrl-RS"/>
              </w:rPr>
            </w:pPr>
            <w:r w:rsidRPr="00D175C6">
              <w:rPr>
                <w:rFonts w:ascii="Verdana" w:hAnsi="Verdana"/>
                <w:sz w:val="16"/>
                <w:szCs w:val="16"/>
                <w:lang w:val="sr-Cyrl-RS"/>
              </w:rPr>
              <w:t>5</w:t>
            </w:r>
          </w:p>
        </w:tc>
      </w:tr>
      <w:tr w:rsidR="00D175C6" w:rsidRPr="00D175C6" w:rsidTr="00D175C6">
        <w:trPr>
          <w:trHeight w:val="283"/>
        </w:trPr>
        <w:tc>
          <w:tcPr>
            <w:tcW w:w="896" w:type="dxa"/>
            <w:tcBorders>
              <w:top w:val="single" w:sz="12" w:space="0" w:color="365F91"/>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530</w:t>
            </w:r>
          </w:p>
        </w:tc>
        <w:tc>
          <w:tcPr>
            <w:tcW w:w="5508" w:type="dxa"/>
            <w:tcBorders>
              <w:top w:val="single" w:sz="12" w:space="0" w:color="365F91"/>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Амортизација</w:t>
            </w:r>
          </w:p>
        </w:tc>
        <w:tc>
          <w:tcPr>
            <w:tcW w:w="1997" w:type="dxa"/>
            <w:tcBorders>
              <w:top w:val="single" w:sz="12" w:space="0" w:color="365F91"/>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10,625,221.06</w:t>
            </w:r>
          </w:p>
        </w:tc>
        <w:tc>
          <w:tcPr>
            <w:tcW w:w="1997" w:type="dxa"/>
            <w:tcBorders>
              <w:top w:val="single" w:sz="12" w:space="0" w:color="365F91"/>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10,540,000.00</w:t>
            </w:r>
          </w:p>
        </w:tc>
        <w:tc>
          <w:tcPr>
            <w:tcW w:w="1520" w:type="dxa"/>
            <w:tcBorders>
              <w:top w:val="single" w:sz="12" w:space="0" w:color="365F91"/>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99.20</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535</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Резервисања МРС 19</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sz w:val="20"/>
                <w:szCs w:val="20"/>
              </w:rPr>
            </w:pPr>
            <w:r w:rsidRPr="00D175C6">
              <w:rPr>
                <w:rFonts w:ascii="Verdana" w:hAnsi="Verdana" w:cs="Tahoma"/>
                <w:bCs/>
                <w:sz w:val="20"/>
                <w:szCs w:val="20"/>
              </w:rPr>
              <w:t>2,370,560.99</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sz w:val="20"/>
                <w:szCs w:val="20"/>
              </w:rPr>
            </w:pPr>
            <w:r w:rsidRPr="00D175C6">
              <w:rPr>
                <w:rFonts w:ascii="Verdana" w:hAnsi="Verdana" w:cs="Tahoma"/>
                <w:bCs/>
                <w:sz w:val="20"/>
                <w:szCs w:val="20"/>
              </w:rPr>
              <w:t>2,000,000.00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84.37</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540</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Трошкови материјала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890,875.95</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1,241,000.00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139.30</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541</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Гориво и енергија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776,834.34</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345,000.00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44.41</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542</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Производне услуге</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278,279,283.61</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283.571.800.00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101.90</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543</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Трошкови рекламе</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0.00</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100,000.00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0.00</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544</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Репрезентација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854,307.81</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1.605.000.00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187.87</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545</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Премија осигурања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869,789.93</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1,630,000.00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129.92</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546</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Порези и доприноси</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5,236,362.72</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5,205,850.00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99.42</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547</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Банкарске услуге</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1,406,402.90</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2,257,000.00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160.48</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548</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Непроизводне услуге</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19,129,790.24</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22.334.800.00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113.62</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549</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Cyrl-RS"/>
              </w:rPr>
            </w:pPr>
            <w:r w:rsidRPr="00D175C6">
              <w:rPr>
                <w:rFonts w:ascii="Verdana" w:hAnsi="Verdana"/>
                <w:sz w:val="20"/>
                <w:szCs w:val="20"/>
                <w:lang w:val="sr-Latn-RS"/>
              </w:rPr>
              <w:t>Остали не</w:t>
            </w:r>
            <w:r w:rsidRPr="00D175C6">
              <w:rPr>
                <w:rFonts w:ascii="Verdana" w:hAnsi="Verdana"/>
                <w:sz w:val="20"/>
                <w:szCs w:val="20"/>
                <w:lang w:val="sr-Cyrl-RS"/>
              </w:rPr>
              <w:t>м</w:t>
            </w:r>
            <w:r w:rsidRPr="00D175C6">
              <w:rPr>
                <w:rFonts w:ascii="Verdana" w:hAnsi="Verdana"/>
                <w:sz w:val="20"/>
                <w:szCs w:val="20"/>
                <w:lang w:val="sr-Latn-RS"/>
              </w:rPr>
              <w:t>атеријални тр</w:t>
            </w:r>
            <w:r w:rsidRPr="00D175C6">
              <w:rPr>
                <w:rFonts w:ascii="Verdana" w:hAnsi="Verdana"/>
                <w:sz w:val="20"/>
                <w:szCs w:val="20"/>
                <w:lang w:val="sr-Cyrl-RS"/>
              </w:rPr>
              <w:t>ошкови</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2,974,778.38</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2,045,600.00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68.74</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550</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Зараде и накнаде зарада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71,793,916.63</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58,000,000.00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color w:val="000000"/>
                <w:sz w:val="20"/>
                <w:szCs w:val="20"/>
              </w:rPr>
            </w:pPr>
            <w:r w:rsidRPr="00D175C6">
              <w:rPr>
                <w:rFonts w:ascii="Verdana" w:hAnsi="Verdana" w:cs="Tahoma"/>
                <w:bCs/>
                <w:color w:val="000000"/>
                <w:sz w:val="20"/>
                <w:szCs w:val="20"/>
              </w:rPr>
              <w:t>80.79</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551</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Доприноси на зараде</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12,255,006.71</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8.120,000.00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66,26</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552</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Накнаде по уговору о делу</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4,617,157.72</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6,100,000.00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132.12</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center"/>
              <w:rPr>
                <w:rFonts w:ascii="Verdana" w:hAnsi="Verdana"/>
                <w:sz w:val="20"/>
                <w:szCs w:val="20"/>
                <w:lang w:val="sr-Cyrl-RS"/>
              </w:rPr>
            </w:pPr>
            <w:r w:rsidRPr="00D175C6">
              <w:rPr>
                <w:rFonts w:ascii="Verdana" w:hAnsi="Verdana"/>
                <w:sz w:val="20"/>
                <w:szCs w:val="20"/>
                <w:lang w:val="sr-Cyrl-RS"/>
              </w:rPr>
              <w:t>554</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rPr>
                <w:rFonts w:ascii="Verdana" w:hAnsi="Verdana"/>
                <w:sz w:val="20"/>
                <w:szCs w:val="20"/>
                <w:lang w:val="sr-Cyrl-RS"/>
              </w:rPr>
            </w:pPr>
            <w:r w:rsidRPr="00D175C6">
              <w:rPr>
                <w:rFonts w:ascii="Verdana" w:hAnsi="Verdana"/>
                <w:sz w:val="20"/>
                <w:szCs w:val="20"/>
                <w:lang w:val="sr-Cyrl-RS"/>
              </w:rPr>
              <w:t>Привремени и повремени послови</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183,880.58</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180.000,00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99,84</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center"/>
              <w:rPr>
                <w:rFonts w:ascii="Verdana" w:hAnsi="Verdana"/>
                <w:sz w:val="20"/>
                <w:szCs w:val="20"/>
                <w:lang w:val="sr-Cyrl-RS"/>
              </w:rPr>
            </w:pPr>
            <w:r w:rsidRPr="00D175C6">
              <w:rPr>
                <w:rFonts w:ascii="Verdana" w:hAnsi="Verdana"/>
                <w:sz w:val="20"/>
                <w:szCs w:val="20"/>
                <w:lang w:val="sr-Cyrl-RS"/>
              </w:rPr>
              <w:t>555</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rPr>
                <w:rFonts w:ascii="Verdana" w:hAnsi="Verdana"/>
                <w:sz w:val="20"/>
                <w:szCs w:val="20"/>
                <w:lang w:val="sr-Cyrl-RS"/>
              </w:rPr>
            </w:pPr>
            <w:r w:rsidRPr="00D175C6">
              <w:rPr>
                <w:rFonts w:ascii="Verdana" w:hAnsi="Verdana"/>
                <w:sz w:val="20"/>
                <w:szCs w:val="20"/>
                <w:lang w:val="sr-Cyrl-RS"/>
              </w:rPr>
              <w:t>Накнаде по осталим уговорима</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3,305,598.78</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3,700,000.00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11,93</w:t>
            </w:r>
          </w:p>
        </w:tc>
      </w:tr>
      <w:tr w:rsidR="00D175C6" w:rsidRPr="00D175C6" w:rsidTr="00D175C6">
        <w:trPr>
          <w:trHeight w:val="283"/>
        </w:trPr>
        <w:tc>
          <w:tcPr>
            <w:tcW w:w="896"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556</w:t>
            </w:r>
          </w:p>
        </w:tc>
        <w:tc>
          <w:tcPr>
            <w:tcW w:w="5508"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Cyrl-RS"/>
              </w:rPr>
            </w:pPr>
            <w:r w:rsidRPr="00D175C6">
              <w:rPr>
                <w:rFonts w:ascii="Verdana" w:hAnsi="Verdana"/>
                <w:sz w:val="20"/>
                <w:szCs w:val="20"/>
                <w:lang w:val="sr-Latn-RS"/>
              </w:rPr>
              <w:t>Накнаде члановима</w:t>
            </w:r>
            <w:r w:rsidRPr="00D175C6">
              <w:rPr>
                <w:rFonts w:ascii="Verdana" w:hAnsi="Verdana"/>
                <w:sz w:val="20"/>
                <w:szCs w:val="20"/>
                <w:lang w:val="sr-Cyrl-RS"/>
              </w:rPr>
              <w:t xml:space="preserve"> </w:t>
            </w:r>
            <w:r w:rsidRPr="00D175C6">
              <w:rPr>
                <w:rFonts w:ascii="Verdana" w:hAnsi="Verdana"/>
                <w:sz w:val="20"/>
                <w:szCs w:val="20"/>
                <w:lang w:val="sr-Latn-RS"/>
              </w:rPr>
              <w:t>НО</w:t>
            </w:r>
            <w:r w:rsidRPr="00D175C6">
              <w:rPr>
                <w:rFonts w:ascii="Verdana" w:hAnsi="Verdana"/>
                <w:sz w:val="20"/>
                <w:szCs w:val="20"/>
                <w:lang w:val="sr-Cyrl-RS"/>
              </w:rPr>
              <w:t xml:space="preserve"> и Комисије за ревизију</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6,344,533.13</w:t>
            </w:r>
          </w:p>
        </w:tc>
        <w:tc>
          <w:tcPr>
            <w:tcW w:w="1997"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5,376,000.00</w:t>
            </w:r>
          </w:p>
        </w:tc>
        <w:tc>
          <w:tcPr>
            <w:tcW w:w="1520" w:type="dxa"/>
            <w:tcBorders>
              <w:top w:val="single" w:sz="12" w:space="0" w:color="D9D9D9" w:themeColor="background1" w:themeShade="D9"/>
              <w:left w:val="nil"/>
              <w:bottom w:val="single" w:sz="12" w:space="0" w:color="D9D9D9" w:themeColor="background1" w:themeShade="D9"/>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84.73</w:t>
            </w:r>
          </w:p>
        </w:tc>
      </w:tr>
      <w:tr w:rsidR="00D175C6" w:rsidRPr="00D175C6" w:rsidTr="00D175C6">
        <w:trPr>
          <w:trHeight w:val="283"/>
        </w:trPr>
        <w:tc>
          <w:tcPr>
            <w:tcW w:w="896" w:type="dxa"/>
            <w:tcBorders>
              <w:top w:val="single" w:sz="12" w:space="0" w:color="D9D9D9" w:themeColor="background1" w:themeShade="D9"/>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r w:rsidRPr="00D175C6">
              <w:rPr>
                <w:rFonts w:ascii="Verdana" w:hAnsi="Verdana"/>
                <w:sz w:val="20"/>
                <w:szCs w:val="20"/>
                <w:lang w:val="sr-Latn-RS"/>
              </w:rPr>
              <w:t>559</w:t>
            </w:r>
          </w:p>
        </w:tc>
        <w:tc>
          <w:tcPr>
            <w:tcW w:w="5508" w:type="dxa"/>
            <w:tcBorders>
              <w:top w:val="single" w:sz="12" w:space="0" w:color="D9D9D9" w:themeColor="background1" w:themeShade="D9"/>
              <w:left w:val="nil"/>
              <w:bottom w:val="single" w:sz="12" w:space="0" w:color="365F91"/>
              <w:right w:val="nil"/>
            </w:tcBorders>
            <w:shd w:val="clear" w:color="auto" w:fill="auto"/>
            <w:noWrap/>
            <w:vAlign w:val="center"/>
            <w:hideMark/>
          </w:tcPr>
          <w:p w:rsidR="00D175C6" w:rsidRPr="00D175C6" w:rsidRDefault="00D175C6" w:rsidP="00D175C6">
            <w:pPr>
              <w:pStyle w:val="NoSpacing"/>
              <w:rPr>
                <w:rFonts w:ascii="Verdana" w:hAnsi="Verdana"/>
                <w:sz w:val="20"/>
                <w:szCs w:val="20"/>
                <w:lang w:val="sr-Latn-RS"/>
              </w:rPr>
            </w:pPr>
            <w:r w:rsidRPr="00D175C6">
              <w:rPr>
                <w:rFonts w:ascii="Verdana" w:hAnsi="Verdana"/>
                <w:sz w:val="20"/>
                <w:szCs w:val="20"/>
                <w:lang w:val="sr-Latn-RS"/>
              </w:rPr>
              <w:t>Остали лични расходи</w:t>
            </w:r>
          </w:p>
        </w:tc>
        <w:tc>
          <w:tcPr>
            <w:tcW w:w="1997" w:type="dxa"/>
            <w:tcBorders>
              <w:top w:val="single" w:sz="12" w:space="0" w:color="D9D9D9" w:themeColor="background1" w:themeShade="D9"/>
              <w:left w:val="nil"/>
              <w:bottom w:val="single" w:sz="12" w:space="0" w:color="365F91"/>
              <w:right w:val="nil"/>
            </w:tcBorders>
            <w:shd w:val="clear" w:color="auto" w:fill="auto"/>
            <w:noWrap/>
            <w:vAlign w:val="center"/>
            <w:hideMark/>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4,921,067.06</w:t>
            </w:r>
          </w:p>
        </w:tc>
        <w:tc>
          <w:tcPr>
            <w:tcW w:w="1997" w:type="dxa"/>
            <w:tcBorders>
              <w:top w:val="single" w:sz="12" w:space="0" w:color="D9D9D9" w:themeColor="background1" w:themeShade="D9"/>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Cs/>
                <w:color w:val="000000"/>
                <w:sz w:val="20"/>
                <w:szCs w:val="20"/>
              </w:rPr>
            </w:pPr>
            <w:r w:rsidRPr="00D175C6">
              <w:rPr>
                <w:rFonts w:ascii="Verdana" w:hAnsi="Verdana" w:cs="Tahoma"/>
                <w:bCs/>
                <w:color w:val="000000"/>
                <w:sz w:val="20"/>
                <w:szCs w:val="20"/>
              </w:rPr>
              <w:t>6,081,000.00</w:t>
            </w:r>
          </w:p>
        </w:tc>
        <w:tc>
          <w:tcPr>
            <w:tcW w:w="1520" w:type="dxa"/>
            <w:tcBorders>
              <w:top w:val="single" w:sz="12" w:space="0" w:color="D9D9D9" w:themeColor="background1" w:themeShade="D9"/>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cs="Tahoma"/>
                <w:bCs/>
                <w:sz w:val="20"/>
                <w:szCs w:val="20"/>
              </w:rPr>
            </w:pPr>
            <w:r w:rsidRPr="00D175C6">
              <w:rPr>
                <w:rFonts w:ascii="Verdana" w:hAnsi="Verdana" w:cs="Tahoma"/>
                <w:bCs/>
                <w:sz w:val="20"/>
                <w:szCs w:val="20"/>
              </w:rPr>
              <w:t>123.57</w:t>
            </w:r>
          </w:p>
        </w:tc>
      </w:tr>
      <w:tr w:rsidR="00D175C6" w:rsidRPr="00D175C6" w:rsidTr="00D175C6">
        <w:trPr>
          <w:trHeight w:val="397"/>
        </w:trPr>
        <w:tc>
          <w:tcPr>
            <w:tcW w:w="896"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sz w:val="20"/>
                <w:szCs w:val="20"/>
                <w:lang w:val="sr-Latn-RS"/>
              </w:rPr>
            </w:pPr>
          </w:p>
        </w:tc>
        <w:tc>
          <w:tcPr>
            <w:tcW w:w="5508"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rPr>
                <w:rFonts w:ascii="Verdana" w:hAnsi="Verdana"/>
                <w:b/>
                <w:sz w:val="20"/>
                <w:szCs w:val="20"/>
                <w:lang w:val="sr-Latn-RS"/>
              </w:rPr>
            </w:pPr>
            <w:r w:rsidRPr="00D175C6">
              <w:rPr>
                <w:rFonts w:ascii="Verdana" w:hAnsi="Verdana"/>
                <w:b/>
                <w:sz w:val="20"/>
                <w:szCs w:val="20"/>
                <w:lang w:val="sr-Latn-RS"/>
              </w:rPr>
              <w:t>УКУПНО</w:t>
            </w:r>
          </w:p>
        </w:tc>
        <w:tc>
          <w:tcPr>
            <w:tcW w:w="1997"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426,835,368.54</w:t>
            </w:r>
          </w:p>
        </w:tc>
        <w:tc>
          <w:tcPr>
            <w:tcW w:w="1997"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420,252,450.00</w:t>
            </w:r>
          </w:p>
        </w:tc>
        <w:tc>
          <w:tcPr>
            <w:tcW w:w="1520" w:type="dxa"/>
            <w:tcBorders>
              <w:top w:val="single" w:sz="12" w:space="0" w:color="365F91"/>
              <w:left w:val="nil"/>
              <w:bottom w:val="single" w:sz="12" w:space="0" w:color="365F91"/>
              <w:right w:val="nil"/>
            </w:tcBorders>
            <w:shd w:val="clear" w:color="auto" w:fill="auto"/>
            <w:noWrap/>
            <w:vAlign w:val="center"/>
            <w:hideMark/>
          </w:tcPr>
          <w:p w:rsidR="00D175C6" w:rsidRPr="00D175C6" w:rsidRDefault="00D175C6" w:rsidP="00D175C6">
            <w:pPr>
              <w:pStyle w:val="NoSpacing"/>
              <w:jc w:val="center"/>
              <w:rPr>
                <w:rFonts w:ascii="Verdana" w:hAnsi="Verdana" w:cs="Tahoma"/>
                <w:b/>
                <w:bCs/>
                <w:sz w:val="20"/>
                <w:szCs w:val="20"/>
              </w:rPr>
            </w:pPr>
            <w:r w:rsidRPr="00D175C6">
              <w:rPr>
                <w:rFonts w:ascii="Verdana" w:hAnsi="Verdana" w:cs="Tahoma"/>
                <w:b/>
                <w:bCs/>
                <w:sz w:val="20"/>
                <w:szCs w:val="20"/>
              </w:rPr>
              <w:t>98,20</w:t>
            </w:r>
          </w:p>
        </w:tc>
      </w:tr>
      <w:tr w:rsidR="00D175C6" w:rsidRPr="00D175C6" w:rsidTr="00D175C6">
        <w:trPr>
          <w:trHeight w:val="397"/>
        </w:trPr>
        <w:tc>
          <w:tcPr>
            <w:tcW w:w="896"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center"/>
              <w:rPr>
                <w:rFonts w:ascii="Verdana" w:hAnsi="Verdana"/>
                <w:sz w:val="20"/>
                <w:szCs w:val="20"/>
                <w:lang w:val="sr-Latn-RS"/>
              </w:rPr>
            </w:pPr>
          </w:p>
        </w:tc>
        <w:tc>
          <w:tcPr>
            <w:tcW w:w="5508"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rPr>
                <w:rFonts w:ascii="Verdana" w:hAnsi="Verdana"/>
                <w:b/>
                <w:sz w:val="20"/>
                <w:szCs w:val="20"/>
                <w:lang w:val="sr-Cyrl-RS"/>
              </w:rPr>
            </w:pPr>
            <w:r w:rsidRPr="00D175C6">
              <w:rPr>
                <w:rFonts w:ascii="Verdana" w:hAnsi="Verdana"/>
                <w:b/>
                <w:sz w:val="20"/>
                <w:szCs w:val="20"/>
                <w:lang w:val="sr-Cyrl-RS"/>
              </w:rPr>
              <w:t>Приходи од провизије</w:t>
            </w:r>
          </w:p>
        </w:tc>
        <w:tc>
          <w:tcPr>
            <w:tcW w:w="1997"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278,393,452.01</w:t>
            </w:r>
          </w:p>
        </w:tc>
        <w:tc>
          <w:tcPr>
            <w:tcW w:w="1997"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281,031,00.00</w:t>
            </w:r>
          </w:p>
        </w:tc>
        <w:tc>
          <w:tcPr>
            <w:tcW w:w="1520"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center"/>
              <w:rPr>
                <w:rFonts w:ascii="Verdana" w:hAnsi="Verdana" w:cs="Tahoma"/>
                <w:b/>
                <w:bCs/>
                <w:sz w:val="20"/>
                <w:szCs w:val="20"/>
              </w:rPr>
            </w:pPr>
            <w:r w:rsidRPr="00D175C6">
              <w:rPr>
                <w:rFonts w:ascii="Verdana" w:hAnsi="Verdana" w:cs="Tahoma"/>
                <w:b/>
                <w:bCs/>
                <w:sz w:val="20"/>
                <w:szCs w:val="20"/>
              </w:rPr>
              <w:t>100,95</w:t>
            </w:r>
          </w:p>
        </w:tc>
      </w:tr>
      <w:tr w:rsidR="00D175C6" w:rsidRPr="00D175C6" w:rsidTr="00D175C6">
        <w:trPr>
          <w:trHeight w:val="397"/>
        </w:trPr>
        <w:tc>
          <w:tcPr>
            <w:tcW w:w="896"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center"/>
              <w:rPr>
                <w:rFonts w:ascii="Verdana" w:hAnsi="Verdana"/>
                <w:sz w:val="20"/>
                <w:szCs w:val="20"/>
                <w:lang w:val="sr-Latn-RS"/>
              </w:rPr>
            </w:pPr>
          </w:p>
        </w:tc>
        <w:tc>
          <w:tcPr>
            <w:tcW w:w="5508"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rPr>
                <w:rFonts w:ascii="Verdana" w:hAnsi="Verdana"/>
                <w:b/>
                <w:sz w:val="20"/>
                <w:szCs w:val="20"/>
                <w:lang w:val="sr-Cyrl-RS"/>
              </w:rPr>
            </w:pPr>
            <w:r w:rsidRPr="00D175C6">
              <w:rPr>
                <w:rFonts w:ascii="Verdana" w:hAnsi="Verdana"/>
                <w:b/>
                <w:sz w:val="20"/>
                <w:szCs w:val="20"/>
                <w:lang w:val="sr-Cyrl-RS"/>
              </w:rPr>
              <w:t>Укупно</w:t>
            </w:r>
          </w:p>
        </w:tc>
        <w:tc>
          <w:tcPr>
            <w:tcW w:w="1997"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148,441,916.53</w:t>
            </w:r>
          </w:p>
        </w:tc>
        <w:tc>
          <w:tcPr>
            <w:tcW w:w="1997"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right"/>
              <w:rPr>
                <w:rFonts w:ascii="Verdana" w:hAnsi="Verdana" w:cs="Tahoma"/>
                <w:b/>
                <w:bCs/>
                <w:sz w:val="20"/>
                <w:szCs w:val="20"/>
              </w:rPr>
            </w:pPr>
            <w:r w:rsidRPr="00D175C6">
              <w:rPr>
                <w:rFonts w:ascii="Verdana" w:hAnsi="Verdana" w:cs="Tahoma"/>
                <w:b/>
                <w:bCs/>
                <w:sz w:val="20"/>
                <w:szCs w:val="20"/>
              </w:rPr>
              <w:t>139,221,450.00</w:t>
            </w:r>
          </w:p>
        </w:tc>
        <w:tc>
          <w:tcPr>
            <w:tcW w:w="1520" w:type="dxa"/>
            <w:tcBorders>
              <w:top w:val="single" w:sz="12" w:space="0" w:color="365F91"/>
              <w:left w:val="nil"/>
              <w:bottom w:val="single" w:sz="12" w:space="0" w:color="365F91"/>
              <w:right w:val="nil"/>
            </w:tcBorders>
            <w:shd w:val="clear" w:color="auto" w:fill="auto"/>
            <w:noWrap/>
            <w:vAlign w:val="center"/>
          </w:tcPr>
          <w:p w:rsidR="00D175C6" w:rsidRPr="00D175C6" w:rsidRDefault="00D175C6" w:rsidP="00D175C6">
            <w:pPr>
              <w:pStyle w:val="NoSpacing"/>
              <w:jc w:val="center"/>
              <w:rPr>
                <w:rFonts w:ascii="Verdana" w:hAnsi="Verdana" w:cs="Tahoma"/>
                <w:b/>
                <w:bCs/>
                <w:sz w:val="20"/>
                <w:szCs w:val="20"/>
              </w:rPr>
            </w:pPr>
            <w:r w:rsidRPr="00D175C6">
              <w:rPr>
                <w:rFonts w:ascii="Verdana" w:hAnsi="Verdana" w:cs="Tahoma"/>
                <w:b/>
                <w:bCs/>
                <w:sz w:val="20"/>
                <w:szCs w:val="20"/>
              </w:rPr>
              <w:t>93,05</w:t>
            </w:r>
          </w:p>
        </w:tc>
      </w:tr>
    </w:tbl>
    <w:p w:rsidR="00D175C6" w:rsidRPr="000545BA" w:rsidRDefault="00D175C6" w:rsidP="009A798D">
      <w:pPr>
        <w:spacing w:after="60"/>
        <w:jc w:val="center"/>
        <w:rPr>
          <w:rFonts w:ascii="Verdana" w:hAnsi="Verdana"/>
          <w:b/>
          <w:i/>
          <w:noProof/>
          <w:color w:val="365F91"/>
          <w:sz w:val="20"/>
          <w:szCs w:val="20"/>
          <w:lang w:val="sr-Cyrl-RS"/>
        </w:rPr>
      </w:pPr>
    </w:p>
    <w:p w:rsidR="009A798D" w:rsidRPr="000545BA" w:rsidRDefault="009A798D" w:rsidP="00C14C24">
      <w:pPr>
        <w:rPr>
          <w:rFonts w:ascii="Verdana" w:hAnsi="Verdana"/>
          <w:noProof/>
          <w:color w:val="365F91"/>
          <w:sz w:val="10"/>
          <w:lang w:val="sr-Cyrl-RS"/>
        </w:rPr>
      </w:pPr>
    </w:p>
    <w:p w:rsidR="00EC128F" w:rsidRPr="000545BA" w:rsidRDefault="00EC128F" w:rsidP="00C14C24">
      <w:pPr>
        <w:rPr>
          <w:rFonts w:ascii="Verdana" w:hAnsi="Verdana"/>
          <w:noProof/>
          <w:color w:val="365F91"/>
          <w:lang w:val="sr-Cyrl-RS"/>
        </w:rPr>
        <w:sectPr w:rsidR="00EC128F" w:rsidRPr="000545BA" w:rsidSect="00EC128F">
          <w:footerReference w:type="default" r:id="rId27"/>
          <w:footnotePr>
            <w:pos w:val="beneathText"/>
          </w:footnotePr>
          <w:pgSz w:w="15840" w:h="12240" w:orient="landscape" w:code="1"/>
          <w:pgMar w:top="1418" w:right="1418" w:bottom="1418" w:left="1418" w:header="709" w:footer="709" w:gutter="0"/>
          <w:cols w:space="708"/>
          <w:docGrid w:linePitch="360"/>
        </w:sectPr>
      </w:pPr>
    </w:p>
    <w:p w:rsidR="00D175C6" w:rsidRPr="00663C8C" w:rsidRDefault="00D175C6" w:rsidP="00D175C6">
      <w:pPr>
        <w:spacing w:before="120" w:after="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Укупни планирани трошкови пословања за 201</w:t>
      </w:r>
      <w:r>
        <w:rPr>
          <w:rFonts w:ascii="Verdana" w:eastAsia="Calibri" w:hAnsi="Verdana"/>
          <w:noProof/>
          <w:sz w:val="20"/>
          <w:szCs w:val="22"/>
          <w:lang w:val="sr-Cyrl-RS" w:eastAsia="en-US"/>
        </w:rPr>
        <w:t>5</w:t>
      </w:r>
      <w:r w:rsidRPr="00663C8C">
        <w:rPr>
          <w:rFonts w:ascii="Verdana" w:eastAsia="Calibri" w:hAnsi="Verdana"/>
          <w:noProof/>
          <w:sz w:val="20"/>
          <w:szCs w:val="22"/>
          <w:lang w:val="sr-Cyrl-RS" w:eastAsia="en-US"/>
        </w:rPr>
        <w:t xml:space="preserve">. годину износе </w:t>
      </w:r>
      <w:r>
        <w:rPr>
          <w:rFonts w:ascii="Verdana" w:eastAsia="Calibri" w:hAnsi="Verdana"/>
          <w:noProof/>
          <w:sz w:val="20"/>
          <w:szCs w:val="22"/>
          <w:lang w:val="sr-Latn-RS" w:eastAsia="en-US"/>
        </w:rPr>
        <w:t>419.152</w:t>
      </w:r>
      <w:r>
        <w:rPr>
          <w:rFonts w:ascii="Verdana" w:eastAsia="Calibri" w:hAnsi="Verdana"/>
          <w:noProof/>
          <w:sz w:val="20"/>
          <w:szCs w:val="22"/>
          <w:lang w:val="sr-Cyrl-RS" w:eastAsia="en-US"/>
        </w:rPr>
        <w:t xml:space="preserve"> хиљад</w:t>
      </w:r>
      <w:r>
        <w:rPr>
          <w:rFonts w:ascii="Verdana" w:eastAsia="Calibri" w:hAnsi="Verdana"/>
          <w:noProof/>
          <w:sz w:val="20"/>
          <w:szCs w:val="22"/>
          <w:lang w:val="sr-Latn-RS" w:eastAsia="en-US"/>
        </w:rPr>
        <w:t>e</w:t>
      </w:r>
      <w:r w:rsidRPr="00663C8C">
        <w:rPr>
          <w:rFonts w:ascii="Verdana" w:eastAsia="Calibri" w:hAnsi="Verdana"/>
          <w:noProof/>
          <w:sz w:val="20"/>
          <w:szCs w:val="22"/>
          <w:lang w:val="sr-Cyrl-RS" w:eastAsia="en-US"/>
        </w:rPr>
        <w:t xml:space="preserve"> динара, од чега се на трошкове који се покривају из режијског додатка односи </w:t>
      </w:r>
      <w:r>
        <w:rPr>
          <w:rFonts w:ascii="Verdana" w:eastAsia="Calibri" w:hAnsi="Verdana"/>
          <w:noProof/>
          <w:sz w:val="20"/>
          <w:szCs w:val="22"/>
          <w:lang w:val="sr-Latn-RS" w:eastAsia="en-US"/>
        </w:rPr>
        <w:t>119.718</w:t>
      </w:r>
      <w:r>
        <w:rPr>
          <w:rFonts w:ascii="Verdana" w:eastAsia="Calibri" w:hAnsi="Verdana"/>
          <w:noProof/>
          <w:sz w:val="20"/>
          <w:szCs w:val="22"/>
          <w:lang w:val="sr-Cyrl-RS" w:eastAsia="en-US"/>
        </w:rPr>
        <w:t xml:space="preserve"> </w:t>
      </w:r>
      <w:r w:rsidRPr="00663C8C">
        <w:rPr>
          <w:rFonts w:ascii="Verdana" w:eastAsia="Calibri" w:hAnsi="Verdana"/>
          <w:noProof/>
          <w:sz w:val="20"/>
          <w:szCs w:val="22"/>
          <w:lang w:val="sr-Cyrl-RS" w:eastAsia="en-US"/>
        </w:rPr>
        <w:t>хиљада динара.</w:t>
      </w:r>
    </w:p>
    <w:p w:rsidR="00D175C6" w:rsidRDefault="00D175C6" w:rsidP="00D175C6">
      <w:pPr>
        <w:spacing w:before="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 xml:space="preserve">Трошкови извиђаја, процене и ликвидације штета планирани на нивоу од </w:t>
      </w:r>
      <w:r>
        <w:rPr>
          <w:rFonts w:ascii="Verdana" w:eastAsia="Calibri" w:hAnsi="Verdana"/>
          <w:noProof/>
          <w:sz w:val="20"/>
          <w:szCs w:val="22"/>
          <w:lang w:val="sr-Latn-RS" w:eastAsia="en-US"/>
        </w:rPr>
        <w:t>18.764</w:t>
      </w:r>
      <w:r w:rsidRPr="00663C8C">
        <w:rPr>
          <w:rFonts w:ascii="Verdana" w:eastAsia="Calibri" w:hAnsi="Verdana"/>
          <w:noProof/>
          <w:sz w:val="20"/>
          <w:szCs w:val="22"/>
          <w:lang w:val="sr-Cyrl-RS" w:eastAsia="en-US"/>
        </w:rPr>
        <w:t xml:space="preserve"> хиљада динара и представљају саставни део расхода по основу штета</w:t>
      </w:r>
      <w:r>
        <w:rPr>
          <w:rFonts w:ascii="Verdana" w:eastAsia="Calibri" w:hAnsi="Verdana"/>
          <w:noProof/>
          <w:sz w:val="20"/>
          <w:szCs w:val="22"/>
          <w:lang w:val="sr-Latn-RS" w:eastAsia="en-US"/>
        </w:rPr>
        <w:t xml:space="preserve">. </w:t>
      </w:r>
      <w:r>
        <w:rPr>
          <w:rFonts w:ascii="Verdana" w:eastAsia="Calibri" w:hAnsi="Verdana"/>
          <w:noProof/>
          <w:sz w:val="20"/>
          <w:szCs w:val="22"/>
          <w:lang w:val="sr-Cyrl-RS" w:eastAsia="en-US"/>
        </w:rPr>
        <w:t>Полазне претпоставке за план ових трошкова су:</w:t>
      </w:r>
    </w:p>
    <w:p w:rsidR="00D175C6" w:rsidRDefault="00D175C6" w:rsidP="003E48B9">
      <w:pPr>
        <w:numPr>
          <w:ilvl w:val="0"/>
          <w:numId w:val="23"/>
        </w:numPr>
        <w:spacing w:before="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најгори могући сценарио за решавање арбитажног поступка за штету на броду ЕОС односно губитак спора. У овом случају смо у обавези да супротној страни надокнадимо трошкове арбитраже.</w:t>
      </w:r>
    </w:p>
    <w:p w:rsidR="00D175C6" w:rsidRPr="001F5DD0" w:rsidRDefault="00D175C6" w:rsidP="003E48B9">
      <w:pPr>
        <w:numPr>
          <w:ilvl w:val="0"/>
          <w:numId w:val="23"/>
        </w:numPr>
        <w:spacing w:before="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Пројектовани трошкови за вођење спора са Триглавом по штети „Колзец“ и Таковом.</w:t>
      </w:r>
    </w:p>
    <w:p w:rsidR="00D175C6" w:rsidRPr="00663C8C" w:rsidRDefault="00D175C6" w:rsidP="00D175C6">
      <w:pPr>
        <w:spacing w:before="120" w:line="276" w:lineRule="auto"/>
        <w:ind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Т</w:t>
      </w:r>
      <w:r w:rsidRPr="00663C8C">
        <w:rPr>
          <w:rFonts w:ascii="Verdana" w:eastAsia="Calibri" w:hAnsi="Verdana"/>
          <w:noProof/>
          <w:sz w:val="20"/>
          <w:szCs w:val="22"/>
          <w:lang w:val="sr-Cyrl-RS" w:eastAsia="en-US"/>
        </w:rPr>
        <w:t>рошкови депоновања и улагања ср</w:t>
      </w:r>
      <w:r>
        <w:rPr>
          <w:rFonts w:ascii="Verdana" w:eastAsia="Calibri" w:hAnsi="Verdana"/>
          <w:noProof/>
          <w:sz w:val="20"/>
          <w:szCs w:val="22"/>
          <w:lang w:val="sr-Cyrl-RS" w:eastAsia="en-US"/>
        </w:rPr>
        <w:t xml:space="preserve">едстава у планираном износу од </w:t>
      </w:r>
      <w:r>
        <w:rPr>
          <w:rFonts w:ascii="Verdana" w:eastAsia="Calibri" w:hAnsi="Verdana"/>
          <w:noProof/>
          <w:sz w:val="20"/>
          <w:szCs w:val="22"/>
          <w:lang w:val="sr-Latn-RS" w:eastAsia="en-US"/>
        </w:rPr>
        <w:t>1.517</w:t>
      </w:r>
      <w:r>
        <w:rPr>
          <w:rFonts w:ascii="Verdana" w:eastAsia="Calibri" w:hAnsi="Verdana"/>
          <w:noProof/>
          <w:sz w:val="20"/>
          <w:szCs w:val="22"/>
          <w:lang w:val="sr-Cyrl-RS" w:eastAsia="en-US"/>
        </w:rPr>
        <w:t xml:space="preserve"> </w:t>
      </w:r>
      <w:r w:rsidRPr="00663C8C">
        <w:rPr>
          <w:rFonts w:ascii="Verdana" w:eastAsia="Calibri" w:hAnsi="Verdana"/>
          <w:noProof/>
          <w:sz w:val="20"/>
          <w:szCs w:val="22"/>
          <w:lang w:val="sr-Cyrl-RS" w:eastAsia="en-US"/>
        </w:rPr>
        <w:t>хиљада динара покривају</w:t>
      </w:r>
      <w:r>
        <w:rPr>
          <w:rFonts w:ascii="Verdana" w:eastAsia="Calibri" w:hAnsi="Verdana"/>
          <w:noProof/>
          <w:sz w:val="20"/>
          <w:szCs w:val="22"/>
          <w:lang w:val="sr-Cyrl-RS" w:eastAsia="en-US"/>
        </w:rPr>
        <w:t xml:space="preserve"> се</w:t>
      </w:r>
      <w:r w:rsidRPr="00663C8C">
        <w:rPr>
          <w:rFonts w:ascii="Verdana" w:eastAsia="Calibri" w:hAnsi="Verdana"/>
          <w:noProof/>
          <w:sz w:val="20"/>
          <w:szCs w:val="22"/>
          <w:lang w:val="sr-Cyrl-RS" w:eastAsia="en-US"/>
        </w:rPr>
        <w:t xml:space="preserve"> из планираних </w:t>
      </w:r>
      <w:r>
        <w:rPr>
          <w:rFonts w:ascii="Verdana" w:eastAsia="Calibri" w:hAnsi="Verdana"/>
          <w:noProof/>
          <w:sz w:val="20"/>
          <w:szCs w:val="22"/>
          <w:lang w:val="sr-Cyrl-RS" w:eastAsia="en-US"/>
        </w:rPr>
        <w:t xml:space="preserve">инвестиционих </w:t>
      </w:r>
      <w:r w:rsidRPr="00663C8C">
        <w:rPr>
          <w:rFonts w:ascii="Verdana" w:eastAsia="Calibri" w:hAnsi="Verdana"/>
          <w:noProof/>
          <w:sz w:val="20"/>
          <w:szCs w:val="22"/>
          <w:lang w:val="sr-Cyrl-RS" w:eastAsia="en-US"/>
        </w:rPr>
        <w:t>прихода</w:t>
      </w:r>
      <w:r>
        <w:rPr>
          <w:rFonts w:ascii="Verdana" w:eastAsia="Calibri" w:hAnsi="Verdana"/>
          <w:noProof/>
          <w:sz w:val="20"/>
          <w:szCs w:val="22"/>
          <w:lang w:val="sr-Cyrl-RS" w:eastAsia="en-US"/>
        </w:rPr>
        <w:t>.</w:t>
      </w:r>
    </w:p>
    <w:p w:rsidR="00D175C6" w:rsidRPr="00663C8C" w:rsidRDefault="00D175C6" w:rsidP="00D175C6">
      <w:pPr>
        <w:spacing w:before="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Распоред трошкова спровођења реосигурања се врши се у целости на поједину категорију трошкова код унапред дефинисане врсте трошка, где се може утврдити расподела се врши према стварном трошку и у случају да се распоред не може утврдити по стварном трошку исти се распоређује према кључу.</w:t>
      </w:r>
    </w:p>
    <w:p w:rsidR="00D175C6" w:rsidRPr="00663C8C" w:rsidRDefault="00D175C6" w:rsidP="00D175C6">
      <w:pPr>
        <w:spacing w:before="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Трошкови којима се  у моменту настанка не може одредити место трошка, расподељују се системом кључа. Кључ за распоред трошкова доноси шеф рачуноводства, а утврђује се на основу података о броју запослених у секторима и вансекторсим службама достављених од правне службе. Кључ се одређује квартално.</w:t>
      </w:r>
    </w:p>
    <w:p w:rsidR="00D175C6" w:rsidRPr="00663C8C" w:rsidRDefault="00D175C6" w:rsidP="00D175C6">
      <w:pPr>
        <w:spacing w:before="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Трошкови прибаве представљају трошкове настале приликом обављања пословних активности реосигурања са сврхом повећања или одржавања  постојећег обима послова и прихода по истим.</w:t>
      </w:r>
    </w:p>
    <w:p w:rsidR="00D175C6" w:rsidRPr="00663C8C" w:rsidRDefault="00D175C6" w:rsidP="00D175C6">
      <w:pPr>
        <w:spacing w:before="120" w:after="120" w:line="276" w:lineRule="auto"/>
        <w:ind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Трошкови</w:t>
      </w:r>
      <w:r w:rsidRPr="00663C8C">
        <w:t xml:space="preserve"> </w:t>
      </w:r>
      <w:r w:rsidRPr="00663C8C">
        <w:rPr>
          <w:rFonts w:ascii="Verdana" w:eastAsia="Calibri" w:hAnsi="Verdana"/>
          <w:noProof/>
          <w:sz w:val="20"/>
          <w:szCs w:val="22"/>
          <w:lang w:val="sr-Cyrl-RS" w:eastAsia="en-US"/>
        </w:rPr>
        <w:t>управе обухватају све административне трошкове који се не односе непостредно на закључивање уговора о реосигурању, ликвидацију штета и инвестициону активности Друштва, а чине их трошкови амортизације, трошкови уговвора о делу (за актуаре и остало), накнаде члановима Надзорног одбора и Комисије за ревизију, као и зараде свих запослених ван сектора реосигурања.</w:t>
      </w:r>
    </w:p>
    <w:tbl>
      <w:tblPr>
        <w:tblW w:w="9667" w:type="dxa"/>
        <w:tblLayout w:type="fixed"/>
        <w:tblLook w:val="04A0" w:firstRow="1" w:lastRow="0" w:firstColumn="1" w:lastColumn="0" w:noHBand="0" w:noVBand="1"/>
      </w:tblPr>
      <w:tblGrid>
        <w:gridCol w:w="4989"/>
        <w:gridCol w:w="4678"/>
      </w:tblGrid>
      <w:tr w:rsidR="00D175C6" w:rsidRPr="00663C8C" w:rsidTr="00D175C6">
        <w:tc>
          <w:tcPr>
            <w:tcW w:w="4989" w:type="dxa"/>
            <w:shd w:val="clear" w:color="auto" w:fill="auto"/>
          </w:tcPr>
          <w:p w:rsidR="00D175C6" w:rsidRPr="00663C8C" w:rsidRDefault="00D175C6" w:rsidP="00D175C6">
            <w:pPr>
              <w:spacing w:line="276" w:lineRule="auto"/>
              <w:jc w:val="both"/>
              <w:rPr>
                <w:rFonts w:ascii="Verdana" w:hAnsi="Verdana" w:cs="Tahoma"/>
                <w:noProof/>
                <w:color w:val="000000"/>
                <w:sz w:val="20"/>
                <w:szCs w:val="18"/>
                <w:lang w:val="sr-Latn-RS" w:eastAsia="en-US"/>
              </w:rPr>
            </w:pPr>
            <w:r>
              <w:rPr>
                <w:noProof/>
                <w:lang w:val="sr-Latn-RS" w:eastAsia="sr-Latn-RS"/>
              </w:rPr>
              <w:drawing>
                <wp:inline distT="0" distB="0" distL="0" distR="0" wp14:anchorId="75A5001E" wp14:editId="5602634D">
                  <wp:extent cx="3051544" cy="2232837"/>
                  <wp:effectExtent l="38100" t="0" r="34925" b="0"/>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678" w:type="dxa"/>
            <w:shd w:val="clear" w:color="auto" w:fill="auto"/>
          </w:tcPr>
          <w:p w:rsidR="00D175C6" w:rsidRPr="00663C8C" w:rsidRDefault="00D175C6" w:rsidP="00D175C6">
            <w:pPr>
              <w:spacing w:line="276" w:lineRule="auto"/>
              <w:ind w:firstLine="292"/>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Распоред трошкова спровођења реосигурања врши се у складу са Одлуком Друштва о формирању и вођењу додатних аналитика трошкова спровођења реосигурања, основних средстава, финансијских прихода, исправке вредности потраживања и краткорочних потраживања.</w:t>
            </w:r>
          </w:p>
          <w:p w:rsidR="00D175C6" w:rsidRPr="00663C8C" w:rsidRDefault="00D175C6" w:rsidP="00D175C6">
            <w:pPr>
              <w:spacing w:line="276" w:lineRule="auto"/>
              <w:ind w:firstLine="292"/>
              <w:jc w:val="both"/>
              <w:rPr>
                <w:rFonts w:ascii="Verdana" w:eastAsia="Calibri" w:hAnsi="Verdana"/>
                <w:noProof/>
                <w:sz w:val="6"/>
                <w:szCs w:val="6"/>
                <w:lang w:val="sr-Cyrl-RS" w:eastAsia="en-US"/>
              </w:rPr>
            </w:pPr>
          </w:p>
          <w:p w:rsidR="00D175C6" w:rsidRPr="00663C8C" w:rsidRDefault="00D175C6" w:rsidP="00D175C6">
            <w:pPr>
              <w:spacing w:line="276" w:lineRule="auto"/>
              <w:ind w:firstLine="292"/>
              <w:jc w:val="both"/>
              <w:rPr>
                <w:rFonts w:ascii="Verdana" w:hAnsi="Verdana" w:cs="Tahoma"/>
                <w:noProof/>
                <w:color w:val="000000"/>
                <w:sz w:val="20"/>
                <w:szCs w:val="18"/>
                <w:lang w:val="sr-Cyrl-RS" w:eastAsia="en-US"/>
              </w:rPr>
            </w:pPr>
            <w:r w:rsidRPr="00663C8C">
              <w:rPr>
                <w:rFonts w:ascii="Verdana" w:eastAsia="Calibri" w:hAnsi="Verdana"/>
                <w:noProof/>
                <w:sz w:val="20"/>
                <w:szCs w:val="22"/>
                <w:lang w:val="sr-Cyrl-RS" w:eastAsia="en-US"/>
              </w:rPr>
              <w:t>Највеће учешће у укупним трошковима по носиоцима имају трошкови управе, 61,56%.</w:t>
            </w:r>
          </w:p>
        </w:tc>
      </w:tr>
    </w:tbl>
    <w:p w:rsidR="00D175C6" w:rsidRDefault="00D175C6" w:rsidP="00D175C6">
      <w:pPr>
        <w:pStyle w:val="ListParagraph"/>
        <w:spacing w:after="120" w:line="276" w:lineRule="auto"/>
        <w:ind w:left="0"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Друштво ће у циљу рационализације трошкова и повећања ефикасности у раду предузети следеће мере:</w:t>
      </w:r>
    </w:p>
    <w:p w:rsidR="00D175C6" w:rsidRDefault="00D175C6" w:rsidP="003E48B9">
      <w:pPr>
        <w:pStyle w:val="ListParagraph"/>
        <w:numPr>
          <w:ilvl w:val="0"/>
          <w:numId w:val="21"/>
        </w:numPr>
        <w:spacing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 xml:space="preserve">Извршити реорганизацију послова. Планираном реорганизацијом ће се смањити број сектора са четири на </w:t>
      </w:r>
      <w:r w:rsidR="00FA2A5B">
        <w:rPr>
          <w:rFonts w:ascii="Verdana" w:eastAsia="Calibri" w:hAnsi="Verdana"/>
          <w:noProof/>
          <w:sz w:val="20"/>
          <w:szCs w:val="22"/>
          <w:lang w:val="sr-Cyrl-RS" w:eastAsia="en-US"/>
        </w:rPr>
        <w:t>два</w:t>
      </w:r>
      <w:r w:rsidR="00A3417B">
        <w:rPr>
          <w:rFonts w:ascii="Verdana" w:eastAsia="Calibri" w:hAnsi="Verdana"/>
          <w:noProof/>
          <w:sz w:val="20"/>
          <w:szCs w:val="22"/>
          <w:lang w:val="sr-Cyrl-RS" w:eastAsia="en-US"/>
        </w:rPr>
        <w:t xml:space="preserve">, а број </w:t>
      </w:r>
      <w:r>
        <w:rPr>
          <w:rFonts w:ascii="Verdana" w:eastAsia="Calibri" w:hAnsi="Verdana"/>
          <w:noProof/>
          <w:sz w:val="20"/>
          <w:szCs w:val="22"/>
          <w:lang w:val="sr-Cyrl-RS" w:eastAsia="en-US"/>
        </w:rPr>
        <w:t>чланова Извршног одбора са пет на три.</w:t>
      </w:r>
    </w:p>
    <w:p w:rsidR="00D175C6" w:rsidRDefault="00D175C6" w:rsidP="003E48B9">
      <w:pPr>
        <w:pStyle w:val="ListParagraph"/>
        <w:numPr>
          <w:ilvl w:val="0"/>
          <w:numId w:val="21"/>
        </w:numPr>
        <w:spacing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 xml:space="preserve">Унапредити систем одређивања дела зарада по основу радног учинка у намери да </w:t>
      </w:r>
      <w:r w:rsidRPr="00D156FA">
        <w:rPr>
          <w:rFonts w:ascii="Verdana" w:eastAsia="Calibri" w:hAnsi="Verdana"/>
          <w:noProof/>
          <w:sz w:val="20"/>
          <w:szCs w:val="22"/>
          <w:lang w:val="sr-Cyrl-RS" w:eastAsia="en-US"/>
        </w:rPr>
        <w:t>стимулише сваког запосленог да свој посао обавља на најбољи могућ</w:t>
      </w:r>
      <w:r w:rsidR="00A3417B">
        <w:rPr>
          <w:rFonts w:ascii="Verdana" w:eastAsia="Calibri" w:hAnsi="Verdana"/>
          <w:noProof/>
          <w:sz w:val="20"/>
          <w:szCs w:val="22"/>
          <w:lang w:val="sr-Cyrl-RS" w:eastAsia="en-US"/>
        </w:rPr>
        <w:t>и начин</w:t>
      </w:r>
      <w:r w:rsidRPr="00D156FA">
        <w:rPr>
          <w:rFonts w:ascii="Verdana" w:eastAsia="Calibri" w:hAnsi="Verdana"/>
          <w:noProof/>
          <w:sz w:val="20"/>
          <w:szCs w:val="22"/>
          <w:lang w:val="sr-Cyrl-RS" w:eastAsia="en-US"/>
        </w:rPr>
        <w:t xml:space="preserve"> и тиме допринесе побољшању пословних резултата</w:t>
      </w:r>
      <w:r>
        <w:rPr>
          <w:rFonts w:ascii="Verdana" w:eastAsia="Calibri" w:hAnsi="Verdana"/>
          <w:noProof/>
          <w:sz w:val="20"/>
          <w:szCs w:val="22"/>
          <w:lang w:val="sr-Cyrl-RS" w:eastAsia="en-US"/>
        </w:rPr>
        <w:t xml:space="preserve">. </w:t>
      </w:r>
    </w:p>
    <w:p w:rsidR="00D175C6" w:rsidRDefault="00D175C6" w:rsidP="003E48B9">
      <w:pPr>
        <w:pStyle w:val="ListParagraph"/>
        <w:numPr>
          <w:ilvl w:val="0"/>
          <w:numId w:val="21"/>
        </w:numPr>
        <w:spacing w:after="120" w:line="276" w:lineRule="auto"/>
        <w:ind w:left="1003" w:hanging="357"/>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Друштво је ускладило Колективни уговор са Законом о раду.  У циљу смањења трошкова извршене су следеће измене у односу на претходни уговор:</w:t>
      </w:r>
    </w:p>
    <w:p w:rsidR="00D175C6" w:rsidRDefault="00D175C6" w:rsidP="003E48B9">
      <w:pPr>
        <w:pStyle w:val="ListParagraph"/>
        <w:numPr>
          <w:ilvl w:val="0"/>
          <w:numId w:val="22"/>
        </w:numPr>
        <w:spacing w:before="120" w:after="120" w:line="276" w:lineRule="auto"/>
        <w:ind w:left="1361" w:hanging="357"/>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Смањена је  цену рада</w:t>
      </w:r>
    </w:p>
    <w:p w:rsidR="00D175C6" w:rsidRPr="00AB3461" w:rsidRDefault="00D175C6" w:rsidP="003E48B9">
      <w:pPr>
        <w:numPr>
          <w:ilvl w:val="0"/>
          <w:numId w:val="22"/>
        </w:numPr>
        <w:suppressAutoHyphens w:val="0"/>
        <w:spacing w:before="120" w:after="120" w:line="276" w:lineRule="auto"/>
        <w:ind w:left="1361" w:hanging="357"/>
        <w:jc w:val="both"/>
        <w:rPr>
          <w:rFonts w:ascii="Verdana" w:eastAsia="Calibri" w:hAnsi="Verdana"/>
          <w:noProof/>
          <w:sz w:val="20"/>
          <w:szCs w:val="22"/>
          <w:lang w:val="sr-Cyrl-RS" w:eastAsia="en-US"/>
        </w:rPr>
      </w:pPr>
      <w:r w:rsidRPr="00AB3461">
        <w:rPr>
          <w:rFonts w:ascii="Verdana" w:eastAsia="Calibri" w:hAnsi="Verdana"/>
          <w:noProof/>
          <w:sz w:val="20"/>
          <w:szCs w:val="22"/>
          <w:lang w:val="sr-Cyrl-RS" w:eastAsia="en-US"/>
        </w:rPr>
        <w:t>Смањено је право на увећање зараде по ос</w:t>
      </w:r>
      <w:r w:rsidR="00A3417B">
        <w:rPr>
          <w:rFonts w:ascii="Verdana" w:eastAsia="Calibri" w:hAnsi="Verdana"/>
          <w:noProof/>
          <w:sz w:val="20"/>
          <w:szCs w:val="22"/>
          <w:lang w:val="sr-Cyrl-RS" w:eastAsia="en-US"/>
        </w:rPr>
        <w:t xml:space="preserve">нову  минулог рада са  0,7% на </w:t>
      </w:r>
      <w:r w:rsidRPr="00AB3461">
        <w:rPr>
          <w:rFonts w:ascii="Verdana" w:eastAsia="Calibri" w:hAnsi="Verdana"/>
          <w:noProof/>
          <w:sz w:val="20"/>
          <w:szCs w:val="22"/>
          <w:lang w:val="sr-Cyrl-RS" w:eastAsia="en-US"/>
        </w:rPr>
        <w:t xml:space="preserve"> 0,4% </w:t>
      </w:r>
    </w:p>
    <w:p w:rsidR="00D175C6" w:rsidRPr="00AB3461" w:rsidRDefault="00D175C6" w:rsidP="003E48B9">
      <w:pPr>
        <w:numPr>
          <w:ilvl w:val="0"/>
          <w:numId w:val="22"/>
        </w:numPr>
        <w:suppressAutoHyphens w:val="0"/>
        <w:spacing w:before="120" w:after="120" w:line="276" w:lineRule="auto"/>
        <w:ind w:left="1361" w:hanging="357"/>
        <w:jc w:val="both"/>
        <w:rPr>
          <w:rFonts w:ascii="Verdana" w:eastAsia="Calibri" w:hAnsi="Verdana"/>
          <w:noProof/>
          <w:sz w:val="20"/>
          <w:szCs w:val="22"/>
          <w:lang w:val="sr-Cyrl-RS" w:eastAsia="en-US"/>
        </w:rPr>
      </w:pPr>
      <w:r w:rsidRPr="00AB3461">
        <w:rPr>
          <w:rFonts w:ascii="Verdana" w:eastAsia="Calibri" w:hAnsi="Verdana"/>
          <w:noProof/>
          <w:sz w:val="20"/>
          <w:szCs w:val="22"/>
          <w:lang w:val="sr-Cyrl-RS" w:eastAsia="en-US"/>
        </w:rPr>
        <w:t>Смањено је право на накнаду зараде за време одсуствовања са рада због привремене сперечности за рад до 30 дана на 65% уместо 85% од остварене просечне зараде претходних 12 месеци</w:t>
      </w:r>
    </w:p>
    <w:p w:rsidR="00D175C6" w:rsidRPr="00AB3461" w:rsidRDefault="00D175C6" w:rsidP="003E48B9">
      <w:pPr>
        <w:numPr>
          <w:ilvl w:val="0"/>
          <w:numId w:val="22"/>
        </w:numPr>
        <w:suppressAutoHyphens w:val="0"/>
        <w:spacing w:before="120" w:after="120" w:line="276" w:lineRule="auto"/>
        <w:ind w:left="1361" w:hanging="357"/>
        <w:jc w:val="both"/>
        <w:rPr>
          <w:rFonts w:ascii="Verdana" w:eastAsia="Calibri" w:hAnsi="Verdana"/>
          <w:noProof/>
          <w:sz w:val="20"/>
          <w:szCs w:val="22"/>
          <w:lang w:val="sr-Cyrl-RS" w:eastAsia="en-US"/>
        </w:rPr>
      </w:pPr>
      <w:r w:rsidRPr="00AB3461">
        <w:rPr>
          <w:rFonts w:ascii="Verdana" w:eastAsia="Calibri" w:hAnsi="Verdana"/>
          <w:noProof/>
          <w:sz w:val="20"/>
          <w:szCs w:val="22"/>
          <w:lang w:val="sr-Cyrl-RS" w:eastAsia="en-US"/>
        </w:rPr>
        <w:t>Смањено је право на нето накнаду трошкова  на име исхране у току рада на 200 РСД по радном дану уместо  20% од остварене просечне зараде у Републици Србији.</w:t>
      </w:r>
    </w:p>
    <w:p w:rsidR="00D175C6" w:rsidRPr="00AB3461" w:rsidRDefault="00D175C6" w:rsidP="003E48B9">
      <w:pPr>
        <w:numPr>
          <w:ilvl w:val="0"/>
          <w:numId w:val="22"/>
        </w:numPr>
        <w:suppressAutoHyphens w:val="0"/>
        <w:spacing w:before="120" w:after="120" w:line="276" w:lineRule="auto"/>
        <w:ind w:left="1361" w:hanging="357"/>
        <w:jc w:val="both"/>
        <w:rPr>
          <w:rFonts w:ascii="Verdana" w:eastAsia="Calibri" w:hAnsi="Verdana"/>
          <w:noProof/>
          <w:sz w:val="20"/>
          <w:szCs w:val="22"/>
          <w:lang w:val="sr-Cyrl-RS" w:eastAsia="en-US"/>
        </w:rPr>
      </w:pPr>
      <w:r w:rsidRPr="00AB3461">
        <w:rPr>
          <w:rFonts w:ascii="Verdana" w:eastAsia="Calibri" w:hAnsi="Verdana"/>
          <w:noProof/>
          <w:sz w:val="20"/>
          <w:szCs w:val="22"/>
          <w:lang w:val="sr-Cyrl-RS" w:eastAsia="en-US"/>
        </w:rPr>
        <w:t>Право на регрес за коришћење годишњег одмора  на 12.000 РСД, уместо просечене зараде на нивоу Друштва (која је износила око 150.000</w:t>
      </w:r>
      <w:r w:rsidR="00A3417B">
        <w:rPr>
          <w:rFonts w:ascii="Verdana" w:eastAsia="Calibri" w:hAnsi="Verdana"/>
          <w:noProof/>
          <w:sz w:val="20"/>
          <w:szCs w:val="22"/>
          <w:lang w:val="sr-Cyrl-RS" w:eastAsia="en-US"/>
        </w:rPr>
        <w:t xml:space="preserve"> </w:t>
      </w:r>
      <w:r w:rsidRPr="00AB3461">
        <w:rPr>
          <w:rFonts w:ascii="Verdana" w:eastAsia="Calibri" w:hAnsi="Verdana"/>
          <w:noProof/>
          <w:sz w:val="20"/>
          <w:szCs w:val="22"/>
          <w:lang w:val="sr-Cyrl-RS" w:eastAsia="en-US"/>
        </w:rPr>
        <w:t>РСД).</w:t>
      </w:r>
    </w:p>
    <w:p w:rsidR="00D175C6" w:rsidRPr="00663C8C" w:rsidRDefault="00D175C6" w:rsidP="00D175C6">
      <w:pPr>
        <w:pStyle w:val="ListParagraph"/>
        <w:spacing w:after="120" w:line="276" w:lineRule="auto"/>
        <w:ind w:left="0" w:firstLine="284"/>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План је рађен на бази стварних трошкова у текућој години, при чему је посебна пажња посвећена наставку рационалне политике и контроле трошкова. Приликом пројекције узете су у обзир следеће претпоставке:</w:t>
      </w:r>
    </w:p>
    <w:p w:rsidR="00D175C6" w:rsidRPr="00663C8C"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планирани раст курса,</w:t>
      </w:r>
    </w:p>
    <w:p w:rsidR="00D175C6" w:rsidRPr="00663C8C"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најављена поскупљења за 201</w:t>
      </w:r>
      <w:r>
        <w:rPr>
          <w:rFonts w:ascii="Verdana" w:eastAsia="Calibri" w:hAnsi="Verdana"/>
          <w:noProof/>
          <w:sz w:val="20"/>
          <w:szCs w:val="22"/>
          <w:lang w:val="sr-Cyrl-RS" w:eastAsia="en-US"/>
        </w:rPr>
        <w:t>5</w:t>
      </w:r>
      <w:r w:rsidRPr="00663C8C">
        <w:rPr>
          <w:rFonts w:ascii="Verdana" w:eastAsia="Calibri" w:hAnsi="Verdana"/>
          <w:noProof/>
          <w:sz w:val="20"/>
          <w:szCs w:val="22"/>
          <w:lang w:val="sr-Cyrl-RS" w:eastAsia="en-US"/>
        </w:rPr>
        <w:t>. годину,</w:t>
      </w:r>
    </w:p>
    <w:p w:rsidR="00D175C6" w:rsidRPr="00663C8C"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пројектоване инвестиционе и текуће набавке,</w:t>
      </w:r>
    </w:p>
    <w:p w:rsidR="00D175C6" w:rsidRPr="00663C8C"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очекивана инфлација и</w:t>
      </w:r>
    </w:p>
    <w:p w:rsidR="00D175C6" w:rsidRPr="00663C8C"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пројектовано време за снимање стања, тестирање и имплементацију ИИС</w:t>
      </w:r>
    </w:p>
    <w:p w:rsidR="00D175C6"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sidRPr="00663C8C">
        <w:rPr>
          <w:rFonts w:ascii="Verdana" w:eastAsia="Calibri" w:hAnsi="Verdana"/>
          <w:noProof/>
          <w:sz w:val="20"/>
          <w:szCs w:val="22"/>
          <w:lang w:val="sr-Cyrl-RS" w:eastAsia="en-US"/>
        </w:rPr>
        <w:t xml:space="preserve">смањење </w:t>
      </w:r>
      <w:r>
        <w:rPr>
          <w:rFonts w:ascii="Verdana" w:eastAsia="Calibri" w:hAnsi="Verdana"/>
          <w:noProof/>
          <w:sz w:val="20"/>
          <w:szCs w:val="22"/>
          <w:lang w:val="sr-Cyrl-RS" w:eastAsia="en-US"/>
        </w:rPr>
        <w:t>зарада и накнада члановима Надзорног одбора и Комисије за ревизију, а у складу са измењеним Колективним уговором</w:t>
      </w:r>
      <w:r w:rsidRPr="00663C8C">
        <w:rPr>
          <w:rFonts w:ascii="Verdana" w:eastAsia="Calibri" w:hAnsi="Verdana"/>
          <w:noProof/>
          <w:sz w:val="20"/>
          <w:szCs w:val="22"/>
          <w:lang w:val="sr-Cyrl-RS" w:eastAsia="en-US"/>
        </w:rPr>
        <w:t xml:space="preserve">. </w:t>
      </w:r>
    </w:p>
    <w:p w:rsidR="00D175C6" w:rsidRDefault="00D175C6" w:rsidP="00AA625F">
      <w:pPr>
        <w:pStyle w:val="ListParagraph"/>
        <w:numPr>
          <w:ilvl w:val="0"/>
          <w:numId w:val="16"/>
        </w:numPr>
        <w:spacing w:after="200" w:line="276" w:lineRule="auto"/>
        <w:contextualSpacing/>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трошкове извиђаја и процене штете, по најгорем могућем сценарију (губитак арбитражног поступка)</w:t>
      </w:r>
    </w:p>
    <w:p w:rsidR="00D175C6" w:rsidRDefault="00D175C6" w:rsidP="00D175C6">
      <w:pPr>
        <w:pStyle w:val="ListParagraph"/>
        <w:spacing w:after="200" w:line="276" w:lineRule="auto"/>
        <w:contextualSpacing/>
        <w:jc w:val="both"/>
        <w:rPr>
          <w:rFonts w:ascii="Verdana" w:eastAsia="Calibri" w:hAnsi="Verdana"/>
          <w:noProof/>
          <w:sz w:val="20"/>
          <w:szCs w:val="22"/>
          <w:lang w:val="sr-Cyrl-RS" w:eastAsia="en-US"/>
        </w:rPr>
      </w:pPr>
    </w:p>
    <w:p w:rsidR="00D175C6" w:rsidRPr="00B34A2E" w:rsidRDefault="00D175C6" w:rsidP="00D175C6">
      <w:pPr>
        <w:pStyle w:val="ListParagraph"/>
        <w:spacing w:after="200" w:line="276" w:lineRule="auto"/>
        <w:ind w:left="0"/>
        <w:contextualSpacing/>
        <w:jc w:val="both"/>
        <w:rPr>
          <w:rFonts w:ascii="Verdana" w:hAnsi="Verdana"/>
          <w:sz w:val="20"/>
          <w:szCs w:val="20"/>
          <w:lang w:val="sr-Cyrl-RS"/>
        </w:rPr>
      </w:pPr>
      <w:r>
        <w:rPr>
          <w:rFonts w:ascii="Verdana" w:hAnsi="Verdana"/>
          <w:sz w:val="20"/>
          <w:szCs w:val="20"/>
          <w:lang w:val="sr-Cyrl-RS"/>
        </w:rPr>
        <w:tab/>
      </w:r>
      <w:r w:rsidRPr="00B34A2E">
        <w:rPr>
          <w:rFonts w:ascii="Verdana" w:hAnsi="Verdana"/>
          <w:sz w:val="20"/>
          <w:szCs w:val="20"/>
          <w:lang w:val="sr-Cyrl-RS"/>
        </w:rPr>
        <w:t>Покриће трошкова спровођења</w:t>
      </w:r>
      <w:r w:rsidRPr="00B34A2E">
        <w:rPr>
          <w:rFonts w:ascii="Verdana" w:hAnsi="Verdana"/>
          <w:sz w:val="20"/>
          <w:szCs w:val="20"/>
          <w:lang w:val="sr-Latn-RS"/>
        </w:rPr>
        <w:t xml:space="preserve"> </w:t>
      </w:r>
      <w:r w:rsidRPr="00B34A2E">
        <w:rPr>
          <w:rFonts w:ascii="Verdana" w:hAnsi="Verdana"/>
          <w:sz w:val="20"/>
          <w:szCs w:val="20"/>
          <w:lang w:val="sr-Cyrl-RS"/>
        </w:rPr>
        <w:t xml:space="preserve">ће се вршити из планираног режијског додатка у износу од </w:t>
      </w:r>
      <w:r>
        <w:rPr>
          <w:rFonts w:ascii="Verdana" w:hAnsi="Verdana"/>
          <w:sz w:val="20"/>
          <w:szCs w:val="20"/>
          <w:lang w:val="sr-Cyrl-RS"/>
        </w:rPr>
        <w:t xml:space="preserve">123.525 хиљада динара. Друштво је  препознало ризик непокривености трошкова спровођења и оценило као висок. У циљу праћења овог ризика, односно усклађености трошкова спровођења са режијским додатком и другим изворима за покриће, Друштво ће сачинити оперативни план контроле и даље рационализације трошкова. </w:t>
      </w:r>
    </w:p>
    <w:p w:rsidR="004B0ADE" w:rsidRPr="000545BA" w:rsidRDefault="002F6287" w:rsidP="003A30C5">
      <w:pPr>
        <w:pStyle w:val="ListParagraph"/>
        <w:spacing w:after="200" w:line="276" w:lineRule="auto"/>
        <w:ind w:left="0"/>
        <w:contextualSpacing/>
        <w:jc w:val="both"/>
        <w:rPr>
          <w:rFonts w:ascii="Verdana" w:hAnsi="Verdana"/>
          <w:noProof/>
          <w:sz w:val="20"/>
          <w:szCs w:val="20"/>
          <w:lang w:val="sr-Cyrl-RS"/>
        </w:rPr>
      </w:pPr>
      <w:r w:rsidRPr="000545BA">
        <w:rPr>
          <w:rFonts w:ascii="Verdana" w:hAnsi="Verdana"/>
          <w:noProof/>
          <w:sz w:val="20"/>
          <w:szCs w:val="20"/>
          <w:lang w:val="sr-Cyrl-RS"/>
        </w:rPr>
        <w:t xml:space="preserve"> </w:t>
      </w:r>
    </w:p>
    <w:p w:rsidR="004B0ADE" w:rsidRPr="000545BA" w:rsidRDefault="004B0ADE" w:rsidP="004B0ADE">
      <w:pPr>
        <w:pStyle w:val="ListParagraph"/>
        <w:tabs>
          <w:tab w:val="left" w:pos="1210"/>
        </w:tabs>
        <w:spacing w:after="200" w:line="276" w:lineRule="auto"/>
        <w:contextualSpacing/>
        <w:jc w:val="both"/>
        <w:rPr>
          <w:rFonts w:ascii="Verdana" w:hAnsi="Verdana"/>
          <w:b/>
          <w:i/>
          <w:noProof/>
          <w:color w:val="365F91"/>
          <w:sz w:val="10"/>
          <w:szCs w:val="10"/>
          <w:lang w:val="sr-Cyrl-RS"/>
        </w:rPr>
      </w:pPr>
      <w:r w:rsidRPr="000545BA">
        <w:rPr>
          <w:rFonts w:ascii="Verdana" w:hAnsi="Verdana"/>
          <w:b/>
          <w:i/>
          <w:noProof/>
          <w:color w:val="365F91"/>
          <w:sz w:val="20"/>
          <w:szCs w:val="20"/>
          <w:lang w:val="sr-Cyrl-RS"/>
        </w:rPr>
        <w:tab/>
      </w:r>
    </w:p>
    <w:p w:rsidR="0005351E" w:rsidRPr="000545BA" w:rsidRDefault="0005351E" w:rsidP="0005351E">
      <w:pPr>
        <w:pStyle w:val="Heading1"/>
        <w:numPr>
          <w:ilvl w:val="0"/>
          <w:numId w:val="3"/>
        </w:numPr>
        <w:tabs>
          <w:tab w:val="clear" w:pos="432"/>
        </w:tabs>
        <w:ind w:left="0" w:firstLine="0"/>
        <w:rPr>
          <w:rFonts w:ascii="Verdana" w:hAnsi="Verdana" w:cs="Tahoma"/>
          <w:noProof/>
          <w:color w:val="365F91"/>
          <w:sz w:val="24"/>
          <w:szCs w:val="18"/>
          <w:lang w:val="sr-Cyrl-RS"/>
        </w:rPr>
      </w:pPr>
      <w:bookmarkStart w:id="48" w:name="_Toc414610349"/>
      <w:r w:rsidRPr="000545BA">
        <w:rPr>
          <w:rFonts w:ascii="Verdana" w:hAnsi="Verdana" w:cs="Tahoma"/>
          <w:noProof/>
          <w:color w:val="365F91"/>
          <w:sz w:val="24"/>
          <w:szCs w:val="18"/>
          <w:lang w:val="sr-Cyrl-RS"/>
        </w:rPr>
        <w:t>ПЛАН ДЕПОНОВАЊА И УЛАГАЊА СРЕДСТАВА ДРУШТВА</w:t>
      </w:r>
      <w:bookmarkEnd w:id="48"/>
    </w:p>
    <w:p w:rsidR="0005351E" w:rsidRPr="000545BA" w:rsidRDefault="0005351E" w:rsidP="0005351E">
      <w:pPr>
        <w:pStyle w:val="Heading1"/>
        <w:numPr>
          <w:ilvl w:val="0"/>
          <w:numId w:val="0"/>
        </w:numPr>
        <w:ind w:left="432" w:hanging="432"/>
        <w:rPr>
          <w:rFonts w:ascii="Verdana" w:hAnsi="Verdana" w:cs="Tahoma"/>
          <w:noProof/>
          <w:color w:val="365F91"/>
          <w:sz w:val="14"/>
          <w:szCs w:val="14"/>
          <w:highlight w:val="cyan"/>
          <w:lang w:val="sr-Cyrl-RS"/>
        </w:rPr>
      </w:pPr>
    </w:p>
    <w:p w:rsidR="00A051F5" w:rsidRPr="009D3D57"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Изворе средстава за депоновање и улагање чине средства гарантне и техничке резерве и остала средства Друштва.</w:t>
      </w:r>
    </w:p>
    <w:p w:rsidR="00A051F5" w:rsidRPr="009D3D57"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Ограничења депоновања и улагања средстава утврђена су Законом о осигурању, Одлуком НБС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и Правилником Друштва о условима и начину депоновања и улагања средстава.</w:t>
      </w:r>
    </w:p>
    <w:p w:rsidR="00A051F5"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Стратегијско опредељење Друштва у погледу депоновања и улагања средстава усмерено је на сигурност улагања и одржавање високе стопе ликвидности уз остварење задовољавајућих приноса, као и формирање портфолиа који ће дугорочно посматрано обезбедити покриће</w:t>
      </w:r>
      <w:r>
        <w:rPr>
          <w:rFonts w:ascii="Verdana" w:eastAsia="Calibri" w:hAnsi="Verdana"/>
          <w:noProof/>
          <w:sz w:val="20"/>
          <w:szCs w:val="22"/>
          <w:lang w:val="sr-Cyrl-RS" w:eastAsia="en-US"/>
        </w:rPr>
        <w:t xml:space="preserve"> законом утврђених</w:t>
      </w:r>
      <w:r w:rsidRPr="009D3D57">
        <w:rPr>
          <w:rFonts w:ascii="Verdana" w:eastAsia="Calibri" w:hAnsi="Verdana"/>
          <w:noProof/>
          <w:sz w:val="20"/>
          <w:szCs w:val="22"/>
          <w:lang w:val="sr-Cyrl-RS" w:eastAsia="en-US"/>
        </w:rPr>
        <w:t xml:space="preserve"> резерви.</w:t>
      </w:r>
    </w:p>
    <w:p w:rsidR="00A051F5"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У  2014. години:</w:t>
      </w:r>
    </w:p>
    <w:p w:rsidR="00A051F5" w:rsidRDefault="00A051F5" w:rsidP="003E48B9">
      <w:pPr>
        <w:pStyle w:val="ListParagraph"/>
        <w:numPr>
          <w:ilvl w:val="0"/>
          <w:numId w:val="19"/>
        </w:numPr>
        <w:spacing w:before="120"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т</w:t>
      </w:r>
      <w:r w:rsidRPr="004C2FF2">
        <w:rPr>
          <w:rFonts w:ascii="Verdana" w:eastAsia="Calibri" w:hAnsi="Verdana"/>
          <w:noProof/>
          <w:sz w:val="20"/>
          <w:szCs w:val="22"/>
          <w:lang w:val="sr-Cyrl-RS" w:eastAsia="en-US"/>
        </w:rPr>
        <w:t xml:space="preserve">ржиште капитала је  </w:t>
      </w:r>
      <w:r w:rsidRPr="008571EC">
        <w:rPr>
          <w:rFonts w:ascii="Verdana" w:eastAsia="Calibri" w:hAnsi="Verdana"/>
          <w:noProof/>
          <w:sz w:val="20"/>
          <w:szCs w:val="22"/>
          <w:lang w:val="sr-Cyrl-RS" w:eastAsia="en-US"/>
        </w:rPr>
        <w:t>карактери</w:t>
      </w:r>
      <w:r>
        <w:rPr>
          <w:rFonts w:ascii="Verdana" w:eastAsia="Calibri" w:hAnsi="Verdana"/>
          <w:noProof/>
          <w:sz w:val="20"/>
          <w:szCs w:val="22"/>
          <w:lang w:val="sr-Cyrl-RS" w:eastAsia="en-US"/>
        </w:rPr>
        <w:t>сао</w:t>
      </w:r>
      <w:r w:rsidRPr="008571EC">
        <w:rPr>
          <w:rFonts w:ascii="Verdana" w:eastAsia="Calibri" w:hAnsi="Verdana"/>
          <w:noProof/>
          <w:sz w:val="20"/>
          <w:szCs w:val="22"/>
          <w:lang w:val="sr-Cyrl-RS" w:eastAsia="en-US"/>
        </w:rPr>
        <w:t xml:space="preserve"> значајан раст вредности реперних индекса. БЕЛЕКС 15 као индекс најкликвиднијих акција листираних на Београдској берзи је порастао за 17,49%.</w:t>
      </w:r>
    </w:p>
    <w:p w:rsidR="00A051F5" w:rsidRDefault="00A051F5" w:rsidP="003E48B9">
      <w:pPr>
        <w:pStyle w:val="ListParagraph"/>
        <w:numPr>
          <w:ilvl w:val="0"/>
          <w:numId w:val="19"/>
        </w:numPr>
        <w:spacing w:before="120"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настављен је тренд пада каматних стопа на депозите,</w:t>
      </w:r>
    </w:p>
    <w:p w:rsidR="00A051F5" w:rsidRDefault="00A051F5" w:rsidP="003E48B9">
      <w:pPr>
        <w:pStyle w:val="ListParagraph"/>
        <w:numPr>
          <w:ilvl w:val="0"/>
          <w:numId w:val="19"/>
        </w:numPr>
        <w:spacing w:before="120"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забележен је негативан тренд извршних стопа на аукцијама државних хартија од вредности.</w:t>
      </w:r>
    </w:p>
    <w:p w:rsidR="00A051F5" w:rsidRDefault="00A051F5" w:rsidP="003E48B9">
      <w:pPr>
        <w:pStyle w:val="ListParagraph"/>
        <w:numPr>
          <w:ilvl w:val="0"/>
          <w:numId w:val="19"/>
        </w:numPr>
        <w:spacing w:before="120" w:after="120" w:line="276" w:lineRule="auto"/>
        <w:jc w:val="both"/>
        <w:rPr>
          <w:rFonts w:ascii="Verdana" w:eastAsia="Calibri" w:hAnsi="Verdana"/>
          <w:noProof/>
          <w:sz w:val="20"/>
          <w:szCs w:val="22"/>
          <w:lang w:val="sr-Cyrl-RS" w:eastAsia="en-US"/>
        </w:rPr>
      </w:pPr>
      <w:r w:rsidRPr="007B0471">
        <w:rPr>
          <w:rFonts w:ascii="Verdana" w:eastAsia="Calibri" w:hAnsi="Verdana"/>
          <w:noProof/>
          <w:sz w:val="20"/>
          <w:szCs w:val="22"/>
          <w:lang w:val="sr-Cyrl-RS" w:eastAsia="en-US"/>
        </w:rPr>
        <w:t>У 2013. и почетком 2014. године, Привредна банка Београд и Универзал банка  су  изгубиле дозволу за рад и п</w:t>
      </w:r>
      <w:r>
        <w:rPr>
          <w:rFonts w:ascii="Verdana" w:eastAsia="Calibri" w:hAnsi="Verdana"/>
          <w:noProof/>
          <w:sz w:val="20"/>
          <w:szCs w:val="22"/>
          <w:lang w:val="sr-Cyrl-RS" w:eastAsia="en-US"/>
        </w:rPr>
        <w:t xml:space="preserve">окренут је стечајни поступак. </w:t>
      </w:r>
    </w:p>
    <w:p w:rsidR="00A051F5" w:rsidRPr="007B0471" w:rsidRDefault="00A051F5" w:rsidP="003E48B9">
      <w:pPr>
        <w:numPr>
          <w:ilvl w:val="0"/>
          <w:numId w:val="19"/>
        </w:numPr>
        <w:spacing w:line="276" w:lineRule="auto"/>
        <w:jc w:val="both"/>
        <w:rPr>
          <w:rFonts w:ascii="Verdana" w:eastAsia="Calibri" w:hAnsi="Verdana"/>
          <w:noProof/>
          <w:sz w:val="20"/>
          <w:szCs w:val="22"/>
          <w:lang w:val="sr-Cyrl-RS" w:eastAsia="en-US"/>
        </w:rPr>
      </w:pPr>
      <w:r w:rsidRPr="007B0471">
        <w:rPr>
          <w:rFonts w:ascii="Verdana" w:eastAsia="Calibri" w:hAnsi="Verdana"/>
          <w:noProof/>
          <w:sz w:val="20"/>
          <w:szCs w:val="22"/>
          <w:lang w:val="sr-Cyrl-RS" w:eastAsia="en-US"/>
        </w:rPr>
        <w:t>Народна банка Србије је</w:t>
      </w:r>
      <w:r>
        <w:rPr>
          <w:rFonts w:ascii="Verdana" w:eastAsia="Calibri" w:hAnsi="Verdana"/>
          <w:noProof/>
          <w:sz w:val="20"/>
          <w:szCs w:val="22"/>
          <w:lang w:val="sr-Cyrl-RS" w:eastAsia="en-US"/>
        </w:rPr>
        <w:t xml:space="preserve"> крајем године</w:t>
      </w:r>
      <w:r w:rsidRPr="007B0471">
        <w:rPr>
          <w:rFonts w:ascii="Verdana" w:eastAsia="Calibri" w:hAnsi="Verdana"/>
          <w:noProof/>
          <w:sz w:val="20"/>
          <w:szCs w:val="22"/>
          <w:lang w:val="sr-Cyrl-RS" w:eastAsia="en-US"/>
        </w:rPr>
        <w:t xml:space="preserve"> припремила Нацрт закона o изменама и допунама Закона о банкама којим се мења правни оквир за реструктурирање банака у Републици Србији и уводи свеобухватан сет правила чији је циљ остваривање континуитета у обављању критичних функција банке, обезбеђивање стабилности финансијског система, заштита депонената и инвеститора, новчаних средстава и друге имовине клијената, као и заштита буџетских и других јавних средстава. Предложеним решењима Нацрта закона о изменама и допунама Закона о банкама, Народна банка Србије би преузела улогу тела надлежног за реструктурирање и била овлашћена да у поступку реструктурирања банке предузима инструменте реструктурирања - продају акција, односно имовине и обавеза банке; пренос акција, односно имовине и обавеза банци за посебне намене; одвајање имовине и расподелу губитака на акционаре и повериоце. Овим нацртом предвиђене су и мере заштите акционара, поверилаца и трећих лица које би Народна банка Србије, као тело надлежно за реструктурирање, била дужна да примењ</w:t>
      </w:r>
      <w:r>
        <w:rPr>
          <w:rFonts w:ascii="Verdana" w:eastAsia="Calibri" w:hAnsi="Verdana"/>
          <w:noProof/>
          <w:sz w:val="20"/>
          <w:szCs w:val="22"/>
          <w:lang w:val="sr-Cyrl-RS" w:eastAsia="en-US"/>
        </w:rPr>
        <w:t>ује у поступку реструктурирања.</w:t>
      </w:r>
    </w:p>
    <w:p w:rsidR="00A3417B" w:rsidRDefault="00A3417B" w:rsidP="00A051F5">
      <w:pPr>
        <w:pStyle w:val="ListParagraph"/>
        <w:spacing w:before="120" w:after="120" w:line="276" w:lineRule="auto"/>
        <w:ind w:left="0" w:firstLine="284"/>
        <w:jc w:val="both"/>
        <w:rPr>
          <w:rFonts w:ascii="Verdana" w:eastAsia="Calibri" w:hAnsi="Verdana"/>
          <w:noProof/>
          <w:sz w:val="20"/>
          <w:szCs w:val="22"/>
          <w:lang w:val="sr-Cyrl-RS" w:eastAsia="en-US"/>
        </w:rPr>
      </w:pPr>
    </w:p>
    <w:p w:rsidR="00A3417B" w:rsidRDefault="00A3417B" w:rsidP="00A051F5">
      <w:pPr>
        <w:pStyle w:val="ListParagraph"/>
        <w:spacing w:before="120" w:after="120" w:line="276" w:lineRule="auto"/>
        <w:ind w:left="0" w:firstLine="284"/>
        <w:jc w:val="both"/>
        <w:rPr>
          <w:rFonts w:ascii="Verdana" w:eastAsia="Calibri" w:hAnsi="Verdana"/>
          <w:noProof/>
          <w:sz w:val="20"/>
          <w:szCs w:val="22"/>
          <w:lang w:val="sr-Cyrl-RS" w:eastAsia="en-US"/>
        </w:rPr>
      </w:pPr>
    </w:p>
    <w:p w:rsidR="00A051F5" w:rsidRPr="009D3D57"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У 2015. години, планирана је дисперзија улагања и структурне промене инвестиционог портфолиа како би се обездила сигурности и повећали приноси.</w:t>
      </w:r>
    </w:p>
    <w:p w:rsidR="00A051F5" w:rsidRPr="009D3D57" w:rsidRDefault="00A051F5" w:rsidP="00A051F5">
      <w:pPr>
        <w:pStyle w:val="ListParagraph"/>
        <w:spacing w:before="120" w:after="120" w:line="276" w:lineRule="auto"/>
        <w:ind w:left="0" w:firstLine="284"/>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Полазну основу за формулисање инвестиционог плана Друштва за 201</w:t>
      </w:r>
      <w:r>
        <w:rPr>
          <w:rFonts w:ascii="Verdana" w:eastAsia="Calibri" w:hAnsi="Verdana"/>
          <w:noProof/>
          <w:sz w:val="20"/>
          <w:szCs w:val="22"/>
          <w:lang w:val="sr-Cyrl-RS" w:eastAsia="en-US"/>
        </w:rPr>
        <w:t>5</w:t>
      </w:r>
      <w:r w:rsidRPr="009D3D57">
        <w:rPr>
          <w:rFonts w:ascii="Verdana" w:eastAsia="Calibri" w:hAnsi="Verdana"/>
          <w:noProof/>
          <w:sz w:val="20"/>
          <w:szCs w:val="22"/>
          <w:lang w:val="sr-Cyrl-RS" w:eastAsia="en-US"/>
        </w:rPr>
        <w:t xml:space="preserve">. годину представља: </w:t>
      </w:r>
    </w:p>
    <w:p w:rsidR="00A051F5" w:rsidRPr="009D3D57"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 xml:space="preserve">постојећи инвестициони портфолио Друштва, </w:t>
      </w:r>
    </w:p>
    <w:p w:rsidR="00A051F5" w:rsidRPr="009D3D57"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пројектовани приливи и одливи из пословања,</w:t>
      </w:r>
    </w:p>
    <w:p w:rsidR="00A051F5" w:rsidRPr="009D3D57"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 xml:space="preserve">кретање девизног курса на нивоу од </w:t>
      </w:r>
      <w:r>
        <w:rPr>
          <w:rFonts w:ascii="Verdana" w:eastAsia="Calibri" w:hAnsi="Verdana"/>
          <w:noProof/>
          <w:sz w:val="20"/>
          <w:szCs w:val="22"/>
          <w:lang w:val="sr-Cyrl-RS" w:eastAsia="en-US"/>
        </w:rPr>
        <w:t>123</w:t>
      </w:r>
      <w:r w:rsidRPr="009D3D57">
        <w:rPr>
          <w:rFonts w:ascii="Verdana" w:eastAsia="Calibri" w:hAnsi="Verdana"/>
          <w:noProof/>
          <w:sz w:val="20"/>
          <w:szCs w:val="22"/>
          <w:lang w:val="sr-Cyrl-RS" w:eastAsia="en-US"/>
        </w:rPr>
        <w:t xml:space="preserve"> за 1 ЕУР,</w:t>
      </w:r>
    </w:p>
    <w:p w:rsidR="00A051F5" w:rsidRPr="009D3D57"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пројектована каматна стопа на депозите у РСД од РЕПО-</w:t>
      </w:r>
      <w:r>
        <w:rPr>
          <w:rFonts w:ascii="Verdana" w:eastAsia="Calibri" w:hAnsi="Verdana"/>
          <w:noProof/>
          <w:sz w:val="20"/>
          <w:szCs w:val="22"/>
          <w:lang w:val="sr-Cyrl-RS" w:eastAsia="en-US"/>
        </w:rPr>
        <w:t>3</w:t>
      </w:r>
      <w:r w:rsidRPr="009D3D57">
        <w:rPr>
          <w:rFonts w:ascii="Verdana" w:eastAsia="Calibri" w:hAnsi="Verdana"/>
          <w:noProof/>
          <w:sz w:val="20"/>
          <w:szCs w:val="22"/>
          <w:lang w:val="sr-Cyrl-RS" w:eastAsia="en-US"/>
        </w:rPr>
        <w:t xml:space="preserve"> до висине РЕПО </w:t>
      </w:r>
      <w:r>
        <w:rPr>
          <w:rFonts w:ascii="Verdana" w:eastAsia="Calibri" w:hAnsi="Verdana"/>
          <w:noProof/>
          <w:sz w:val="20"/>
          <w:szCs w:val="22"/>
          <w:lang w:val="sr-Cyrl-RS" w:eastAsia="en-US"/>
        </w:rPr>
        <w:t>-2</w:t>
      </w:r>
      <w:r w:rsidRPr="009D3D57">
        <w:rPr>
          <w:rFonts w:ascii="Verdana" w:eastAsia="Calibri" w:hAnsi="Verdana"/>
          <w:noProof/>
          <w:sz w:val="20"/>
          <w:szCs w:val="22"/>
          <w:lang w:val="sr-Cyrl-RS" w:eastAsia="en-US"/>
        </w:rPr>
        <w:t xml:space="preserve"> на годишњем нивоу</w:t>
      </w:r>
      <w:r>
        <w:rPr>
          <w:rFonts w:ascii="Verdana" w:eastAsia="Calibri" w:hAnsi="Verdana"/>
          <w:noProof/>
          <w:sz w:val="20"/>
          <w:szCs w:val="22"/>
          <w:lang w:val="sr-Cyrl-RS" w:eastAsia="en-US"/>
        </w:rPr>
        <w:t xml:space="preserve"> (5,5 до 6,5%)</w:t>
      </w:r>
      <w:r w:rsidRPr="009D3D57">
        <w:rPr>
          <w:rFonts w:ascii="Verdana" w:eastAsia="Calibri" w:hAnsi="Verdana"/>
          <w:noProof/>
          <w:sz w:val="20"/>
          <w:szCs w:val="22"/>
          <w:lang w:val="sr-Cyrl-RS" w:eastAsia="en-US"/>
        </w:rPr>
        <w:t>,</w:t>
      </w:r>
    </w:p>
    <w:p w:rsidR="00A051F5" w:rsidRPr="00A56419"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A56419">
        <w:rPr>
          <w:rFonts w:ascii="Verdana" w:eastAsia="Calibri" w:hAnsi="Verdana"/>
          <w:noProof/>
          <w:sz w:val="20"/>
          <w:szCs w:val="22"/>
          <w:lang w:val="sr-Cyrl-RS" w:eastAsia="en-US"/>
        </w:rPr>
        <w:t xml:space="preserve">пројектована каматна стопа на депозите у ЕУР од </w:t>
      </w:r>
      <w:r>
        <w:rPr>
          <w:rFonts w:ascii="Verdana" w:eastAsia="Calibri" w:hAnsi="Verdana"/>
          <w:noProof/>
          <w:sz w:val="20"/>
          <w:szCs w:val="22"/>
          <w:lang w:val="sr-Cyrl-RS" w:eastAsia="en-US"/>
        </w:rPr>
        <w:t>1</w:t>
      </w:r>
      <w:r w:rsidRPr="00A56419">
        <w:rPr>
          <w:rFonts w:ascii="Verdana" w:eastAsia="Calibri" w:hAnsi="Verdana"/>
          <w:noProof/>
          <w:sz w:val="20"/>
          <w:szCs w:val="22"/>
          <w:lang w:val="sr-Cyrl-RS" w:eastAsia="en-US"/>
        </w:rPr>
        <w:t xml:space="preserve"> до </w:t>
      </w:r>
      <w:r>
        <w:rPr>
          <w:rFonts w:ascii="Verdana" w:eastAsia="Calibri" w:hAnsi="Verdana"/>
          <w:noProof/>
          <w:sz w:val="20"/>
          <w:szCs w:val="22"/>
          <w:lang w:val="sr-Cyrl-RS" w:eastAsia="en-US"/>
        </w:rPr>
        <w:t>2</w:t>
      </w:r>
      <w:r w:rsidRPr="00A56419">
        <w:rPr>
          <w:rFonts w:ascii="Verdana" w:eastAsia="Calibri" w:hAnsi="Verdana"/>
          <w:noProof/>
          <w:sz w:val="20"/>
          <w:szCs w:val="22"/>
          <w:lang w:val="sr-Cyrl-RS" w:eastAsia="en-US"/>
        </w:rPr>
        <w:t>% на годишњем нивоу,</w:t>
      </w:r>
    </w:p>
    <w:p w:rsidR="00A051F5" w:rsidRPr="00A56419"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A56419">
        <w:rPr>
          <w:rFonts w:ascii="Verdana" w:eastAsia="Calibri" w:hAnsi="Verdana"/>
          <w:noProof/>
          <w:sz w:val="20"/>
          <w:szCs w:val="22"/>
          <w:lang w:val="sr-Cyrl-RS" w:eastAsia="en-US"/>
        </w:rPr>
        <w:t xml:space="preserve">пројектована каматна стопа на депозите у УСД од 0,5 до </w:t>
      </w:r>
      <w:r>
        <w:rPr>
          <w:rFonts w:ascii="Verdana" w:eastAsia="Calibri" w:hAnsi="Verdana"/>
          <w:noProof/>
          <w:sz w:val="20"/>
          <w:szCs w:val="22"/>
          <w:lang w:val="sr-Cyrl-RS" w:eastAsia="en-US"/>
        </w:rPr>
        <w:t>1</w:t>
      </w:r>
      <w:r w:rsidRPr="00A56419">
        <w:rPr>
          <w:rFonts w:ascii="Verdana" w:eastAsia="Calibri" w:hAnsi="Verdana"/>
          <w:noProof/>
          <w:sz w:val="20"/>
          <w:szCs w:val="22"/>
          <w:lang w:val="sr-Cyrl-RS" w:eastAsia="en-US"/>
        </w:rPr>
        <w:t xml:space="preserve">% на годишњем нивоу </w:t>
      </w:r>
    </w:p>
    <w:p w:rsidR="00A051F5" w:rsidRPr="00A56419"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A56419">
        <w:rPr>
          <w:rFonts w:ascii="Verdana" w:eastAsia="Calibri" w:hAnsi="Verdana"/>
          <w:noProof/>
          <w:sz w:val="20"/>
          <w:szCs w:val="22"/>
          <w:lang w:val="sr-Cyrl-RS" w:eastAsia="en-US"/>
        </w:rPr>
        <w:t>пројектована извршна стопа на државним хартијама од вредности деноминованих у ЕУР</w:t>
      </w:r>
      <w:r>
        <w:rPr>
          <w:rFonts w:ascii="Verdana" w:eastAsia="Calibri" w:hAnsi="Verdana"/>
          <w:noProof/>
          <w:sz w:val="20"/>
          <w:szCs w:val="22"/>
          <w:lang w:val="sr-Cyrl-RS" w:eastAsia="en-US"/>
        </w:rPr>
        <w:t xml:space="preserve"> од 2% до</w:t>
      </w:r>
      <w:r w:rsidRPr="00A56419">
        <w:rPr>
          <w:rFonts w:ascii="Verdana" w:eastAsia="Calibri" w:hAnsi="Verdana"/>
          <w:noProof/>
          <w:sz w:val="20"/>
          <w:szCs w:val="22"/>
          <w:lang w:val="sr-Cyrl-RS" w:eastAsia="en-US"/>
        </w:rPr>
        <w:t xml:space="preserve"> </w:t>
      </w:r>
      <w:r>
        <w:rPr>
          <w:rFonts w:ascii="Verdana" w:eastAsia="Calibri" w:hAnsi="Verdana"/>
          <w:noProof/>
          <w:sz w:val="20"/>
          <w:szCs w:val="22"/>
          <w:lang w:val="sr-Cyrl-RS" w:eastAsia="en-US"/>
        </w:rPr>
        <w:t>4,0</w:t>
      </w:r>
      <w:r w:rsidRPr="00A56419">
        <w:rPr>
          <w:rFonts w:ascii="Verdana" w:eastAsia="Calibri" w:hAnsi="Verdana"/>
          <w:noProof/>
          <w:sz w:val="20"/>
          <w:szCs w:val="22"/>
          <w:lang w:val="sr-Cyrl-RS" w:eastAsia="en-US"/>
        </w:rPr>
        <w:t>%</w:t>
      </w:r>
    </w:p>
    <w:p w:rsidR="00A051F5" w:rsidRPr="006C579F" w:rsidRDefault="00A051F5" w:rsidP="00AA625F">
      <w:pPr>
        <w:pStyle w:val="ListParagraph"/>
        <w:numPr>
          <w:ilvl w:val="0"/>
          <w:numId w:val="7"/>
        </w:numPr>
        <w:spacing w:before="120" w:after="120" w:line="276" w:lineRule="auto"/>
        <w:ind w:left="1003" w:hanging="357"/>
        <w:jc w:val="both"/>
        <w:rPr>
          <w:rFonts w:ascii="Verdana" w:eastAsia="Calibri" w:hAnsi="Verdana"/>
          <w:noProof/>
          <w:sz w:val="20"/>
          <w:szCs w:val="22"/>
          <w:lang w:val="sr-Cyrl-RS" w:eastAsia="en-US"/>
        </w:rPr>
      </w:pPr>
      <w:r w:rsidRPr="00A56419">
        <w:rPr>
          <w:rFonts w:ascii="Verdana" w:eastAsia="Calibri" w:hAnsi="Verdana"/>
          <w:noProof/>
          <w:sz w:val="20"/>
          <w:szCs w:val="22"/>
          <w:lang w:val="sr-Cyrl-RS" w:eastAsia="en-US"/>
        </w:rPr>
        <w:t>стабилна вредност акција у потрфолиу Друштва у току 201</w:t>
      </w:r>
      <w:r>
        <w:rPr>
          <w:rFonts w:ascii="Verdana" w:eastAsia="Calibri" w:hAnsi="Verdana"/>
          <w:noProof/>
          <w:sz w:val="20"/>
          <w:szCs w:val="22"/>
          <w:lang w:val="sr-Cyrl-RS" w:eastAsia="en-US"/>
        </w:rPr>
        <w:t>5</w:t>
      </w:r>
      <w:r w:rsidRPr="00A56419">
        <w:rPr>
          <w:rFonts w:ascii="Verdana" w:eastAsia="Calibri" w:hAnsi="Verdana"/>
          <w:noProof/>
          <w:sz w:val="20"/>
          <w:szCs w:val="22"/>
          <w:lang w:val="sr-Cyrl-RS" w:eastAsia="en-US"/>
        </w:rPr>
        <w:t>. године.</w:t>
      </w:r>
    </w:p>
    <w:p w:rsidR="00A051F5" w:rsidRPr="00A051F5" w:rsidRDefault="00A051F5" w:rsidP="00A051F5">
      <w:pPr>
        <w:pStyle w:val="ListParagraph"/>
        <w:spacing w:before="200" w:after="200" w:line="276" w:lineRule="auto"/>
        <w:ind w:left="0" w:firstLine="284"/>
        <w:jc w:val="both"/>
        <w:rPr>
          <w:rFonts w:ascii="Verdana" w:eastAsia="Calibri" w:hAnsi="Verdana"/>
          <w:noProof/>
          <w:sz w:val="2"/>
          <w:szCs w:val="2"/>
          <w:lang w:val="sr-Cyrl-RS" w:eastAsia="en-US"/>
        </w:rPr>
      </w:pPr>
    </w:p>
    <w:p w:rsidR="00A051F5" w:rsidRDefault="00A051F5" w:rsidP="00A051F5">
      <w:pPr>
        <w:pStyle w:val="ListParagraph"/>
        <w:spacing w:before="200" w:after="200" w:line="276" w:lineRule="auto"/>
        <w:ind w:left="0" w:firstLine="284"/>
        <w:jc w:val="both"/>
        <w:rPr>
          <w:rFonts w:ascii="Verdana" w:eastAsia="Calibri" w:hAnsi="Verdana"/>
          <w:noProof/>
          <w:sz w:val="20"/>
          <w:szCs w:val="22"/>
          <w:lang w:val="sr-Cyrl-RS" w:eastAsia="en-US"/>
        </w:rPr>
      </w:pPr>
      <w:r w:rsidRPr="009D3D57">
        <w:rPr>
          <w:rFonts w:ascii="Verdana" w:eastAsia="Calibri" w:hAnsi="Verdana"/>
          <w:noProof/>
          <w:sz w:val="20"/>
          <w:szCs w:val="22"/>
          <w:lang w:val="sr-Cyrl-RS" w:eastAsia="en-US"/>
        </w:rPr>
        <w:t>Током 201</w:t>
      </w:r>
      <w:r>
        <w:rPr>
          <w:rFonts w:ascii="Verdana" w:eastAsia="Calibri" w:hAnsi="Verdana"/>
          <w:noProof/>
          <w:sz w:val="20"/>
          <w:szCs w:val="22"/>
          <w:lang w:val="sr-Cyrl-RS" w:eastAsia="en-US"/>
        </w:rPr>
        <w:t>5</w:t>
      </w:r>
      <w:r w:rsidRPr="009D3D57">
        <w:rPr>
          <w:rFonts w:ascii="Verdana" w:eastAsia="Calibri" w:hAnsi="Verdana"/>
          <w:noProof/>
          <w:sz w:val="20"/>
          <w:szCs w:val="22"/>
          <w:lang w:val="sr-Cyrl-RS" w:eastAsia="en-US"/>
        </w:rPr>
        <w:t xml:space="preserve">. године Друштво ће у складу са успостављеном процедуром планирања </w:t>
      </w:r>
      <w:r w:rsidRPr="009D3D57">
        <w:rPr>
          <w:rFonts w:ascii="Verdana" w:eastAsia="Calibri" w:hAnsi="Verdana"/>
          <w:i/>
          <w:noProof/>
          <w:sz w:val="20"/>
          <w:szCs w:val="22"/>
          <w:lang w:val="sr-Cyrl-RS" w:eastAsia="en-US"/>
        </w:rPr>
        <w:t>cash flow</w:t>
      </w:r>
      <w:r w:rsidRPr="009D3D57">
        <w:rPr>
          <w:rFonts w:ascii="Verdana" w:eastAsia="Calibri" w:hAnsi="Verdana"/>
          <w:noProof/>
          <w:sz w:val="20"/>
          <w:szCs w:val="22"/>
          <w:lang w:val="sr-Cyrl-RS" w:eastAsia="en-US"/>
        </w:rPr>
        <w:t>-a који обезбеђује рочну усклађеност прилива и одлива средстава, као и депоновање и улагање средстава према роковима доспећа обавеза, наставити са постојећом политиком инвестирања средстава која се огледа у високом учешћу банкарских депозита и улагања у државне хартије од вредности.</w:t>
      </w:r>
    </w:p>
    <w:p w:rsidR="00A051F5" w:rsidRDefault="00A051F5" w:rsidP="00A3417B">
      <w:pPr>
        <w:spacing w:before="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Структура инвестиционог портфолиа на дан 31.12.2014 године</w:t>
      </w:r>
    </w:p>
    <w:p w:rsidR="00A051F5" w:rsidRDefault="00A051F5" w:rsidP="00A3417B">
      <w:pPr>
        <w:spacing w:before="120" w:after="120" w:line="276" w:lineRule="auto"/>
        <w:jc w:val="right"/>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У 000 РСД</w:t>
      </w:r>
    </w:p>
    <w:tbl>
      <w:tblPr>
        <w:tblW w:w="9534" w:type="dxa"/>
        <w:tblBorders>
          <w:top w:val="single" w:sz="8" w:space="0" w:color="4F81BD"/>
          <w:bottom w:val="single" w:sz="8" w:space="0" w:color="4F81BD"/>
        </w:tblBorders>
        <w:tblLook w:val="04E0" w:firstRow="1" w:lastRow="1" w:firstColumn="1" w:lastColumn="0" w:noHBand="0" w:noVBand="1"/>
      </w:tblPr>
      <w:tblGrid>
        <w:gridCol w:w="5744"/>
        <w:gridCol w:w="1999"/>
        <w:gridCol w:w="1791"/>
      </w:tblGrid>
      <w:tr w:rsidR="00A051F5" w:rsidRPr="002A119D" w:rsidTr="00A051F5">
        <w:trPr>
          <w:trHeight w:val="227"/>
        </w:trPr>
        <w:tc>
          <w:tcPr>
            <w:tcW w:w="5744" w:type="dxa"/>
            <w:tcBorders>
              <w:top w:val="single" w:sz="8" w:space="0" w:color="4F81BD"/>
              <w:left w:val="nil"/>
              <w:bottom w:val="single" w:sz="8" w:space="0" w:color="4F81BD"/>
              <w:right w:val="nil"/>
            </w:tcBorders>
            <w:shd w:val="clear" w:color="auto" w:fill="auto"/>
            <w:vAlign w:val="center"/>
            <w:hideMark/>
          </w:tcPr>
          <w:p w:rsidR="00A051F5" w:rsidRPr="002A119D" w:rsidRDefault="00A051F5" w:rsidP="00A051F5">
            <w:pPr>
              <w:suppressAutoHyphens w:val="0"/>
              <w:jc w:val="center"/>
              <w:rPr>
                <w:rFonts w:ascii="Calibri" w:hAnsi="Calibri"/>
                <w:b/>
                <w:bCs/>
                <w:color w:val="000000"/>
                <w:sz w:val="22"/>
                <w:szCs w:val="22"/>
                <w:lang w:val="sr-Latn-RS" w:eastAsia="sr-Latn-RS"/>
              </w:rPr>
            </w:pPr>
            <w:r w:rsidRPr="002A119D">
              <w:rPr>
                <w:rFonts w:ascii="Calibri" w:hAnsi="Calibri"/>
                <w:b/>
                <w:bCs/>
                <w:color w:val="000000"/>
                <w:sz w:val="22"/>
                <w:szCs w:val="22"/>
                <w:lang w:val="sr-Latn-RS" w:eastAsia="sr-Latn-RS"/>
              </w:rPr>
              <w:t>Позиција</w:t>
            </w:r>
          </w:p>
        </w:tc>
        <w:tc>
          <w:tcPr>
            <w:tcW w:w="1999" w:type="dxa"/>
            <w:tcBorders>
              <w:top w:val="single" w:sz="8" w:space="0" w:color="4F81BD"/>
              <w:left w:val="nil"/>
              <w:bottom w:val="single" w:sz="8" w:space="0" w:color="4F81BD"/>
              <w:right w:val="nil"/>
            </w:tcBorders>
            <w:shd w:val="clear" w:color="auto" w:fill="auto"/>
            <w:vAlign w:val="center"/>
            <w:hideMark/>
          </w:tcPr>
          <w:p w:rsidR="00A051F5" w:rsidRPr="002A119D" w:rsidRDefault="00A051F5" w:rsidP="00A051F5">
            <w:pPr>
              <w:suppressAutoHyphens w:val="0"/>
              <w:jc w:val="center"/>
              <w:rPr>
                <w:rFonts w:ascii="Calibri" w:hAnsi="Calibri"/>
                <w:b/>
                <w:bCs/>
                <w:color w:val="000000"/>
                <w:sz w:val="22"/>
                <w:szCs w:val="22"/>
                <w:lang w:val="sr-Latn-RS" w:eastAsia="sr-Latn-RS"/>
              </w:rPr>
            </w:pPr>
            <w:r w:rsidRPr="002A119D">
              <w:rPr>
                <w:rFonts w:ascii="Calibri" w:hAnsi="Calibri"/>
                <w:b/>
                <w:bCs/>
                <w:color w:val="000000"/>
                <w:sz w:val="22"/>
                <w:szCs w:val="22"/>
                <w:lang w:val="sr-Latn-RS" w:eastAsia="sr-Latn-RS"/>
              </w:rPr>
              <w:t>Стање на дан 31.12.2014.</w:t>
            </w:r>
          </w:p>
        </w:tc>
        <w:tc>
          <w:tcPr>
            <w:tcW w:w="1791" w:type="dxa"/>
            <w:tcBorders>
              <w:top w:val="single" w:sz="8" w:space="0" w:color="4F81BD"/>
              <w:left w:val="nil"/>
              <w:bottom w:val="single" w:sz="8" w:space="0" w:color="4F81BD"/>
              <w:right w:val="nil"/>
            </w:tcBorders>
            <w:shd w:val="clear" w:color="auto" w:fill="auto"/>
            <w:vAlign w:val="center"/>
            <w:hideMark/>
          </w:tcPr>
          <w:p w:rsidR="00A051F5" w:rsidRPr="002A119D" w:rsidRDefault="00A051F5" w:rsidP="00A051F5">
            <w:pPr>
              <w:suppressAutoHyphens w:val="0"/>
              <w:jc w:val="center"/>
              <w:rPr>
                <w:rFonts w:ascii="Calibri" w:hAnsi="Calibri"/>
                <w:b/>
                <w:bCs/>
                <w:color w:val="000000"/>
                <w:sz w:val="22"/>
                <w:szCs w:val="22"/>
                <w:lang w:val="sr-Latn-RS" w:eastAsia="sr-Latn-RS"/>
              </w:rPr>
            </w:pPr>
            <w:r w:rsidRPr="002A119D">
              <w:rPr>
                <w:rFonts w:ascii="Calibri" w:hAnsi="Calibri"/>
                <w:b/>
                <w:bCs/>
                <w:color w:val="000000"/>
                <w:sz w:val="22"/>
                <w:szCs w:val="22"/>
                <w:lang w:val="sr-Latn-RS" w:eastAsia="sr-Latn-RS"/>
              </w:rPr>
              <w:t>Структура у %</w:t>
            </w:r>
          </w:p>
        </w:tc>
      </w:tr>
      <w:tr w:rsidR="00A051F5" w:rsidRPr="002A119D" w:rsidTr="00A051F5">
        <w:trPr>
          <w:trHeight w:val="113"/>
        </w:trPr>
        <w:tc>
          <w:tcPr>
            <w:tcW w:w="5744"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jc w:val="center"/>
              <w:rPr>
                <w:rFonts w:ascii="Calibri" w:hAnsi="Calibri"/>
                <w:bCs/>
                <w:color w:val="000000"/>
                <w:sz w:val="22"/>
                <w:szCs w:val="22"/>
                <w:lang w:val="sr-Latn-RS" w:eastAsia="sr-Latn-RS"/>
              </w:rPr>
            </w:pPr>
            <w:r w:rsidRPr="00A051F5">
              <w:rPr>
                <w:rFonts w:ascii="Calibri" w:hAnsi="Calibri"/>
                <w:bCs/>
                <w:color w:val="000000"/>
                <w:sz w:val="22"/>
                <w:szCs w:val="22"/>
                <w:lang w:val="sr-Latn-RS" w:eastAsia="sr-Latn-RS"/>
              </w:rPr>
              <w:t>1</w:t>
            </w:r>
          </w:p>
        </w:tc>
        <w:tc>
          <w:tcPr>
            <w:tcW w:w="1999"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jc w:val="center"/>
              <w:rPr>
                <w:rFonts w:ascii="Calibri" w:hAnsi="Calibri"/>
                <w:color w:val="000000"/>
                <w:sz w:val="22"/>
                <w:szCs w:val="22"/>
                <w:lang w:val="sr-Latn-RS" w:eastAsia="sr-Latn-RS"/>
              </w:rPr>
            </w:pPr>
            <w:r w:rsidRPr="00A051F5">
              <w:rPr>
                <w:rFonts w:ascii="Calibri" w:hAnsi="Calibri"/>
                <w:color w:val="000000"/>
                <w:sz w:val="22"/>
                <w:szCs w:val="22"/>
                <w:lang w:val="sr-Latn-RS" w:eastAsia="sr-Latn-RS"/>
              </w:rPr>
              <w:t>2</w:t>
            </w:r>
          </w:p>
        </w:tc>
        <w:tc>
          <w:tcPr>
            <w:tcW w:w="1791"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jc w:val="center"/>
              <w:rPr>
                <w:rFonts w:ascii="Calibri" w:hAnsi="Calibri"/>
                <w:color w:val="000000"/>
                <w:sz w:val="22"/>
                <w:szCs w:val="22"/>
                <w:lang w:val="sr-Latn-RS" w:eastAsia="sr-Latn-RS"/>
              </w:rPr>
            </w:pPr>
            <w:r w:rsidRPr="00A051F5">
              <w:rPr>
                <w:rFonts w:ascii="Calibri" w:hAnsi="Calibri"/>
                <w:color w:val="000000"/>
                <w:sz w:val="22"/>
                <w:szCs w:val="22"/>
                <w:lang w:val="sr-Latn-RS" w:eastAsia="sr-Latn-RS"/>
              </w:rPr>
              <w:t>3</w:t>
            </w:r>
          </w:p>
        </w:tc>
      </w:tr>
      <w:tr w:rsidR="00A051F5" w:rsidRPr="002A119D" w:rsidTr="00A051F5">
        <w:trPr>
          <w:trHeight w:val="283"/>
        </w:trPr>
        <w:tc>
          <w:tcPr>
            <w:tcW w:w="5744" w:type="dxa"/>
            <w:tcBorders>
              <w:top w:val="single" w:sz="8" w:space="0" w:color="4F81BD"/>
            </w:tcBorders>
            <w:shd w:val="clear" w:color="auto" w:fill="DBE5F1" w:themeFill="accent1" w:themeFillTint="33"/>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Latn-RS" w:eastAsia="sr-Latn-RS"/>
              </w:rPr>
              <w:t>Хартије од вредности које се држе до доспећа</w:t>
            </w:r>
          </w:p>
        </w:tc>
        <w:tc>
          <w:tcPr>
            <w:tcW w:w="1999" w:type="dxa"/>
            <w:tcBorders>
              <w:top w:val="single" w:sz="8" w:space="0" w:color="4F81BD"/>
            </w:tcBorders>
            <w:shd w:val="clear" w:color="auto" w:fill="DBE5F1" w:themeFill="accent1" w:themeFillTint="33"/>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275,284</w:t>
            </w:r>
          </w:p>
        </w:tc>
        <w:tc>
          <w:tcPr>
            <w:tcW w:w="1791" w:type="dxa"/>
            <w:tcBorders>
              <w:top w:val="single" w:sz="8" w:space="0" w:color="4F81BD"/>
            </w:tcBorders>
            <w:shd w:val="clear" w:color="auto" w:fill="DBE5F1" w:themeFill="accent1" w:themeFillTint="33"/>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12.94%</w:t>
            </w:r>
          </w:p>
        </w:tc>
      </w:tr>
      <w:tr w:rsidR="00A051F5" w:rsidRPr="002A119D" w:rsidTr="00A051F5">
        <w:trPr>
          <w:trHeight w:val="283"/>
        </w:trPr>
        <w:tc>
          <w:tcPr>
            <w:tcW w:w="5744" w:type="dxa"/>
            <w:tcBorders>
              <w:left w:val="nil"/>
              <w:right w:val="nil"/>
            </w:tcBorders>
            <w:shd w:val="clear" w:color="auto" w:fill="auto"/>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Latn-RS" w:eastAsia="sr-Latn-RS"/>
              </w:rPr>
              <w:t>Дужничке хартије од вредности расположиве за продају</w:t>
            </w:r>
          </w:p>
        </w:tc>
        <w:tc>
          <w:tcPr>
            <w:tcW w:w="1999" w:type="dxa"/>
            <w:tcBorders>
              <w:left w:val="nil"/>
              <w:right w:val="nil"/>
            </w:tcBorders>
            <w:shd w:val="clear" w:color="auto" w:fill="auto"/>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357,933</w:t>
            </w:r>
          </w:p>
        </w:tc>
        <w:tc>
          <w:tcPr>
            <w:tcW w:w="1791" w:type="dxa"/>
            <w:tcBorders>
              <w:left w:val="nil"/>
              <w:right w:val="nil"/>
            </w:tcBorders>
            <w:shd w:val="clear" w:color="auto" w:fill="auto"/>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16.83%</w:t>
            </w:r>
          </w:p>
        </w:tc>
      </w:tr>
      <w:tr w:rsidR="00A051F5" w:rsidRPr="002A119D" w:rsidTr="00A051F5">
        <w:trPr>
          <w:trHeight w:val="283"/>
        </w:trPr>
        <w:tc>
          <w:tcPr>
            <w:tcW w:w="5744" w:type="dxa"/>
            <w:shd w:val="clear" w:color="auto" w:fill="DBE5F1" w:themeFill="accent1" w:themeFillTint="33"/>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Latn-RS" w:eastAsia="sr-Latn-RS"/>
              </w:rPr>
              <w:t>Власничке хартије од вредности расположиве за продају</w:t>
            </w:r>
          </w:p>
        </w:tc>
        <w:tc>
          <w:tcPr>
            <w:tcW w:w="1999" w:type="dxa"/>
            <w:shd w:val="clear" w:color="auto" w:fill="DBE5F1" w:themeFill="accent1" w:themeFillTint="33"/>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325,851</w:t>
            </w:r>
          </w:p>
        </w:tc>
        <w:tc>
          <w:tcPr>
            <w:tcW w:w="1791" w:type="dxa"/>
            <w:shd w:val="clear" w:color="auto" w:fill="DBE5F1" w:themeFill="accent1" w:themeFillTint="33"/>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15.32%</w:t>
            </w:r>
          </w:p>
        </w:tc>
      </w:tr>
      <w:tr w:rsidR="00A051F5" w:rsidRPr="002A119D" w:rsidTr="00A051F5">
        <w:trPr>
          <w:trHeight w:val="283"/>
        </w:trPr>
        <w:tc>
          <w:tcPr>
            <w:tcW w:w="5744" w:type="dxa"/>
            <w:tcBorders>
              <w:left w:val="nil"/>
              <w:right w:val="nil"/>
            </w:tcBorders>
            <w:shd w:val="clear" w:color="auto" w:fill="auto"/>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Latn-RS" w:eastAsia="sr-Latn-RS"/>
              </w:rPr>
              <w:t>Исправка вредности ХОВ расположивих за продају</w:t>
            </w:r>
          </w:p>
        </w:tc>
        <w:tc>
          <w:tcPr>
            <w:tcW w:w="1999" w:type="dxa"/>
            <w:tcBorders>
              <w:left w:val="nil"/>
              <w:right w:val="nil"/>
            </w:tcBorders>
            <w:shd w:val="clear" w:color="auto" w:fill="auto"/>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-178,333</w:t>
            </w:r>
          </w:p>
        </w:tc>
        <w:tc>
          <w:tcPr>
            <w:tcW w:w="1791" w:type="dxa"/>
            <w:tcBorders>
              <w:left w:val="nil"/>
              <w:right w:val="nil"/>
            </w:tcBorders>
            <w:shd w:val="clear" w:color="auto" w:fill="auto"/>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-8.39%</w:t>
            </w:r>
          </w:p>
        </w:tc>
      </w:tr>
      <w:tr w:rsidR="00A051F5" w:rsidRPr="002A119D" w:rsidTr="00A051F5">
        <w:trPr>
          <w:trHeight w:val="283"/>
        </w:trPr>
        <w:tc>
          <w:tcPr>
            <w:tcW w:w="5744" w:type="dxa"/>
            <w:shd w:val="clear" w:color="auto" w:fill="DBE5F1" w:themeFill="accent1" w:themeFillTint="33"/>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Cyrl-RS" w:eastAsia="sr-Latn-RS"/>
              </w:rPr>
              <w:t>Х</w:t>
            </w:r>
            <w:r w:rsidRPr="00A051F5">
              <w:rPr>
                <w:rFonts w:ascii="Calibri" w:hAnsi="Calibri"/>
                <w:bCs/>
                <w:color w:val="000000"/>
                <w:sz w:val="22"/>
                <w:szCs w:val="22"/>
                <w:lang w:val="sr-Latn-RS" w:eastAsia="sr-Latn-RS"/>
              </w:rPr>
              <w:t>артије од вредности намењене трговању</w:t>
            </w:r>
          </w:p>
        </w:tc>
        <w:tc>
          <w:tcPr>
            <w:tcW w:w="1999" w:type="dxa"/>
            <w:shd w:val="clear" w:color="auto" w:fill="DBE5F1" w:themeFill="accent1" w:themeFillTint="33"/>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125,795</w:t>
            </w:r>
          </w:p>
        </w:tc>
        <w:tc>
          <w:tcPr>
            <w:tcW w:w="1791" w:type="dxa"/>
            <w:shd w:val="clear" w:color="auto" w:fill="DBE5F1" w:themeFill="accent1" w:themeFillTint="33"/>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5.92%</w:t>
            </w:r>
          </w:p>
        </w:tc>
      </w:tr>
      <w:tr w:rsidR="00A051F5" w:rsidRPr="002A119D" w:rsidTr="00A051F5">
        <w:trPr>
          <w:trHeight w:val="283"/>
        </w:trPr>
        <w:tc>
          <w:tcPr>
            <w:tcW w:w="5744" w:type="dxa"/>
            <w:tcBorders>
              <w:left w:val="nil"/>
              <w:right w:val="nil"/>
            </w:tcBorders>
            <w:shd w:val="clear" w:color="auto" w:fill="auto"/>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Cyrl-RS" w:eastAsia="sr-Latn-RS"/>
              </w:rPr>
              <w:t>К</w:t>
            </w:r>
            <w:r w:rsidRPr="00A051F5">
              <w:rPr>
                <w:rFonts w:ascii="Calibri" w:hAnsi="Calibri"/>
                <w:bCs/>
                <w:color w:val="000000"/>
                <w:sz w:val="22"/>
                <w:szCs w:val="22"/>
                <w:lang w:val="sr-Latn-RS" w:eastAsia="sr-Latn-RS"/>
              </w:rPr>
              <w:t>раткорочни депозити</w:t>
            </w:r>
          </w:p>
        </w:tc>
        <w:tc>
          <w:tcPr>
            <w:tcW w:w="1999" w:type="dxa"/>
            <w:tcBorders>
              <w:left w:val="nil"/>
              <w:right w:val="nil"/>
            </w:tcBorders>
            <w:shd w:val="clear" w:color="auto" w:fill="auto"/>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377,244</w:t>
            </w:r>
          </w:p>
        </w:tc>
        <w:tc>
          <w:tcPr>
            <w:tcW w:w="1791" w:type="dxa"/>
            <w:tcBorders>
              <w:left w:val="nil"/>
              <w:right w:val="nil"/>
            </w:tcBorders>
            <w:shd w:val="clear" w:color="auto" w:fill="auto"/>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17.74%</w:t>
            </w:r>
          </w:p>
        </w:tc>
      </w:tr>
      <w:tr w:rsidR="00A051F5" w:rsidRPr="002A119D" w:rsidTr="00A051F5">
        <w:trPr>
          <w:trHeight w:val="283"/>
        </w:trPr>
        <w:tc>
          <w:tcPr>
            <w:tcW w:w="5744" w:type="dxa"/>
            <w:tcBorders>
              <w:bottom w:val="single" w:sz="8" w:space="0" w:color="4F81BD"/>
            </w:tcBorders>
            <w:shd w:val="clear" w:color="auto" w:fill="DBE5F1" w:themeFill="accent1" w:themeFillTint="33"/>
            <w:vAlign w:val="center"/>
            <w:hideMark/>
          </w:tcPr>
          <w:p w:rsidR="00A051F5" w:rsidRPr="00A051F5" w:rsidRDefault="00A051F5" w:rsidP="00A051F5">
            <w:pPr>
              <w:suppressAutoHyphens w:val="0"/>
              <w:rPr>
                <w:rFonts w:ascii="Calibri" w:hAnsi="Calibri"/>
                <w:bCs/>
                <w:color w:val="000000"/>
                <w:sz w:val="22"/>
                <w:szCs w:val="22"/>
                <w:lang w:val="sr-Latn-RS" w:eastAsia="sr-Latn-RS"/>
              </w:rPr>
            </w:pPr>
            <w:r w:rsidRPr="00A051F5">
              <w:rPr>
                <w:rFonts w:ascii="Calibri" w:hAnsi="Calibri"/>
                <w:bCs/>
                <w:color w:val="000000"/>
                <w:sz w:val="22"/>
                <w:szCs w:val="22"/>
                <w:lang w:val="sr-Cyrl-RS" w:eastAsia="sr-Latn-RS"/>
              </w:rPr>
              <w:t>Д</w:t>
            </w:r>
            <w:r w:rsidRPr="00A051F5">
              <w:rPr>
                <w:rFonts w:ascii="Calibri" w:hAnsi="Calibri"/>
                <w:bCs/>
                <w:color w:val="000000"/>
                <w:sz w:val="22"/>
                <w:szCs w:val="22"/>
                <w:lang w:val="sr-Latn-RS" w:eastAsia="sr-Latn-RS"/>
              </w:rPr>
              <w:t>епозити по виђењу</w:t>
            </w:r>
          </w:p>
        </w:tc>
        <w:tc>
          <w:tcPr>
            <w:tcW w:w="1999" w:type="dxa"/>
            <w:tcBorders>
              <w:bottom w:val="single" w:sz="8" w:space="0" w:color="4F81BD"/>
            </w:tcBorders>
            <w:shd w:val="clear" w:color="auto" w:fill="DBE5F1" w:themeFill="accent1" w:themeFillTint="33"/>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842,881</w:t>
            </w:r>
          </w:p>
        </w:tc>
        <w:tc>
          <w:tcPr>
            <w:tcW w:w="1791" w:type="dxa"/>
            <w:tcBorders>
              <w:bottom w:val="single" w:sz="8" w:space="0" w:color="4F81BD"/>
            </w:tcBorders>
            <w:shd w:val="clear" w:color="auto" w:fill="DBE5F1" w:themeFill="accent1" w:themeFillTint="33"/>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39.63%</w:t>
            </w:r>
          </w:p>
        </w:tc>
      </w:tr>
      <w:tr w:rsidR="00A051F5" w:rsidRPr="002A119D" w:rsidTr="00A051F5">
        <w:trPr>
          <w:trHeight w:val="283"/>
        </w:trPr>
        <w:tc>
          <w:tcPr>
            <w:tcW w:w="5744"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rPr>
                <w:rFonts w:ascii="Calibri" w:hAnsi="Calibri"/>
                <w:b/>
                <w:bCs/>
                <w:color w:val="000000"/>
                <w:sz w:val="22"/>
                <w:szCs w:val="22"/>
                <w:lang w:val="sr-Cyrl-RS" w:eastAsia="sr-Latn-RS"/>
              </w:rPr>
            </w:pPr>
            <w:r>
              <w:rPr>
                <w:rFonts w:ascii="Calibri" w:hAnsi="Calibri"/>
                <w:b/>
                <w:bCs/>
                <w:color w:val="000000"/>
                <w:sz w:val="22"/>
                <w:szCs w:val="22"/>
                <w:lang w:val="sr-Cyrl-RS" w:eastAsia="sr-Latn-RS"/>
              </w:rPr>
              <w:t>УКУПНО</w:t>
            </w:r>
          </w:p>
        </w:tc>
        <w:tc>
          <w:tcPr>
            <w:tcW w:w="1999" w:type="dxa"/>
            <w:tcBorders>
              <w:top w:val="single" w:sz="8" w:space="0" w:color="4F81BD"/>
              <w:left w:val="nil"/>
              <w:bottom w:val="single" w:sz="8" w:space="0" w:color="4F81BD"/>
              <w:right w:val="nil"/>
            </w:tcBorders>
            <w:shd w:val="clear" w:color="auto" w:fill="auto"/>
            <w:noWrap/>
            <w:vAlign w:val="center"/>
            <w:hideMark/>
          </w:tcPr>
          <w:p w:rsidR="00A051F5" w:rsidRPr="002A119D" w:rsidRDefault="00A051F5" w:rsidP="00A051F5">
            <w:pPr>
              <w:suppressAutoHyphens w:val="0"/>
              <w:jc w:val="right"/>
              <w:rPr>
                <w:rFonts w:ascii="Calibri" w:hAnsi="Calibri"/>
                <w:color w:val="000000"/>
                <w:sz w:val="22"/>
                <w:szCs w:val="22"/>
                <w:lang w:val="sr-Latn-RS" w:eastAsia="sr-Latn-RS"/>
              </w:rPr>
            </w:pPr>
            <w:r w:rsidRPr="002A119D">
              <w:rPr>
                <w:rFonts w:ascii="Calibri" w:hAnsi="Calibri"/>
                <w:color w:val="000000"/>
                <w:sz w:val="22"/>
                <w:szCs w:val="22"/>
                <w:lang w:val="sr-Latn-RS" w:eastAsia="sr-Latn-RS"/>
              </w:rPr>
              <w:t>2,126,655</w:t>
            </w:r>
          </w:p>
        </w:tc>
        <w:tc>
          <w:tcPr>
            <w:tcW w:w="1791" w:type="dxa"/>
            <w:tcBorders>
              <w:top w:val="single" w:sz="8" w:space="0" w:color="4F81BD"/>
              <w:left w:val="nil"/>
              <w:bottom w:val="single" w:sz="8" w:space="0" w:color="4F81BD"/>
              <w:right w:val="nil"/>
            </w:tcBorders>
            <w:shd w:val="clear" w:color="auto" w:fill="auto"/>
            <w:noWrap/>
            <w:vAlign w:val="center"/>
            <w:hideMark/>
          </w:tcPr>
          <w:p w:rsidR="00A051F5" w:rsidRPr="002A119D" w:rsidRDefault="00A051F5" w:rsidP="00A051F5">
            <w:pPr>
              <w:suppressAutoHyphens w:val="0"/>
              <w:jc w:val="center"/>
              <w:rPr>
                <w:rFonts w:ascii="Calibri" w:hAnsi="Calibri"/>
                <w:color w:val="000000"/>
                <w:sz w:val="22"/>
                <w:szCs w:val="22"/>
                <w:lang w:val="sr-Latn-RS" w:eastAsia="sr-Latn-RS"/>
              </w:rPr>
            </w:pPr>
            <w:r w:rsidRPr="002A119D">
              <w:rPr>
                <w:rFonts w:ascii="Calibri" w:hAnsi="Calibri"/>
                <w:color w:val="000000"/>
                <w:sz w:val="22"/>
                <w:szCs w:val="22"/>
                <w:lang w:val="sr-Latn-RS" w:eastAsia="sr-Latn-RS"/>
              </w:rPr>
              <w:t>100.00%</w:t>
            </w:r>
          </w:p>
        </w:tc>
      </w:tr>
    </w:tbl>
    <w:p w:rsidR="00A3417B" w:rsidRDefault="00A3417B" w:rsidP="00A3417B">
      <w:pPr>
        <w:spacing w:before="240" w:line="276" w:lineRule="auto"/>
        <w:jc w:val="both"/>
        <w:rPr>
          <w:rFonts w:ascii="Verdana" w:eastAsia="Calibri" w:hAnsi="Verdana"/>
          <w:b/>
          <w:i/>
          <w:noProof/>
          <w:color w:val="365F91"/>
          <w:sz w:val="20"/>
          <w:szCs w:val="22"/>
          <w:lang w:val="sr-Cyrl-RS" w:eastAsia="en-US"/>
        </w:rPr>
      </w:pPr>
    </w:p>
    <w:p w:rsidR="00A3417B" w:rsidRDefault="00A3417B" w:rsidP="00A3417B">
      <w:pPr>
        <w:spacing w:before="240" w:line="276" w:lineRule="auto"/>
        <w:jc w:val="both"/>
        <w:rPr>
          <w:rFonts w:ascii="Verdana" w:eastAsia="Calibri" w:hAnsi="Verdana"/>
          <w:b/>
          <w:i/>
          <w:noProof/>
          <w:color w:val="365F91"/>
          <w:sz w:val="20"/>
          <w:szCs w:val="22"/>
          <w:lang w:val="sr-Cyrl-RS" w:eastAsia="en-US"/>
        </w:rPr>
      </w:pPr>
    </w:p>
    <w:p w:rsidR="00A3417B" w:rsidRDefault="00A3417B" w:rsidP="00A3417B">
      <w:pPr>
        <w:spacing w:before="240" w:line="276" w:lineRule="auto"/>
        <w:jc w:val="both"/>
        <w:rPr>
          <w:rFonts w:ascii="Verdana" w:eastAsia="Calibri" w:hAnsi="Verdana"/>
          <w:b/>
          <w:i/>
          <w:noProof/>
          <w:color w:val="365F91"/>
          <w:sz w:val="20"/>
          <w:szCs w:val="22"/>
          <w:lang w:val="sr-Cyrl-RS" w:eastAsia="en-US"/>
        </w:rPr>
      </w:pPr>
    </w:p>
    <w:p w:rsidR="00A051F5" w:rsidRDefault="00A051F5" w:rsidP="00A3417B">
      <w:pPr>
        <w:spacing w:before="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Планирани приходи и расходи од инвестирања</w:t>
      </w:r>
    </w:p>
    <w:p w:rsidR="00A051F5" w:rsidRDefault="00A051F5" w:rsidP="00A3417B">
      <w:pPr>
        <w:spacing w:line="276" w:lineRule="auto"/>
        <w:jc w:val="right"/>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у 000 РСД</w:t>
      </w:r>
    </w:p>
    <w:tbl>
      <w:tblPr>
        <w:tblW w:w="9632" w:type="dxa"/>
        <w:tblBorders>
          <w:top w:val="single" w:sz="8" w:space="0" w:color="4F81BD"/>
          <w:bottom w:val="single" w:sz="8" w:space="0" w:color="4F81BD"/>
        </w:tblBorders>
        <w:tblLook w:val="04A0" w:firstRow="1" w:lastRow="0" w:firstColumn="1" w:lastColumn="0" w:noHBand="0" w:noVBand="1"/>
      </w:tblPr>
      <w:tblGrid>
        <w:gridCol w:w="5495"/>
        <w:gridCol w:w="1417"/>
        <w:gridCol w:w="1560"/>
        <w:gridCol w:w="1160"/>
      </w:tblGrid>
      <w:tr w:rsidR="00A051F5" w:rsidRPr="00F32FAF" w:rsidTr="00A051F5">
        <w:trPr>
          <w:trHeight w:val="283"/>
        </w:trPr>
        <w:tc>
          <w:tcPr>
            <w:tcW w:w="5495"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b/>
                <w:bCs/>
                <w:color w:val="000000"/>
                <w:sz w:val="22"/>
                <w:szCs w:val="22"/>
                <w:lang w:val="sr-Latn-RS" w:eastAsia="sr-Latn-RS"/>
              </w:rPr>
            </w:pPr>
            <w:r w:rsidRPr="00F32FAF">
              <w:rPr>
                <w:rFonts w:ascii="Calibri" w:hAnsi="Calibri"/>
                <w:b/>
                <w:bCs/>
                <w:color w:val="000000"/>
                <w:sz w:val="22"/>
                <w:szCs w:val="22"/>
                <w:lang w:val="sr-Latn-RS" w:eastAsia="sr-Latn-RS"/>
              </w:rPr>
              <w:t>Приходи</w:t>
            </w:r>
          </w:p>
        </w:tc>
        <w:tc>
          <w:tcPr>
            <w:tcW w:w="1417"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b/>
                <w:bCs/>
                <w:color w:val="000000"/>
                <w:sz w:val="22"/>
                <w:szCs w:val="22"/>
                <w:lang w:val="sr-Latn-RS" w:eastAsia="sr-Latn-RS"/>
              </w:rPr>
            </w:pPr>
            <w:r w:rsidRPr="00F32FAF">
              <w:rPr>
                <w:rFonts w:ascii="Calibri" w:hAnsi="Calibri"/>
                <w:b/>
                <w:bCs/>
                <w:color w:val="000000"/>
                <w:sz w:val="22"/>
                <w:szCs w:val="22"/>
                <w:lang w:val="sr-Latn-RS" w:eastAsia="sr-Latn-RS"/>
              </w:rPr>
              <w:t>Остварење 2014</w:t>
            </w:r>
          </w:p>
        </w:tc>
        <w:tc>
          <w:tcPr>
            <w:tcW w:w="1560"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b/>
                <w:bCs/>
                <w:color w:val="000000"/>
                <w:sz w:val="22"/>
                <w:szCs w:val="22"/>
                <w:lang w:val="sr-Latn-RS" w:eastAsia="sr-Latn-RS"/>
              </w:rPr>
            </w:pPr>
            <w:r w:rsidRPr="00F32FAF">
              <w:rPr>
                <w:rFonts w:ascii="Calibri" w:hAnsi="Calibri"/>
                <w:b/>
                <w:bCs/>
                <w:color w:val="000000"/>
                <w:sz w:val="22"/>
                <w:szCs w:val="22"/>
                <w:lang w:val="sr-Latn-RS" w:eastAsia="sr-Latn-RS"/>
              </w:rPr>
              <w:t>План 2015</w:t>
            </w:r>
          </w:p>
        </w:tc>
        <w:tc>
          <w:tcPr>
            <w:tcW w:w="1160"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b/>
                <w:bCs/>
                <w:color w:val="000000"/>
                <w:sz w:val="22"/>
                <w:szCs w:val="22"/>
                <w:lang w:val="sr-Latn-RS" w:eastAsia="sr-Latn-RS"/>
              </w:rPr>
            </w:pPr>
            <w:r w:rsidRPr="00F32FAF">
              <w:rPr>
                <w:rFonts w:ascii="Calibri" w:hAnsi="Calibri"/>
                <w:b/>
                <w:bCs/>
                <w:color w:val="000000"/>
                <w:sz w:val="22"/>
                <w:szCs w:val="22"/>
                <w:lang w:val="sr-Latn-RS" w:eastAsia="sr-Latn-RS"/>
              </w:rPr>
              <w:t>Индекс</w:t>
            </w:r>
          </w:p>
        </w:tc>
      </w:tr>
      <w:tr w:rsidR="00A051F5" w:rsidRPr="00F32FAF" w:rsidTr="00A051F5">
        <w:trPr>
          <w:trHeight w:val="227"/>
        </w:trPr>
        <w:tc>
          <w:tcPr>
            <w:tcW w:w="5495"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1</w:t>
            </w:r>
          </w:p>
        </w:tc>
        <w:tc>
          <w:tcPr>
            <w:tcW w:w="1417"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2</w:t>
            </w:r>
          </w:p>
        </w:tc>
        <w:tc>
          <w:tcPr>
            <w:tcW w:w="1560"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3</w:t>
            </w:r>
          </w:p>
        </w:tc>
        <w:tc>
          <w:tcPr>
            <w:tcW w:w="1160" w:type="dxa"/>
            <w:tcBorders>
              <w:top w:val="single" w:sz="8" w:space="0" w:color="4F81BD"/>
              <w:left w:val="nil"/>
              <w:bottom w:val="single" w:sz="8" w:space="0" w:color="4F81BD"/>
              <w:right w:val="nil"/>
            </w:tcBorders>
            <w:shd w:val="clear" w:color="auto" w:fill="auto"/>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4(3/2)</w:t>
            </w:r>
          </w:p>
        </w:tc>
      </w:tr>
      <w:tr w:rsidR="00A051F5" w:rsidRPr="00F32FAF" w:rsidTr="00A051F5">
        <w:trPr>
          <w:trHeight w:val="283"/>
        </w:trPr>
        <w:tc>
          <w:tcPr>
            <w:tcW w:w="5495" w:type="dxa"/>
            <w:tcBorders>
              <w:top w:val="single" w:sz="8" w:space="0" w:color="4F81BD"/>
            </w:tcBorders>
            <w:shd w:val="clear" w:color="auto" w:fill="DBE5F1" w:themeFill="accent1" w:themeFillTint="33"/>
            <w:vAlign w:val="center"/>
            <w:hideMark/>
          </w:tcPr>
          <w:p w:rsidR="00A051F5" w:rsidRPr="00F32FAF" w:rsidRDefault="00A051F5" w:rsidP="00A051F5">
            <w:pPr>
              <w:suppressAutoHyphens w:val="0"/>
              <w:rPr>
                <w:rFonts w:ascii="Calibri" w:hAnsi="Calibri"/>
                <w:color w:val="000000"/>
                <w:sz w:val="22"/>
                <w:szCs w:val="22"/>
                <w:lang w:val="sr-Latn-RS" w:eastAsia="sr-Latn-RS"/>
              </w:rPr>
            </w:pPr>
            <w:r w:rsidRPr="00F32FAF">
              <w:rPr>
                <w:rFonts w:ascii="Calibri" w:hAnsi="Calibri"/>
                <w:color w:val="000000"/>
                <w:sz w:val="22"/>
                <w:szCs w:val="22"/>
                <w:lang w:val="sr-Latn-RS" w:eastAsia="sr-Latn-RS"/>
              </w:rPr>
              <w:t>Kaмата  на хартије од вредности</w:t>
            </w:r>
          </w:p>
        </w:tc>
        <w:tc>
          <w:tcPr>
            <w:tcW w:w="1417" w:type="dxa"/>
            <w:tcBorders>
              <w:top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21,595</w:t>
            </w:r>
          </w:p>
        </w:tc>
        <w:tc>
          <w:tcPr>
            <w:tcW w:w="1560" w:type="dxa"/>
            <w:tcBorders>
              <w:top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26,500</w:t>
            </w:r>
          </w:p>
        </w:tc>
        <w:tc>
          <w:tcPr>
            <w:tcW w:w="1160" w:type="dxa"/>
            <w:tcBorders>
              <w:top w:val="single" w:sz="8" w:space="0" w:color="4F81BD"/>
            </w:tcBorders>
            <w:shd w:val="clear" w:color="auto" w:fill="DBE5F1" w:themeFill="accent1" w:themeFillTint="33"/>
            <w:noWrap/>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122.71</w:t>
            </w:r>
          </w:p>
        </w:tc>
      </w:tr>
      <w:tr w:rsidR="00A051F5" w:rsidRPr="00F32FAF" w:rsidTr="00A051F5">
        <w:trPr>
          <w:trHeight w:val="283"/>
        </w:trPr>
        <w:tc>
          <w:tcPr>
            <w:tcW w:w="5495" w:type="dxa"/>
            <w:tcBorders>
              <w:left w:val="nil"/>
              <w:right w:val="nil"/>
            </w:tcBorders>
            <w:shd w:val="clear" w:color="auto" w:fill="auto"/>
            <w:vAlign w:val="center"/>
            <w:hideMark/>
          </w:tcPr>
          <w:p w:rsidR="00A051F5" w:rsidRPr="00F32FAF" w:rsidRDefault="00A051F5" w:rsidP="00A051F5">
            <w:pPr>
              <w:suppressAutoHyphens w:val="0"/>
              <w:rPr>
                <w:rFonts w:ascii="Calibri" w:hAnsi="Calibri"/>
                <w:color w:val="000000"/>
                <w:sz w:val="22"/>
                <w:szCs w:val="22"/>
                <w:lang w:val="sr-Latn-RS" w:eastAsia="sr-Latn-RS"/>
              </w:rPr>
            </w:pPr>
            <w:r w:rsidRPr="00F32FAF">
              <w:rPr>
                <w:rFonts w:ascii="Calibri" w:hAnsi="Calibri"/>
                <w:color w:val="000000"/>
                <w:sz w:val="22"/>
                <w:szCs w:val="22"/>
                <w:lang w:val="sr-Latn-RS" w:eastAsia="sr-Latn-RS"/>
              </w:rPr>
              <w:t>Камата на динарске депозите</w:t>
            </w:r>
          </w:p>
        </w:tc>
        <w:tc>
          <w:tcPr>
            <w:tcW w:w="1417" w:type="dxa"/>
            <w:tcBorders>
              <w:left w:val="nil"/>
              <w:right w:val="nil"/>
            </w:tcBorders>
            <w:shd w:val="clear" w:color="auto" w:fill="auto"/>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5,787</w:t>
            </w:r>
          </w:p>
        </w:tc>
        <w:tc>
          <w:tcPr>
            <w:tcW w:w="1560" w:type="dxa"/>
            <w:tcBorders>
              <w:left w:val="nil"/>
              <w:right w:val="nil"/>
            </w:tcBorders>
            <w:shd w:val="clear" w:color="auto" w:fill="auto"/>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10,000</w:t>
            </w:r>
          </w:p>
        </w:tc>
        <w:tc>
          <w:tcPr>
            <w:tcW w:w="1160" w:type="dxa"/>
            <w:tcBorders>
              <w:left w:val="nil"/>
              <w:right w:val="nil"/>
            </w:tcBorders>
            <w:shd w:val="clear" w:color="auto" w:fill="auto"/>
            <w:noWrap/>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172.80</w:t>
            </w:r>
          </w:p>
        </w:tc>
      </w:tr>
      <w:tr w:rsidR="00A051F5" w:rsidRPr="00F32FAF" w:rsidTr="00A051F5">
        <w:trPr>
          <w:trHeight w:val="283"/>
        </w:trPr>
        <w:tc>
          <w:tcPr>
            <w:tcW w:w="5495" w:type="dxa"/>
            <w:tcBorders>
              <w:bottom w:val="single" w:sz="8" w:space="0" w:color="4F81BD"/>
            </w:tcBorders>
            <w:shd w:val="clear" w:color="auto" w:fill="DBE5F1" w:themeFill="accent1" w:themeFillTint="33"/>
            <w:vAlign w:val="center"/>
            <w:hideMark/>
          </w:tcPr>
          <w:p w:rsidR="00A051F5" w:rsidRPr="00F32FAF" w:rsidRDefault="00A051F5" w:rsidP="00A051F5">
            <w:pPr>
              <w:suppressAutoHyphens w:val="0"/>
              <w:rPr>
                <w:rFonts w:ascii="Calibri" w:hAnsi="Calibri"/>
                <w:color w:val="000000"/>
                <w:sz w:val="22"/>
                <w:szCs w:val="22"/>
                <w:lang w:val="sr-Latn-RS" w:eastAsia="sr-Latn-RS"/>
              </w:rPr>
            </w:pPr>
            <w:r w:rsidRPr="00F32FAF">
              <w:rPr>
                <w:rFonts w:ascii="Calibri" w:hAnsi="Calibri"/>
                <w:color w:val="000000"/>
                <w:sz w:val="22"/>
                <w:szCs w:val="22"/>
                <w:lang w:val="sr-Latn-RS" w:eastAsia="sr-Latn-RS"/>
              </w:rPr>
              <w:t>Камата на девизне депозите</w:t>
            </w:r>
          </w:p>
        </w:tc>
        <w:tc>
          <w:tcPr>
            <w:tcW w:w="1417" w:type="dxa"/>
            <w:tcBorders>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22,614</w:t>
            </w:r>
          </w:p>
        </w:tc>
        <w:tc>
          <w:tcPr>
            <w:tcW w:w="1560" w:type="dxa"/>
            <w:tcBorders>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13,087</w:t>
            </w:r>
          </w:p>
        </w:tc>
        <w:tc>
          <w:tcPr>
            <w:tcW w:w="1160" w:type="dxa"/>
            <w:tcBorders>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57.87</w:t>
            </w:r>
          </w:p>
        </w:tc>
      </w:tr>
      <w:tr w:rsidR="00A051F5" w:rsidRPr="00F32FAF" w:rsidTr="00A051F5">
        <w:trPr>
          <w:trHeight w:val="283"/>
        </w:trPr>
        <w:tc>
          <w:tcPr>
            <w:tcW w:w="5495"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Укупно камата (1+2+3)</w:t>
            </w:r>
          </w:p>
        </w:tc>
        <w:tc>
          <w:tcPr>
            <w:tcW w:w="1417"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49,996</w:t>
            </w:r>
          </w:p>
        </w:tc>
        <w:tc>
          <w:tcPr>
            <w:tcW w:w="15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49,587</w:t>
            </w:r>
          </w:p>
        </w:tc>
        <w:tc>
          <w:tcPr>
            <w:tcW w:w="11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center"/>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99.18</w:t>
            </w:r>
          </w:p>
        </w:tc>
      </w:tr>
      <w:tr w:rsidR="00A051F5" w:rsidRPr="00F32FAF" w:rsidTr="00A051F5">
        <w:trPr>
          <w:trHeight w:val="283"/>
        </w:trPr>
        <w:tc>
          <w:tcPr>
            <w:tcW w:w="5495" w:type="dxa"/>
            <w:tcBorders>
              <w:top w:val="single" w:sz="8" w:space="0" w:color="4F81BD"/>
              <w:bottom w:val="single" w:sz="8" w:space="0" w:color="4F81BD"/>
            </w:tcBorders>
            <w:shd w:val="clear" w:color="auto" w:fill="DBE5F1" w:themeFill="accent1" w:themeFillTint="33"/>
            <w:vAlign w:val="center"/>
            <w:hideMark/>
          </w:tcPr>
          <w:p w:rsidR="00A051F5" w:rsidRPr="00F32FAF" w:rsidRDefault="00A051F5" w:rsidP="00A051F5">
            <w:pPr>
              <w:suppressAutoHyphens w:val="0"/>
              <w:rPr>
                <w:rFonts w:ascii="Calibri" w:hAnsi="Calibri"/>
                <w:color w:val="000000"/>
                <w:sz w:val="22"/>
                <w:szCs w:val="22"/>
                <w:lang w:val="sr-Latn-RS" w:eastAsia="sr-Latn-RS"/>
              </w:rPr>
            </w:pPr>
            <w:r w:rsidRPr="00F32FAF">
              <w:rPr>
                <w:rFonts w:ascii="Calibri" w:hAnsi="Calibri"/>
                <w:color w:val="000000"/>
                <w:sz w:val="22"/>
                <w:szCs w:val="22"/>
                <w:lang w:val="sr-Latn-RS" w:eastAsia="sr-Latn-RS"/>
              </w:rPr>
              <w:t>Позитивне курсне разлике и тржишне осцилације ХОВ</w:t>
            </w:r>
          </w:p>
        </w:tc>
        <w:tc>
          <w:tcPr>
            <w:tcW w:w="1417"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105,706</w:t>
            </w:r>
          </w:p>
        </w:tc>
        <w:tc>
          <w:tcPr>
            <w:tcW w:w="1560"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50,000</w:t>
            </w:r>
          </w:p>
        </w:tc>
        <w:tc>
          <w:tcPr>
            <w:tcW w:w="1160"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47.30</w:t>
            </w:r>
          </w:p>
        </w:tc>
      </w:tr>
      <w:tr w:rsidR="00A051F5" w:rsidRPr="00A051F5" w:rsidTr="00A051F5">
        <w:trPr>
          <w:trHeight w:val="283"/>
        </w:trPr>
        <w:tc>
          <w:tcPr>
            <w:tcW w:w="5495"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Укупно (4+5)</w:t>
            </w:r>
          </w:p>
        </w:tc>
        <w:tc>
          <w:tcPr>
            <w:tcW w:w="1417"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155,702</w:t>
            </w:r>
          </w:p>
        </w:tc>
        <w:tc>
          <w:tcPr>
            <w:tcW w:w="15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99,587</w:t>
            </w:r>
          </w:p>
        </w:tc>
        <w:tc>
          <w:tcPr>
            <w:tcW w:w="11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center"/>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63.96</w:t>
            </w:r>
          </w:p>
        </w:tc>
      </w:tr>
      <w:tr w:rsidR="00A051F5" w:rsidRPr="00F32FAF" w:rsidTr="00A051F5">
        <w:trPr>
          <w:trHeight w:val="283"/>
        </w:trPr>
        <w:tc>
          <w:tcPr>
            <w:tcW w:w="5495" w:type="dxa"/>
            <w:tcBorders>
              <w:top w:val="single" w:sz="8" w:space="0" w:color="4F81BD"/>
              <w:bottom w:val="single" w:sz="8" w:space="0" w:color="4F81BD"/>
            </w:tcBorders>
            <w:shd w:val="clear" w:color="auto" w:fill="DBE5F1" w:themeFill="accent1" w:themeFillTint="33"/>
            <w:vAlign w:val="center"/>
            <w:hideMark/>
          </w:tcPr>
          <w:p w:rsidR="00A051F5" w:rsidRPr="00F32FAF" w:rsidRDefault="00A051F5" w:rsidP="00A051F5">
            <w:pPr>
              <w:suppressAutoHyphens w:val="0"/>
              <w:rPr>
                <w:rFonts w:ascii="Calibri" w:hAnsi="Calibri"/>
                <w:color w:val="000000"/>
                <w:sz w:val="22"/>
                <w:szCs w:val="22"/>
                <w:lang w:val="sr-Cyrl-RS" w:eastAsia="sr-Latn-RS"/>
              </w:rPr>
            </w:pPr>
            <w:r w:rsidRPr="00F32FAF">
              <w:rPr>
                <w:rFonts w:ascii="Calibri" w:hAnsi="Calibri"/>
                <w:color w:val="000000"/>
                <w:sz w:val="22"/>
                <w:szCs w:val="22"/>
                <w:lang w:val="sr-Latn-RS" w:eastAsia="sr-Latn-RS"/>
              </w:rPr>
              <w:t>Расходи</w:t>
            </w:r>
            <w:r w:rsidRPr="007210A1">
              <w:rPr>
                <w:rFonts w:ascii="Calibri" w:hAnsi="Calibri"/>
                <w:color w:val="000000"/>
                <w:sz w:val="22"/>
                <w:szCs w:val="22"/>
                <w:lang w:val="sr-Cyrl-RS" w:eastAsia="sr-Latn-RS"/>
              </w:rPr>
              <w:t xml:space="preserve"> негативне курсне разлике и тржишне осцилације ХОВ</w:t>
            </w:r>
          </w:p>
        </w:tc>
        <w:tc>
          <w:tcPr>
            <w:tcW w:w="1417"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179,647</w:t>
            </w:r>
          </w:p>
        </w:tc>
        <w:tc>
          <w:tcPr>
            <w:tcW w:w="1560"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right"/>
              <w:rPr>
                <w:rFonts w:ascii="Calibri" w:hAnsi="Calibri"/>
                <w:color w:val="000000"/>
                <w:sz w:val="22"/>
                <w:szCs w:val="22"/>
                <w:lang w:val="sr-Latn-RS" w:eastAsia="sr-Latn-RS"/>
              </w:rPr>
            </w:pPr>
            <w:r w:rsidRPr="00F32FAF">
              <w:rPr>
                <w:rFonts w:ascii="Calibri" w:hAnsi="Calibri"/>
                <w:color w:val="000000"/>
                <w:sz w:val="22"/>
                <w:szCs w:val="22"/>
                <w:lang w:val="sr-Latn-RS" w:eastAsia="sr-Latn-RS"/>
              </w:rPr>
              <w:t>20,000</w:t>
            </w:r>
          </w:p>
        </w:tc>
        <w:tc>
          <w:tcPr>
            <w:tcW w:w="1160" w:type="dxa"/>
            <w:tcBorders>
              <w:top w:val="single" w:sz="8" w:space="0" w:color="4F81BD"/>
              <w:bottom w:val="single" w:sz="8" w:space="0" w:color="4F81BD"/>
            </w:tcBorders>
            <w:shd w:val="clear" w:color="auto" w:fill="DBE5F1" w:themeFill="accent1" w:themeFillTint="33"/>
            <w:noWrap/>
            <w:vAlign w:val="center"/>
            <w:hideMark/>
          </w:tcPr>
          <w:p w:rsidR="00A051F5" w:rsidRPr="00F32FAF" w:rsidRDefault="00A051F5" w:rsidP="00A051F5">
            <w:pPr>
              <w:suppressAutoHyphens w:val="0"/>
              <w:jc w:val="center"/>
              <w:rPr>
                <w:rFonts w:ascii="Calibri" w:hAnsi="Calibri"/>
                <w:color w:val="000000"/>
                <w:sz w:val="22"/>
                <w:szCs w:val="22"/>
                <w:lang w:val="sr-Latn-RS" w:eastAsia="sr-Latn-RS"/>
              </w:rPr>
            </w:pPr>
            <w:r w:rsidRPr="00F32FAF">
              <w:rPr>
                <w:rFonts w:ascii="Calibri" w:hAnsi="Calibri"/>
                <w:color w:val="000000"/>
                <w:sz w:val="22"/>
                <w:szCs w:val="22"/>
                <w:lang w:val="sr-Latn-RS" w:eastAsia="sr-Latn-RS"/>
              </w:rPr>
              <w:t>11.13</w:t>
            </w:r>
          </w:p>
        </w:tc>
      </w:tr>
      <w:tr w:rsidR="00A051F5" w:rsidRPr="00A051F5" w:rsidTr="00A051F5">
        <w:trPr>
          <w:trHeight w:val="283"/>
        </w:trPr>
        <w:tc>
          <w:tcPr>
            <w:tcW w:w="5495" w:type="dxa"/>
            <w:tcBorders>
              <w:top w:val="single" w:sz="8" w:space="0" w:color="4F81BD"/>
              <w:left w:val="nil"/>
              <w:bottom w:val="single" w:sz="8" w:space="0" w:color="4F81BD"/>
              <w:right w:val="nil"/>
            </w:tcBorders>
            <w:shd w:val="clear" w:color="auto" w:fill="auto"/>
            <w:vAlign w:val="center"/>
            <w:hideMark/>
          </w:tcPr>
          <w:p w:rsidR="00A051F5" w:rsidRPr="00A051F5" w:rsidRDefault="00A051F5" w:rsidP="00A051F5">
            <w:pPr>
              <w:suppressAutoHyphens w:val="0"/>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Резултат (6-7)</w:t>
            </w:r>
          </w:p>
        </w:tc>
        <w:tc>
          <w:tcPr>
            <w:tcW w:w="1417"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-23,945</w:t>
            </w:r>
          </w:p>
        </w:tc>
        <w:tc>
          <w:tcPr>
            <w:tcW w:w="15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right"/>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79,587</w:t>
            </w:r>
          </w:p>
        </w:tc>
        <w:tc>
          <w:tcPr>
            <w:tcW w:w="1160" w:type="dxa"/>
            <w:tcBorders>
              <w:top w:val="single" w:sz="8" w:space="0" w:color="4F81BD"/>
              <w:left w:val="nil"/>
              <w:bottom w:val="single" w:sz="8" w:space="0" w:color="4F81BD"/>
              <w:right w:val="nil"/>
            </w:tcBorders>
            <w:shd w:val="clear" w:color="auto" w:fill="auto"/>
            <w:noWrap/>
            <w:vAlign w:val="center"/>
            <w:hideMark/>
          </w:tcPr>
          <w:p w:rsidR="00A051F5" w:rsidRPr="00A051F5" w:rsidRDefault="00A051F5" w:rsidP="00A051F5">
            <w:pPr>
              <w:suppressAutoHyphens w:val="0"/>
              <w:jc w:val="center"/>
              <w:rPr>
                <w:rFonts w:ascii="Calibri" w:hAnsi="Calibri"/>
                <w:b/>
                <w:color w:val="000000"/>
                <w:sz w:val="22"/>
                <w:szCs w:val="22"/>
                <w:lang w:val="sr-Latn-RS" w:eastAsia="sr-Latn-RS"/>
              </w:rPr>
            </w:pPr>
            <w:r w:rsidRPr="00A051F5">
              <w:rPr>
                <w:rFonts w:ascii="Calibri" w:hAnsi="Calibri"/>
                <w:b/>
                <w:color w:val="000000"/>
                <w:sz w:val="22"/>
                <w:szCs w:val="22"/>
                <w:lang w:val="sr-Latn-RS" w:eastAsia="sr-Latn-RS"/>
              </w:rPr>
              <w:t>-332.37</w:t>
            </w:r>
          </w:p>
        </w:tc>
      </w:tr>
    </w:tbl>
    <w:p w:rsidR="00A051F5" w:rsidRPr="009043F5" w:rsidRDefault="00A051F5" w:rsidP="00A051F5">
      <w:pPr>
        <w:spacing w:before="240" w:after="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Државне хартије од вредности</w:t>
      </w:r>
    </w:p>
    <w:p w:rsidR="00A051F5" w:rsidRDefault="00A051F5" w:rsidP="00A3417B">
      <w:pPr>
        <w:spacing w:before="120"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ab/>
      </w:r>
      <w:r w:rsidRPr="00F32FAF">
        <w:rPr>
          <w:rFonts w:ascii="Verdana" w:eastAsia="Calibri" w:hAnsi="Verdana"/>
          <w:noProof/>
          <w:sz w:val="20"/>
          <w:szCs w:val="22"/>
          <w:lang w:val="sr-Cyrl-RS" w:eastAsia="en-US"/>
        </w:rPr>
        <w:t>Друштво је</w:t>
      </w:r>
      <w:r>
        <w:rPr>
          <w:rFonts w:ascii="Verdana" w:eastAsia="Calibri" w:hAnsi="Verdana"/>
          <w:noProof/>
          <w:sz w:val="20"/>
          <w:szCs w:val="22"/>
          <w:lang w:val="sr-Cyrl-RS" w:eastAsia="en-US"/>
        </w:rPr>
        <w:t xml:space="preserve"> државне хартије које поседује квалификовало као хартије од вредности које се држе до доспећа, дужничке расположиве за продају и намењене трговању. </w:t>
      </w:r>
    </w:p>
    <w:p w:rsidR="00A051F5" w:rsidRPr="00B36B41" w:rsidRDefault="00A051F5" w:rsidP="00A3417B">
      <w:pPr>
        <w:spacing w:before="120" w:after="120" w:line="276" w:lineRule="auto"/>
        <w:jc w:val="both"/>
        <w:rPr>
          <w:rFonts w:ascii="Verdana" w:eastAsia="Calibri" w:hAnsi="Verdana"/>
          <w:b/>
          <w:noProof/>
          <w:sz w:val="20"/>
          <w:szCs w:val="22"/>
          <w:lang w:val="sr-Cyrl-RS" w:eastAsia="en-US"/>
        </w:rPr>
      </w:pPr>
      <w:r>
        <w:rPr>
          <w:rFonts w:ascii="Verdana" w:eastAsia="Calibri" w:hAnsi="Verdana"/>
          <w:b/>
          <w:noProof/>
          <w:sz w:val="20"/>
          <w:szCs w:val="22"/>
          <w:lang w:val="sr-Cyrl-RS" w:eastAsia="en-US"/>
        </w:rPr>
        <w:tab/>
      </w:r>
      <w:r w:rsidRPr="00B36B41">
        <w:rPr>
          <w:rFonts w:ascii="Verdana" w:eastAsia="Calibri" w:hAnsi="Verdana"/>
          <w:b/>
          <w:noProof/>
          <w:sz w:val="20"/>
          <w:szCs w:val="22"/>
          <w:lang w:val="sr-Cyrl-RS" w:eastAsia="en-US"/>
        </w:rPr>
        <w:t>У 2015. години је планирано повећање улагања у државне хартије од вредности</w:t>
      </w:r>
      <w:r>
        <w:rPr>
          <w:rFonts w:ascii="Verdana" w:eastAsia="Calibri" w:hAnsi="Verdana"/>
          <w:b/>
          <w:noProof/>
          <w:sz w:val="20"/>
          <w:szCs w:val="22"/>
          <w:lang w:val="sr-Cyrl-RS" w:eastAsia="en-US"/>
        </w:rPr>
        <w:t>.</w:t>
      </w:r>
    </w:p>
    <w:p w:rsidR="00A051F5" w:rsidRDefault="00A051F5" w:rsidP="00A051F5">
      <w:pPr>
        <w:spacing w:before="240" w:after="240" w:line="276" w:lineRule="auto"/>
        <w:jc w:val="both"/>
        <w:rPr>
          <w:rFonts w:ascii="Verdana" w:eastAsia="Calibri" w:hAnsi="Verdana"/>
          <w:b/>
          <w:i/>
          <w:noProof/>
          <w:color w:val="365F91"/>
          <w:sz w:val="20"/>
          <w:szCs w:val="22"/>
          <w:lang w:val="sr-Cyrl-RS" w:eastAsia="en-US"/>
        </w:rPr>
      </w:pPr>
      <w:r w:rsidRPr="00B36B41">
        <w:rPr>
          <w:rFonts w:ascii="Verdana" w:eastAsia="Calibri" w:hAnsi="Verdana"/>
          <w:b/>
          <w:i/>
          <w:noProof/>
          <w:color w:val="365F91"/>
          <w:sz w:val="20"/>
          <w:szCs w:val="22"/>
          <w:lang w:val="sr-Cyrl-RS" w:eastAsia="en-US"/>
        </w:rPr>
        <w:t>Власничке хартије (акције) од вредности расположиве за продају.</w:t>
      </w:r>
    </w:p>
    <w:p w:rsidR="00A051F5" w:rsidRDefault="00A051F5" w:rsidP="00A3417B">
      <w:pPr>
        <w:spacing w:before="120" w:line="276" w:lineRule="auto"/>
        <w:jc w:val="both"/>
        <w:rPr>
          <w:rFonts w:ascii="Verdana" w:eastAsia="Calibri" w:hAnsi="Verdana"/>
          <w:b/>
          <w:i/>
          <w:noProof/>
          <w:color w:val="365F91"/>
          <w:sz w:val="20"/>
          <w:szCs w:val="22"/>
          <w:lang w:val="sr-Cyrl-RS" w:eastAsia="en-US"/>
        </w:rPr>
      </w:pPr>
      <w:r>
        <w:rPr>
          <w:rFonts w:ascii="Verdana" w:eastAsia="Calibri" w:hAnsi="Verdana"/>
          <w:noProof/>
          <w:sz w:val="20"/>
          <w:szCs w:val="22"/>
          <w:lang w:val="sr-Cyrl-RS" w:eastAsia="en-US"/>
        </w:rPr>
        <w:tab/>
      </w:r>
      <w:r w:rsidRPr="005E0A68">
        <w:rPr>
          <w:rFonts w:ascii="Verdana" w:eastAsia="Calibri" w:hAnsi="Verdana"/>
          <w:noProof/>
          <w:sz w:val="20"/>
          <w:szCs w:val="22"/>
          <w:lang w:val="sr-Cyrl-RS" w:eastAsia="en-US"/>
        </w:rPr>
        <w:t>Друштво у свом портфељу има</w:t>
      </w:r>
      <w:r>
        <w:rPr>
          <w:rFonts w:ascii="Verdana" w:eastAsia="Calibri" w:hAnsi="Verdana"/>
          <w:noProof/>
          <w:sz w:val="20"/>
          <w:szCs w:val="22"/>
          <w:lang w:val="sr-Latn-RS" w:eastAsia="en-US"/>
        </w:rPr>
        <w:t xml:space="preserve"> </w:t>
      </w:r>
      <w:r>
        <w:rPr>
          <w:rFonts w:ascii="Verdana" w:eastAsia="Calibri" w:hAnsi="Verdana"/>
          <w:noProof/>
          <w:sz w:val="20"/>
          <w:szCs w:val="22"/>
          <w:lang w:val="sr-Cyrl-RS" w:eastAsia="en-US"/>
        </w:rPr>
        <w:t xml:space="preserve">улагања у акције код </w:t>
      </w:r>
      <w:r>
        <w:rPr>
          <w:rFonts w:ascii="Verdana" w:eastAsia="Calibri" w:hAnsi="Verdana"/>
          <w:b/>
          <w:i/>
          <w:noProof/>
          <w:color w:val="365F91"/>
          <w:sz w:val="20"/>
          <w:szCs w:val="22"/>
          <w:lang w:val="sr-Cyrl-RS" w:eastAsia="en-US"/>
        </w:rPr>
        <w:t>:</w:t>
      </w:r>
    </w:p>
    <w:tbl>
      <w:tblPr>
        <w:tblW w:w="9606" w:type="dxa"/>
        <w:tblBorders>
          <w:top w:val="single" w:sz="8" w:space="0" w:color="4F81BD"/>
          <w:bottom w:val="single" w:sz="8" w:space="0" w:color="4F81BD"/>
        </w:tblBorders>
        <w:tblLayout w:type="fixed"/>
        <w:tblLook w:val="04A0" w:firstRow="1" w:lastRow="0" w:firstColumn="1" w:lastColumn="0" w:noHBand="0" w:noVBand="1"/>
      </w:tblPr>
      <w:tblGrid>
        <w:gridCol w:w="3652"/>
        <w:gridCol w:w="992"/>
        <w:gridCol w:w="1340"/>
        <w:gridCol w:w="940"/>
        <w:gridCol w:w="1101"/>
        <w:gridCol w:w="1581"/>
      </w:tblGrid>
      <w:tr w:rsidR="00A051F5" w:rsidRPr="00657735" w:rsidTr="00A051F5">
        <w:trPr>
          <w:trHeight w:val="794"/>
        </w:trPr>
        <w:tc>
          <w:tcPr>
            <w:tcW w:w="3652"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емитент</w:t>
            </w:r>
          </w:p>
        </w:tc>
        <w:tc>
          <w:tcPr>
            <w:tcW w:w="992"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број комада</w:t>
            </w:r>
          </w:p>
        </w:tc>
        <w:tc>
          <w:tcPr>
            <w:tcW w:w="1340"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номинална цена акција у валути</w:t>
            </w:r>
          </w:p>
        </w:tc>
        <w:tc>
          <w:tcPr>
            <w:tcW w:w="940"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валута</w:t>
            </w:r>
          </w:p>
        </w:tc>
        <w:tc>
          <w:tcPr>
            <w:tcW w:w="1101"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тржишна цена у валути</w:t>
            </w:r>
          </w:p>
        </w:tc>
        <w:tc>
          <w:tcPr>
            <w:tcW w:w="1581" w:type="dxa"/>
            <w:tcBorders>
              <w:top w:val="single" w:sz="8" w:space="0" w:color="4F81BD"/>
              <w:left w:val="nil"/>
              <w:bottom w:val="single" w:sz="8" w:space="0" w:color="4F81BD"/>
              <w:right w:val="nil"/>
            </w:tcBorders>
            <w:shd w:val="clear" w:color="auto" w:fill="auto"/>
            <w:vAlign w:val="center"/>
            <w:hideMark/>
          </w:tcPr>
          <w:p w:rsidR="00A051F5" w:rsidRPr="00657735" w:rsidRDefault="00A051F5" w:rsidP="00A051F5">
            <w:pPr>
              <w:suppressAutoHyphens w:val="0"/>
              <w:jc w:val="center"/>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тржишна вредност у валути</w:t>
            </w:r>
          </w:p>
        </w:tc>
      </w:tr>
      <w:tr w:rsidR="00A051F5" w:rsidRPr="00657735" w:rsidTr="00A051F5">
        <w:trPr>
          <w:trHeight w:val="283"/>
        </w:trPr>
        <w:tc>
          <w:tcPr>
            <w:tcW w:w="3652" w:type="dxa"/>
            <w:tcBorders>
              <w:left w:val="nil"/>
              <w:right w:val="nil"/>
            </w:tcBorders>
            <w:shd w:val="clear" w:color="auto" w:fill="D3DFEE"/>
            <w:vAlign w:val="center"/>
            <w:hideMark/>
          </w:tcPr>
          <w:p w:rsidR="00A051F5" w:rsidRPr="00657735" w:rsidRDefault="00A051F5" w:rsidP="00A051F5">
            <w:pPr>
              <w:suppressAutoHyphens w:val="0"/>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Комерцијална банка</w:t>
            </w:r>
          </w:p>
        </w:tc>
        <w:tc>
          <w:tcPr>
            <w:tcW w:w="992"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17,220</w:t>
            </w:r>
          </w:p>
        </w:tc>
        <w:tc>
          <w:tcPr>
            <w:tcW w:w="13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1,000</w:t>
            </w:r>
          </w:p>
        </w:tc>
        <w:tc>
          <w:tcPr>
            <w:tcW w:w="9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РСД</w:t>
            </w:r>
          </w:p>
        </w:tc>
        <w:tc>
          <w:tcPr>
            <w:tcW w:w="1101"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2,201</w:t>
            </w:r>
          </w:p>
        </w:tc>
        <w:tc>
          <w:tcPr>
            <w:tcW w:w="1581" w:type="dxa"/>
            <w:tcBorders>
              <w:left w:val="nil"/>
              <w:right w:val="nil"/>
            </w:tcBorders>
            <w:shd w:val="clear" w:color="auto" w:fill="D3DFEE"/>
            <w:noWrap/>
            <w:vAlign w:val="center"/>
            <w:hideMark/>
          </w:tcPr>
          <w:p w:rsidR="00A051F5" w:rsidRPr="00657735" w:rsidRDefault="00A051F5" w:rsidP="00A051F5">
            <w:pPr>
              <w:suppressAutoHyphens w:val="0"/>
              <w:jc w:val="both"/>
              <w:rPr>
                <w:rFonts w:ascii="Calibri" w:hAnsi="Calibri"/>
                <w:color w:val="000000"/>
                <w:sz w:val="22"/>
                <w:szCs w:val="22"/>
                <w:lang w:val="sr-Latn-RS" w:eastAsia="sr-Latn-RS"/>
              </w:rPr>
            </w:pPr>
            <w:r w:rsidRPr="00657735">
              <w:rPr>
                <w:rFonts w:ascii="Calibri" w:hAnsi="Calibri"/>
                <w:color w:val="000000"/>
                <w:sz w:val="22"/>
                <w:szCs w:val="22"/>
                <w:lang w:val="sr-Latn-RS" w:eastAsia="sr-Latn-RS"/>
              </w:rPr>
              <w:t>37,901,220</w:t>
            </w:r>
          </w:p>
        </w:tc>
      </w:tr>
      <w:tr w:rsidR="00A051F5" w:rsidRPr="00657735" w:rsidTr="00A051F5">
        <w:trPr>
          <w:trHeight w:val="283"/>
        </w:trPr>
        <w:tc>
          <w:tcPr>
            <w:tcW w:w="3652" w:type="dxa"/>
            <w:shd w:val="clear" w:color="auto" w:fill="auto"/>
            <w:vAlign w:val="center"/>
            <w:hideMark/>
          </w:tcPr>
          <w:p w:rsidR="00A051F5" w:rsidRPr="00657735" w:rsidRDefault="00A051F5" w:rsidP="00A051F5">
            <w:pPr>
              <w:suppressAutoHyphens w:val="0"/>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Аеродром Никола Тесла, Београд</w:t>
            </w:r>
          </w:p>
        </w:tc>
        <w:tc>
          <w:tcPr>
            <w:tcW w:w="992"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28,331</w:t>
            </w:r>
          </w:p>
        </w:tc>
        <w:tc>
          <w:tcPr>
            <w:tcW w:w="1340"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600</w:t>
            </w:r>
          </w:p>
        </w:tc>
        <w:tc>
          <w:tcPr>
            <w:tcW w:w="940"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РСД</w:t>
            </w:r>
          </w:p>
        </w:tc>
        <w:tc>
          <w:tcPr>
            <w:tcW w:w="1101"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960</w:t>
            </w:r>
          </w:p>
        </w:tc>
        <w:tc>
          <w:tcPr>
            <w:tcW w:w="1581" w:type="dxa"/>
            <w:shd w:val="clear" w:color="auto" w:fill="auto"/>
            <w:noWrap/>
            <w:vAlign w:val="center"/>
            <w:hideMark/>
          </w:tcPr>
          <w:p w:rsidR="00A051F5" w:rsidRPr="00657735" w:rsidRDefault="00A051F5" w:rsidP="00A051F5">
            <w:pPr>
              <w:suppressAutoHyphens w:val="0"/>
              <w:jc w:val="both"/>
              <w:rPr>
                <w:rFonts w:ascii="Calibri" w:hAnsi="Calibri"/>
                <w:color w:val="000000"/>
                <w:sz w:val="22"/>
                <w:szCs w:val="22"/>
                <w:lang w:val="sr-Latn-RS" w:eastAsia="sr-Latn-RS"/>
              </w:rPr>
            </w:pPr>
            <w:r w:rsidRPr="00657735">
              <w:rPr>
                <w:rFonts w:ascii="Calibri" w:hAnsi="Calibri"/>
                <w:color w:val="000000"/>
                <w:sz w:val="22"/>
                <w:szCs w:val="22"/>
                <w:lang w:val="sr-Latn-RS" w:eastAsia="sr-Latn-RS"/>
              </w:rPr>
              <w:t>27,197,760</w:t>
            </w:r>
          </w:p>
        </w:tc>
      </w:tr>
      <w:tr w:rsidR="00A051F5" w:rsidRPr="00657735" w:rsidTr="00A051F5">
        <w:trPr>
          <w:trHeight w:val="283"/>
        </w:trPr>
        <w:tc>
          <w:tcPr>
            <w:tcW w:w="3652" w:type="dxa"/>
            <w:tcBorders>
              <w:left w:val="nil"/>
              <w:right w:val="nil"/>
            </w:tcBorders>
            <w:shd w:val="clear" w:color="auto" w:fill="D3DFEE"/>
            <w:vAlign w:val="center"/>
            <w:hideMark/>
          </w:tcPr>
          <w:p w:rsidR="00A051F5" w:rsidRPr="00657735" w:rsidRDefault="00A051F5" w:rsidP="00A051F5">
            <w:pPr>
              <w:suppressAutoHyphens w:val="0"/>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Ловћен осигурање</w:t>
            </w:r>
          </w:p>
        </w:tc>
        <w:tc>
          <w:tcPr>
            <w:tcW w:w="992"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160</w:t>
            </w:r>
          </w:p>
        </w:tc>
        <w:tc>
          <w:tcPr>
            <w:tcW w:w="13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52</w:t>
            </w:r>
          </w:p>
        </w:tc>
        <w:tc>
          <w:tcPr>
            <w:tcW w:w="9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EUR</w:t>
            </w:r>
          </w:p>
        </w:tc>
        <w:tc>
          <w:tcPr>
            <w:tcW w:w="1101"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119</w:t>
            </w:r>
          </w:p>
        </w:tc>
        <w:tc>
          <w:tcPr>
            <w:tcW w:w="1581" w:type="dxa"/>
            <w:tcBorders>
              <w:left w:val="nil"/>
              <w:right w:val="nil"/>
            </w:tcBorders>
            <w:shd w:val="clear" w:color="auto" w:fill="D3DFEE"/>
            <w:noWrap/>
            <w:vAlign w:val="center"/>
            <w:hideMark/>
          </w:tcPr>
          <w:p w:rsidR="00A051F5" w:rsidRPr="00657735" w:rsidRDefault="00A051F5" w:rsidP="00A051F5">
            <w:pPr>
              <w:suppressAutoHyphens w:val="0"/>
              <w:jc w:val="both"/>
              <w:rPr>
                <w:rFonts w:ascii="Calibri" w:hAnsi="Calibri"/>
                <w:color w:val="000000"/>
                <w:sz w:val="22"/>
                <w:szCs w:val="22"/>
                <w:lang w:val="sr-Latn-RS" w:eastAsia="sr-Latn-RS"/>
              </w:rPr>
            </w:pPr>
            <w:r w:rsidRPr="00657735">
              <w:rPr>
                <w:rFonts w:ascii="Calibri" w:hAnsi="Calibri"/>
                <w:color w:val="000000"/>
                <w:sz w:val="22"/>
                <w:szCs w:val="22"/>
                <w:lang w:val="sr-Latn-RS" w:eastAsia="sr-Latn-RS"/>
              </w:rPr>
              <w:t>19,040</w:t>
            </w:r>
          </w:p>
        </w:tc>
      </w:tr>
      <w:tr w:rsidR="00A051F5" w:rsidRPr="00657735" w:rsidTr="00A051F5">
        <w:trPr>
          <w:trHeight w:val="283"/>
        </w:trPr>
        <w:tc>
          <w:tcPr>
            <w:tcW w:w="3652" w:type="dxa"/>
            <w:shd w:val="clear" w:color="auto" w:fill="auto"/>
            <w:vAlign w:val="center"/>
            <w:hideMark/>
          </w:tcPr>
          <w:p w:rsidR="00A051F5" w:rsidRPr="00657735" w:rsidRDefault="00A051F5" w:rsidP="00A051F5">
            <w:pPr>
              <w:suppressAutoHyphens w:val="0"/>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Свис осигурање Подгорица</w:t>
            </w:r>
          </w:p>
        </w:tc>
        <w:tc>
          <w:tcPr>
            <w:tcW w:w="992"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128</w:t>
            </w:r>
          </w:p>
        </w:tc>
        <w:tc>
          <w:tcPr>
            <w:tcW w:w="1340"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43</w:t>
            </w:r>
          </w:p>
        </w:tc>
        <w:tc>
          <w:tcPr>
            <w:tcW w:w="940"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EUR</w:t>
            </w:r>
          </w:p>
        </w:tc>
        <w:tc>
          <w:tcPr>
            <w:tcW w:w="1101" w:type="dxa"/>
            <w:shd w:val="clear" w:color="auto" w:fill="auto"/>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122</w:t>
            </w:r>
          </w:p>
        </w:tc>
        <w:tc>
          <w:tcPr>
            <w:tcW w:w="1581" w:type="dxa"/>
            <w:shd w:val="clear" w:color="auto" w:fill="auto"/>
            <w:noWrap/>
            <w:vAlign w:val="center"/>
            <w:hideMark/>
          </w:tcPr>
          <w:p w:rsidR="00A051F5" w:rsidRPr="00657735" w:rsidRDefault="00A051F5" w:rsidP="00A051F5">
            <w:pPr>
              <w:suppressAutoHyphens w:val="0"/>
              <w:jc w:val="both"/>
              <w:rPr>
                <w:rFonts w:ascii="Calibri" w:hAnsi="Calibri"/>
                <w:color w:val="000000"/>
                <w:sz w:val="22"/>
                <w:szCs w:val="22"/>
                <w:lang w:val="sr-Latn-RS" w:eastAsia="sr-Latn-RS"/>
              </w:rPr>
            </w:pPr>
            <w:r w:rsidRPr="00657735">
              <w:rPr>
                <w:rFonts w:ascii="Calibri" w:hAnsi="Calibri"/>
                <w:color w:val="000000"/>
                <w:sz w:val="22"/>
                <w:szCs w:val="22"/>
                <w:lang w:val="sr-Latn-RS" w:eastAsia="sr-Latn-RS"/>
              </w:rPr>
              <w:t>15,611</w:t>
            </w:r>
          </w:p>
        </w:tc>
      </w:tr>
      <w:tr w:rsidR="00A051F5" w:rsidRPr="00657735" w:rsidTr="00A051F5">
        <w:trPr>
          <w:trHeight w:val="283"/>
        </w:trPr>
        <w:tc>
          <w:tcPr>
            <w:tcW w:w="3652" w:type="dxa"/>
            <w:tcBorders>
              <w:left w:val="nil"/>
              <w:right w:val="nil"/>
            </w:tcBorders>
            <w:shd w:val="clear" w:color="auto" w:fill="D3DFEE"/>
            <w:vAlign w:val="center"/>
            <w:hideMark/>
          </w:tcPr>
          <w:p w:rsidR="00A051F5" w:rsidRPr="00657735" w:rsidRDefault="00A051F5" w:rsidP="00A051F5">
            <w:pPr>
              <w:suppressAutoHyphens w:val="0"/>
              <w:rPr>
                <w:rFonts w:ascii="Calibri" w:hAnsi="Calibri"/>
                <w:b/>
                <w:bCs/>
                <w:color w:val="000000"/>
                <w:sz w:val="22"/>
                <w:szCs w:val="22"/>
                <w:lang w:val="sr-Latn-RS" w:eastAsia="sr-Latn-RS"/>
              </w:rPr>
            </w:pPr>
            <w:r w:rsidRPr="00657735">
              <w:rPr>
                <w:rFonts w:ascii="Calibri" w:hAnsi="Calibri"/>
                <w:b/>
                <w:bCs/>
                <w:color w:val="000000"/>
                <w:sz w:val="22"/>
                <w:szCs w:val="22"/>
                <w:lang w:val="sr-Latn-RS" w:eastAsia="sr-Latn-RS"/>
              </w:rPr>
              <w:t>Босна РЕ, Сарајево</w:t>
            </w:r>
          </w:p>
        </w:tc>
        <w:tc>
          <w:tcPr>
            <w:tcW w:w="992"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19</w:t>
            </w:r>
          </w:p>
        </w:tc>
        <w:tc>
          <w:tcPr>
            <w:tcW w:w="13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1,300</w:t>
            </w:r>
          </w:p>
        </w:tc>
        <w:tc>
          <w:tcPr>
            <w:tcW w:w="940"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КИМ</w:t>
            </w:r>
          </w:p>
        </w:tc>
        <w:tc>
          <w:tcPr>
            <w:tcW w:w="1101" w:type="dxa"/>
            <w:tcBorders>
              <w:left w:val="nil"/>
              <w:right w:val="nil"/>
            </w:tcBorders>
            <w:shd w:val="clear" w:color="auto" w:fill="D3DFEE"/>
            <w:noWrap/>
            <w:vAlign w:val="center"/>
            <w:hideMark/>
          </w:tcPr>
          <w:p w:rsidR="00A051F5" w:rsidRPr="00657735" w:rsidRDefault="00A051F5" w:rsidP="00A051F5">
            <w:pPr>
              <w:suppressAutoHyphens w:val="0"/>
              <w:jc w:val="center"/>
              <w:rPr>
                <w:rFonts w:ascii="Calibri" w:hAnsi="Calibri"/>
                <w:color w:val="000000"/>
                <w:sz w:val="22"/>
                <w:szCs w:val="22"/>
                <w:lang w:val="sr-Latn-RS" w:eastAsia="sr-Latn-RS"/>
              </w:rPr>
            </w:pPr>
            <w:r w:rsidRPr="00657735">
              <w:rPr>
                <w:rFonts w:ascii="Calibri" w:hAnsi="Calibri"/>
                <w:color w:val="000000"/>
                <w:sz w:val="22"/>
                <w:szCs w:val="22"/>
                <w:lang w:val="sr-Latn-RS" w:eastAsia="sr-Latn-RS"/>
              </w:rPr>
              <w:t>2,800</w:t>
            </w:r>
          </w:p>
        </w:tc>
        <w:tc>
          <w:tcPr>
            <w:tcW w:w="1581" w:type="dxa"/>
            <w:tcBorders>
              <w:left w:val="nil"/>
              <w:right w:val="nil"/>
            </w:tcBorders>
            <w:shd w:val="clear" w:color="auto" w:fill="D3DFEE"/>
            <w:noWrap/>
            <w:vAlign w:val="center"/>
            <w:hideMark/>
          </w:tcPr>
          <w:p w:rsidR="00A051F5" w:rsidRPr="00657735" w:rsidRDefault="00A051F5" w:rsidP="00A051F5">
            <w:pPr>
              <w:suppressAutoHyphens w:val="0"/>
              <w:jc w:val="both"/>
              <w:rPr>
                <w:rFonts w:ascii="Calibri" w:hAnsi="Calibri"/>
                <w:color w:val="000000"/>
                <w:sz w:val="22"/>
                <w:szCs w:val="22"/>
                <w:lang w:val="sr-Latn-RS" w:eastAsia="sr-Latn-RS"/>
              </w:rPr>
            </w:pPr>
            <w:r w:rsidRPr="00657735">
              <w:rPr>
                <w:rFonts w:ascii="Calibri" w:hAnsi="Calibri"/>
                <w:color w:val="000000"/>
                <w:sz w:val="22"/>
                <w:szCs w:val="22"/>
                <w:lang w:val="sr-Latn-RS" w:eastAsia="sr-Latn-RS"/>
              </w:rPr>
              <w:t>53,200</w:t>
            </w:r>
          </w:p>
        </w:tc>
      </w:tr>
    </w:tbl>
    <w:p w:rsidR="00A051F5" w:rsidRPr="00A051F5" w:rsidRDefault="00A051F5" w:rsidP="00A051F5">
      <w:pPr>
        <w:spacing w:after="240" w:line="276" w:lineRule="auto"/>
        <w:ind w:left="284"/>
        <w:jc w:val="both"/>
        <w:rPr>
          <w:rFonts w:ascii="Verdana" w:eastAsia="Calibri" w:hAnsi="Verdana"/>
          <w:noProof/>
          <w:sz w:val="2"/>
          <w:szCs w:val="2"/>
          <w:lang w:val="sr-Cyrl-RS" w:eastAsia="en-US"/>
        </w:rPr>
      </w:pPr>
    </w:p>
    <w:p w:rsidR="00A051F5" w:rsidRDefault="00A051F5" w:rsidP="00A3417B">
      <w:pPr>
        <w:spacing w:before="120" w:after="120" w:line="276" w:lineRule="auto"/>
        <w:ind w:left="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 xml:space="preserve">Друштво редовно прати кретање акција на тржиишту капитала. </w:t>
      </w:r>
    </w:p>
    <w:p w:rsidR="00A051F5" w:rsidRDefault="00A051F5" w:rsidP="00A3417B">
      <w:pPr>
        <w:spacing w:before="120" w:after="12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 xml:space="preserve">    </w:t>
      </w:r>
      <w:r w:rsidRPr="002E4597">
        <w:rPr>
          <w:rFonts w:ascii="Verdana" w:eastAsia="Calibri" w:hAnsi="Verdana"/>
          <w:noProof/>
          <w:sz w:val="20"/>
          <w:szCs w:val="22"/>
          <w:lang w:val="sr-Cyrl-RS" w:eastAsia="en-US"/>
        </w:rPr>
        <w:t xml:space="preserve">Акције Аеродрома Никола Тесле су у 2014. удвостручиле вредност, а Акције Комерцијалне банке су порасле за 46,06%. </w:t>
      </w:r>
    </w:p>
    <w:p w:rsidR="00A051F5" w:rsidRPr="002E4597" w:rsidRDefault="00A051F5" w:rsidP="00A3417B">
      <w:pPr>
        <w:spacing w:before="120" w:after="120" w:line="276" w:lineRule="auto"/>
        <w:ind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О</w:t>
      </w:r>
      <w:r w:rsidRPr="002E4597">
        <w:rPr>
          <w:rFonts w:ascii="Verdana" w:eastAsia="Calibri" w:hAnsi="Verdana"/>
          <w:noProof/>
          <w:sz w:val="20"/>
          <w:szCs w:val="22"/>
          <w:lang w:val="sr-Cyrl-RS" w:eastAsia="en-US"/>
        </w:rPr>
        <w:t xml:space="preserve">чекивања су да ће и у </w:t>
      </w:r>
      <w:r w:rsidR="00741D6D">
        <w:rPr>
          <w:rFonts w:ascii="Verdana" w:eastAsia="Calibri" w:hAnsi="Verdana"/>
          <w:noProof/>
          <w:sz w:val="20"/>
          <w:szCs w:val="22"/>
          <w:lang w:val="sr-Cyrl-RS" w:eastAsia="en-US"/>
        </w:rPr>
        <w:t xml:space="preserve"> 2015. години вредност ових  ак</w:t>
      </w:r>
      <w:r w:rsidRPr="002E4597">
        <w:rPr>
          <w:rFonts w:ascii="Verdana" w:eastAsia="Calibri" w:hAnsi="Verdana"/>
          <w:noProof/>
          <w:sz w:val="20"/>
          <w:szCs w:val="22"/>
          <w:lang w:val="sr-Cyrl-RS" w:eastAsia="en-US"/>
        </w:rPr>
        <w:t>ц</w:t>
      </w:r>
      <w:r w:rsidR="00741D6D">
        <w:rPr>
          <w:rFonts w:ascii="Verdana" w:eastAsia="Calibri" w:hAnsi="Verdana"/>
          <w:noProof/>
          <w:sz w:val="20"/>
          <w:szCs w:val="22"/>
          <w:lang w:val="sr-Cyrl-RS" w:eastAsia="en-US"/>
        </w:rPr>
        <w:t>и</w:t>
      </w:r>
      <w:r w:rsidRPr="002E4597">
        <w:rPr>
          <w:rFonts w:ascii="Verdana" w:eastAsia="Calibri" w:hAnsi="Verdana"/>
          <w:noProof/>
          <w:sz w:val="20"/>
          <w:szCs w:val="22"/>
          <w:lang w:val="sr-Cyrl-RS" w:eastAsia="en-US"/>
        </w:rPr>
        <w:t xml:space="preserve">ја наставити раст. </w:t>
      </w:r>
    </w:p>
    <w:p w:rsidR="00A051F5" w:rsidRDefault="00A051F5" w:rsidP="00A3417B">
      <w:pPr>
        <w:spacing w:before="120" w:after="120" w:line="276" w:lineRule="auto"/>
        <w:ind w:firstLine="284"/>
        <w:jc w:val="both"/>
        <w:rPr>
          <w:rFonts w:ascii="Verdana" w:eastAsia="Calibri" w:hAnsi="Verdana"/>
          <w:noProof/>
          <w:sz w:val="20"/>
          <w:szCs w:val="22"/>
          <w:lang w:val="sr-Cyrl-RS" w:eastAsia="en-US"/>
        </w:rPr>
      </w:pPr>
      <w:r w:rsidRPr="002E4597">
        <w:rPr>
          <w:rFonts w:ascii="Verdana" w:eastAsia="Calibri" w:hAnsi="Verdana"/>
          <w:noProof/>
          <w:sz w:val="20"/>
          <w:szCs w:val="22"/>
          <w:lang w:val="sr-Cyrl-RS" w:eastAsia="en-US"/>
        </w:rPr>
        <w:t>Процена Друштва је да су и поред раста вредности акција кретања на тржишту ХоВ и даље нестабилна, имајући у виду да у власничкој структури Држава има већинско власништво и да њене одлуке у великој мери утичу на цену.</w:t>
      </w:r>
    </w:p>
    <w:p w:rsidR="00A051F5" w:rsidRPr="00B36B41" w:rsidRDefault="00A051F5" w:rsidP="00A051F5">
      <w:pPr>
        <w:spacing w:line="276" w:lineRule="auto"/>
        <w:ind w:firstLine="284"/>
        <w:jc w:val="both"/>
        <w:rPr>
          <w:rFonts w:ascii="Verdana" w:eastAsia="Calibri" w:hAnsi="Verdana"/>
          <w:b/>
          <w:noProof/>
          <w:sz w:val="20"/>
          <w:szCs w:val="22"/>
          <w:lang w:val="sr-Cyrl-RS" w:eastAsia="en-US"/>
        </w:rPr>
      </w:pPr>
      <w:r w:rsidRPr="00B36B41">
        <w:rPr>
          <w:rFonts w:ascii="Verdana" w:eastAsia="Calibri" w:hAnsi="Verdana"/>
          <w:b/>
          <w:noProof/>
          <w:sz w:val="20"/>
          <w:szCs w:val="22"/>
          <w:lang w:val="sr-Cyrl-RS" w:eastAsia="en-US"/>
        </w:rPr>
        <w:t>Према препоруци нашег корпоративног агента Стокброкера, Друштво планира да у зависности од тржишних услова постепено самањује портфолио акција и изврши улагања у хартије са већим приносима.</w:t>
      </w:r>
    </w:p>
    <w:p w:rsidR="00A051F5" w:rsidRPr="00A3417B" w:rsidRDefault="00A051F5" w:rsidP="00A051F5">
      <w:pPr>
        <w:spacing w:line="276" w:lineRule="auto"/>
        <w:jc w:val="both"/>
        <w:rPr>
          <w:rFonts w:ascii="Verdana" w:eastAsia="Calibri" w:hAnsi="Verdana"/>
          <w:noProof/>
          <w:sz w:val="14"/>
          <w:szCs w:val="14"/>
          <w:lang w:val="sr-Cyrl-RS" w:eastAsia="en-US"/>
        </w:rPr>
      </w:pPr>
    </w:p>
    <w:p w:rsidR="00A051F5" w:rsidRPr="009043F5" w:rsidRDefault="00A051F5" w:rsidP="00A051F5">
      <w:pPr>
        <w:pStyle w:val="ListParagraph"/>
        <w:spacing w:line="276" w:lineRule="auto"/>
        <w:ind w:left="0" w:firstLine="284"/>
        <w:jc w:val="both"/>
        <w:rPr>
          <w:rFonts w:ascii="Verdana" w:eastAsia="Calibri" w:hAnsi="Verdana"/>
          <w:noProof/>
          <w:sz w:val="20"/>
          <w:szCs w:val="22"/>
          <w:lang w:val="sr-Cyrl-RS" w:eastAsia="en-US"/>
        </w:rPr>
      </w:pPr>
      <w:r w:rsidRPr="009043F5">
        <w:rPr>
          <w:rFonts w:ascii="Verdana" w:eastAsia="Calibri" w:hAnsi="Verdana"/>
          <w:noProof/>
          <w:sz w:val="20"/>
          <w:szCs w:val="22"/>
          <w:lang w:val="sr-Cyrl-RS" w:eastAsia="en-US"/>
        </w:rPr>
        <w:t>Друштво не планира куповину акција других правних лица у току 201</w:t>
      </w:r>
      <w:r>
        <w:rPr>
          <w:rFonts w:ascii="Verdana" w:eastAsia="Calibri" w:hAnsi="Verdana"/>
          <w:noProof/>
          <w:sz w:val="20"/>
          <w:szCs w:val="22"/>
          <w:lang w:val="sr-Cyrl-RS" w:eastAsia="en-US"/>
        </w:rPr>
        <w:t>5</w:t>
      </w:r>
      <w:r w:rsidRPr="009043F5">
        <w:rPr>
          <w:rFonts w:ascii="Verdana" w:eastAsia="Calibri" w:hAnsi="Verdana"/>
          <w:noProof/>
          <w:sz w:val="20"/>
          <w:szCs w:val="22"/>
          <w:lang w:val="sr-Cyrl-RS" w:eastAsia="en-US"/>
        </w:rPr>
        <w:t>. године.</w:t>
      </w:r>
    </w:p>
    <w:p w:rsidR="00A051F5" w:rsidRDefault="00A051F5" w:rsidP="00A051F5">
      <w:pPr>
        <w:spacing w:before="240" w:after="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ab/>
      </w:r>
      <w:r w:rsidRPr="009043F5">
        <w:rPr>
          <w:rFonts w:ascii="Verdana" w:eastAsia="Calibri" w:hAnsi="Verdana"/>
          <w:b/>
          <w:i/>
          <w:noProof/>
          <w:color w:val="365F91"/>
          <w:sz w:val="20"/>
          <w:szCs w:val="22"/>
          <w:lang w:val="sr-Cyrl-RS" w:eastAsia="en-US"/>
        </w:rPr>
        <w:t>Д</w:t>
      </w:r>
      <w:r>
        <w:rPr>
          <w:rFonts w:ascii="Verdana" w:eastAsia="Calibri" w:hAnsi="Verdana"/>
          <w:b/>
          <w:i/>
          <w:noProof/>
          <w:color w:val="365F91"/>
          <w:sz w:val="20"/>
          <w:szCs w:val="22"/>
          <w:lang w:val="sr-Cyrl-RS" w:eastAsia="en-US"/>
        </w:rPr>
        <w:t>епозити</w:t>
      </w:r>
    </w:p>
    <w:p w:rsidR="00A051F5" w:rsidRPr="00FA04D4" w:rsidRDefault="00A051F5" w:rsidP="00A3417B">
      <w:pPr>
        <w:pStyle w:val="ListParagraph"/>
        <w:spacing w:before="120" w:after="120" w:line="276" w:lineRule="auto"/>
        <w:ind w:left="0"/>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ab/>
      </w:r>
      <w:r w:rsidRPr="00FA04D4">
        <w:rPr>
          <w:rFonts w:ascii="Verdana" w:eastAsia="Calibri" w:hAnsi="Verdana"/>
          <w:noProof/>
          <w:sz w:val="20"/>
          <w:szCs w:val="22"/>
          <w:lang w:val="sr-Cyrl-RS" w:eastAsia="en-US"/>
        </w:rPr>
        <w:t>У</w:t>
      </w:r>
      <w:r w:rsidRPr="00FB789A">
        <w:rPr>
          <w:rFonts w:ascii="Verdana" w:eastAsia="Calibri" w:hAnsi="Verdana"/>
          <w:b/>
          <w:noProof/>
          <w:sz w:val="20"/>
          <w:szCs w:val="22"/>
          <w:lang w:val="sr-Cyrl-RS" w:eastAsia="en-US"/>
        </w:rPr>
        <w:t xml:space="preserve"> </w:t>
      </w:r>
      <w:r w:rsidRPr="00FB789A">
        <w:rPr>
          <w:rFonts w:ascii="Verdana" w:eastAsia="Calibri" w:hAnsi="Verdana"/>
          <w:noProof/>
          <w:sz w:val="20"/>
          <w:szCs w:val="22"/>
          <w:lang w:val="sr-Cyrl-RS" w:eastAsia="en-US"/>
        </w:rPr>
        <w:t>протеклом периоду Друштво је примењивало модел прибављања најповољније понуде кроз упућивање стандардизованог захтева  свим пословним банакама са којима се остварује пословна сарадња (Друштво сарађује са 14 пословних банака). Поред наведеног модела, у циљу максимизације приноса, Друштво средства пласира и по моделу непосредног преговарања</w:t>
      </w:r>
      <w:r>
        <w:rPr>
          <w:rFonts w:ascii="Verdana" w:eastAsia="Calibri" w:hAnsi="Verdana"/>
          <w:noProof/>
          <w:sz w:val="20"/>
          <w:szCs w:val="22"/>
          <w:lang w:val="sr-Cyrl-RS" w:eastAsia="en-US"/>
        </w:rPr>
        <w:t xml:space="preserve">. </w:t>
      </w:r>
      <w:r w:rsidRPr="00FB789A">
        <w:rPr>
          <w:rFonts w:ascii="Verdana" w:eastAsia="Calibri" w:hAnsi="Verdana"/>
          <w:noProof/>
          <w:sz w:val="20"/>
          <w:szCs w:val="22"/>
          <w:lang w:val="sr-Cyrl-RS" w:eastAsia="en-US"/>
        </w:rPr>
        <w:t>Друштво ће наставити са</w:t>
      </w:r>
      <w:r>
        <w:rPr>
          <w:rFonts w:ascii="Verdana" w:eastAsia="Calibri" w:hAnsi="Verdana"/>
          <w:noProof/>
          <w:sz w:val="20"/>
          <w:szCs w:val="22"/>
          <w:lang w:val="sr-Cyrl-RS" w:eastAsia="en-US"/>
        </w:rPr>
        <w:t xml:space="preserve"> досадашњом</w:t>
      </w:r>
      <w:r w:rsidRPr="00FB789A">
        <w:rPr>
          <w:rFonts w:ascii="Verdana" w:eastAsia="Calibri" w:hAnsi="Verdana"/>
          <w:noProof/>
          <w:sz w:val="20"/>
          <w:szCs w:val="22"/>
          <w:lang w:val="sr-Cyrl-RS" w:eastAsia="en-US"/>
        </w:rPr>
        <w:t xml:space="preserve"> политиком</w:t>
      </w:r>
      <w:r>
        <w:rPr>
          <w:rFonts w:ascii="Verdana" w:eastAsia="Calibri" w:hAnsi="Verdana"/>
          <w:b/>
          <w:noProof/>
          <w:sz w:val="20"/>
          <w:szCs w:val="22"/>
          <w:lang w:val="sr-Cyrl-RS" w:eastAsia="en-US"/>
        </w:rPr>
        <w:t xml:space="preserve"> </w:t>
      </w:r>
      <w:r w:rsidRPr="00FA04D4">
        <w:rPr>
          <w:rFonts w:ascii="Verdana" w:eastAsia="Calibri" w:hAnsi="Verdana"/>
          <w:noProof/>
          <w:sz w:val="20"/>
          <w:szCs w:val="22"/>
          <w:lang w:val="sr-Cyrl-RS" w:eastAsia="en-US"/>
        </w:rPr>
        <w:t>депоновања</w:t>
      </w:r>
      <w:r>
        <w:rPr>
          <w:rFonts w:ascii="Verdana" w:eastAsia="Calibri" w:hAnsi="Verdana"/>
          <w:b/>
          <w:noProof/>
          <w:sz w:val="20"/>
          <w:szCs w:val="22"/>
          <w:lang w:val="sr-Cyrl-RS" w:eastAsia="en-US"/>
        </w:rPr>
        <w:t>.</w:t>
      </w:r>
    </w:p>
    <w:p w:rsidR="00A051F5" w:rsidRPr="00B36B41" w:rsidRDefault="00A051F5" w:rsidP="00A3417B">
      <w:pPr>
        <w:spacing w:before="120" w:after="120" w:line="276" w:lineRule="auto"/>
        <w:jc w:val="both"/>
        <w:rPr>
          <w:rFonts w:ascii="Verdana" w:eastAsia="Calibri" w:hAnsi="Verdana"/>
          <w:b/>
          <w:noProof/>
          <w:sz w:val="20"/>
          <w:szCs w:val="22"/>
          <w:lang w:val="sr-Cyrl-RS" w:eastAsia="en-US"/>
        </w:rPr>
      </w:pPr>
      <w:r>
        <w:rPr>
          <w:rFonts w:ascii="Verdana" w:eastAsia="Calibri" w:hAnsi="Verdana"/>
          <w:b/>
          <w:noProof/>
          <w:sz w:val="20"/>
          <w:szCs w:val="22"/>
          <w:lang w:val="sr-Cyrl-RS" w:eastAsia="en-US"/>
        </w:rPr>
        <w:tab/>
      </w:r>
      <w:r w:rsidRPr="00B36B41">
        <w:rPr>
          <w:rFonts w:ascii="Verdana" w:eastAsia="Calibri" w:hAnsi="Verdana"/>
          <w:b/>
          <w:noProof/>
          <w:sz w:val="20"/>
          <w:szCs w:val="22"/>
          <w:lang w:val="sr-Cyrl-RS" w:eastAsia="en-US"/>
        </w:rPr>
        <w:t>Друштво у 2015. години планира смањење девизних депозита због негативног тренда пада каматних стопа</w:t>
      </w:r>
      <w:r>
        <w:rPr>
          <w:rFonts w:ascii="Verdana" w:eastAsia="Calibri" w:hAnsi="Verdana"/>
          <w:b/>
          <w:noProof/>
          <w:sz w:val="20"/>
          <w:szCs w:val="22"/>
          <w:lang w:val="sr-Cyrl-RS" w:eastAsia="en-US"/>
        </w:rPr>
        <w:t>, и повећање динарских депозита.</w:t>
      </w:r>
    </w:p>
    <w:p w:rsidR="00A051F5" w:rsidRDefault="00A051F5" w:rsidP="00A051F5">
      <w:pPr>
        <w:spacing w:before="240" w:after="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ab/>
        <w:t>Позитивне курсне разлике  и тржишне осцилације</w:t>
      </w:r>
    </w:p>
    <w:p w:rsidR="00A051F5" w:rsidRDefault="00A051F5" w:rsidP="00A051F5">
      <w:pPr>
        <w:spacing w:before="240" w:after="240" w:line="276" w:lineRule="auto"/>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ab/>
      </w:r>
      <w:r w:rsidRPr="00571A89">
        <w:rPr>
          <w:rFonts w:ascii="Verdana" w:eastAsia="Calibri" w:hAnsi="Verdana"/>
          <w:noProof/>
          <w:sz w:val="20"/>
          <w:szCs w:val="22"/>
          <w:lang w:val="sr-Cyrl-RS" w:eastAsia="en-US"/>
        </w:rPr>
        <w:t>Ова позиција је планирана на бази пројектованог курса и без значајнијих тржишних осцилација хартија од вредности.</w:t>
      </w:r>
    </w:p>
    <w:p w:rsidR="00A051F5" w:rsidRDefault="00A051F5" w:rsidP="00A051F5">
      <w:pPr>
        <w:spacing w:before="240" w:after="240" w:line="276" w:lineRule="auto"/>
        <w:jc w:val="both"/>
        <w:rPr>
          <w:rFonts w:ascii="Verdana" w:eastAsia="Calibri" w:hAnsi="Verdana"/>
          <w:b/>
          <w:i/>
          <w:noProof/>
          <w:color w:val="365F91"/>
          <w:sz w:val="20"/>
          <w:szCs w:val="22"/>
          <w:lang w:val="sr-Cyrl-RS" w:eastAsia="en-US"/>
        </w:rPr>
      </w:pPr>
      <w:r>
        <w:rPr>
          <w:rFonts w:ascii="Verdana" w:eastAsia="Calibri" w:hAnsi="Verdana"/>
          <w:b/>
          <w:i/>
          <w:noProof/>
          <w:color w:val="365F91"/>
          <w:sz w:val="20"/>
          <w:szCs w:val="22"/>
          <w:lang w:val="sr-Cyrl-RS" w:eastAsia="en-US"/>
        </w:rPr>
        <w:tab/>
      </w:r>
      <w:r w:rsidRPr="00571A89">
        <w:rPr>
          <w:rFonts w:ascii="Verdana" w:eastAsia="Calibri" w:hAnsi="Verdana"/>
          <w:b/>
          <w:i/>
          <w:noProof/>
          <w:color w:val="365F91"/>
          <w:sz w:val="20"/>
          <w:szCs w:val="22"/>
          <w:lang w:val="sr-Cyrl-RS" w:eastAsia="en-US"/>
        </w:rPr>
        <w:t>Расходи од инвестирања</w:t>
      </w:r>
    </w:p>
    <w:p w:rsidR="00A051F5" w:rsidRPr="00571A89" w:rsidRDefault="00A051F5" w:rsidP="00A3417B">
      <w:pPr>
        <w:spacing w:before="120" w:after="120" w:line="276" w:lineRule="auto"/>
        <w:jc w:val="both"/>
        <w:rPr>
          <w:rFonts w:ascii="Verdana" w:eastAsia="Calibri" w:hAnsi="Verdana"/>
          <w:b/>
          <w:i/>
          <w:noProof/>
          <w:color w:val="365F91"/>
          <w:sz w:val="20"/>
          <w:szCs w:val="22"/>
          <w:lang w:val="sr-Cyrl-RS" w:eastAsia="en-US"/>
        </w:rPr>
      </w:pPr>
      <w:r>
        <w:rPr>
          <w:rFonts w:ascii="Verdana" w:eastAsia="Calibri" w:hAnsi="Verdana"/>
          <w:noProof/>
          <w:sz w:val="20"/>
          <w:szCs w:val="22"/>
          <w:lang w:val="sr-Cyrl-RS" w:eastAsia="en-US"/>
        </w:rPr>
        <w:tab/>
      </w:r>
      <w:r w:rsidRPr="00571A89">
        <w:rPr>
          <w:rFonts w:ascii="Verdana" w:eastAsia="Calibri" w:hAnsi="Verdana"/>
          <w:noProof/>
          <w:sz w:val="20"/>
          <w:szCs w:val="22"/>
          <w:lang w:val="sr-Cyrl-RS" w:eastAsia="en-US"/>
        </w:rPr>
        <w:t>Ова позиција је планирана на бази пројектованог курса и без значајнијих тржишних осцилација хартија од вредности</w:t>
      </w:r>
      <w:r>
        <w:rPr>
          <w:rFonts w:ascii="Verdana" w:eastAsia="Calibri" w:hAnsi="Verdana"/>
          <w:noProof/>
          <w:sz w:val="20"/>
          <w:szCs w:val="22"/>
          <w:lang w:val="sr-Cyrl-RS" w:eastAsia="en-US"/>
        </w:rPr>
        <w:t>.</w:t>
      </w:r>
    </w:p>
    <w:p w:rsidR="0014063A" w:rsidRDefault="00A051F5" w:rsidP="00A3417B">
      <w:pPr>
        <w:pStyle w:val="ListParagraph"/>
        <w:spacing w:before="120" w:after="120" w:line="276" w:lineRule="auto"/>
        <w:ind w:left="0" w:firstLine="284"/>
        <w:jc w:val="both"/>
        <w:rPr>
          <w:rFonts w:ascii="Verdana" w:eastAsia="Calibri" w:hAnsi="Verdana"/>
          <w:noProof/>
          <w:sz w:val="20"/>
          <w:szCs w:val="22"/>
          <w:lang w:val="sr-Cyrl-RS" w:eastAsia="en-US"/>
        </w:rPr>
      </w:pPr>
      <w:r w:rsidRPr="00C22DE6">
        <w:rPr>
          <w:rFonts w:ascii="Verdana" w:eastAsia="Calibri" w:hAnsi="Verdana"/>
          <w:noProof/>
          <w:sz w:val="20"/>
          <w:szCs w:val="22"/>
          <w:lang w:val="sr-Cyrl-RS" w:eastAsia="en-US"/>
        </w:rPr>
        <w:t>Уколико се укаже прилика за додатну диверсификацију портфеља на квалитетан начин, Друштво ће улагати средства и у остале облике предвиђене Законом о осигурању и Одлуком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као нпр. некретнине.</w:t>
      </w:r>
    </w:p>
    <w:p w:rsidR="00A051F5" w:rsidRPr="000545BA" w:rsidRDefault="00A051F5" w:rsidP="00A051F5">
      <w:pPr>
        <w:pStyle w:val="ListParagraph"/>
        <w:spacing w:line="276" w:lineRule="auto"/>
        <w:ind w:left="0" w:firstLine="284"/>
        <w:jc w:val="both"/>
        <w:rPr>
          <w:rFonts w:ascii="Verdana" w:eastAsia="Calibri" w:hAnsi="Verdana"/>
          <w:noProof/>
          <w:sz w:val="20"/>
          <w:szCs w:val="22"/>
          <w:lang w:val="sr-Cyrl-RS" w:eastAsia="en-US"/>
        </w:rPr>
      </w:pPr>
    </w:p>
    <w:p w:rsidR="0014063A" w:rsidRPr="000545BA" w:rsidRDefault="0014063A" w:rsidP="0014063A">
      <w:pPr>
        <w:pStyle w:val="Heading1"/>
        <w:numPr>
          <w:ilvl w:val="0"/>
          <w:numId w:val="3"/>
        </w:numPr>
        <w:rPr>
          <w:rFonts w:ascii="Verdana" w:hAnsi="Verdana" w:cs="Tahoma"/>
          <w:noProof/>
          <w:color w:val="365F91"/>
          <w:sz w:val="24"/>
          <w:szCs w:val="18"/>
          <w:lang w:val="sr-Cyrl-RS"/>
        </w:rPr>
      </w:pPr>
      <w:bookmarkStart w:id="49" w:name="_Toc414610350"/>
      <w:r w:rsidRPr="000545BA">
        <w:rPr>
          <w:rFonts w:ascii="Verdana" w:hAnsi="Verdana" w:cs="Tahoma"/>
          <w:noProof/>
          <w:color w:val="365F91"/>
          <w:sz w:val="24"/>
          <w:szCs w:val="18"/>
          <w:lang w:val="sr-Cyrl-RS"/>
        </w:rPr>
        <w:t xml:space="preserve">ПЛАН ПРИХОДА </w:t>
      </w:r>
      <w:r w:rsidR="00385080" w:rsidRPr="000545BA">
        <w:rPr>
          <w:rFonts w:ascii="Verdana" w:hAnsi="Verdana" w:cs="Tahoma"/>
          <w:noProof/>
          <w:color w:val="365F91"/>
          <w:sz w:val="24"/>
          <w:szCs w:val="18"/>
          <w:lang w:val="sr-Cyrl-RS"/>
        </w:rPr>
        <w:t>И</w:t>
      </w:r>
      <w:r w:rsidRPr="000545BA">
        <w:rPr>
          <w:rFonts w:ascii="Verdana" w:hAnsi="Verdana" w:cs="Tahoma"/>
          <w:noProof/>
          <w:color w:val="365F91"/>
          <w:sz w:val="24"/>
          <w:szCs w:val="18"/>
          <w:lang w:val="sr-Cyrl-RS"/>
        </w:rPr>
        <w:t xml:space="preserve"> РАСХОДА ОД УСКЛАЂИВАЊА</w:t>
      </w:r>
      <w:r w:rsidR="00385080" w:rsidRPr="000545BA">
        <w:rPr>
          <w:rFonts w:ascii="Verdana" w:hAnsi="Verdana" w:cs="Tahoma"/>
          <w:noProof/>
          <w:color w:val="365F91"/>
          <w:sz w:val="24"/>
          <w:szCs w:val="18"/>
          <w:lang w:val="sr-Cyrl-RS"/>
        </w:rPr>
        <w:t xml:space="preserve">                          </w:t>
      </w:r>
      <w:r w:rsidRPr="000545BA">
        <w:rPr>
          <w:rFonts w:ascii="Verdana" w:hAnsi="Verdana" w:cs="Tahoma"/>
          <w:noProof/>
          <w:color w:val="365F91"/>
          <w:sz w:val="24"/>
          <w:szCs w:val="18"/>
          <w:lang w:val="sr-Cyrl-RS"/>
        </w:rPr>
        <w:t>ЗА 201</w:t>
      </w:r>
      <w:r w:rsidR="00A051F5">
        <w:rPr>
          <w:rFonts w:ascii="Verdana" w:hAnsi="Verdana" w:cs="Tahoma"/>
          <w:noProof/>
          <w:color w:val="365F91"/>
          <w:sz w:val="24"/>
          <w:szCs w:val="18"/>
          <w:lang w:val="sr-Cyrl-RS"/>
        </w:rPr>
        <w:t>5</w:t>
      </w:r>
      <w:r w:rsidRPr="000545BA">
        <w:rPr>
          <w:rFonts w:ascii="Verdana" w:hAnsi="Verdana" w:cs="Tahoma"/>
          <w:noProof/>
          <w:color w:val="365F91"/>
          <w:sz w:val="24"/>
          <w:szCs w:val="18"/>
          <w:lang w:val="sr-Cyrl-RS"/>
        </w:rPr>
        <w:t>. ГОДИНУ</w:t>
      </w:r>
      <w:bookmarkEnd w:id="49"/>
    </w:p>
    <w:p w:rsidR="0014063A" w:rsidRPr="000545BA" w:rsidRDefault="0014063A" w:rsidP="00B11E75">
      <w:pPr>
        <w:pStyle w:val="ListParagraph"/>
        <w:spacing w:line="276" w:lineRule="auto"/>
        <w:ind w:left="0" w:firstLine="284"/>
        <w:jc w:val="both"/>
        <w:rPr>
          <w:rFonts w:ascii="Verdana" w:eastAsia="Calibri" w:hAnsi="Verdana"/>
          <w:noProof/>
          <w:sz w:val="20"/>
          <w:szCs w:val="22"/>
          <w:highlight w:val="cyan"/>
          <w:lang w:val="sr-Cyrl-RS" w:eastAsia="en-US"/>
        </w:rPr>
      </w:pPr>
    </w:p>
    <w:p w:rsidR="00A051F5" w:rsidRDefault="00A051F5" w:rsidP="00A3417B">
      <w:pPr>
        <w:pStyle w:val="ListParagraph"/>
        <w:spacing w:before="120" w:after="120" w:line="276" w:lineRule="auto"/>
        <w:ind w:left="0" w:firstLine="284"/>
        <w:jc w:val="both"/>
        <w:rPr>
          <w:rFonts w:ascii="Verdana" w:eastAsia="Calibri" w:hAnsi="Verdana"/>
          <w:noProof/>
          <w:sz w:val="20"/>
          <w:szCs w:val="22"/>
          <w:lang w:val="sr-Cyrl-RS" w:eastAsia="en-US"/>
        </w:rPr>
      </w:pPr>
      <w:r w:rsidRPr="009A2043">
        <w:rPr>
          <w:rFonts w:ascii="Verdana" w:eastAsia="Calibri" w:hAnsi="Verdana"/>
          <w:noProof/>
          <w:sz w:val="20"/>
          <w:szCs w:val="22"/>
          <w:lang w:val="sr-Cyrl-RS" w:eastAsia="en-US"/>
        </w:rPr>
        <w:t>Полазн</w:t>
      </w:r>
      <w:r>
        <w:rPr>
          <w:rFonts w:ascii="Verdana" w:eastAsia="Calibri" w:hAnsi="Verdana"/>
          <w:noProof/>
          <w:sz w:val="20"/>
          <w:szCs w:val="22"/>
          <w:lang w:val="sr-Cyrl-RS" w:eastAsia="en-US"/>
        </w:rPr>
        <w:t>а претпоставка</w:t>
      </w:r>
      <w:r w:rsidRPr="009A2043">
        <w:rPr>
          <w:rFonts w:ascii="Verdana" w:eastAsia="Calibri" w:hAnsi="Verdana"/>
          <w:noProof/>
          <w:sz w:val="20"/>
          <w:szCs w:val="22"/>
          <w:lang w:val="sr-Cyrl-RS" w:eastAsia="en-US"/>
        </w:rPr>
        <w:t xml:space="preserve"> за планиране вредности </w:t>
      </w:r>
      <w:r>
        <w:rPr>
          <w:rFonts w:ascii="Verdana" w:eastAsia="Calibri" w:hAnsi="Verdana"/>
          <w:noProof/>
          <w:sz w:val="20"/>
          <w:szCs w:val="22"/>
          <w:lang w:val="sr-Cyrl-RS" w:eastAsia="en-US"/>
        </w:rPr>
        <w:t xml:space="preserve"> на страни прихода је</w:t>
      </w:r>
      <w:r w:rsidRPr="009A2043">
        <w:rPr>
          <w:rFonts w:ascii="Verdana" w:eastAsia="Calibri" w:hAnsi="Verdana"/>
          <w:noProof/>
          <w:sz w:val="20"/>
          <w:szCs w:val="22"/>
          <w:lang w:val="sr-Cyrl-RS" w:eastAsia="en-US"/>
        </w:rPr>
        <w:t xml:space="preserve"> наплата потраживања </w:t>
      </w:r>
      <w:r>
        <w:rPr>
          <w:rFonts w:ascii="Verdana" w:eastAsia="Calibri" w:hAnsi="Verdana"/>
          <w:noProof/>
          <w:sz w:val="20"/>
          <w:szCs w:val="22"/>
          <w:lang w:val="sr-Cyrl-RS" w:eastAsia="en-US"/>
        </w:rPr>
        <w:t xml:space="preserve">у висини од 80% од потраживања која </w:t>
      </w:r>
      <w:r w:rsidRPr="009A2043">
        <w:rPr>
          <w:rFonts w:ascii="Verdana" w:eastAsia="Calibri" w:hAnsi="Verdana"/>
          <w:noProof/>
          <w:sz w:val="20"/>
          <w:szCs w:val="22"/>
          <w:lang w:val="sr-Cyrl-RS" w:eastAsia="en-US"/>
        </w:rPr>
        <w:t xml:space="preserve"> су исправљена на дан 31.12.201</w:t>
      </w:r>
      <w:r>
        <w:rPr>
          <w:rFonts w:ascii="Verdana" w:eastAsia="Calibri" w:hAnsi="Verdana"/>
          <w:noProof/>
          <w:sz w:val="20"/>
          <w:szCs w:val="22"/>
          <w:lang w:val="sr-Cyrl-RS" w:eastAsia="en-US"/>
        </w:rPr>
        <w:t>4</w:t>
      </w:r>
      <w:r w:rsidRPr="009A2043">
        <w:rPr>
          <w:rFonts w:ascii="Verdana" w:eastAsia="Calibri" w:hAnsi="Verdana"/>
          <w:noProof/>
          <w:sz w:val="20"/>
          <w:szCs w:val="22"/>
          <w:lang w:val="sr-Cyrl-RS" w:eastAsia="en-US"/>
        </w:rPr>
        <w:t>. године</w:t>
      </w:r>
      <w:r>
        <w:rPr>
          <w:rFonts w:ascii="Verdana" w:eastAsia="Calibri" w:hAnsi="Verdana"/>
          <w:noProof/>
          <w:sz w:val="20"/>
          <w:szCs w:val="22"/>
          <w:lang w:val="sr-Cyrl-RS" w:eastAsia="en-US"/>
        </w:rPr>
        <w:t xml:space="preserve"> односно 73.000 хиљаде динара.</w:t>
      </w:r>
    </w:p>
    <w:p w:rsidR="00A051F5" w:rsidRPr="009A2043" w:rsidRDefault="00A051F5" w:rsidP="00A3417B">
      <w:pPr>
        <w:pStyle w:val="ListParagraph"/>
        <w:spacing w:before="120" w:after="120" w:line="276" w:lineRule="auto"/>
        <w:ind w:left="0" w:firstLine="284"/>
        <w:jc w:val="both"/>
        <w:rPr>
          <w:rFonts w:ascii="Verdana" w:eastAsia="Calibri" w:hAnsi="Verdana"/>
          <w:noProof/>
          <w:sz w:val="20"/>
          <w:szCs w:val="22"/>
          <w:lang w:val="sr-Cyrl-RS" w:eastAsia="en-US"/>
        </w:rPr>
      </w:pPr>
      <w:r>
        <w:rPr>
          <w:rFonts w:ascii="Verdana" w:eastAsia="Calibri" w:hAnsi="Verdana"/>
          <w:noProof/>
          <w:sz w:val="20"/>
          <w:szCs w:val="22"/>
          <w:lang w:val="sr-Cyrl-RS" w:eastAsia="en-US"/>
        </w:rPr>
        <w:t>Полазана претпоставка за пројектовање расхода у висини од 57.193 хиљада динара  је да ће се и у 2015. години задржати уредност у наплати и приближно иста класификација , пре свега од повезаних лица који имају и највећи утицај.</w:t>
      </w:r>
    </w:p>
    <w:p w:rsidR="0069570E" w:rsidRPr="000545BA" w:rsidRDefault="0069570E" w:rsidP="0058643F">
      <w:pPr>
        <w:pStyle w:val="ListParagraph"/>
        <w:spacing w:before="200" w:after="200" w:line="276" w:lineRule="auto"/>
        <w:ind w:left="0" w:firstLine="284"/>
        <w:contextualSpacing/>
        <w:jc w:val="both"/>
        <w:rPr>
          <w:rFonts w:ascii="Verdana" w:eastAsia="Calibri" w:hAnsi="Verdana"/>
          <w:noProof/>
          <w:sz w:val="20"/>
          <w:szCs w:val="22"/>
          <w:lang w:val="sr-Cyrl-RS" w:eastAsia="en-US"/>
        </w:rPr>
      </w:pPr>
    </w:p>
    <w:p w:rsidR="00385080" w:rsidRPr="000545BA" w:rsidRDefault="00385080" w:rsidP="0058643F">
      <w:pPr>
        <w:pStyle w:val="ListParagraph"/>
        <w:spacing w:before="200" w:after="200" w:line="276" w:lineRule="auto"/>
        <w:ind w:left="0" w:firstLine="284"/>
        <w:contextualSpacing/>
        <w:jc w:val="both"/>
        <w:rPr>
          <w:rFonts w:ascii="Verdana" w:eastAsia="Calibri" w:hAnsi="Verdana"/>
          <w:noProof/>
          <w:sz w:val="20"/>
          <w:szCs w:val="22"/>
          <w:highlight w:val="cyan"/>
          <w:lang w:val="sr-Cyrl-RS" w:eastAsia="en-US"/>
        </w:rPr>
        <w:sectPr w:rsidR="00385080" w:rsidRPr="000545BA" w:rsidSect="006C579F">
          <w:footerReference w:type="default" r:id="rId29"/>
          <w:footnotePr>
            <w:pos w:val="beneathText"/>
          </w:footnotePr>
          <w:pgSz w:w="12240" w:h="15840" w:code="1"/>
          <w:pgMar w:top="1418" w:right="1418" w:bottom="1418" w:left="1418" w:header="709" w:footer="709" w:gutter="0"/>
          <w:cols w:space="708"/>
          <w:docGrid w:linePitch="360"/>
        </w:sectPr>
      </w:pPr>
    </w:p>
    <w:p w:rsidR="0069570E" w:rsidRDefault="003E4551" w:rsidP="0069570E">
      <w:pPr>
        <w:pStyle w:val="Heading1"/>
        <w:numPr>
          <w:ilvl w:val="0"/>
          <w:numId w:val="3"/>
        </w:numPr>
        <w:tabs>
          <w:tab w:val="clear" w:pos="432"/>
        </w:tabs>
        <w:ind w:left="0" w:firstLine="0"/>
        <w:rPr>
          <w:rFonts w:ascii="Verdana" w:hAnsi="Verdana" w:cs="Tahoma"/>
          <w:noProof/>
          <w:color w:val="365F91"/>
          <w:sz w:val="24"/>
          <w:szCs w:val="18"/>
          <w:lang w:val="sr-Cyrl-RS"/>
        </w:rPr>
      </w:pPr>
      <w:bookmarkStart w:id="50" w:name="_Toc414610351"/>
      <w:r w:rsidRPr="000545BA">
        <w:rPr>
          <w:rFonts w:ascii="Verdana" w:hAnsi="Verdana" w:cs="Tahoma"/>
          <w:noProof/>
          <w:color w:val="365F91"/>
          <w:sz w:val="24"/>
          <w:szCs w:val="18"/>
          <w:lang w:val="sr-Cyrl-RS"/>
        </w:rPr>
        <w:t>П</w:t>
      </w:r>
      <w:r w:rsidR="0005351E" w:rsidRPr="000545BA">
        <w:rPr>
          <w:rFonts w:ascii="Verdana" w:hAnsi="Verdana" w:cs="Tahoma"/>
          <w:noProof/>
          <w:color w:val="365F91"/>
          <w:sz w:val="24"/>
          <w:szCs w:val="18"/>
          <w:lang w:val="sr-Cyrl-RS"/>
        </w:rPr>
        <w:t>ЛАН УКУПНИХ ПРИХОДА, УКУПНИХ РАСХОДА И РЕЗУЛТАТА ЗА 201</w:t>
      </w:r>
      <w:r w:rsidR="00A051F5">
        <w:rPr>
          <w:rFonts w:ascii="Verdana" w:hAnsi="Verdana" w:cs="Tahoma"/>
          <w:noProof/>
          <w:color w:val="365F91"/>
          <w:sz w:val="24"/>
          <w:szCs w:val="18"/>
          <w:lang w:val="sr-Cyrl-RS"/>
        </w:rPr>
        <w:t>5</w:t>
      </w:r>
      <w:r w:rsidR="0005351E" w:rsidRPr="000545BA">
        <w:rPr>
          <w:rFonts w:ascii="Verdana" w:hAnsi="Verdana" w:cs="Tahoma"/>
          <w:noProof/>
          <w:color w:val="365F91"/>
          <w:sz w:val="24"/>
          <w:szCs w:val="18"/>
          <w:lang w:val="sr-Cyrl-RS"/>
        </w:rPr>
        <w:t>. ГОДИНУ</w:t>
      </w:r>
      <w:bookmarkEnd w:id="50"/>
    </w:p>
    <w:tbl>
      <w:tblPr>
        <w:tblW w:w="13041" w:type="dxa"/>
        <w:tblInd w:w="108" w:type="dxa"/>
        <w:tblLook w:val="04A0" w:firstRow="1" w:lastRow="0" w:firstColumn="1" w:lastColumn="0" w:noHBand="0" w:noVBand="1"/>
      </w:tblPr>
      <w:tblGrid>
        <w:gridCol w:w="6378"/>
        <w:gridCol w:w="1560"/>
        <w:gridCol w:w="1843"/>
        <w:gridCol w:w="1418"/>
        <w:gridCol w:w="1842"/>
      </w:tblGrid>
      <w:tr w:rsidR="000545BA" w:rsidRPr="000545BA" w:rsidTr="00711EB2">
        <w:trPr>
          <w:trHeight w:val="20"/>
        </w:trPr>
        <w:tc>
          <w:tcPr>
            <w:tcW w:w="6378" w:type="dxa"/>
            <w:tcBorders>
              <w:top w:val="single" w:sz="12" w:space="0" w:color="365F91"/>
              <w:bottom w:val="single" w:sz="12" w:space="0" w:color="365F91"/>
            </w:tcBorders>
            <w:shd w:val="clear" w:color="auto" w:fill="auto"/>
            <w:vAlign w:val="center"/>
            <w:hideMark/>
          </w:tcPr>
          <w:p w:rsidR="000545BA" w:rsidRPr="000545BA" w:rsidRDefault="000545BA" w:rsidP="00711EB2">
            <w:pPr>
              <w:pStyle w:val="NoSpacing"/>
              <w:jc w:val="center"/>
              <w:rPr>
                <w:rFonts w:ascii="Verdana" w:eastAsia="Calibri" w:hAnsi="Verdana"/>
                <w:b/>
                <w:noProof/>
                <w:sz w:val="16"/>
                <w:szCs w:val="16"/>
                <w:lang w:val="sr-Cyrl-RS"/>
              </w:rPr>
            </w:pPr>
            <w:r w:rsidRPr="000545BA">
              <w:rPr>
                <w:rFonts w:ascii="Verdana" w:eastAsia="Calibri" w:hAnsi="Verdana"/>
                <w:b/>
                <w:noProof/>
                <w:sz w:val="16"/>
                <w:szCs w:val="16"/>
                <w:lang w:val="sr-Cyrl-RS"/>
              </w:rPr>
              <w:t>Опис</w:t>
            </w:r>
          </w:p>
        </w:tc>
        <w:tc>
          <w:tcPr>
            <w:tcW w:w="1560" w:type="dxa"/>
            <w:tcBorders>
              <w:top w:val="single" w:sz="12" w:space="0" w:color="365F91"/>
              <w:bottom w:val="single" w:sz="12" w:space="0" w:color="365F91"/>
            </w:tcBorders>
            <w:shd w:val="clear" w:color="auto" w:fill="auto"/>
            <w:vAlign w:val="center"/>
            <w:hideMark/>
          </w:tcPr>
          <w:p w:rsidR="000545BA" w:rsidRPr="000545BA" w:rsidRDefault="000545BA" w:rsidP="00711EB2">
            <w:pPr>
              <w:pStyle w:val="NoSpacing"/>
              <w:jc w:val="center"/>
              <w:rPr>
                <w:rFonts w:ascii="Verdana" w:eastAsia="Calibri" w:hAnsi="Verdana"/>
                <w:b/>
                <w:noProof/>
                <w:sz w:val="16"/>
                <w:szCs w:val="16"/>
                <w:lang w:val="sr-Cyrl-RS"/>
              </w:rPr>
            </w:pPr>
            <w:r w:rsidRPr="000545BA">
              <w:rPr>
                <w:rFonts w:ascii="Verdana" w:eastAsia="Calibri" w:hAnsi="Verdana"/>
                <w:b/>
                <w:noProof/>
                <w:sz w:val="16"/>
                <w:szCs w:val="16"/>
                <w:lang w:val="sr-Cyrl-RS"/>
              </w:rPr>
              <w:t>план  201</w:t>
            </w:r>
            <w:r>
              <w:rPr>
                <w:rFonts w:ascii="Verdana" w:eastAsia="Calibri" w:hAnsi="Verdana"/>
                <w:b/>
                <w:noProof/>
                <w:sz w:val="16"/>
                <w:szCs w:val="16"/>
                <w:lang w:val="sr-Latn-RS"/>
              </w:rPr>
              <w:t>4</w:t>
            </w:r>
            <w:r w:rsidRPr="000545BA">
              <w:rPr>
                <w:rFonts w:ascii="Verdana" w:eastAsia="Calibri" w:hAnsi="Verdana"/>
                <w:b/>
                <w:noProof/>
                <w:sz w:val="16"/>
                <w:szCs w:val="16"/>
                <w:lang w:val="sr-Cyrl-RS"/>
              </w:rPr>
              <w:t>.</w:t>
            </w:r>
          </w:p>
        </w:tc>
        <w:tc>
          <w:tcPr>
            <w:tcW w:w="1843" w:type="dxa"/>
            <w:tcBorders>
              <w:top w:val="single" w:sz="12" w:space="0" w:color="365F91"/>
              <w:bottom w:val="single" w:sz="12" w:space="0" w:color="365F91"/>
            </w:tcBorders>
            <w:shd w:val="clear" w:color="auto" w:fill="auto"/>
            <w:vAlign w:val="center"/>
            <w:hideMark/>
          </w:tcPr>
          <w:p w:rsidR="000545BA" w:rsidRPr="000545BA" w:rsidRDefault="000545BA" w:rsidP="00711EB2">
            <w:pPr>
              <w:pStyle w:val="NoSpacing"/>
              <w:jc w:val="center"/>
              <w:rPr>
                <w:rFonts w:ascii="Verdana" w:eastAsia="Calibri" w:hAnsi="Verdana"/>
                <w:b/>
                <w:noProof/>
                <w:sz w:val="16"/>
                <w:szCs w:val="16"/>
                <w:lang w:val="sr-Latn-RS"/>
              </w:rPr>
            </w:pPr>
            <w:r w:rsidRPr="000545BA">
              <w:rPr>
                <w:rFonts w:ascii="Verdana" w:eastAsia="Calibri" w:hAnsi="Verdana"/>
                <w:b/>
                <w:noProof/>
                <w:sz w:val="16"/>
                <w:szCs w:val="16"/>
                <w:lang w:val="sr-Cyrl-RS"/>
              </w:rPr>
              <w:t>остварење 201</w:t>
            </w:r>
            <w:r>
              <w:rPr>
                <w:rFonts w:ascii="Verdana" w:eastAsia="Calibri" w:hAnsi="Verdana"/>
                <w:b/>
                <w:noProof/>
                <w:sz w:val="16"/>
                <w:szCs w:val="16"/>
                <w:lang w:val="sr-Latn-RS"/>
              </w:rPr>
              <w:t>4.</w:t>
            </w:r>
          </w:p>
        </w:tc>
        <w:tc>
          <w:tcPr>
            <w:tcW w:w="1418" w:type="dxa"/>
            <w:tcBorders>
              <w:top w:val="single" w:sz="12" w:space="0" w:color="365F91"/>
              <w:bottom w:val="single" w:sz="12" w:space="0" w:color="365F91"/>
            </w:tcBorders>
            <w:shd w:val="clear" w:color="auto" w:fill="auto"/>
            <w:vAlign w:val="center"/>
            <w:hideMark/>
          </w:tcPr>
          <w:p w:rsidR="000545BA" w:rsidRPr="000545BA" w:rsidRDefault="000545BA" w:rsidP="00711EB2">
            <w:pPr>
              <w:pStyle w:val="NoSpacing"/>
              <w:jc w:val="center"/>
              <w:rPr>
                <w:rFonts w:ascii="Verdana" w:eastAsia="Calibri" w:hAnsi="Verdana"/>
                <w:b/>
                <w:noProof/>
                <w:sz w:val="16"/>
                <w:szCs w:val="16"/>
                <w:lang w:val="sr-Cyrl-RS"/>
              </w:rPr>
            </w:pPr>
            <w:r w:rsidRPr="000545BA">
              <w:rPr>
                <w:rFonts w:ascii="Verdana" w:eastAsia="Calibri" w:hAnsi="Verdana"/>
                <w:b/>
                <w:noProof/>
                <w:sz w:val="16"/>
                <w:szCs w:val="16"/>
                <w:lang w:val="sr-Cyrl-RS"/>
              </w:rPr>
              <w:t>план 201</w:t>
            </w:r>
            <w:r>
              <w:rPr>
                <w:rFonts w:ascii="Verdana" w:eastAsia="Calibri" w:hAnsi="Verdana"/>
                <w:b/>
                <w:noProof/>
                <w:sz w:val="16"/>
                <w:szCs w:val="16"/>
                <w:lang w:val="sr-Latn-RS"/>
              </w:rPr>
              <w:t>5</w:t>
            </w:r>
            <w:r w:rsidRPr="000545BA">
              <w:rPr>
                <w:rFonts w:ascii="Verdana" w:eastAsia="Calibri" w:hAnsi="Verdana"/>
                <w:b/>
                <w:noProof/>
                <w:sz w:val="16"/>
                <w:szCs w:val="16"/>
                <w:lang w:val="sr-Cyrl-RS"/>
              </w:rPr>
              <w:t>.</w:t>
            </w:r>
          </w:p>
        </w:tc>
        <w:tc>
          <w:tcPr>
            <w:tcW w:w="1842" w:type="dxa"/>
            <w:tcBorders>
              <w:top w:val="single" w:sz="12" w:space="0" w:color="365F91"/>
              <w:bottom w:val="single" w:sz="12" w:space="0" w:color="365F91"/>
            </w:tcBorders>
            <w:shd w:val="clear" w:color="auto" w:fill="auto"/>
            <w:vAlign w:val="center"/>
            <w:hideMark/>
          </w:tcPr>
          <w:p w:rsidR="000545BA" w:rsidRPr="000545BA" w:rsidRDefault="00711EB2" w:rsidP="00711EB2">
            <w:pPr>
              <w:pStyle w:val="NoSpacing"/>
              <w:jc w:val="center"/>
              <w:rPr>
                <w:rFonts w:ascii="Verdana" w:eastAsia="Calibri" w:hAnsi="Verdana"/>
                <w:b/>
                <w:noProof/>
                <w:sz w:val="16"/>
                <w:szCs w:val="16"/>
                <w:lang w:val="sr-Latn-RS"/>
              </w:rPr>
            </w:pPr>
            <w:r>
              <w:rPr>
                <w:rFonts w:ascii="Verdana" w:eastAsia="Calibri" w:hAnsi="Verdana"/>
                <w:b/>
                <w:noProof/>
                <w:sz w:val="14"/>
                <w:szCs w:val="16"/>
                <w:lang w:val="sr-Cyrl-RS"/>
              </w:rPr>
              <w:t xml:space="preserve">план </w:t>
            </w:r>
            <w:r w:rsidR="000545BA" w:rsidRPr="000545BA">
              <w:rPr>
                <w:rFonts w:ascii="Verdana" w:eastAsia="Calibri" w:hAnsi="Verdana"/>
                <w:b/>
                <w:noProof/>
                <w:sz w:val="14"/>
                <w:szCs w:val="16"/>
                <w:lang w:val="sr-Cyrl-RS"/>
              </w:rPr>
              <w:t>1</w:t>
            </w:r>
            <w:r w:rsidR="000545BA" w:rsidRPr="000545BA">
              <w:rPr>
                <w:rFonts w:ascii="Verdana" w:eastAsia="Calibri" w:hAnsi="Verdana"/>
                <w:b/>
                <w:noProof/>
                <w:sz w:val="14"/>
                <w:szCs w:val="16"/>
                <w:lang w:val="sr-Latn-RS"/>
              </w:rPr>
              <w:t>5</w:t>
            </w:r>
            <w:r w:rsidR="000545BA" w:rsidRPr="000545BA">
              <w:rPr>
                <w:rFonts w:ascii="Verdana" w:eastAsia="Calibri" w:hAnsi="Verdana"/>
                <w:b/>
                <w:noProof/>
                <w:sz w:val="14"/>
                <w:szCs w:val="16"/>
                <w:lang w:val="sr-Cyrl-RS"/>
              </w:rPr>
              <w:t>/ оств</w:t>
            </w:r>
            <w:r>
              <w:rPr>
                <w:rFonts w:ascii="Verdana" w:eastAsia="Calibri" w:hAnsi="Verdana"/>
                <w:b/>
                <w:noProof/>
                <w:sz w:val="14"/>
                <w:szCs w:val="16"/>
                <w:lang w:val="sr-Cyrl-RS"/>
              </w:rPr>
              <w:t xml:space="preserve">. </w:t>
            </w:r>
            <w:r w:rsidR="000545BA" w:rsidRPr="000545BA">
              <w:rPr>
                <w:rFonts w:ascii="Verdana" w:eastAsia="Calibri" w:hAnsi="Verdana"/>
                <w:b/>
                <w:noProof/>
                <w:sz w:val="14"/>
                <w:szCs w:val="16"/>
                <w:lang w:val="sr-Cyrl-RS"/>
              </w:rPr>
              <w:t>1</w:t>
            </w:r>
            <w:r w:rsidR="000545BA" w:rsidRPr="000545BA">
              <w:rPr>
                <w:rFonts w:ascii="Verdana" w:eastAsia="Calibri" w:hAnsi="Verdana"/>
                <w:b/>
                <w:noProof/>
                <w:sz w:val="14"/>
                <w:szCs w:val="16"/>
                <w:lang w:val="sr-Latn-RS"/>
              </w:rPr>
              <w:t>4</w:t>
            </w:r>
          </w:p>
        </w:tc>
      </w:tr>
      <w:tr w:rsidR="000545BA" w:rsidRPr="000545BA" w:rsidTr="00711EB2">
        <w:trPr>
          <w:trHeight w:val="57"/>
        </w:trPr>
        <w:tc>
          <w:tcPr>
            <w:tcW w:w="6378" w:type="dxa"/>
            <w:tcBorders>
              <w:top w:val="single" w:sz="12" w:space="0" w:color="365F91"/>
              <w:bottom w:val="single" w:sz="8" w:space="0" w:color="365F91"/>
            </w:tcBorders>
            <w:shd w:val="clear" w:color="auto" w:fill="auto"/>
            <w:noWrap/>
            <w:vAlign w:val="center"/>
            <w:hideMark/>
          </w:tcPr>
          <w:p w:rsidR="000545BA" w:rsidRPr="000545BA" w:rsidRDefault="000545BA" w:rsidP="00711EB2">
            <w:pPr>
              <w:pStyle w:val="ListParagraph"/>
              <w:spacing w:line="276" w:lineRule="auto"/>
              <w:ind w:left="0" w:firstLine="284"/>
              <w:jc w:val="center"/>
              <w:rPr>
                <w:rFonts w:ascii="Verdana" w:eastAsia="Calibri" w:hAnsi="Verdana"/>
                <w:b/>
                <w:noProof/>
                <w:sz w:val="16"/>
                <w:szCs w:val="16"/>
                <w:lang w:val="sr-Latn-RS" w:eastAsia="en-US"/>
              </w:rPr>
            </w:pPr>
            <w:r>
              <w:rPr>
                <w:rFonts w:ascii="Verdana" w:eastAsia="Calibri" w:hAnsi="Verdana"/>
                <w:b/>
                <w:noProof/>
                <w:sz w:val="16"/>
                <w:szCs w:val="16"/>
                <w:lang w:val="sr-Latn-RS" w:eastAsia="en-US"/>
              </w:rPr>
              <w:t>1</w:t>
            </w:r>
          </w:p>
        </w:tc>
        <w:tc>
          <w:tcPr>
            <w:tcW w:w="1560" w:type="dxa"/>
            <w:tcBorders>
              <w:top w:val="single" w:sz="12" w:space="0" w:color="365F91"/>
              <w:bottom w:val="single" w:sz="8" w:space="0" w:color="365F91"/>
            </w:tcBorders>
            <w:shd w:val="clear" w:color="auto" w:fill="auto"/>
            <w:noWrap/>
            <w:vAlign w:val="center"/>
            <w:hideMark/>
          </w:tcPr>
          <w:p w:rsidR="000545BA" w:rsidRPr="000545BA" w:rsidRDefault="000545BA" w:rsidP="00711EB2">
            <w:pPr>
              <w:pStyle w:val="ListParagraph"/>
              <w:spacing w:line="276" w:lineRule="auto"/>
              <w:ind w:left="0" w:firstLine="284"/>
              <w:jc w:val="center"/>
              <w:rPr>
                <w:rFonts w:ascii="Verdana" w:eastAsia="Calibri" w:hAnsi="Verdana"/>
                <w:b/>
                <w:noProof/>
                <w:sz w:val="16"/>
                <w:szCs w:val="16"/>
                <w:lang w:val="sr-Latn-RS" w:eastAsia="en-US"/>
              </w:rPr>
            </w:pPr>
            <w:r>
              <w:rPr>
                <w:rFonts w:ascii="Verdana" w:eastAsia="Calibri" w:hAnsi="Verdana"/>
                <w:b/>
                <w:noProof/>
                <w:sz w:val="16"/>
                <w:szCs w:val="16"/>
                <w:lang w:val="sr-Latn-RS" w:eastAsia="en-US"/>
              </w:rPr>
              <w:t>2</w:t>
            </w:r>
          </w:p>
        </w:tc>
        <w:tc>
          <w:tcPr>
            <w:tcW w:w="1843" w:type="dxa"/>
            <w:tcBorders>
              <w:top w:val="single" w:sz="12" w:space="0" w:color="365F91"/>
              <w:bottom w:val="single" w:sz="8" w:space="0" w:color="365F91"/>
            </w:tcBorders>
            <w:shd w:val="clear" w:color="auto" w:fill="auto"/>
            <w:noWrap/>
            <w:vAlign w:val="center"/>
            <w:hideMark/>
          </w:tcPr>
          <w:p w:rsidR="000545BA" w:rsidRPr="000545BA" w:rsidRDefault="000545BA" w:rsidP="00711EB2">
            <w:pPr>
              <w:pStyle w:val="ListParagraph"/>
              <w:spacing w:line="276" w:lineRule="auto"/>
              <w:ind w:left="0" w:firstLine="284"/>
              <w:jc w:val="center"/>
              <w:rPr>
                <w:rFonts w:ascii="Verdana" w:eastAsia="Calibri" w:hAnsi="Verdana"/>
                <w:b/>
                <w:noProof/>
                <w:sz w:val="16"/>
                <w:szCs w:val="16"/>
                <w:lang w:val="sr-Latn-RS" w:eastAsia="en-US"/>
              </w:rPr>
            </w:pPr>
            <w:r>
              <w:rPr>
                <w:rFonts w:ascii="Verdana" w:eastAsia="Calibri" w:hAnsi="Verdana"/>
                <w:b/>
                <w:noProof/>
                <w:sz w:val="16"/>
                <w:szCs w:val="16"/>
                <w:lang w:val="sr-Latn-RS" w:eastAsia="en-US"/>
              </w:rPr>
              <w:t>3</w:t>
            </w:r>
          </w:p>
        </w:tc>
        <w:tc>
          <w:tcPr>
            <w:tcW w:w="1418" w:type="dxa"/>
            <w:tcBorders>
              <w:top w:val="single" w:sz="12" w:space="0" w:color="365F91"/>
              <w:bottom w:val="single" w:sz="8" w:space="0" w:color="365F91"/>
            </w:tcBorders>
            <w:shd w:val="clear" w:color="auto" w:fill="auto"/>
            <w:noWrap/>
            <w:vAlign w:val="center"/>
            <w:hideMark/>
          </w:tcPr>
          <w:p w:rsidR="000545BA" w:rsidRPr="000545BA" w:rsidRDefault="000545BA" w:rsidP="00711EB2">
            <w:pPr>
              <w:pStyle w:val="ListParagraph"/>
              <w:spacing w:line="276" w:lineRule="auto"/>
              <w:ind w:left="0" w:firstLine="284"/>
              <w:jc w:val="center"/>
              <w:rPr>
                <w:rFonts w:ascii="Verdana" w:eastAsia="Calibri" w:hAnsi="Verdana"/>
                <w:b/>
                <w:noProof/>
                <w:sz w:val="16"/>
                <w:szCs w:val="16"/>
                <w:lang w:val="sr-Latn-RS" w:eastAsia="en-US"/>
              </w:rPr>
            </w:pPr>
            <w:r>
              <w:rPr>
                <w:rFonts w:ascii="Verdana" w:eastAsia="Calibri" w:hAnsi="Verdana"/>
                <w:b/>
                <w:noProof/>
                <w:sz w:val="16"/>
                <w:szCs w:val="16"/>
                <w:lang w:val="sr-Latn-RS" w:eastAsia="en-US"/>
              </w:rPr>
              <w:t>4</w:t>
            </w:r>
          </w:p>
        </w:tc>
        <w:tc>
          <w:tcPr>
            <w:tcW w:w="1842" w:type="dxa"/>
            <w:tcBorders>
              <w:top w:val="single" w:sz="12" w:space="0" w:color="365F91"/>
              <w:bottom w:val="single" w:sz="8" w:space="0" w:color="365F91"/>
            </w:tcBorders>
            <w:shd w:val="clear" w:color="auto" w:fill="auto"/>
            <w:noWrap/>
            <w:vAlign w:val="center"/>
            <w:hideMark/>
          </w:tcPr>
          <w:p w:rsidR="000545BA" w:rsidRPr="000545BA" w:rsidRDefault="000545BA" w:rsidP="00711EB2">
            <w:pPr>
              <w:pStyle w:val="ListParagraph"/>
              <w:spacing w:line="276" w:lineRule="auto"/>
              <w:ind w:left="0"/>
              <w:jc w:val="center"/>
              <w:rPr>
                <w:rFonts w:ascii="Verdana" w:eastAsia="Calibri" w:hAnsi="Verdana"/>
                <w:b/>
                <w:noProof/>
                <w:sz w:val="16"/>
                <w:szCs w:val="16"/>
                <w:lang w:val="sr-Cyrl-RS" w:eastAsia="en-US"/>
              </w:rPr>
            </w:pPr>
            <w:r>
              <w:rPr>
                <w:rFonts w:ascii="Verdana" w:eastAsia="Calibri" w:hAnsi="Verdana"/>
                <w:b/>
                <w:noProof/>
                <w:sz w:val="16"/>
                <w:szCs w:val="16"/>
                <w:lang w:val="sr-Latn-RS" w:eastAsia="en-US"/>
              </w:rPr>
              <w:t>5</w:t>
            </w:r>
            <w:r w:rsidRPr="000545BA">
              <w:rPr>
                <w:rFonts w:ascii="Verdana" w:eastAsia="Calibri" w:hAnsi="Verdana"/>
                <w:b/>
                <w:noProof/>
                <w:sz w:val="16"/>
                <w:szCs w:val="16"/>
                <w:lang w:val="sr-Cyrl-RS" w:eastAsia="en-US"/>
              </w:rPr>
              <w:t>=</w:t>
            </w:r>
            <w:r>
              <w:rPr>
                <w:rFonts w:ascii="Verdana" w:eastAsia="Calibri" w:hAnsi="Verdana"/>
                <w:b/>
                <w:noProof/>
                <w:sz w:val="16"/>
                <w:szCs w:val="16"/>
                <w:lang w:val="sr-Latn-RS" w:eastAsia="en-US"/>
              </w:rPr>
              <w:t>4</w:t>
            </w:r>
            <w:r w:rsidRPr="000545BA">
              <w:rPr>
                <w:rFonts w:ascii="Verdana" w:eastAsia="Calibri" w:hAnsi="Verdana"/>
                <w:b/>
                <w:noProof/>
                <w:sz w:val="16"/>
                <w:szCs w:val="16"/>
                <w:lang w:val="sr-Cyrl-RS" w:eastAsia="en-US"/>
              </w:rPr>
              <w:t>/3*100</w:t>
            </w:r>
          </w:p>
        </w:tc>
      </w:tr>
      <w:tr w:rsidR="000545BA" w:rsidRPr="000545BA" w:rsidTr="00711EB2">
        <w:trPr>
          <w:trHeight w:val="227"/>
        </w:trPr>
        <w:tc>
          <w:tcPr>
            <w:tcW w:w="6378" w:type="dxa"/>
            <w:tcBorders>
              <w:top w:val="single" w:sz="8" w:space="0" w:color="365F91"/>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премије реосигурања</w:t>
            </w:r>
          </w:p>
        </w:tc>
        <w:tc>
          <w:tcPr>
            <w:tcW w:w="1560" w:type="dxa"/>
            <w:tcBorders>
              <w:top w:val="single" w:sz="8" w:space="0" w:color="365F91"/>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2,600,000</w:t>
            </w:r>
          </w:p>
        </w:tc>
        <w:tc>
          <w:tcPr>
            <w:tcW w:w="1843" w:type="dxa"/>
            <w:tcBorders>
              <w:top w:val="single" w:sz="8" w:space="0" w:color="365F91"/>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2,272,490</w:t>
            </w:r>
          </w:p>
        </w:tc>
        <w:tc>
          <w:tcPr>
            <w:tcW w:w="1418" w:type="dxa"/>
            <w:tcBorders>
              <w:top w:val="single" w:sz="8" w:space="0" w:color="365F91"/>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2,568,754</w:t>
            </w:r>
          </w:p>
        </w:tc>
        <w:tc>
          <w:tcPr>
            <w:tcW w:w="1842" w:type="dxa"/>
            <w:tcBorders>
              <w:top w:val="single" w:sz="8" w:space="0" w:color="365F91"/>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113.04%</w:t>
            </w:r>
          </w:p>
        </w:tc>
      </w:tr>
      <w:tr w:rsidR="000545BA" w:rsidRPr="000545BA" w:rsidTr="00711EB2">
        <w:trPr>
          <w:trHeight w:val="227"/>
        </w:trPr>
        <w:tc>
          <w:tcPr>
            <w:tcW w:w="6378" w:type="dxa"/>
            <w:tcBorders>
              <w:top w:val="nil"/>
              <w:bottom w:val="single" w:sz="8" w:space="0" w:color="365F91"/>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по оснoву премије реосигурања</w:t>
            </w:r>
          </w:p>
        </w:tc>
        <w:tc>
          <w:tcPr>
            <w:tcW w:w="1560" w:type="dxa"/>
            <w:tcBorders>
              <w:top w:val="nil"/>
              <w:bottom w:val="single" w:sz="8" w:space="0" w:color="365F91"/>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-2,010,000</w:t>
            </w:r>
          </w:p>
        </w:tc>
        <w:tc>
          <w:tcPr>
            <w:tcW w:w="1843" w:type="dxa"/>
            <w:tcBorders>
              <w:top w:val="nil"/>
              <w:bottom w:val="single" w:sz="8" w:space="0" w:color="365F91"/>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-1,906,199</w:t>
            </w:r>
          </w:p>
        </w:tc>
        <w:tc>
          <w:tcPr>
            <w:tcW w:w="1418" w:type="dxa"/>
            <w:tcBorders>
              <w:top w:val="nil"/>
              <w:bottom w:val="single" w:sz="8" w:space="0" w:color="365F91"/>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-2,157,005</w:t>
            </w:r>
          </w:p>
        </w:tc>
        <w:tc>
          <w:tcPr>
            <w:tcW w:w="1842" w:type="dxa"/>
            <w:tcBorders>
              <w:top w:val="nil"/>
              <w:bottom w:val="single" w:sz="8" w:space="0" w:color="365F91"/>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113.16%</w:t>
            </w:r>
          </w:p>
        </w:tc>
      </w:tr>
      <w:tr w:rsidR="000545BA" w:rsidRPr="000545BA" w:rsidTr="00711EB2">
        <w:trPr>
          <w:trHeight w:val="227"/>
        </w:trPr>
        <w:tc>
          <w:tcPr>
            <w:tcW w:w="6378" w:type="dxa"/>
            <w:tcBorders>
              <w:top w:val="single" w:sz="8" w:space="0" w:color="365F91"/>
              <w:bottom w:val="single" w:sz="8" w:space="0" w:color="365F91"/>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Премија у самопридржају</w:t>
            </w:r>
          </w:p>
        </w:tc>
        <w:tc>
          <w:tcPr>
            <w:tcW w:w="1560" w:type="dxa"/>
            <w:tcBorders>
              <w:top w:val="single" w:sz="8" w:space="0" w:color="365F91"/>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590,000</w:t>
            </w:r>
          </w:p>
        </w:tc>
        <w:tc>
          <w:tcPr>
            <w:tcW w:w="1843" w:type="dxa"/>
            <w:tcBorders>
              <w:top w:val="single" w:sz="8" w:space="0" w:color="365F91"/>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366,291</w:t>
            </w:r>
          </w:p>
        </w:tc>
        <w:tc>
          <w:tcPr>
            <w:tcW w:w="1418" w:type="dxa"/>
            <w:tcBorders>
              <w:top w:val="single" w:sz="8" w:space="0" w:color="365F91"/>
              <w:bottom w:val="single" w:sz="8" w:space="0" w:color="365F91"/>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411,749</w:t>
            </w:r>
          </w:p>
        </w:tc>
        <w:tc>
          <w:tcPr>
            <w:tcW w:w="1842" w:type="dxa"/>
            <w:tcBorders>
              <w:top w:val="single" w:sz="8" w:space="0" w:color="365F91"/>
              <w:bottom w:val="single" w:sz="8" w:space="0" w:color="365F91"/>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112.41%</w:t>
            </w:r>
          </w:p>
        </w:tc>
      </w:tr>
      <w:tr w:rsidR="000545BA" w:rsidRPr="000545BA" w:rsidTr="00711EB2">
        <w:trPr>
          <w:trHeight w:val="227"/>
        </w:trPr>
        <w:tc>
          <w:tcPr>
            <w:tcW w:w="6378" w:type="dxa"/>
            <w:tcBorders>
              <w:top w:val="single" w:sz="8" w:space="0" w:color="365F91"/>
              <w:bottom w:val="nil"/>
            </w:tcBorders>
            <w:shd w:val="clear" w:color="auto" w:fill="auto"/>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смањења преносне премије у самопридржају</w:t>
            </w:r>
          </w:p>
        </w:tc>
        <w:tc>
          <w:tcPr>
            <w:tcW w:w="1560" w:type="dxa"/>
            <w:tcBorders>
              <w:top w:val="single" w:sz="8" w:space="0" w:color="365F91"/>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304</w:t>
            </w:r>
          </w:p>
        </w:tc>
        <w:tc>
          <w:tcPr>
            <w:tcW w:w="1843" w:type="dxa"/>
            <w:tcBorders>
              <w:top w:val="single" w:sz="8" w:space="0" w:color="365F91"/>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139</w:t>
            </w:r>
          </w:p>
        </w:tc>
        <w:tc>
          <w:tcPr>
            <w:tcW w:w="1418" w:type="dxa"/>
            <w:tcBorders>
              <w:top w:val="single" w:sz="8" w:space="0" w:color="365F91"/>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267,431</w:t>
            </w:r>
          </w:p>
        </w:tc>
        <w:tc>
          <w:tcPr>
            <w:tcW w:w="1842" w:type="dxa"/>
            <w:tcBorders>
              <w:top w:val="single" w:sz="8" w:space="0" w:color="365F91"/>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од повећања преносне премије у самопридржају</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-271,753</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p>
        </w:tc>
      </w:tr>
      <w:tr w:rsidR="000545BA" w:rsidRPr="000545BA" w:rsidTr="00711EB2">
        <w:trPr>
          <w:trHeight w:val="227"/>
        </w:trPr>
        <w:tc>
          <w:tcPr>
            <w:tcW w:w="6378" w:type="dxa"/>
            <w:tcBorders>
              <w:top w:val="single" w:sz="12" w:space="0" w:color="1F497D"/>
              <w:bottom w:val="single" w:sz="12" w:space="0" w:color="1F497D"/>
            </w:tcBorders>
            <w:shd w:val="clear" w:color="auto" w:fill="auto"/>
            <w:noWrap/>
            <w:vAlign w:val="center"/>
            <w:hideMark/>
          </w:tcPr>
          <w:p w:rsidR="000545BA" w:rsidRPr="00711EB2" w:rsidRDefault="00711EB2" w:rsidP="00711EB2">
            <w:pPr>
              <w:pStyle w:val="NoSpacing"/>
              <w:rPr>
                <w:rFonts w:ascii="Verdana" w:hAnsi="Verdana"/>
                <w:b/>
                <w:sz w:val="16"/>
                <w:szCs w:val="16"/>
                <w:lang w:val="sr-Latn-RS"/>
              </w:rPr>
            </w:pPr>
            <w:r w:rsidRPr="00711EB2">
              <w:rPr>
                <w:rFonts w:ascii="Verdana" w:hAnsi="Verdana"/>
                <w:b/>
                <w:sz w:val="16"/>
                <w:szCs w:val="16"/>
                <w:lang w:val="sr-Cyrl-RS"/>
              </w:rPr>
              <w:t>Р</w:t>
            </w:r>
            <w:r w:rsidR="000545BA" w:rsidRPr="00711EB2">
              <w:rPr>
                <w:rFonts w:ascii="Verdana" w:hAnsi="Verdana"/>
                <w:b/>
                <w:sz w:val="16"/>
                <w:szCs w:val="16"/>
                <w:lang w:val="sr-Latn-RS"/>
              </w:rPr>
              <w:t>езултат преносне премије</w:t>
            </w:r>
          </w:p>
        </w:tc>
        <w:tc>
          <w:tcPr>
            <w:tcW w:w="1560"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304</w:t>
            </w:r>
          </w:p>
        </w:tc>
        <w:tc>
          <w:tcPr>
            <w:tcW w:w="1843"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139</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-4,322</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-3109%</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учешћа у штетама реосигурања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440,964</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453,342</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501,913</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115.13%</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по основу штета реосигурања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-900,000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-770,823</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-811,913</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105.33%</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Трошкови извиђаја, процене и ликвидације штета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-5,800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-18,275</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-18,764</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102.68%</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по основу регреса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17,000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9,726</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15,484</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159.20%</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по основу регреса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12,384</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p>
        </w:tc>
      </w:tr>
      <w:tr w:rsidR="000545BA" w:rsidRPr="000545BA" w:rsidTr="00711EB2">
        <w:trPr>
          <w:trHeight w:val="227"/>
        </w:trPr>
        <w:tc>
          <w:tcPr>
            <w:tcW w:w="6378"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Штете у самопридржају</w:t>
            </w:r>
          </w:p>
        </w:tc>
        <w:tc>
          <w:tcPr>
            <w:tcW w:w="1560"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-446,836</w:t>
            </w:r>
          </w:p>
        </w:tc>
        <w:tc>
          <w:tcPr>
            <w:tcW w:w="1843"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-326,030</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-300,896</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86%</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смањења резервисаних штета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140,465</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518,820</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188,445</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36.71%</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од повећања резервисаних штета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-170,000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-575,022</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-129,169</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22.46%</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Приходи/Расходи за дугорочна резервисања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-20,000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-22,025</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-19,303</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87.64%</w:t>
            </w:r>
          </w:p>
        </w:tc>
      </w:tr>
      <w:tr w:rsidR="000545BA" w:rsidRPr="000545BA" w:rsidTr="00711EB2">
        <w:trPr>
          <w:trHeight w:val="227"/>
        </w:trPr>
        <w:tc>
          <w:tcPr>
            <w:tcW w:w="6378" w:type="dxa"/>
            <w:tcBorders>
              <w:top w:val="single" w:sz="12" w:space="0" w:color="1F497D"/>
              <w:bottom w:val="nil"/>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Резултат промене резервисања</w:t>
            </w:r>
          </w:p>
        </w:tc>
        <w:tc>
          <w:tcPr>
            <w:tcW w:w="1560" w:type="dxa"/>
            <w:tcBorders>
              <w:top w:val="single" w:sz="12" w:space="0" w:color="1F497D"/>
              <w:bottom w:val="nil"/>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-49,535</w:t>
            </w:r>
          </w:p>
        </w:tc>
        <w:tc>
          <w:tcPr>
            <w:tcW w:w="1843" w:type="dxa"/>
            <w:tcBorders>
              <w:top w:val="single" w:sz="12" w:space="0" w:color="1F497D"/>
              <w:bottom w:val="nil"/>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-78,227</w:t>
            </w:r>
          </w:p>
        </w:tc>
        <w:tc>
          <w:tcPr>
            <w:tcW w:w="1418" w:type="dxa"/>
            <w:tcBorders>
              <w:top w:val="single" w:sz="12" w:space="0" w:color="1F497D"/>
              <w:bottom w:val="nil"/>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39,973</w:t>
            </w:r>
          </w:p>
        </w:tc>
        <w:tc>
          <w:tcPr>
            <w:tcW w:w="1842" w:type="dxa"/>
            <w:tcBorders>
              <w:top w:val="single" w:sz="12" w:space="0" w:color="1F497D"/>
              <w:bottom w:val="nil"/>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-54%</w:t>
            </w:r>
          </w:p>
        </w:tc>
      </w:tr>
      <w:tr w:rsidR="000545BA" w:rsidRPr="000545BA" w:rsidTr="00711EB2">
        <w:trPr>
          <w:trHeight w:val="227"/>
        </w:trPr>
        <w:tc>
          <w:tcPr>
            <w:tcW w:w="6378" w:type="dxa"/>
            <w:tcBorders>
              <w:top w:val="single" w:sz="8" w:space="0" w:color="auto"/>
              <w:bottom w:val="single" w:sz="8" w:space="0" w:color="auto"/>
            </w:tcBorders>
            <w:shd w:val="clear" w:color="auto" w:fill="auto"/>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БРУТО РЕЗУЛТАТ ИЗ ПОСЛОВНЕ АКТИВНОСТИ</w:t>
            </w:r>
          </w:p>
        </w:tc>
        <w:tc>
          <w:tcPr>
            <w:tcW w:w="1560" w:type="dxa"/>
            <w:tcBorders>
              <w:top w:val="single" w:sz="8" w:space="0" w:color="auto"/>
              <w:bottom w:val="single" w:sz="8" w:space="0" w:color="auto"/>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154,933</w:t>
            </w:r>
          </w:p>
        </w:tc>
        <w:tc>
          <w:tcPr>
            <w:tcW w:w="1843" w:type="dxa"/>
            <w:tcBorders>
              <w:top w:val="single" w:sz="8" w:space="0" w:color="auto"/>
              <w:bottom w:val="single" w:sz="8" w:space="0" w:color="auto"/>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-37,827</w:t>
            </w:r>
          </w:p>
        </w:tc>
        <w:tc>
          <w:tcPr>
            <w:tcW w:w="1418" w:type="dxa"/>
            <w:tcBorders>
              <w:top w:val="single" w:sz="8" w:space="0" w:color="auto"/>
              <w:bottom w:val="single" w:sz="8" w:space="0" w:color="auto"/>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146,504</w:t>
            </w:r>
          </w:p>
        </w:tc>
        <w:tc>
          <w:tcPr>
            <w:tcW w:w="1842" w:type="dxa"/>
            <w:tcBorders>
              <w:top w:val="single" w:sz="8" w:space="0" w:color="auto"/>
              <w:bottom w:val="single" w:sz="8" w:space="0" w:color="auto"/>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-30</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инвестиционе активности</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93,000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155,702</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99,587</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63.96%</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од инвестиционе активности</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-32,000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-179,647</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-20,000</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11.13%</w:t>
            </w:r>
          </w:p>
        </w:tc>
      </w:tr>
      <w:tr w:rsidR="000545BA" w:rsidRPr="000545BA" w:rsidTr="00711EB2">
        <w:trPr>
          <w:trHeight w:val="227"/>
        </w:trPr>
        <w:tc>
          <w:tcPr>
            <w:tcW w:w="6378" w:type="dxa"/>
            <w:tcBorders>
              <w:top w:val="single" w:sz="8" w:space="0" w:color="auto"/>
              <w:bottom w:val="single" w:sz="8" w:space="0" w:color="auto"/>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Резултат од инвестирања</w:t>
            </w:r>
          </w:p>
        </w:tc>
        <w:tc>
          <w:tcPr>
            <w:tcW w:w="1560" w:type="dxa"/>
            <w:tcBorders>
              <w:top w:val="single" w:sz="8" w:space="0" w:color="auto"/>
              <w:bottom w:val="single" w:sz="8" w:space="0" w:color="auto"/>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61,000</w:t>
            </w:r>
          </w:p>
        </w:tc>
        <w:tc>
          <w:tcPr>
            <w:tcW w:w="1843" w:type="dxa"/>
            <w:tcBorders>
              <w:top w:val="single" w:sz="8" w:space="0" w:color="auto"/>
              <w:bottom w:val="single" w:sz="8" w:space="0" w:color="auto"/>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-23,945</w:t>
            </w:r>
          </w:p>
        </w:tc>
        <w:tc>
          <w:tcPr>
            <w:tcW w:w="1418" w:type="dxa"/>
            <w:tcBorders>
              <w:top w:val="single" w:sz="8" w:space="0" w:color="auto"/>
              <w:bottom w:val="single" w:sz="8" w:space="0" w:color="auto"/>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79,587</w:t>
            </w:r>
          </w:p>
        </w:tc>
        <w:tc>
          <w:tcPr>
            <w:tcW w:w="1842" w:type="dxa"/>
            <w:tcBorders>
              <w:top w:val="single" w:sz="8" w:space="0" w:color="auto"/>
              <w:bottom w:val="single" w:sz="8" w:space="0" w:color="auto"/>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114</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провизије реосигурања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357,642</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278,393</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281,031</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100.95%</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по основу провизије реосигурања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-373,366</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-264,036</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-266,031</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100.76%</w:t>
            </w:r>
          </w:p>
        </w:tc>
      </w:tr>
      <w:tr w:rsidR="000545BA" w:rsidRPr="000545BA" w:rsidTr="00711EB2">
        <w:trPr>
          <w:trHeight w:val="227"/>
        </w:trPr>
        <w:tc>
          <w:tcPr>
            <w:tcW w:w="6378"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Провизија - резултат</w:t>
            </w:r>
          </w:p>
        </w:tc>
        <w:tc>
          <w:tcPr>
            <w:tcW w:w="1560"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-15,724</w:t>
            </w:r>
          </w:p>
        </w:tc>
        <w:tc>
          <w:tcPr>
            <w:tcW w:w="1843"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14,357</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15,000</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104%</w:t>
            </w:r>
          </w:p>
        </w:tc>
      </w:tr>
      <w:tr w:rsidR="000545BA" w:rsidRPr="000545BA" w:rsidTr="00711EB2">
        <w:trPr>
          <w:trHeight w:val="227"/>
        </w:trPr>
        <w:tc>
          <w:tcPr>
            <w:tcW w:w="6378" w:type="dxa"/>
            <w:tcBorders>
              <w:top w:val="single" w:sz="12" w:space="0" w:color="1F497D"/>
              <w:bottom w:val="nil"/>
            </w:tcBorders>
            <w:shd w:val="clear" w:color="auto" w:fill="auto"/>
            <w:noWrap/>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Укупни трошкови</w:t>
            </w:r>
          </w:p>
        </w:tc>
        <w:tc>
          <w:tcPr>
            <w:tcW w:w="1560" w:type="dxa"/>
            <w:tcBorders>
              <w:top w:val="single" w:sz="12" w:space="0" w:color="1F497D"/>
              <w:bottom w:val="nil"/>
            </w:tcBorders>
            <w:shd w:val="clear" w:color="auto" w:fill="auto"/>
            <w:noWrap/>
            <w:vAlign w:val="center"/>
            <w:hideMark/>
          </w:tcPr>
          <w:p w:rsidR="000545BA" w:rsidRPr="00711EB2" w:rsidRDefault="000545BA" w:rsidP="00711EB2">
            <w:pPr>
              <w:pStyle w:val="NoSpacing"/>
              <w:jc w:val="right"/>
              <w:rPr>
                <w:rFonts w:ascii="Verdana" w:hAnsi="Verdana" w:cs="Calibri"/>
                <w:b/>
                <w:sz w:val="16"/>
                <w:szCs w:val="16"/>
                <w:lang w:val="sr-Latn-RS"/>
              </w:rPr>
            </w:pPr>
          </w:p>
        </w:tc>
        <w:tc>
          <w:tcPr>
            <w:tcW w:w="1843" w:type="dxa"/>
            <w:tcBorders>
              <w:top w:val="single" w:sz="12" w:space="0" w:color="1F497D"/>
              <w:bottom w:val="nil"/>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-142,141</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-133,199</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93.71%</w:t>
            </w:r>
          </w:p>
        </w:tc>
      </w:tr>
      <w:tr w:rsidR="000545BA" w:rsidRPr="000545BA" w:rsidTr="00711EB2">
        <w:trPr>
          <w:trHeight w:val="227"/>
        </w:trPr>
        <w:tc>
          <w:tcPr>
            <w:tcW w:w="6378"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Трошкови спровођења реосигурања</w:t>
            </w:r>
          </w:p>
        </w:tc>
        <w:tc>
          <w:tcPr>
            <w:tcW w:w="1560"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-151,000</w:t>
            </w:r>
          </w:p>
        </w:tc>
        <w:tc>
          <w:tcPr>
            <w:tcW w:w="1843"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-127,784</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-118,199</w:t>
            </w:r>
          </w:p>
        </w:tc>
        <w:tc>
          <w:tcPr>
            <w:tcW w:w="1842" w:type="dxa"/>
            <w:tcBorders>
              <w:top w:val="single" w:sz="12" w:space="0" w:color="1F497D"/>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92.50%</w:t>
            </w:r>
          </w:p>
        </w:tc>
      </w:tr>
      <w:tr w:rsidR="000545BA" w:rsidRPr="000545BA" w:rsidTr="00711EB2">
        <w:trPr>
          <w:trHeight w:val="227"/>
        </w:trPr>
        <w:tc>
          <w:tcPr>
            <w:tcW w:w="6378" w:type="dxa"/>
            <w:tcBorders>
              <w:top w:val="nil"/>
              <w:bottom w:val="single" w:sz="8" w:space="0" w:color="365F91"/>
            </w:tcBorders>
            <w:shd w:val="clear" w:color="auto" w:fill="auto"/>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НЕТО РЕЗУЛТАТ ИЗ ПОСЛОВНЕ АКТИВНОСТИ</w:t>
            </w:r>
          </w:p>
        </w:tc>
        <w:tc>
          <w:tcPr>
            <w:tcW w:w="1560" w:type="dxa"/>
            <w:tcBorders>
              <w:top w:val="nil"/>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3,933</w:t>
            </w:r>
          </w:p>
        </w:tc>
        <w:tc>
          <w:tcPr>
            <w:tcW w:w="1843" w:type="dxa"/>
            <w:tcBorders>
              <w:top w:val="nil"/>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-189,556</w:t>
            </w:r>
          </w:p>
        </w:tc>
        <w:tc>
          <w:tcPr>
            <w:tcW w:w="1418" w:type="dxa"/>
            <w:tcBorders>
              <w:top w:val="nil"/>
              <w:bottom w:val="single" w:sz="8" w:space="0" w:color="365F91"/>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28,305</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-27%</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Финансијски приходи</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63,000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85,303</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110,000</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128.95%</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Финансијски расходи</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-31,000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-123,214</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-100,000</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81.16%</w:t>
            </w:r>
          </w:p>
        </w:tc>
      </w:tr>
      <w:tr w:rsidR="000545BA" w:rsidRPr="000545BA" w:rsidTr="00711EB2">
        <w:trPr>
          <w:trHeight w:val="227"/>
        </w:trPr>
        <w:tc>
          <w:tcPr>
            <w:tcW w:w="6378" w:type="dxa"/>
            <w:tcBorders>
              <w:top w:val="single" w:sz="12" w:space="0" w:color="1F497D"/>
              <w:bottom w:val="single" w:sz="12" w:space="0" w:color="1F497D"/>
            </w:tcBorders>
            <w:shd w:val="clear" w:color="auto" w:fill="auto"/>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ФИНАНСИЈСКИ РЕЗУЛТАТ</w:t>
            </w:r>
          </w:p>
        </w:tc>
        <w:tc>
          <w:tcPr>
            <w:tcW w:w="1560"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32,000</w:t>
            </w:r>
          </w:p>
        </w:tc>
        <w:tc>
          <w:tcPr>
            <w:tcW w:w="1843"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-37,911</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10,000</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-26%</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из ранијих година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71,416</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из ранијих година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-65,973</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Приходи од усклађивања вредности имовине и приходи ранијих година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275,000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235,095</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73,000</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31.05%</w:t>
            </w:r>
          </w:p>
        </w:tc>
      </w:tr>
      <w:tr w:rsidR="000545BA" w:rsidRPr="000545BA" w:rsidTr="00711EB2">
        <w:trPr>
          <w:trHeight w:val="227"/>
        </w:trPr>
        <w:tc>
          <w:tcPr>
            <w:tcW w:w="6378" w:type="dxa"/>
            <w:tcBorders>
              <w:top w:val="nil"/>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Расходи по основу обезвређења имовине и расходи ранијих година</w:t>
            </w:r>
          </w:p>
        </w:tc>
        <w:tc>
          <w:tcPr>
            <w:tcW w:w="1560"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-160,000</w:t>
            </w:r>
          </w:p>
        </w:tc>
        <w:tc>
          <w:tcPr>
            <w:tcW w:w="1843" w:type="dxa"/>
            <w:tcBorders>
              <w:top w:val="nil"/>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-90,746</w:t>
            </w:r>
          </w:p>
        </w:tc>
        <w:tc>
          <w:tcPr>
            <w:tcW w:w="1418"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-57,193</w:t>
            </w:r>
          </w:p>
        </w:tc>
        <w:tc>
          <w:tcPr>
            <w:tcW w:w="1842" w:type="dxa"/>
            <w:tcBorders>
              <w:top w:val="nil"/>
              <w:bottom w:val="nil"/>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63.03%</w:t>
            </w:r>
          </w:p>
        </w:tc>
      </w:tr>
      <w:tr w:rsidR="000545BA" w:rsidRPr="000545BA" w:rsidTr="00711EB2">
        <w:trPr>
          <w:trHeight w:val="227"/>
        </w:trPr>
        <w:tc>
          <w:tcPr>
            <w:tcW w:w="6378" w:type="dxa"/>
            <w:tcBorders>
              <w:top w:val="single" w:sz="12" w:space="0" w:color="1F497D"/>
              <w:bottom w:val="single" w:sz="12" w:space="0" w:color="1F497D"/>
            </w:tcBorders>
            <w:shd w:val="clear" w:color="auto" w:fill="auto"/>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РЕЗУЛТАТ ОД УСКЛАЂИВАЊА ВРЕДНОСТИ ИМОВИНЕ I</w:t>
            </w:r>
          </w:p>
        </w:tc>
        <w:tc>
          <w:tcPr>
            <w:tcW w:w="1560"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115,000</w:t>
            </w:r>
          </w:p>
        </w:tc>
        <w:tc>
          <w:tcPr>
            <w:tcW w:w="1843" w:type="dxa"/>
            <w:tcBorders>
              <w:top w:val="single" w:sz="12" w:space="0" w:color="1F497D"/>
              <w:bottom w:val="single" w:sz="12" w:space="0" w:color="1F497D"/>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149,792</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15,807</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11%</w:t>
            </w:r>
          </w:p>
        </w:tc>
      </w:tr>
      <w:tr w:rsidR="000545BA" w:rsidRPr="000545BA" w:rsidTr="00711EB2">
        <w:trPr>
          <w:trHeight w:val="227"/>
        </w:trPr>
        <w:tc>
          <w:tcPr>
            <w:tcW w:w="6378" w:type="dxa"/>
            <w:tcBorders>
              <w:top w:val="nil"/>
              <w:bottom w:val="single" w:sz="8" w:space="0" w:color="365F91"/>
            </w:tcBorders>
            <w:shd w:val="clear" w:color="auto" w:fill="auto"/>
            <w:vAlign w:val="center"/>
            <w:hideMark/>
          </w:tcPr>
          <w:p w:rsidR="000545BA" w:rsidRPr="00711EB2" w:rsidRDefault="000545BA" w:rsidP="00711EB2">
            <w:pPr>
              <w:pStyle w:val="NoSpacing"/>
              <w:rPr>
                <w:rFonts w:ascii="Verdana" w:hAnsi="Verdana"/>
                <w:b/>
                <w:sz w:val="16"/>
                <w:szCs w:val="16"/>
                <w:lang w:val="sr-Latn-RS"/>
              </w:rPr>
            </w:pPr>
            <w:r w:rsidRPr="00711EB2">
              <w:rPr>
                <w:rFonts w:ascii="Verdana" w:hAnsi="Verdana"/>
                <w:b/>
                <w:sz w:val="16"/>
                <w:szCs w:val="16"/>
                <w:lang w:val="sr-Latn-RS"/>
              </w:rPr>
              <w:t>РЕЗУЛТАТ ПРЕ ОПОРЕЗИВАЊА</w:t>
            </w:r>
          </w:p>
        </w:tc>
        <w:tc>
          <w:tcPr>
            <w:tcW w:w="1560" w:type="dxa"/>
            <w:tcBorders>
              <w:top w:val="nil"/>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150,933</w:t>
            </w:r>
          </w:p>
        </w:tc>
        <w:tc>
          <w:tcPr>
            <w:tcW w:w="1843" w:type="dxa"/>
            <w:tcBorders>
              <w:top w:val="nil"/>
              <w:bottom w:val="single" w:sz="8" w:space="0" w:color="365F91"/>
            </w:tcBorders>
            <w:shd w:val="clear" w:color="auto" w:fill="auto"/>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-77,675</w:t>
            </w:r>
          </w:p>
        </w:tc>
        <w:tc>
          <w:tcPr>
            <w:tcW w:w="1418" w:type="dxa"/>
            <w:tcBorders>
              <w:top w:val="nil"/>
              <w:bottom w:val="single" w:sz="8" w:space="0" w:color="365F91"/>
            </w:tcBorders>
            <w:shd w:val="clear" w:color="auto" w:fill="DBE5F1" w:themeFill="accent1" w:themeFillTint="33"/>
            <w:noWrap/>
            <w:vAlign w:val="center"/>
            <w:hideMark/>
          </w:tcPr>
          <w:p w:rsidR="000545BA" w:rsidRPr="00711EB2" w:rsidRDefault="000545BA" w:rsidP="00711EB2">
            <w:pPr>
              <w:pStyle w:val="NoSpacing"/>
              <w:jc w:val="right"/>
              <w:rPr>
                <w:rFonts w:ascii="Verdana" w:hAnsi="Verdana"/>
                <w:b/>
                <w:sz w:val="16"/>
                <w:szCs w:val="16"/>
                <w:lang w:val="sr-Latn-RS"/>
              </w:rPr>
            </w:pPr>
            <w:r w:rsidRPr="00711EB2">
              <w:rPr>
                <w:rFonts w:ascii="Verdana" w:hAnsi="Verdana"/>
                <w:b/>
                <w:sz w:val="16"/>
                <w:szCs w:val="16"/>
                <w:lang w:val="sr-Latn-RS"/>
              </w:rPr>
              <w:t>54,112</w:t>
            </w:r>
          </w:p>
        </w:tc>
        <w:tc>
          <w:tcPr>
            <w:tcW w:w="1842" w:type="dxa"/>
            <w:tcBorders>
              <w:top w:val="nil"/>
              <w:bottom w:val="single" w:sz="12" w:space="0" w:color="1F497D"/>
            </w:tcBorders>
            <w:shd w:val="clear" w:color="auto" w:fill="DBE5F1" w:themeFill="accent1" w:themeFillTint="33"/>
            <w:noWrap/>
            <w:vAlign w:val="center"/>
            <w:hideMark/>
          </w:tcPr>
          <w:p w:rsidR="000545BA" w:rsidRPr="00711EB2" w:rsidRDefault="000545BA" w:rsidP="00711EB2">
            <w:pPr>
              <w:pStyle w:val="NoSpacing"/>
              <w:jc w:val="center"/>
              <w:rPr>
                <w:rFonts w:ascii="Verdana" w:hAnsi="Verdana"/>
                <w:b/>
                <w:sz w:val="16"/>
                <w:szCs w:val="16"/>
                <w:lang w:val="sr-Latn-RS"/>
              </w:rPr>
            </w:pPr>
            <w:r w:rsidRPr="00711EB2">
              <w:rPr>
                <w:rFonts w:ascii="Verdana" w:hAnsi="Verdana"/>
                <w:b/>
                <w:sz w:val="16"/>
                <w:szCs w:val="16"/>
                <w:lang w:val="sr-Latn-RS"/>
              </w:rPr>
              <w:t>-98%</w:t>
            </w:r>
          </w:p>
        </w:tc>
      </w:tr>
      <w:tr w:rsidR="000545BA" w:rsidRPr="000545BA" w:rsidTr="00711EB2">
        <w:trPr>
          <w:trHeight w:val="227"/>
        </w:trPr>
        <w:tc>
          <w:tcPr>
            <w:tcW w:w="6378" w:type="dxa"/>
            <w:tcBorders>
              <w:top w:val="single" w:sz="12" w:space="0" w:color="1F497D"/>
              <w:bottom w:val="nil"/>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Режијски додатак</w:t>
            </w:r>
          </w:p>
        </w:tc>
        <w:tc>
          <w:tcPr>
            <w:tcW w:w="1560" w:type="dxa"/>
            <w:tcBorders>
              <w:top w:val="single" w:sz="12" w:space="0" w:color="1F497D"/>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177,000</w:t>
            </w:r>
          </w:p>
        </w:tc>
        <w:tc>
          <w:tcPr>
            <w:tcW w:w="1843" w:type="dxa"/>
            <w:tcBorders>
              <w:top w:val="single" w:sz="12" w:space="0" w:color="1F497D"/>
              <w:bottom w:val="nil"/>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109,887</w:t>
            </w:r>
          </w:p>
        </w:tc>
        <w:tc>
          <w:tcPr>
            <w:tcW w:w="1418" w:type="dxa"/>
            <w:tcBorders>
              <w:top w:val="single" w:sz="12" w:space="0" w:color="1F497D"/>
              <w:bottom w:val="nil"/>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123,525</w:t>
            </w:r>
          </w:p>
        </w:tc>
        <w:tc>
          <w:tcPr>
            <w:tcW w:w="1842" w:type="dxa"/>
            <w:tcBorders>
              <w:top w:val="single" w:sz="12" w:space="0" w:color="1F497D"/>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112%</w:t>
            </w:r>
          </w:p>
        </w:tc>
      </w:tr>
      <w:tr w:rsidR="000545BA" w:rsidRPr="000545BA" w:rsidTr="00711EB2">
        <w:trPr>
          <w:trHeight w:val="227"/>
        </w:trPr>
        <w:tc>
          <w:tcPr>
            <w:tcW w:w="6378"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ТСР</w:t>
            </w:r>
          </w:p>
        </w:tc>
        <w:tc>
          <w:tcPr>
            <w:tcW w:w="1560"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151,000</w:t>
            </w:r>
          </w:p>
        </w:tc>
        <w:tc>
          <w:tcPr>
            <w:tcW w:w="1843" w:type="dxa"/>
            <w:tcBorders>
              <w:top w:val="single" w:sz="12" w:space="0" w:color="1F497D"/>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127,784</w:t>
            </w:r>
          </w:p>
        </w:tc>
        <w:tc>
          <w:tcPr>
            <w:tcW w:w="1418" w:type="dxa"/>
            <w:tcBorders>
              <w:top w:val="single" w:sz="12" w:space="0" w:color="1F497D"/>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118,199</w:t>
            </w:r>
          </w:p>
        </w:tc>
        <w:tc>
          <w:tcPr>
            <w:tcW w:w="1842" w:type="dxa"/>
            <w:tcBorders>
              <w:top w:val="nil"/>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92%</w:t>
            </w:r>
          </w:p>
        </w:tc>
      </w:tr>
      <w:tr w:rsidR="000545BA" w:rsidRPr="000545BA" w:rsidTr="00711EB2">
        <w:trPr>
          <w:trHeight w:val="227"/>
        </w:trPr>
        <w:tc>
          <w:tcPr>
            <w:tcW w:w="6378" w:type="dxa"/>
            <w:tcBorders>
              <w:top w:val="nil"/>
              <w:bottom w:val="single" w:sz="12" w:space="0" w:color="1F497D"/>
            </w:tcBorders>
            <w:shd w:val="clear" w:color="auto" w:fill="auto"/>
            <w:noWrap/>
            <w:vAlign w:val="center"/>
            <w:hideMark/>
          </w:tcPr>
          <w:p w:rsidR="000545BA" w:rsidRPr="000545BA" w:rsidRDefault="000545BA" w:rsidP="00711EB2">
            <w:pPr>
              <w:pStyle w:val="NoSpacing"/>
              <w:rPr>
                <w:rFonts w:ascii="Verdana" w:hAnsi="Verdana"/>
                <w:sz w:val="16"/>
                <w:szCs w:val="16"/>
                <w:lang w:val="sr-Latn-RS"/>
              </w:rPr>
            </w:pPr>
            <w:r w:rsidRPr="000545BA">
              <w:rPr>
                <w:rFonts w:ascii="Verdana" w:hAnsi="Verdana"/>
                <w:sz w:val="16"/>
                <w:szCs w:val="16"/>
                <w:lang w:val="sr-Latn-RS"/>
              </w:rPr>
              <w:t>разлика (42-43)</w:t>
            </w:r>
          </w:p>
        </w:tc>
        <w:tc>
          <w:tcPr>
            <w:tcW w:w="1560" w:type="dxa"/>
            <w:tcBorders>
              <w:top w:val="nil"/>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26,000</w:t>
            </w:r>
          </w:p>
        </w:tc>
        <w:tc>
          <w:tcPr>
            <w:tcW w:w="1843" w:type="dxa"/>
            <w:tcBorders>
              <w:top w:val="nil"/>
              <w:bottom w:val="single" w:sz="12" w:space="0" w:color="1F497D"/>
            </w:tcBorders>
            <w:shd w:val="clear" w:color="auto" w:fill="auto"/>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-17,897</w:t>
            </w:r>
          </w:p>
        </w:tc>
        <w:tc>
          <w:tcPr>
            <w:tcW w:w="1418" w:type="dxa"/>
            <w:tcBorders>
              <w:top w:val="nil"/>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right"/>
              <w:rPr>
                <w:rFonts w:ascii="Verdana" w:hAnsi="Verdana"/>
                <w:sz w:val="16"/>
                <w:szCs w:val="16"/>
                <w:lang w:val="sr-Latn-RS"/>
              </w:rPr>
            </w:pPr>
            <w:r w:rsidRPr="000545BA">
              <w:rPr>
                <w:rFonts w:ascii="Verdana" w:hAnsi="Verdana"/>
                <w:sz w:val="16"/>
                <w:szCs w:val="16"/>
                <w:lang w:val="sr-Latn-RS"/>
              </w:rPr>
              <w:t>5,326</w:t>
            </w:r>
          </w:p>
        </w:tc>
        <w:tc>
          <w:tcPr>
            <w:tcW w:w="1842" w:type="dxa"/>
            <w:tcBorders>
              <w:top w:val="nil"/>
              <w:bottom w:val="single" w:sz="12" w:space="0" w:color="1F497D"/>
            </w:tcBorders>
            <w:shd w:val="clear" w:color="auto" w:fill="DBE5F1" w:themeFill="accent1" w:themeFillTint="33"/>
            <w:noWrap/>
            <w:vAlign w:val="center"/>
            <w:hideMark/>
          </w:tcPr>
          <w:p w:rsidR="000545BA" w:rsidRPr="000545BA" w:rsidRDefault="000545BA" w:rsidP="00711EB2">
            <w:pPr>
              <w:pStyle w:val="NoSpacing"/>
              <w:jc w:val="center"/>
              <w:rPr>
                <w:rFonts w:ascii="Verdana" w:hAnsi="Verdana"/>
                <w:sz w:val="16"/>
                <w:szCs w:val="16"/>
                <w:lang w:val="sr-Latn-RS"/>
              </w:rPr>
            </w:pPr>
            <w:r w:rsidRPr="000545BA">
              <w:rPr>
                <w:rFonts w:ascii="Verdana" w:hAnsi="Verdana"/>
                <w:sz w:val="16"/>
                <w:szCs w:val="16"/>
                <w:lang w:val="sr-Latn-RS"/>
              </w:rPr>
              <w:t>-30%</w:t>
            </w:r>
          </w:p>
        </w:tc>
      </w:tr>
    </w:tbl>
    <w:p w:rsidR="007A7811" w:rsidRPr="009839F1" w:rsidRDefault="003E4551" w:rsidP="00711EB2">
      <w:pPr>
        <w:jc w:val="both"/>
        <w:rPr>
          <w:rFonts w:ascii="Tahoma" w:eastAsia="Calibri" w:hAnsi="Tahoma" w:cs="Tahoma"/>
          <w:noProof/>
          <w:sz w:val="18"/>
          <w:szCs w:val="18"/>
          <w:lang w:val="sr-Cyrl-RS" w:eastAsia="en-US"/>
        </w:rPr>
      </w:pPr>
      <w:r w:rsidRPr="00711EB2">
        <w:rPr>
          <w:rFonts w:ascii="Verdana" w:eastAsia="Calibri" w:hAnsi="Verdana"/>
          <w:noProof/>
          <w:sz w:val="22"/>
          <w:szCs w:val="22"/>
          <w:lang w:val="sr-Cyrl-RS" w:eastAsia="en-US"/>
        </w:rPr>
        <w:t xml:space="preserve"> </w:t>
      </w:r>
      <w:r w:rsidR="009839F1" w:rsidRPr="009839F1">
        <w:rPr>
          <w:rFonts w:ascii="Tahoma" w:eastAsia="Calibri" w:hAnsi="Tahoma" w:cs="Tahoma"/>
          <w:noProof/>
          <w:sz w:val="18"/>
          <w:szCs w:val="18"/>
          <w:lang w:val="sr-Cyrl-RS" w:eastAsia="en-US"/>
        </w:rPr>
        <w:t xml:space="preserve">С.Д. бр. 8/87                                                                                                                                             </w:t>
      </w:r>
      <w:r w:rsidR="00193568">
        <w:rPr>
          <w:rFonts w:ascii="Tahoma" w:eastAsia="Calibri" w:hAnsi="Tahoma" w:cs="Tahoma"/>
          <w:noProof/>
          <w:sz w:val="18"/>
          <w:szCs w:val="18"/>
          <w:lang w:val="sr-Cyrl-RS" w:eastAsia="en-US"/>
        </w:rPr>
        <w:t xml:space="preserve">                            </w:t>
      </w:r>
      <w:r w:rsidR="009839F1" w:rsidRPr="009839F1">
        <w:rPr>
          <w:rFonts w:ascii="Tahoma" w:eastAsia="Calibri" w:hAnsi="Tahoma" w:cs="Tahoma"/>
          <w:noProof/>
          <w:sz w:val="18"/>
          <w:szCs w:val="18"/>
          <w:lang w:val="sr-Cyrl-RS" w:eastAsia="en-US"/>
        </w:rPr>
        <w:t>ПРЕДСЕДНИК СКУПШТИНЕ</w:t>
      </w:r>
    </w:p>
    <w:p w:rsidR="009839F1" w:rsidRPr="009839F1" w:rsidRDefault="009839F1" w:rsidP="00711EB2">
      <w:pPr>
        <w:jc w:val="both"/>
        <w:rPr>
          <w:rFonts w:ascii="Verdana" w:hAnsi="Verdana"/>
          <w:noProof/>
          <w:sz w:val="18"/>
          <w:szCs w:val="18"/>
          <w:lang w:val="sr-Cyrl-RS"/>
        </w:rPr>
      </w:pPr>
      <w:r w:rsidRPr="009839F1">
        <w:rPr>
          <w:rFonts w:ascii="Verdana" w:hAnsi="Verdana"/>
          <w:noProof/>
          <w:sz w:val="18"/>
          <w:szCs w:val="18"/>
          <w:lang w:val="sr-Cyrl-RS"/>
        </w:rPr>
        <w:t xml:space="preserve"> 2</w:t>
      </w:r>
      <w:r w:rsidR="00F011D4">
        <w:rPr>
          <w:rFonts w:ascii="Verdana" w:hAnsi="Verdana"/>
          <w:noProof/>
          <w:sz w:val="18"/>
          <w:szCs w:val="18"/>
        </w:rPr>
        <w:t>9</w:t>
      </w:r>
      <w:r w:rsidRPr="009839F1">
        <w:rPr>
          <w:rFonts w:ascii="Verdana" w:hAnsi="Verdana"/>
          <w:noProof/>
          <w:sz w:val="18"/>
          <w:szCs w:val="18"/>
          <w:lang w:val="sr-Cyrl-RS"/>
        </w:rPr>
        <w:t xml:space="preserve">. априла 2015. године </w:t>
      </w:r>
      <w:r w:rsidR="0084690C">
        <w:rPr>
          <w:rFonts w:ascii="Verdana" w:hAnsi="Verdana"/>
          <w:noProof/>
          <w:sz w:val="18"/>
          <w:szCs w:val="18"/>
        </w:rPr>
        <w:t xml:space="preserve">                                                                                                                                     </w:t>
      </w:r>
      <w:r w:rsidR="0084690C">
        <w:rPr>
          <w:rFonts w:ascii="Verdana" w:hAnsi="Verdana"/>
          <w:noProof/>
          <w:sz w:val="18"/>
          <w:szCs w:val="18"/>
          <w:lang w:val="sr-Cyrl-RS"/>
        </w:rPr>
        <w:t>________________</w:t>
      </w:r>
    </w:p>
    <w:p w:rsidR="009839F1" w:rsidRPr="00193568" w:rsidRDefault="00193568" w:rsidP="00711EB2">
      <w:pPr>
        <w:jc w:val="both"/>
        <w:rPr>
          <w:rFonts w:ascii="Verdana" w:hAnsi="Verdana"/>
          <w:noProof/>
          <w:sz w:val="18"/>
          <w:szCs w:val="18"/>
          <w:lang w:val="sr-Cyrl-RS"/>
        </w:rPr>
      </w:pPr>
      <w:r>
        <w:rPr>
          <w:rFonts w:ascii="Verdana" w:hAnsi="Verdana"/>
          <w:noProof/>
          <w:sz w:val="18"/>
          <w:szCs w:val="18"/>
          <w:lang w:val="sr-Cyrl-RS"/>
        </w:rPr>
        <w:t xml:space="preserve"> Београд                                                                                                                                                              </w:t>
      </w:r>
      <w:r w:rsidR="0084690C">
        <w:rPr>
          <w:rFonts w:ascii="Verdana" w:hAnsi="Verdana"/>
          <w:noProof/>
          <w:sz w:val="18"/>
          <w:szCs w:val="18"/>
          <w:lang w:val="sr-Cyrl-RS"/>
        </w:rPr>
        <w:t xml:space="preserve"> </w:t>
      </w:r>
      <w:bookmarkStart w:id="51" w:name="_GoBack"/>
      <w:bookmarkEnd w:id="51"/>
      <w:r w:rsidR="0084690C">
        <w:rPr>
          <w:rFonts w:ascii="Verdana" w:hAnsi="Verdana"/>
          <w:noProof/>
          <w:sz w:val="18"/>
          <w:szCs w:val="18"/>
          <w:lang w:val="sr-Cyrl-RS"/>
        </w:rPr>
        <w:t>Бојан Миладиновић</w:t>
      </w:r>
    </w:p>
    <w:p w:rsidR="0084690C" w:rsidRPr="00193568" w:rsidRDefault="0084690C">
      <w:pPr>
        <w:jc w:val="both"/>
        <w:rPr>
          <w:rFonts w:ascii="Verdana" w:hAnsi="Verdana"/>
          <w:noProof/>
          <w:sz w:val="18"/>
          <w:szCs w:val="18"/>
          <w:lang w:val="sr-Cyrl-RS"/>
        </w:rPr>
      </w:pPr>
    </w:p>
    <w:sectPr w:rsidR="0084690C" w:rsidRPr="00193568" w:rsidSect="009839F1">
      <w:footerReference w:type="default" r:id="rId30"/>
      <w:footnotePr>
        <w:pos w:val="beneathText"/>
      </w:footnotePr>
      <w:pgSz w:w="15840" w:h="12240" w:orient="landscape" w:code="1"/>
      <w:pgMar w:top="426" w:right="1418" w:bottom="56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FE0" w:rsidRDefault="00DA1FE0">
      <w:r>
        <w:separator/>
      </w:r>
    </w:p>
    <w:p w:rsidR="00DA1FE0" w:rsidRDefault="00DA1FE0"/>
  </w:endnote>
  <w:endnote w:type="continuationSeparator" w:id="0">
    <w:p w:rsidR="00DA1FE0" w:rsidRDefault="00DA1FE0">
      <w:r>
        <w:continuationSeparator/>
      </w:r>
    </w:p>
    <w:p w:rsidR="00DA1FE0" w:rsidRDefault="00DA1F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72"/>
      <w:gridCol w:w="964"/>
    </w:tblGrid>
    <w:tr w:rsidR="009839F1" w:rsidRPr="000545BA" w:rsidTr="009E0AE0">
      <w:tc>
        <w:tcPr>
          <w:tcW w:w="4500" w:type="pct"/>
          <w:tcBorders>
            <w:top w:val="single" w:sz="4" w:space="0" w:color="000000"/>
          </w:tcBorders>
        </w:tcPr>
        <w:p w:rsidR="009839F1" w:rsidRPr="000545BA" w:rsidRDefault="009839F1" w:rsidP="00101E6A">
          <w:pPr>
            <w:pStyle w:val="Footer"/>
            <w:tabs>
              <w:tab w:val="clear" w:pos="4703"/>
            </w:tabs>
            <w:jc w:val="right"/>
            <w:rPr>
              <w:rFonts w:ascii="Verdana" w:hAnsi="Verdana"/>
              <w:noProof/>
              <w:sz w:val="20"/>
              <w:lang w:val="sr-Cyrl-RS"/>
            </w:rPr>
          </w:pPr>
          <w:r w:rsidRPr="000545BA">
            <w:rPr>
              <w:rFonts w:ascii="Verdana" w:hAnsi="Verdana"/>
              <w:noProof/>
              <w:sz w:val="20"/>
              <w:lang w:val="sr-Cyrl-RS"/>
            </w:rPr>
            <w:t>Послов</w:t>
          </w:r>
          <w:r>
            <w:rPr>
              <w:rFonts w:ascii="Verdana" w:hAnsi="Verdana"/>
              <w:noProof/>
              <w:sz w:val="20"/>
              <w:lang w:val="sr-Cyrl-RS"/>
            </w:rPr>
            <w:t>ни план</w:t>
          </w:r>
          <w:r w:rsidRPr="000545BA">
            <w:rPr>
              <w:rFonts w:ascii="Verdana" w:hAnsi="Verdana"/>
              <w:noProof/>
              <w:sz w:val="20"/>
              <w:lang w:val="sr-Cyrl-RS"/>
            </w:rPr>
            <w:t xml:space="preserve"> за 2015. годину | страна</w:t>
          </w:r>
        </w:p>
      </w:tc>
      <w:tc>
        <w:tcPr>
          <w:tcW w:w="500" w:type="pct"/>
          <w:tcBorders>
            <w:top w:val="single" w:sz="4" w:space="0" w:color="4F81BD"/>
          </w:tcBorders>
          <w:shd w:val="clear" w:color="auto" w:fill="4F81BD"/>
        </w:tcPr>
        <w:p w:rsidR="009839F1" w:rsidRPr="000545BA" w:rsidRDefault="009839F1">
          <w:pPr>
            <w:pStyle w:val="Header"/>
            <w:rPr>
              <w:noProof/>
              <w:color w:val="FFFFFF"/>
              <w:lang w:val="sr-Cyrl-RS"/>
            </w:rPr>
          </w:pPr>
          <w:r w:rsidRPr="000545BA">
            <w:rPr>
              <w:noProof/>
              <w:lang w:val="sr-Cyrl-RS"/>
            </w:rPr>
            <w:fldChar w:fldCharType="begin"/>
          </w:r>
          <w:r w:rsidRPr="000545BA">
            <w:rPr>
              <w:noProof/>
              <w:lang w:val="sr-Cyrl-RS"/>
            </w:rPr>
            <w:instrText xml:space="preserve"> PAGE   \* MERGEFORMAT </w:instrText>
          </w:r>
          <w:r w:rsidRPr="000545BA">
            <w:rPr>
              <w:noProof/>
              <w:lang w:val="sr-Cyrl-RS"/>
            </w:rPr>
            <w:fldChar w:fldCharType="separate"/>
          </w:r>
          <w:r w:rsidR="0084690C" w:rsidRPr="0084690C">
            <w:rPr>
              <w:noProof/>
              <w:color w:val="FFFFFF"/>
              <w:lang w:val="sr-Cyrl-RS"/>
            </w:rPr>
            <w:t>2</w:t>
          </w:r>
          <w:r w:rsidRPr="000545BA">
            <w:rPr>
              <w:noProof/>
              <w:color w:val="FFFFFF"/>
              <w:lang w:val="sr-Cyrl-RS"/>
            </w:rPr>
            <w:fldChar w:fldCharType="end"/>
          </w:r>
        </w:p>
      </w:tc>
    </w:tr>
  </w:tbl>
  <w:p w:rsidR="009839F1" w:rsidRPr="000545BA" w:rsidRDefault="009839F1" w:rsidP="009E0AE0">
    <w:pPr>
      <w:pStyle w:val="Footer"/>
      <w:rPr>
        <w:noProof/>
        <w:lang w:val="sr-Cyrl-R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1911"/>
      <w:gridCol w:w="1323"/>
    </w:tblGrid>
    <w:tr w:rsidR="009839F1" w:rsidTr="009E0AE0">
      <w:tc>
        <w:tcPr>
          <w:tcW w:w="4500" w:type="pct"/>
          <w:tcBorders>
            <w:top w:val="single" w:sz="4" w:space="0" w:color="000000"/>
          </w:tcBorders>
        </w:tcPr>
        <w:p w:rsidR="009839F1" w:rsidRPr="00CD6018" w:rsidRDefault="009839F1" w:rsidP="008827D1">
          <w:pPr>
            <w:pStyle w:val="Footer"/>
            <w:tabs>
              <w:tab w:val="clear" w:pos="4703"/>
            </w:tabs>
            <w:jc w:val="right"/>
            <w:rPr>
              <w:rFonts w:ascii="Verdana" w:hAnsi="Verdana"/>
              <w:sz w:val="20"/>
            </w:rPr>
          </w:pPr>
          <w:r>
            <w:rPr>
              <w:rFonts w:ascii="Verdana" w:hAnsi="Verdana"/>
              <w:sz w:val="20"/>
            </w:rPr>
            <w:t xml:space="preserve">План пословања </w:t>
          </w:r>
          <w:r w:rsidRPr="00181F1B">
            <w:rPr>
              <w:rFonts w:ascii="Verdana" w:hAnsi="Verdana"/>
              <w:sz w:val="20"/>
            </w:rPr>
            <w:t>за 201</w:t>
          </w:r>
          <w:r>
            <w:rPr>
              <w:rFonts w:ascii="Verdana" w:hAnsi="Verdana"/>
              <w:sz w:val="20"/>
            </w:rPr>
            <w:t>4</w:t>
          </w:r>
          <w:r w:rsidRPr="00181F1B">
            <w:rPr>
              <w:rFonts w:ascii="Verdana" w:hAnsi="Verdana"/>
              <w:sz w:val="20"/>
            </w:rPr>
            <w:t>. годину</w:t>
          </w:r>
          <w:r w:rsidRPr="00CD6018">
            <w:rPr>
              <w:rFonts w:ascii="Verdana" w:hAnsi="Verdana"/>
              <w:sz w:val="20"/>
            </w:rPr>
            <w:t xml:space="preserve"> | </w:t>
          </w:r>
          <w:r w:rsidRPr="00CD6018">
            <w:rPr>
              <w:rFonts w:ascii="Verdana" w:hAnsi="Verdana"/>
              <w:sz w:val="20"/>
              <w:lang w:val="sr-Cyrl-CS"/>
            </w:rPr>
            <w:t>страна</w:t>
          </w:r>
        </w:p>
      </w:tc>
      <w:tc>
        <w:tcPr>
          <w:tcW w:w="500" w:type="pct"/>
          <w:tcBorders>
            <w:top w:val="single" w:sz="4" w:space="0" w:color="4F81BD"/>
          </w:tcBorders>
          <w:shd w:val="clear" w:color="auto" w:fill="4F81BD"/>
        </w:tcPr>
        <w:p w:rsidR="009839F1" w:rsidRDefault="009839F1">
          <w:pPr>
            <w:pStyle w:val="Header"/>
            <w:rPr>
              <w:color w:val="FFFFFF"/>
            </w:rPr>
          </w:pPr>
          <w:r>
            <w:fldChar w:fldCharType="begin"/>
          </w:r>
          <w:r>
            <w:instrText xml:space="preserve"> PAGE   \* MERGEFORMAT </w:instrText>
          </w:r>
          <w:r>
            <w:fldChar w:fldCharType="separate"/>
          </w:r>
          <w:r w:rsidR="0084690C" w:rsidRPr="0084690C">
            <w:rPr>
              <w:noProof/>
              <w:color w:val="FFFFFF"/>
            </w:rPr>
            <w:t>21</w:t>
          </w:r>
          <w:r>
            <w:rPr>
              <w:noProof/>
              <w:color w:val="FFFFFF"/>
            </w:rPr>
            <w:fldChar w:fldCharType="end"/>
          </w:r>
        </w:p>
      </w:tc>
    </w:tr>
  </w:tbl>
  <w:p w:rsidR="009839F1" w:rsidRPr="00CD6018" w:rsidRDefault="009839F1" w:rsidP="009E0AE0">
    <w:pPr>
      <w:pStyle w:val="Footer"/>
      <w:rPr>
        <w:lang w:val="sr-Cyrl-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71"/>
      <w:gridCol w:w="963"/>
    </w:tblGrid>
    <w:tr w:rsidR="009839F1" w:rsidTr="009E0AE0">
      <w:tc>
        <w:tcPr>
          <w:tcW w:w="4500" w:type="pct"/>
          <w:tcBorders>
            <w:top w:val="single" w:sz="4" w:space="0" w:color="000000"/>
          </w:tcBorders>
        </w:tcPr>
        <w:p w:rsidR="009839F1" w:rsidRPr="00CD6018" w:rsidRDefault="009839F1" w:rsidP="008827D1">
          <w:pPr>
            <w:pStyle w:val="Footer"/>
            <w:tabs>
              <w:tab w:val="clear" w:pos="4703"/>
            </w:tabs>
            <w:jc w:val="right"/>
            <w:rPr>
              <w:rFonts w:ascii="Verdana" w:hAnsi="Verdana"/>
              <w:sz w:val="20"/>
            </w:rPr>
          </w:pPr>
          <w:r>
            <w:rPr>
              <w:rFonts w:ascii="Verdana" w:hAnsi="Verdana"/>
              <w:sz w:val="20"/>
            </w:rPr>
            <w:t xml:space="preserve">План пословања </w:t>
          </w:r>
          <w:r w:rsidRPr="00181F1B">
            <w:rPr>
              <w:rFonts w:ascii="Verdana" w:hAnsi="Verdana"/>
              <w:sz w:val="20"/>
            </w:rPr>
            <w:t>за 201</w:t>
          </w:r>
          <w:r>
            <w:rPr>
              <w:rFonts w:ascii="Verdana" w:hAnsi="Verdana"/>
              <w:sz w:val="20"/>
            </w:rPr>
            <w:t>5</w:t>
          </w:r>
          <w:r w:rsidRPr="00181F1B">
            <w:rPr>
              <w:rFonts w:ascii="Verdana" w:hAnsi="Verdana"/>
              <w:sz w:val="20"/>
            </w:rPr>
            <w:t>. годину</w:t>
          </w:r>
          <w:r w:rsidRPr="00CD6018">
            <w:rPr>
              <w:rFonts w:ascii="Verdana" w:hAnsi="Verdana"/>
              <w:sz w:val="20"/>
            </w:rPr>
            <w:t xml:space="preserve"> | </w:t>
          </w:r>
          <w:r w:rsidRPr="00CD6018">
            <w:rPr>
              <w:rFonts w:ascii="Verdana" w:hAnsi="Verdana"/>
              <w:sz w:val="20"/>
              <w:lang w:val="sr-Cyrl-CS"/>
            </w:rPr>
            <w:t>страна</w:t>
          </w:r>
        </w:p>
      </w:tc>
      <w:tc>
        <w:tcPr>
          <w:tcW w:w="500" w:type="pct"/>
          <w:tcBorders>
            <w:top w:val="single" w:sz="4" w:space="0" w:color="4F81BD"/>
          </w:tcBorders>
          <w:shd w:val="clear" w:color="auto" w:fill="4F81BD"/>
        </w:tcPr>
        <w:p w:rsidR="009839F1" w:rsidRDefault="009839F1">
          <w:pPr>
            <w:pStyle w:val="Header"/>
            <w:rPr>
              <w:color w:val="FFFFFF"/>
            </w:rPr>
          </w:pPr>
          <w:r>
            <w:fldChar w:fldCharType="begin"/>
          </w:r>
          <w:r>
            <w:instrText xml:space="preserve"> PAGE   \* MERGEFORMAT </w:instrText>
          </w:r>
          <w:r>
            <w:fldChar w:fldCharType="separate"/>
          </w:r>
          <w:r w:rsidR="0084690C" w:rsidRPr="0084690C">
            <w:rPr>
              <w:noProof/>
              <w:color w:val="FFFFFF"/>
            </w:rPr>
            <w:t>27</w:t>
          </w:r>
          <w:r>
            <w:rPr>
              <w:noProof/>
              <w:color w:val="FFFFFF"/>
            </w:rPr>
            <w:fldChar w:fldCharType="end"/>
          </w:r>
        </w:p>
      </w:tc>
    </w:tr>
  </w:tbl>
  <w:p w:rsidR="009839F1" w:rsidRPr="00CD6018" w:rsidRDefault="009839F1" w:rsidP="009E0AE0">
    <w:pPr>
      <w:pStyle w:val="Footer"/>
      <w:rPr>
        <w:lang w:val="sr-Cyrl-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1911"/>
      <w:gridCol w:w="1323"/>
    </w:tblGrid>
    <w:tr w:rsidR="009839F1" w:rsidTr="009E0AE0">
      <w:tc>
        <w:tcPr>
          <w:tcW w:w="4500" w:type="pct"/>
          <w:tcBorders>
            <w:top w:val="single" w:sz="4" w:space="0" w:color="000000"/>
          </w:tcBorders>
        </w:tcPr>
        <w:p w:rsidR="009839F1" w:rsidRPr="00CD6018" w:rsidRDefault="009839F1" w:rsidP="008827D1">
          <w:pPr>
            <w:pStyle w:val="Footer"/>
            <w:tabs>
              <w:tab w:val="clear" w:pos="4703"/>
            </w:tabs>
            <w:jc w:val="right"/>
            <w:rPr>
              <w:rFonts w:ascii="Verdana" w:hAnsi="Verdana"/>
              <w:sz w:val="20"/>
            </w:rPr>
          </w:pPr>
          <w:r>
            <w:rPr>
              <w:rFonts w:ascii="Verdana" w:hAnsi="Verdana"/>
              <w:sz w:val="20"/>
            </w:rPr>
            <w:t xml:space="preserve">План пословања </w:t>
          </w:r>
          <w:r w:rsidRPr="00181F1B">
            <w:rPr>
              <w:rFonts w:ascii="Verdana" w:hAnsi="Verdana"/>
              <w:sz w:val="20"/>
            </w:rPr>
            <w:t>за 201</w:t>
          </w:r>
          <w:r>
            <w:rPr>
              <w:rFonts w:ascii="Verdana" w:hAnsi="Verdana"/>
              <w:sz w:val="20"/>
            </w:rPr>
            <w:t>5</w:t>
          </w:r>
          <w:r w:rsidRPr="00181F1B">
            <w:rPr>
              <w:rFonts w:ascii="Verdana" w:hAnsi="Verdana"/>
              <w:sz w:val="20"/>
            </w:rPr>
            <w:t>. годину</w:t>
          </w:r>
          <w:r w:rsidRPr="00CD6018">
            <w:rPr>
              <w:rFonts w:ascii="Verdana" w:hAnsi="Verdana"/>
              <w:sz w:val="20"/>
            </w:rPr>
            <w:t xml:space="preserve"> | </w:t>
          </w:r>
          <w:r w:rsidRPr="00CD6018">
            <w:rPr>
              <w:rFonts w:ascii="Verdana" w:hAnsi="Verdana"/>
              <w:sz w:val="20"/>
              <w:lang w:val="sr-Cyrl-CS"/>
            </w:rPr>
            <w:t>страна</w:t>
          </w:r>
        </w:p>
      </w:tc>
      <w:tc>
        <w:tcPr>
          <w:tcW w:w="500" w:type="pct"/>
          <w:tcBorders>
            <w:top w:val="single" w:sz="4" w:space="0" w:color="4F81BD"/>
          </w:tcBorders>
          <w:shd w:val="clear" w:color="auto" w:fill="4F81BD"/>
        </w:tcPr>
        <w:p w:rsidR="009839F1" w:rsidRDefault="009839F1">
          <w:pPr>
            <w:pStyle w:val="Header"/>
            <w:rPr>
              <w:color w:val="FFFFFF"/>
            </w:rPr>
          </w:pPr>
          <w:r>
            <w:fldChar w:fldCharType="begin"/>
          </w:r>
          <w:r>
            <w:instrText xml:space="preserve"> PAGE   \* MERGEFORMAT </w:instrText>
          </w:r>
          <w:r>
            <w:fldChar w:fldCharType="separate"/>
          </w:r>
          <w:r w:rsidR="0084690C" w:rsidRPr="0084690C">
            <w:rPr>
              <w:noProof/>
              <w:color w:val="FFFFFF"/>
            </w:rPr>
            <w:t>29</w:t>
          </w:r>
          <w:r>
            <w:rPr>
              <w:noProof/>
              <w:color w:val="FFFFFF"/>
            </w:rPr>
            <w:fldChar w:fldCharType="end"/>
          </w:r>
        </w:p>
      </w:tc>
    </w:tr>
  </w:tbl>
  <w:p w:rsidR="009839F1" w:rsidRPr="00CD6018" w:rsidRDefault="009839F1" w:rsidP="009E0AE0">
    <w:pPr>
      <w:pStyle w:val="Footer"/>
      <w:rPr>
        <w:lang w:val="sr-Cyrl-CS"/>
      </w:rPr>
    </w:pPr>
  </w:p>
  <w:p w:rsidR="009839F1" w:rsidRDefault="009839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FE0" w:rsidRDefault="00DA1FE0">
      <w:r>
        <w:separator/>
      </w:r>
    </w:p>
    <w:p w:rsidR="00DA1FE0" w:rsidRDefault="00DA1FE0"/>
  </w:footnote>
  <w:footnote w:type="continuationSeparator" w:id="0">
    <w:p w:rsidR="00DA1FE0" w:rsidRDefault="00DA1FE0">
      <w:r>
        <w:continuationSeparator/>
      </w:r>
    </w:p>
    <w:p w:rsidR="00DA1FE0" w:rsidRDefault="00DA1F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9F1" w:rsidRPr="00F62553" w:rsidRDefault="009839F1" w:rsidP="00F62553">
    <w:pPr>
      <w:pStyle w:val="Header"/>
      <w:tabs>
        <w:tab w:val="clear" w:pos="4536"/>
      </w:tabs>
      <w:ind w:firstLine="1080"/>
      <w:rPr>
        <w:rFonts w:ascii="Tahoma" w:hAnsi="Tahoma" w:cs="Tahoma"/>
        <w:sz w:val="20"/>
        <w:szCs w:val="20"/>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353"/>
        </w:tabs>
        <w:ind w:left="1353" w:hanging="360"/>
      </w:pPr>
      <w:rPr>
        <w:rFonts w:ascii="Symbol" w:hAnsi="Symbol" w:cs="Symbol"/>
        <w:color w:val="auto"/>
        <w:sz w:val="24"/>
        <w:szCs w:val="24"/>
      </w:r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4"/>
      <w:numFmt w:val="decimal"/>
      <w:lvlText w:val="%2)"/>
      <w:lvlJc w:val="left"/>
      <w:pPr>
        <w:tabs>
          <w:tab w:val="num" w:pos="994"/>
        </w:tabs>
        <w:ind w:left="99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nsid w:val="00000004"/>
    <w:multiLevelType w:val="singleLevel"/>
    <w:tmpl w:val="00000004"/>
    <w:name w:val="WW8Num4"/>
    <w:lvl w:ilvl="0">
      <w:start w:val="25"/>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2"/>
      <w:numFmt w:val="bullet"/>
      <w:lvlText w:val="-"/>
      <w:lvlJc w:val="left"/>
      <w:pPr>
        <w:tabs>
          <w:tab w:val="num" w:pos="502"/>
        </w:tabs>
        <w:ind w:left="502"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2831C49"/>
    <w:multiLevelType w:val="hybridMultilevel"/>
    <w:tmpl w:val="BA40D2E8"/>
    <w:lvl w:ilvl="0" w:tplc="0409000F">
      <w:start w:val="1"/>
      <w:numFmt w:val="decimal"/>
      <w:lvlText w:val="%1."/>
      <w:lvlJc w:val="left"/>
      <w:pPr>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0D162C98"/>
    <w:multiLevelType w:val="hybridMultilevel"/>
    <w:tmpl w:val="5F32A040"/>
    <w:lvl w:ilvl="0" w:tplc="57249A84">
      <w:start w:val="1"/>
      <w:numFmt w:val="bullet"/>
      <w:lvlText w:val=""/>
      <w:lvlJc w:val="left"/>
      <w:pPr>
        <w:ind w:left="1050" w:hanging="360"/>
      </w:pPr>
      <w:rPr>
        <w:rFonts w:ascii="Wingdings" w:hAnsi="Wingdings" w:hint="default"/>
        <w:color w:val="auto"/>
      </w:rPr>
    </w:lvl>
    <w:lvl w:ilvl="1" w:tplc="241A0003" w:tentative="1">
      <w:start w:val="1"/>
      <w:numFmt w:val="bullet"/>
      <w:lvlText w:val="o"/>
      <w:lvlJc w:val="left"/>
      <w:pPr>
        <w:ind w:left="1770" w:hanging="360"/>
      </w:pPr>
      <w:rPr>
        <w:rFonts w:ascii="Courier New" w:hAnsi="Courier New" w:cs="Courier New" w:hint="default"/>
      </w:rPr>
    </w:lvl>
    <w:lvl w:ilvl="2" w:tplc="241A0005" w:tentative="1">
      <w:start w:val="1"/>
      <w:numFmt w:val="bullet"/>
      <w:lvlText w:val=""/>
      <w:lvlJc w:val="left"/>
      <w:pPr>
        <w:ind w:left="2490" w:hanging="360"/>
      </w:pPr>
      <w:rPr>
        <w:rFonts w:ascii="Wingdings" w:hAnsi="Wingdings" w:hint="default"/>
      </w:rPr>
    </w:lvl>
    <w:lvl w:ilvl="3" w:tplc="241A0001" w:tentative="1">
      <w:start w:val="1"/>
      <w:numFmt w:val="bullet"/>
      <w:lvlText w:val=""/>
      <w:lvlJc w:val="left"/>
      <w:pPr>
        <w:ind w:left="3210" w:hanging="360"/>
      </w:pPr>
      <w:rPr>
        <w:rFonts w:ascii="Symbol" w:hAnsi="Symbol" w:hint="default"/>
      </w:rPr>
    </w:lvl>
    <w:lvl w:ilvl="4" w:tplc="241A0003" w:tentative="1">
      <w:start w:val="1"/>
      <w:numFmt w:val="bullet"/>
      <w:lvlText w:val="o"/>
      <w:lvlJc w:val="left"/>
      <w:pPr>
        <w:ind w:left="3930" w:hanging="360"/>
      </w:pPr>
      <w:rPr>
        <w:rFonts w:ascii="Courier New" w:hAnsi="Courier New" w:cs="Courier New" w:hint="default"/>
      </w:rPr>
    </w:lvl>
    <w:lvl w:ilvl="5" w:tplc="241A0005" w:tentative="1">
      <w:start w:val="1"/>
      <w:numFmt w:val="bullet"/>
      <w:lvlText w:val=""/>
      <w:lvlJc w:val="left"/>
      <w:pPr>
        <w:ind w:left="4650" w:hanging="360"/>
      </w:pPr>
      <w:rPr>
        <w:rFonts w:ascii="Wingdings" w:hAnsi="Wingdings" w:hint="default"/>
      </w:rPr>
    </w:lvl>
    <w:lvl w:ilvl="6" w:tplc="241A0001" w:tentative="1">
      <w:start w:val="1"/>
      <w:numFmt w:val="bullet"/>
      <w:lvlText w:val=""/>
      <w:lvlJc w:val="left"/>
      <w:pPr>
        <w:ind w:left="5370" w:hanging="360"/>
      </w:pPr>
      <w:rPr>
        <w:rFonts w:ascii="Symbol" w:hAnsi="Symbol" w:hint="default"/>
      </w:rPr>
    </w:lvl>
    <w:lvl w:ilvl="7" w:tplc="241A0003" w:tentative="1">
      <w:start w:val="1"/>
      <w:numFmt w:val="bullet"/>
      <w:lvlText w:val="o"/>
      <w:lvlJc w:val="left"/>
      <w:pPr>
        <w:ind w:left="6090" w:hanging="360"/>
      </w:pPr>
      <w:rPr>
        <w:rFonts w:ascii="Courier New" w:hAnsi="Courier New" w:cs="Courier New" w:hint="default"/>
      </w:rPr>
    </w:lvl>
    <w:lvl w:ilvl="8" w:tplc="241A0005" w:tentative="1">
      <w:start w:val="1"/>
      <w:numFmt w:val="bullet"/>
      <w:lvlText w:val=""/>
      <w:lvlJc w:val="left"/>
      <w:pPr>
        <w:ind w:left="6810" w:hanging="360"/>
      </w:pPr>
      <w:rPr>
        <w:rFonts w:ascii="Wingdings" w:hAnsi="Wingdings" w:hint="default"/>
      </w:rPr>
    </w:lvl>
  </w:abstractNum>
  <w:abstractNum w:abstractNumId="7">
    <w:nsid w:val="202B55D8"/>
    <w:multiLevelType w:val="hybridMultilevel"/>
    <w:tmpl w:val="82F0CD28"/>
    <w:lvl w:ilvl="0" w:tplc="0409000D">
      <w:start w:val="1"/>
      <w:numFmt w:val="bullet"/>
      <w:lvlText w:val=""/>
      <w:lvlJc w:val="left"/>
      <w:pPr>
        <w:tabs>
          <w:tab w:val="num" w:pos="720"/>
        </w:tabs>
        <w:ind w:left="720" w:hanging="360"/>
      </w:pPr>
      <w:rPr>
        <w:rFonts w:ascii="Wingdings" w:hAnsi="Wingdings" w:hint="default"/>
      </w:rPr>
    </w:lvl>
    <w:lvl w:ilvl="1" w:tplc="B43E414A" w:tentative="1">
      <w:start w:val="1"/>
      <w:numFmt w:val="bullet"/>
      <w:lvlText w:val="•"/>
      <w:lvlJc w:val="left"/>
      <w:pPr>
        <w:tabs>
          <w:tab w:val="num" w:pos="1440"/>
        </w:tabs>
        <w:ind w:left="1440" w:hanging="360"/>
      </w:pPr>
      <w:rPr>
        <w:rFonts w:ascii="Times New Roman" w:hAnsi="Times New Roman" w:hint="default"/>
      </w:rPr>
    </w:lvl>
    <w:lvl w:ilvl="2" w:tplc="2F2AECAA" w:tentative="1">
      <w:start w:val="1"/>
      <w:numFmt w:val="bullet"/>
      <w:lvlText w:val="•"/>
      <w:lvlJc w:val="left"/>
      <w:pPr>
        <w:tabs>
          <w:tab w:val="num" w:pos="2160"/>
        </w:tabs>
        <w:ind w:left="2160" w:hanging="360"/>
      </w:pPr>
      <w:rPr>
        <w:rFonts w:ascii="Times New Roman" w:hAnsi="Times New Roman" w:hint="default"/>
      </w:rPr>
    </w:lvl>
    <w:lvl w:ilvl="3" w:tplc="C6FA0EFE" w:tentative="1">
      <w:start w:val="1"/>
      <w:numFmt w:val="bullet"/>
      <w:lvlText w:val="•"/>
      <w:lvlJc w:val="left"/>
      <w:pPr>
        <w:tabs>
          <w:tab w:val="num" w:pos="2880"/>
        </w:tabs>
        <w:ind w:left="2880" w:hanging="360"/>
      </w:pPr>
      <w:rPr>
        <w:rFonts w:ascii="Times New Roman" w:hAnsi="Times New Roman" w:hint="default"/>
      </w:rPr>
    </w:lvl>
    <w:lvl w:ilvl="4" w:tplc="938252A4" w:tentative="1">
      <w:start w:val="1"/>
      <w:numFmt w:val="bullet"/>
      <w:lvlText w:val="•"/>
      <w:lvlJc w:val="left"/>
      <w:pPr>
        <w:tabs>
          <w:tab w:val="num" w:pos="3600"/>
        </w:tabs>
        <w:ind w:left="3600" w:hanging="360"/>
      </w:pPr>
      <w:rPr>
        <w:rFonts w:ascii="Times New Roman" w:hAnsi="Times New Roman" w:hint="default"/>
      </w:rPr>
    </w:lvl>
    <w:lvl w:ilvl="5" w:tplc="E64ECE94" w:tentative="1">
      <w:start w:val="1"/>
      <w:numFmt w:val="bullet"/>
      <w:lvlText w:val="•"/>
      <w:lvlJc w:val="left"/>
      <w:pPr>
        <w:tabs>
          <w:tab w:val="num" w:pos="4320"/>
        </w:tabs>
        <w:ind w:left="4320" w:hanging="360"/>
      </w:pPr>
      <w:rPr>
        <w:rFonts w:ascii="Times New Roman" w:hAnsi="Times New Roman" w:hint="default"/>
      </w:rPr>
    </w:lvl>
    <w:lvl w:ilvl="6" w:tplc="A02C29C0" w:tentative="1">
      <w:start w:val="1"/>
      <w:numFmt w:val="bullet"/>
      <w:lvlText w:val="•"/>
      <w:lvlJc w:val="left"/>
      <w:pPr>
        <w:tabs>
          <w:tab w:val="num" w:pos="5040"/>
        </w:tabs>
        <w:ind w:left="5040" w:hanging="360"/>
      </w:pPr>
      <w:rPr>
        <w:rFonts w:ascii="Times New Roman" w:hAnsi="Times New Roman" w:hint="default"/>
      </w:rPr>
    </w:lvl>
    <w:lvl w:ilvl="7" w:tplc="22FA4624" w:tentative="1">
      <w:start w:val="1"/>
      <w:numFmt w:val="bullet"/>
      <w:lvlText w:val="•"/>
      <w:lvlJc w:val="left"/>
      <w:pPr>
        <w:tabs>
          <w:tab w:val="num" w:pos="5760"/>
        </w:tabs>
        <w:ind w:left="5760" w:hanging="360"/>
      </w:pPr>
      <w:rPr>
        <w:rFonts w:ascii="Times New Roman" w:hAnsi="Times New Roman" w:hint="default"/>
      </w:rPr>
    </w:lvl>
    <w:lvl w:ilvl="8" w:tplc="3876706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4D36EE3"/>
    <w:multiLevelType w:val="hybridMultilevel"/>
    <w:tmpl w:val="429EFDAC"/>
    <w:lvl w:ilvl="0" w:tplc="241A000D">
      <w:start w:val="1"/>
      <w:numFmt w:val="bullet"/>
      <w:lvlText w:val=""/>
      <w:lvlJc w:val="left"/>
      <w:pPr>
        <w:ind w:left="1004" w:hanging="360"/>
      </w:pPr>
      <w:rPr>
        <w:rFonts w:ascii="Wingdings" w:hAnsi="Wingdings"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9">
    <w:nsid w:val="2A2A55FD"/>
    <w:multiLevelType w:val="multilevel"/>
    <w:tmpl w:val="2C5E9904"/>
    <w:lvl w:ilvl="0">
      <w:start w:val="1"/>
      <w:numFmt w:val="decimal"/>
      <w:lvlText w:val="%1."/>
      <w:lvlJc w:val="left"/>
      <w:pPr>
        <w:ind w:left="1004" w:hanging="360"/>
      </w:pPr>
    </w:lvl>
    <w:lvl w:ilvl="1">
      <w:start w:val="2"/>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2084" w:hanging="144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444" w:hanging="1800"/>
      </w:pPr>
      <w:rPr>
        <w:rFonts w:hint="default"/>
      </w:rPr>
    </w:lvl>
    <w:lvl w:ilvl="7">
      <w:start w:val="1"/>
      <w:numFmt w:val="decimal"/>
      <w:isLgl/>
      <w:lvlText w:val="%1.%2.%3.%4.%5.%6.%7.%8."/>
      <w:lvlJc w:val="left"/>
      <w:pPr>
        <w:ind w:left="2804" w:hanging="2160"/>
      </w:pPr>
      <w:rPr>
        <w:rFonts w:hint="default"/>
      </w:rPr>
    </w:lvl>
    <w:lvl w:ilvl="8">
      <w:start w:val="1"/>
      <w:numFmt w:val="decimal"/>
      <w:isLgl/>
      <w:lvlText w:val="%1.%2.%3.%4.%5.%6.%7.%8.%9."/>
      <w:lvlJc w:val="left"/>
      <w:pPr>
        <w:ind w:left="2804" w:hanging="2160"/>
      </w:pPr>
      <w:rPr>
        <w:rFonts w:hint="default"/>
      </w:rPr>
    </w:lvl>
  </w:abstractNum>
  <w:abstractNum w:abstractNumId="10">
    <w:nsid w:val="407F1AE5"/>
    <w:multiLevelType w:val="hybridMultilevel"/>
    <w:tmpl w:val="05501B96"/>
    <w:lvl w:ilvl="0" w:tplc="241A000D">
      <w:start w:val="1"/>
      <w:numFmt w:val="bullet"/>
      <w:lvlText w:val=""/>
      <w:lvlJc w:val="left"/>
      <w:pPr>
        <w:ind w:left="990" w:hanging="360"/>
      </w:pPr>
      <w:rPr>
        <w:rFonts w:ascii="Wingdings" w:hAnsi="Wingdings"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11">
    <w:nsid w:val="4AD33C44"/>
    <w:multiLevelType w:val="hybridMultilevel"/>
    <w:tmpl w:val="9E826B3E"/>
    <w:lvl w:ilvl="0" w:tplc="241A000D">
      <w:start w:val="1"/>
      <w:numFmt w:val="bullet"/>
      <w:lvlText w:val=""/>
      <w:lvlJc w:val="left"/>
      <w:pPr>
        <w:ind w:left="1083" w:hanging="360"/>
      </w:pPr>
      <w:rPr>
        <w:rFonts w:ascii="Wingdings" w:hAnsi="Wingdings" w:hint="default"/>
      </w:rPr>
    </w:lvl>
    <w:lvl w:ilvl="1" w:tplc="241A0003" w:tentative="1">
      <w:start w:val="1"/>
      <w:numFmt w:val="bullet"/>
      <w:lvlText w:val="o"/>
      <w:lvlJc w:val="left"/>
      <w:pPr>
        <w:ind w:left="1803" w:hanging="360"/>
      </w:pPr>
      <w:rPr>
        <w:rFonts w:ascii="Courier New" w:hAnsi="Courier New" w:cs="Courier New" w:hint="default"/>
      </w:rPr>
    </w:lvl>
    <w:lvl w:ilvl="2" w:tplc="241A0005" w:tentative="1">
      <w:start w:val="1"/>
      <w:numFmt w:val="bullet"/>
      <w:lvlText w:val=""/>
      <w:lvlJc w:val="left"/>
      <w:pPr>
        <w:ind w:left="2523" w:hanging="360"/>
      </w:pPr>
      <w:rPr>
        <w:rFonts w:ascii="Wingdings" w:hAnsi="Wingdings" w:hint="default"/>
      </w:rPr>
    </w:lvl>
    <w:lvl w:ilvl="3" w:tplc="241A0001" w:tentative="1">
      <w:start w:val="1"/>
      <w:numFmt w:val="bullet"/>
      <w:lvlText w:val=""/>
      <w:lvlJc w:val="left"/>
      <w:pPr>
        <w:ind w:left="3243" w:hanging="360"/>
      </w:pPr>
      <w:rPr>
        <w:rFonts w:ascii="Symbol" w:hAnsi="Symbol" w:hint="default"/>
      </w:rPr>
    </w:lvl>
    <w:lvl w:ilvl="4" w:tplc="241A0003" w:tentative="1">
      <w:start w:val="1"/>
      <w:numFmt w:val="bullet"/>
      <w:lvlText w:val="o"/>
      <w:lvlJc w:val="left"/>
      <w:pPr>
        <w:ind w:left="3963" w:hanging="360"/>
      </w:pPr>
      <w:rPr>
        <w:rFonts w:ascii="Courier New" w:hAnsi="Courier New" w:cs="Courier New" w:hint="default"/>
      </w:rPr>
    </w:lvl>
    <w:lvl w:ilvl="5" w:tplc="241A0005" w:tentative="1">
      <w:start w:val="1"/>
      <w:numFmt w:val="bullet"/>
      <w:lvlText w:val=""/>
      <w:lvlJc w:val="left"/>
      <w:pPr>
        <w:ind w:left="4683" w:hanging="360"/>
      </w:pPr>
      <w:rPr>
        <w:rFonts w:ascii="Wingdings" w:hAnsi="Wingdings" w:hint="default"/>
      </w:rPr>
    </w:lvl>
    <w:lvl w:ilvl="6" w:tplc="241A0001" w:tentative="1">
      <w:start w:val="1"/>
      <w:numFmt w:val="bullet"/>
      <w:lvlText w:val=""/>
      <w:lvlJc w:val="left"/>
      <w:pPr>
        <w:ind w:left="5403" w:hanging="360"/>
      </w:pPr>
      <w:rPr>
        <w:rFonts w:ascii="Symbol" w:hAnsi="Symbol" w:hint="default"/>
      </w:rPr>
    </w:lvl>
    <w:lvl w:ilvl="7" w:tplc="241A0003" w:tentative="1">
      <w:start w:val="1"/>
      <w:numFmt w:val="bullet"/>
      <w:lvlText w:val="o"/>
      <w:lvlJc w:val="left"/>
      <w:pPr>
        <w:ind w:left="6123" w:hanging="360"/>
      </w:pPr>
      <w:rPr>
        <w:rFonts w:ascii="Courier New" w:hAnsi="Courier New" w:cs="Courier New" w:hint="default"/>
      </w:rPr>
    </w:lvl>
    <w:lvl w:ilvl="8" w:tplc="241A0005" w:tentative="1">
      <w:start w:val="1"/>
      <w:numFmt w:val="bullet"/>
      <w:lvlText w:val=""/>
      <w:lvlJc w:val="left"/>
      <w:pPr>
        <w:ind w:left="6843" w:hanging="360"/>
      </w:pPr>
      <w:rPr>
        <w:rFonts w:ascii="Wingdings" w:hAnsi="Wingdings" w:hint="default"/>
      </w:rPr>
    </w:lvl>
  </w:abstractNum>
  <w:abstractNum w:abstractNumId="12">
    <w:nsid w:val="4ADF1A61"/>
    <w:multiLevelType w:val="hybridMultilevel"/>
    <w:tmpl w:val="4E5A3588"/>
    <w:lvl w:ilvl="0" w:tplc="241A000D">
      <w:start w:val="1"/>
      <w:numFmt w:val="bullet"/>
      <w:lvlText w:val=""/>
      <w:lvlJc w:val="left"/>
      <w:pPr>
        <w:ind w:left="992" w:hanging="360"/>
      </w:pPr>
      <w:rPr>
        <w:rFonts w:ascii="Wingdings" w:hAnsi="Wingdings" w:hint="default"/>
      </w:rPr>
    </w:lvl>
    <w:lvl w:ilvl="1" w:tplc="241A0003">
      <w:start w:val="1"/>
      <w:numFmt w:val="bullet"/>
      <w:lvlText w:val="o"/>
      <w:lvlJc w:val="left"/>
      <w:pPr>
        <w:ind w:left="1712" w:hanging="360"/>
      </w:pPr>
      <w:rPr>
        <w:rFonts w:ascii="Courier New" w:hAnsi="Courier New" w:cs="Courier New" w:hint="default"/>
      </w:rPr>
    </w:lvl>
    <w:lvl w:ilvl="2" w:tplc="241A0005">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13">
    <w:nsid w:val="4B56551E"/>
    <w:multiLevelType w:val="multilevel"/>
    <w:tmpl w:val="BF047B08"/>
    <w:lvl w:ilvl="0">
      <w:start w:val="1"/>
      <w:numFmt w:val="decimal"/>
      <w:lvlText w:val="%1."/>
      <w:lvlJc w:val="left"/>
      <w:pPr>
        <w:tabs>
          <w:tab w:val="num" w:pos="432"/>
        </w:tabs>
        <w:ind w:left="432" w:hanging="432"/>
      </w:pPr>
      <w:rPr>
        <w:rFonts w:hint="default"/>
        <w:sz w:val="24"/>
        <w:szCs w:val="22"/>
      </w:rPr>
    </w:lvl>
    <w:lvl w:ilvl="1">
      <w:start w:val="1"/>
      <w:numFmt w:val="decimal"/>
      <w:lvlText w:val="%1.%2"/>
      <w:lvlJc w:val="left"/>
      <w:pPr>
        <w:tabs>
          <w:tab w:val="num" w:pos="336"/>
        </w:tabs>
        <w:ind w:left="336" w:hanging="576"/>
      </w:pPr>
      <w:rPr>
        <w:rFonts w:hint="default"/>
        <w:b/>
      </w:rPr>
    </w:lvl>
    <w:lvl w:ilvl="2">
      <w:start w:val="1"/>
      <w:numFmt w:val="decimal"/>
      <w:lvlText w:val="%1.%2.%3"/>
      <w:lvlJc w:val="left"/>
      <w:pPr>
        <w:tabs>
          <w:tab w:val="num" w:pos="6870"/>
        </w:tabs>
        <w:ind w:left="687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918"/>
        </w:tabs>
        <w:ind w:left="918" w:hanging="1008"/>
      </w:pPr>
      <w:rPr>
        <w:rFonts w:hint="default"/>
      </w:rPr>
    </w:lvl>
    <w:lvl w:ilvl="5">
      <w:start w:val="1"/>
      <w:numFmt w:val="decimal"/>
      <w:lvlText w:val="%1.%2.%3.%4.%5.%6"/>
      <w:lvlJc w:val="left"/>
      <w:pPr>
        <w:tabs>
          <w:tab w:val="num" w:pos="1062"/>
        </w:tabs>
        <w:ind w:left="1062" w:hanging="1152"/>
      </w:pPr>
      <w:rPr>
        <w:rFonts w:hint="default"/>
      </w:rPr>
    </w:lvl>
    <w:lvl w:ilvl="6">
      <w:start w:val="1"/>
      <w:numFmt w:val="decimal"/>
      <w:lvlText w:val="%1.%2.%3.%4.%5.%6.%7"/>
      <w:lvlJc w:val="left"/>
      <w:pPr>
        <w:tabs>
          <w:tab w:val="num" w:pos="1206"/>
        </w:tabs>
        <w:ind w:left="1206" w:hanging="1296"/>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14">
    <w:nsid w:val="4B983C8F"/>
    <w:multiLevelType w:val="hybridMultilevel"/>
    <w:tmpl w:val="FA38DFE4"/>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4E624B49"/>
    <w:multiLevelType w:val="hybridMultilevel"/>
    <w:tmpl w:val="E6141252"/>
    <w:lvl w:ilvl="0" w:tplc="241A000D">
      <w:start w:val="1"/>
      <w:numFmt w:val="bullet"/>
      <w:lvlText w:val=""/>
      <w:lvlJc w:val="left"/>
      <w:pPr>
        <w:ind w:left="992" w:hanging="360"/>
      </w:pPr>
      <w:rPr>
        <w:rFonts w:ascii="Wingdings" w:hAnsi="Wingdings" w:hint="default"/>
      </w:rPr>
    </w:lvl>
    <w:lvl w:ilvl="1" w:tplc="241A0003">
      <w:start w:val="1"/>
      <w:numFmt w:val="bullet"/>
      <w:lvlText w:val="o"/>
      <w:lvlJc w:val="left"/>
      <w:pPr>
        <w:ind w:left="1712" w:hanging="360"/>
      </w:pPr>
      <w:rPr>
        <w:rFonts w:ascii="Courier New" w:hAnsi="Courier New" w:cs="Courier New" w:hint="default"/>
      </w:rPr>
    </w:lvl>
    <w:lvl w:ilvl="2" w:tplc="241A000D">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16">
    <w:nsid w:val="4F7A447D"/>
    <w:multiLevelType w:val="hybridMultilevel"/>
    <w:tmpl w:val="D4FC7DAE"/>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52346D9D"/>
    <w:multiLevelType w:val="hybridMultilevel"/>
    <w:tmpl w:val="439046C2"/>
    <w:lvl w:ilvl="0" w:tplc="A8EAA372">
      <w:start w:val="1"/>
      <w:numFmt w:val="bullet"/>
      <w:lvlText w:val=""/>
      <w:lvlJc w:val="left"/>
      <w:pPr>
        <w:ind w:left="992" w:hanging="360"/>
      </w:pPr>
      <w:rPr>
        <w:rFonts w:ascii="Wingdings" w:hAnsi="Wingdings" w:hint="default"/>
        <w:sz w:val="18"/>
        <w:szCs w:val="18"/>
      </w:rPr>
    </w:lvl>
    <w:lvl w:ilvl="1" w:tplc="241A0003" w:tentative="1">
      <w:start w:val="1"/>
      <w:numFmt w:val="bullet"/>
      <w:lvlText w:val="o"/>
      <w:lvlJc w:val="left"/>
      <w:pPr>
        <w:ind w:left="1712" w:hanging="360"/>
      </w:pPr>
      <w:rPr>
        <w:rFonts w:ascii="Courier New" w:hAnsi="Courier New" w:cs="Courier New" w:hint="default"/>
      </w:rPr>
    </w:lvl>
    <w:lvl w:ilvl="2" w:tplc="241A0005" w:tentative="1">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18">
    <w:nsid w:val="52B12953"/>
    <w:multiLevelType w:val="hybridMultilevel"/>
    <w:tmpl w:val="FB14CB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400B58"/>
    <w:multiLevelType w:val="hybridMultilevel"/>
    <w:tmpl w:val="B93604A8"/>
    <w:lvl w:ilvl="0" w:tplc="A7B0A9CA">
      <w:start w:val="1"/>
      <w:numFmt w:val="bullet"/>
      <w:lvlText w:val=""/>
      <w:lvlJc w:val="left"/>
      <w:pPr>
        <w:ind w:left="1004" w:hanging="360"/>
      </w:pPr>
      <w:rPr>
        <w:rFonts w:ascii="Wingdings" w:hAnsi="Wingdings" w:hint="default"/>
        <w:color w:val="auto"/>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0">
    <w:nsid w:val="55241D87"/>
    <w:multiLevelType w:val="hybridMultilevel"/>
    <w:tmpl w:val="FFD89B02"/>
    <w:lvl w:ilvl="0" w:tplc="241A0001">
      <w:start w:val="1"/>
      <w:numFmt w:val="bullet"/>
      <w:lvlText w:val=""/>
      <w:lvlJc w:val="left"/>
      <w:pPr>
        <w:ind w:left="1072" w:hanging="360"/>
      </w:pPr>
      <w:rPr>
        <w:rFonts w:ascii="Symbol" w:hAnsi="Symbol" w:hint="default"/>
      </w:rPr>
    </w:lvl>
    <w:lvl w:ilvl="1" w:tplc="241A0003" w:tentative="1">
      <w:start w:val="1"/>
      <w:numFmt w:val="bullet"/>
      <w:lvlText w:val="o"/>
      <w:lvlJc w:val="left"/>
      <w:pPr>
        <w:ind w:left="1792" w:hanging="360"/>
      </w:pPr>
      <w:rPr>
        <w:rFonts w:ascii="Courier New" w:hAnsi="Courier New" w:cs="Courier New" w:hint="default"/>
      </w:rPr>
    </w:lvl>
    <w:lvl w:ilvl="2" w:tplc="241A0005" w:tentative="1">
      <w:start w:val="1"/>
      <w:numFmt w:val="bullet"/>
      <w:lvlText w:val=""/>
      <w:lvlJc w:val="left"/>
      <w:pPr>
        <w:ind w:left="2512" w:hanging="360"/>
      </w:pPr>
      <w:rPr>
        <w:rFonts w:ascii="Wingdings" w:hAnsi="Wingdings" w:hint="default"/>
      </w:rPr>
    </w:lvl>
    <w:lvl w:ilvl="3" w:tplc="241A0001" w:tentative="1">
      <w:start w:val="1"/>
      <w:numFmt w:val="bullet"/>
      <w:lvlText w:val=""/>
      <w:lvlJc w:val="left"/>
      <w:pPr>
        <w:ind w:left="3232" w:hanging="360"/>
      </w:pPr>
      <w:rPr>
        <w:rFonts w:ascii="Symbol" w:hAnsi="Symbol" w:hint="default"/>
      </w:rPr>
    </w:lvl>
    <w:lvl w:ilvl="4" w:tplc="241A0003" w:tentative="1">
      <w:start w:val="1"/>
      <w:numFmt w:val="bullet"/>
      <w:lvlText w:val="o"/>
      <w:lvlJc w:val="left"/>
      <w:pPr>
        <w:ind w:left="3952" w:hanging="360"/>
      </w:pPr>
      <w:rPr>
        <w:rFonts w:ascii="Courier New" w:hAnsi="Courier New" w:cs="Courier New" w:hint="default"/>
      </w:rPr>
    </w:lvl>
    <w:lvl w:ilvl="5" w:tplc="241A0005" w:tentative="1">
      <w:start w:val="1"/>
      <w:numFmt w:val="bullet"/>
      <w:lvlText w:val=""/>
      <w:lvlJc w:val="left"/>
      <w:pPr>
        <w:ind w:left="4672" w:hanging="360"/>
      </w:pPr>
      <w:rPr>
        <w:rFonts w:ascii="Wingdings" w:hAnsi="Wingdings" w:hint="default"/>
      </w:rPr>
    </w:lvl>
    <w:lvl w:ilvl="6" w:tplc="241A0001" w:tentative="1">
      <w:start w:val="1"/>
      <w:numFmt w:val="bullet"/>
      <w:lvlText w:val=""/>
      <w:lvlJc w:val="left"/>
      <w:pPr>
        <w:ind w:left="5392" w:hanging="360"/>
      </w:pPr>
      <w:rPr>
        <w:rFonts w:ascii="Symbol" w:hAnsi="Symbol" w:hint="default"/>
      </w:rPr>
    </w:lvl>
    <w:lvl w:ilvl="7" w:tplc="241A0003" w:tentative="1">
      <w:start w:val="1"/>
      <w:numFmt w:val="bullet"/>
      <w:lvlText w:val="o"/>
      <w:lvlJc w:val="left"/>
      <w:pPr>
        <w:ind w:left="6112" w:hanging="360"/>
      </w:pPr>
      <w:rPr>
        <w:rFonts w:ascii="Courier New" w:hAnsi="Courier New" w:cs="Courier New" w:hint="default"/>
      </w:rPr>
    </w:lvl>
    <w:lvl w:ilvl="8" w:tplc="241A0005" w:tentative="1">
      <w:start w:val="1"/>
      <w:numFmt w:val="bullet"/>
      <w:lvlText w:val=""/>
      <w:lvlJc w:val="left"/>
      <w:pPr>
        <w:ind w:left="6832" w:hanging="360"/>
      </w:pPr>
      <w:rPr>
        <w:rFonts w:ascii="Wingdings" w:hAnsi="Wingdings" w:hint="default"/>
      </w:rPr>
    </w:lvl>
  </w:abstractNum>
  <w:abstractNum w:abstractNumId="21">
    <w:nsid w:val="565E0DCC"/>
    <w:multiLevelType w:val="hybridMultilevel"/>
    <w:tmpl w:val="896EAA82"/>
    <w:lvl w:ilvl="0" w:tplc="EF563A84">
      <w:start w:val="1"/>
      <w:numFmt w:val="bullet"/>
      <w:lvlText w:val=""/>
      <w:lvlJc w:val="left"/>
      <w:pPr>
        <w:ind w:left="720" w:hanging="360"/>
      </w:pPr>
      <w:rPr>
        <w:rFonts w:ascii="Wingdings" w:hAnsi="Wingdings" w:hint="default"/>
        <w:color w:val="365F9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DF443F"/>
    <w:multiLevelType w:val="hybridMultilevel"/>
    <w:tmpl w:val="FDB46AF6"/>
    <w:lvl w:ilvl="0" w:tplc="0409000B">
      <w:start w:val="1"/>
      <w:numFmt w:val="bullet"/>
      <w:lvlText w:val=""/>
      <w:lvlJc w:val="left"/>
      <w:pPr>
        <w:ind w:left="992" w:hanging="360"/>
      </w:pPr>
      <w:rPr>
        <w:rFonts w:ascii="Wingdings" w:hAnsi="Wingdings" w:hint="default"/>
      </w:rPr>
    </w:lvl>
    <w:lvl w:ilvl="1" w:tplc="241A0003" w:tentative="1">
      <w:start w:val="1"/>
      <w:numFmt w:val="bullet"/>
      <w:lvlText w:val="o"/>
      <w:lvlJc w:val="left"/>
      <w:pPr>
        <w:ind w:left="1712" w:hanging="360"/>
      </w:pPr>
      <w:rPr>
        <w:rFonts w:ascii="Courier New" w:hAnsi="Courier New" w:cs="Courier New" w:hint="default"/>
      </w:rPr>
    </w:lvl>
    <w:lvl w:ilvl="2" w:tplc="241A0005" w:tentative="1">
      <w:start w:val="1"/>
      <w:numFmt w:val="bullet"/>
      <w:lvlText w:val=""/>
      <w:lvlJc w:val="left"/>
      <w:pPr>
        <w:ind w:left="2432" w:hanging="360"/>
      </w:pPr>
      <w:rPr>
        <w:rFonts w:ascii="Wingdings" w:hAnsi="Wingdings" w:hint="default"/>
      </w:rPr>
    </w:lvl>
    <w:lvl w:ilvl="3" w:tplc="241A0001" w:tentative="1">
      <w:start w:val="1"/>
      <w:numFmt w:val="bullet"/>
      <w:lvlText w:val=""/>
      <w:lvlJc w:val="left"/>
      <w:pPr>
        <w:ind w:left="3152" w:hanging="360"/>
      </w:pPr>
      <w:rPr>
        <w:rFonts w:ascii="Symbol" w:hAnsi="Symbol" w:hint="default"/>
      </w:rPr>
    </w:lvl>
    <w:lvl w:ilvl="4" w:tplc="241A0003" w:tentative="1">
      <w:start w:val="1"/>
      <w:numFmt w:val="bullet"/>
      <w:lvlText w:val="o"/>
      <w:lvlJc w:val="left"/>
      <w:pPr>
        <w:ind w:left="3872" w:hanging="360"/>
      </w:pPr>
      <w:rPr>
        <w:rFonts w:ascii="Courier New" w:hAnsi="Courier New" w:cs="Courier New" w:hint="default"/>
      </w:rPr>
    </w:lvl>
    <w:lvl w:ilvl="5" w:tplc="241A0005" w:tentative="1">
      <w:start w:val="1"/>
      <w:numFmt w:val="bullet"/>
      <w:lvlText w:val=""/>
      <w:lvlJc w:val="left"/>
      <w:pPr>
        <w:ind w:left="4592" w:hanging="360"/>
      </w:pPr>
      <w:rPr>
        <w:rFonts w:ascii="Wingdings" w:hAnsi="Wingdings" w:hint="default"/>
      </w:rPr>
    </w:lvl>
    <w:lvl w:ilvl="6" w:tplc="241A0001" w:tentative="1">
      <w:start w:val="1"/>
      <w:numFmt w:val="bullet"/>
      <w:lvlText w:val=""/>
      <w:lvlJc w:val="left"/>
      <w:pPr>
        <w:ind w:left="5312" w:hanging="360"/>
      </w:pPr>
      <w:rPr>
        <w:rFonts w:ascii="Symbol" w:hAnsi="Symbol" w:hint="default"/>
      </w:rPr>
    </w:lvl>
    <w:lvl w:ilvl="7" w:tplc="241A0003" w:tentative="1">
      <w:start w:val="1"/>
      <w:numFmt w:val="bullet"/>
      <w:lvlText w:val="o"/>
      <w:lvlJc w:val="left"/>
      <w:pPr>
        <w:ind w:left="6032" w:hanging="360"/>
      </w:pPr>
      <w:rPr>
        <w:rFonts w:ascii="Courier New" w:hAnsi="Courier New" w:cs="Courier New" w:hint="default"/>
      </w:rPr>
    </w:lvl>
    <w:lvl w:ilvl="8" w:tplc="241A0005" w:tentative="1">
      <w:start w:val="1"/>
      <w:numFmt w:val="bullet"/>
      <w:lvlText w:val=""/>
      <w:lvlJc w:val="left"/>
      <w:pPr>
        <w:ind w:left="6752" w:hanging="360"/>
      </w:pPr>
      <w:rPr>
        <w:rFonts w:ascii="Wingdings" w:hAnsi="Wingdings" w:hint="default"/>
      </w:rPr>
    </w:lvl>
  </w:abstractNum>
  <w:abstractNum w:abstractNumId="23">
    <w:nsid w:val="58F92382"/>
    <w:multiLevelType w:val="hybridMultilevel"/>
    <w:tmpl w:val="3BA0DAC8"/>
    <w:lvl w:ilvl="0" w:tplc="B77C8B28">
      <w:start w:val="1"/>
      <w:numFmt w:val="bullet"/>
      <w:lvlText w:val=""/>
      <w:lvlJc w:val="left"/>
      <w:pPr>
        <w:ind w:left="720" w:hanging="360"/>
      </w:pPr>
      <w:rPr>
        <w:rFonts w:ascii="Wingdings" w:hAnsi="Wingdings" w:hint="default"/>
        <w:color w:val="auto"/>
        <w:sz w:val="22"/>
        <w:szCs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59EF7DA1"/>
    <w:multiLevelType w:val="multilevel"/>
    <w:tmpl w:val="C3FADEA8"/>
    <w:lvl w:ilvl="0">
      <w:start w:val="1"/>
      <w:numFmt w:val="decimal"/>
      <w:pStyle w:val="Heading1"/>
      <w:lvlText w:val="%1"/>
      <w:lvlJc w:val="left"/>
      <w:pPr>
        <w:tabs>
          <w:tab w:val="num" w:pos="432"/>
        </w:tabs>
        <w:ind w:left="432" w:hanging="432"/>
      </w:pPr>
      <w:rPr>
        <w:rFonts w:ascii="Tahoma" w:hAnsi="Tahoma" w:cs="Tahoma" w:hint="default"/>
        <w:sz w:val="22"/>
        <w:szCs w:val="22"/>
      </w:rPr>
    </w:lvl>
    <w:lvl w:ilvl="1">
      <w:start w:val="1"/>
      <w:numFmt w:val="decimal"/>
      <w:pStyle w:val="Heading2"/>
      <w:lvlText w:val="%1.%2"/>
      <w:lvlJc w:val="left"/>
      <w:pPr>
        <w:tabs>
          <w:tab w:val="num" w:pos="336"/>
        </w:tabs>
        <w:ind w:left="336" w:hanging="576"/>
      </w:pPr>
      <w:rPr>
        <w:rFonts w:hint="default"/>
      </w:rPr>
    </w:lvl>
    <w:lvl w:ilvl="2">
      <w:start w:val="1"/>
      <w:numFmt w:val="decimal"/>
      <w:pStyle w:val="Heading3"/>
      <w:lvlText w:val="%1.%2.%3"/>
      <w:lvlJc w:val="left"/>
      <w:pPr>
        <w:tabs>
          <w:tab w:val="num" w:pos="6870"/>
        </w:tabs>
        <w:ind w:left="687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25">
    <w:nsid w:val="6C37455D"/>
    <w:multiLevelType w:val="hybridMultilevel"/>
    <w:tmpl w:val="97588B8C"/>
    <w:lvl w:ilvl="0" w:tplc="241A0001">
      <w:start w:val="1"/>
      <w:numFmt w:val="bullet"/>
      <w:lvlText w:val=""/>
      <w:lvlJc w:val="left"/>
      <w:pPr>
        <w:ind w:left="1364" w:hanging="360"/>
      </w:pPr>
      <w:rPr>
        <w:rFonts w:ascii="Symbol" w:hAnsi="Symbol" w:hint="default"/>
      </w:rPr>
    </w:lvl>
    <w:lvl w:ilvl="1" w:tplc="241A0003" w:tentative="1">
      <w:start w:val="1"/>
      <w:numFmt w:val="bullet"/>
      <w:lvlText w:val="o"/>
      <w:lvlJc w:val="left"/>
      <w:pPr>
        <w:ind w:left="2084" w:hanging="360"/>
      </w:pPr>
      <w:rPr>
        <w:rFonts w:ascii="Courier New" w:hAnsi="Courier New" w:cs="Courier New" w:hint="default"/>
      </w:rPr>
    </w:lvl>
    <w:lvl w:ilvl="2" w:tplc="241A0005" w:tentative="1">
      <w:start w:val="1"/>
      <w:numFmt w:val="bullet"/>
      <w:lvlText w:val=""/>
      <w:lvlJc w:val="left"/>
      <w:pPr>
        <w:ind w:left="2804" w:hanging="360"/>
      </w:pPr>
      <w:rPr>
        <w:rFonts w:ascii="Wingdings" w:hAnsi="Wingdings" w:hint="default"/>
      </w:rPr>
    </w:lvl>
    <w:lvl w:ilvl="3" w:tplc="241A0001" w:tentative="1">
      <w:start w:val="1"/>
      <w:numFmt w:val="bullet"/>
      <w:lvlText w:val=""/>
      <w:lvlJc w:val="left"/>
      <w:pPr>
        <w:ind w:left="3524" w:hanging="360"/>
      </w:pPr>
      <w:rPr>
        <w:rFonts w:ascii="Symbol" w:hAnsi="Symbol" w:hint="default"/>
      </w:rPr>
    </w:lvl>
    <w:lvl w:ilvl="4" w:tplc="241A0003" w:tentative="1">
      <w:start w:val="1"/>
      <w:numFmt w:val="bullet"/>
      <w:lvlText w:val="o"/>
      <w:lvlJc w:val="left"/>
      <w:pPr>
        <w:ind w:left="4244" w:hanging="360"/>
      </w:pPr>
      <w:rPr>
        <w:rFonts w:ascii="Courier New" w:hAnsi="Courier New" w:cs="Courier New" w:hint="default"/>
      </w:rPr>
    </w:lvl>
    <w:lvl w:ilvl="5" w:tplc="241A0005" w:tentative="1">
      <w:start w:val="1"/>
      <w:numFmt w:val="bullet"/>
      <w:lvlText w:val=""/>
      <w:lvlJc w:val="left"/>
      <w:pPr>
        <w:ind w:left="4964" w:hanging="360"/>
      </w:pPr>
      <w:rPr>
        <w:rFonts w:ascii="Wingdings" w:hAnsi="Wingdings" w:hint="default"/>
      </w:rPr>
    </w:lvl>
    <w:lvl w:ilvl="6" w:tplc="241A0001" w:tentative="1">
      <w:start w:val="1"/>
      <w:numFmt w:val="bullet"/>
      <w:lvlText w:val=""/>
      <w:lvlJc w:val="left"/>
      <w:pPr>
        <w:ind w:left="5684" w:hanging="360"/>
      </w:pPr>
      <w:rPr>
        <w:rFonts w:ascii="Symbol" w:hAnsi="Symbol" w:hint="default"/>
      </w:rPr>
    </w:lvl>
    <w:lvl w:ilvl="7" w:tplc="241A0003" w:tentative="1">
      <w:start w:val="1"/>
      <w:numFmt w:val="bullet"/>
      <w:lvlText w:val="o"/>
      <w:lvlJc w:val="left"/>
      <w:pPr>
        <w:ind w:left="6404" w:hanging="360"/>
      </w:pPr>
      <w:rPr>
        <w:rFonts w:ascii="Courier New" w:hAnsi="Courier New" w:cs="Courier New" w:hint="default"/>
      </w:rPr>
    </w:lvl>
    <w:lvl w:ilvl="8" w:tplc="241A0005" w:tentative="1">
      <w:start w:val="1"/>
      <w:numFmt w:val="bullet"/>
      <w:lvlText w:val=""/>
      <w:lvlJc w:val="left"/>
      <w:pPr>
        <w:ind w:left="7124" w:hanging="360"/>
      </w:pPr>
      <w:rPr>
        <w:rFonts w:ascii="Wingdings" w:hAnsi="Wingdings" w:hint="default"/>
      </w:rPr>
    </w:lvl>
  </w:abstractNum>
  <w:abstractNum w:abstractNumId="26">
    <w:nsid w:val="6F2C403B"/>
    <w:multiLevelType w:val="hybridMultilevel"/>
    <w:tmpl w:val="21BA2F3E"/>
    <w:lvl w:ilvl="0" w:tplc="BF802A40">
      <w:start w:val="1"/>
      <w:numFmt w:val="bullet"/>
      <w:lvlText w:val=""/>
      <w:lvlJc w:val="left"/>
      <w:pPr>
        <w:ind w:left="720" w:hanging="360"/>
      </w:pPr>
      <w:rPr>
        <w:rFonts w:ascii="Wingdings" w:hAnsi="Wingdings" w:hint="default"/>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002DEE"/>
    <w:multiLevelType w:val="hybridMultilevel"/>
    <w:tmpl w:val="ED801060"/>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28">
    <w:nsid w:val="76C369C4"/>
    <w:multiLevelType w:val="hybridMultilevel"/>
    <w:tmpl w:val="C974DB0E"/>
    <w:lvl w:ilvl="0" w:tplc="241A000D">
      <w:start w:val="1"/>
      <w:numFmt w:val="bullet"/>
      <w:lvlText w:val=""/>
      <w:lvlJc w:val="left"/>
      <w:pPr>
        <w:ind w:left="1004" w:hanging="360"/>
      </w:pPr>
      <w:rPr>
        <w:rFonts w:ascii="Wingdings" w:hAnsi="Wingdings"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9">
    <w:nsid w:val="79544E5C"/>
    <w:multiLevelType w:val="hybridMultilevel"/>
    <w:tmpl w:val="CE0A1378"/>
    <w:lvl w:ilvl="0" w:tplc="241A0001">
      <w:start w:val="1"/>
      <w:numFmt w:val="bullet"/>
      <w:lvlText w:val=""/>
      <w:lvlJc w:val="left"/>
      <w:pPr>
        <w:ind w:left="1088" w:hanging="360"/>
      </w:pPr>
      <w:rPr>
        <w:rFonts w:ascii="Symbol" w:hAnsi="Symbol" w:hint="default"/>
      </w:rPr>
    </w:lvl>
    <w:lvl w:ilvl="1" w:tplc="241A0003" w:tentative="1">
      <w:start w:val="1"/>
      <w:numFmt w:val="bullet"/>
      <w:lvlText w:val="o"/>
      <w:lvlJc w:val="left"/>
      <w:pPr>
        <w:ind w:left="1808" w:hanging="360"/>
      </w:pPr>
      <w:rPr>
        <w:rFonts w:ascii="Courier New" w:hAnsi="Courier New" w:cs="Courier New" w:hint="default"/>
      </w:rPr>
    </w:lvl>
    <w:lvl w:ilvl="2" w:tplc="241A0005" w:tentative="1">
      <w:start w:val="1"/>
      <w:numFmt w:val="bullet"/>
      <w:lvlText w:val=""/>
      <w:lvlJc w:val="left"/>
      <w:pPr>
        <w:ind w:left="2528" w:hanging="360"/>
      </w:pPr>
      <w:rPr>
        <w:rFonts w:ascii="Wingdings" w:hAnsi="Wingdings" w:hint="default"/>
      </w:rPr>
    </w:lvl>
    <w:lvl w:ilvl="3" w:tplc="241A0001" w:tentative="1">
      <w:start w:val="1"/>
      <w:numFmt w:val="bullet"/>
      <w:lvlText w:val=""/>
      <w:lvlJc w:val="left"/>
      <w:pPr>
        <w:ind w:left="3248" w:hanging="360"/>
      </w:pPr>
      <w:rPr>
        <w:rFonts w:ascii="Symbol" w:hAnsi="Symbol" w:hint="default"/>
      </w:rPr>
    </w:lvl>
    <w:lvl w:ilvl="4" w:tplc="241A0003" w:tentative="1">
      <w:start w:val="1"/>
      <w:numFmt w:val="bullet"/>
      <w:lvlText w:val="o"/>
      <w:lvlJc w:val="left"/>
      <w:pPr>
        <w:ind w:left="3968" w:hanging="360"/>
      </w:pPr>
      <w:rPr>
        <w:rFonts w:ascii="Courier New" w:hAnsi="Courier New" w:cs="Courier New" w:hint="default"/>
      </w:rPr>
    </w:lvl>
    <w:lvl w:ilvl="5" w:tplc="241A0005" w:tentative="1">
      <w:start w:val="1"/>
      <w:numFmt w:val="bullet"/>
      <w:lvlText w:val=""/>
      <w:lvlJc w:val="left"/>
      <w:pPr>
        <w:ind w:left="4688" w:hanging="360"/>
      </w:pPr>
      <w:rPr>
        <w:rFonts w:ascii="Wingdings" w:hAnsi="Wingdings" w:hint="default"/>
      </w:rPr>
    </w:lvl>
    <w:lvl w:ilvl="6" w:tplc="241A0001" w:tentative="1">
      <w:start w:val="1"/>
      <w:numFmt w:val="bullet"/>
      <w:lvlText w:val=""/>
      <w:lvlJc w:val="left"/>
      <w:pPr>
        <w:ind w:left="5408" w:hanging="360"/>
      </w:pPr>
      <w:rPr>
        <w:rFonts w:ascii="Symbol" w:hAnsi="Symbol" w:hint="default"/>
      </w:rPr>
    </w:lvl>
    <w:lvl w:ilvl="7" w:tplc="241A0003" w:tentative="1">
      <w:start w:val="1"/>
      <w:numFmt w:val="bullet"/>
      <w:lvlText w:val="o"/>
      <w:lvlJc w:val="left"/>
      <w:pPr>
        <w:ind w:left="6128" w:hanging="360"/>
      </w:pPr>
      <w:rPr>
        <w:rFonts w:ascii="Courier New" w:hAnsi="Courier New" w:cs="Courier New" w:hint="default"/>
      </w:rPr>
    </w:lvl>
    <w:lvl w:ilvl="8" w:tplc="241A0005" w:tentative="1">
      <w:start w:val="1"/>
      <w:numFmt w:val="bullet"/>
      <w:lvlText w:val=""/>
      <w:lvlJc w:val="left"/>
      <w:pPr>
        <w:ind w:left="6848" w:hanging="360"/>
      </w:pPr>
      <w:rPr>
        <w:rFonts w:ascii="Wingdings" w:hAnsi="Wingdings" w:hint="default"/>
      </w:rPr>
    </w:lvl>
  </w:abstractNum>
  <w:num w:numId="1">
    <w:abstractNumId w:val="4"/>
  </w:num>
  <w:num w:numId="2">
    <w:abstractNumId w:val="24"/>
  </w:num>
  <w:num w:numId="3">
    <w:abstractNumId w:val="13"/>
  </w:num>
  <w:num w:numId="4">
    <w:abstractNumId w:val="6"/>
  </w:num>
  <w:num w:numId="5">
    <w:abstractNumId w:val="23"/>
  </w:num>
  <w:num w:numId="6">
    <w:abstractNumId w:val="19"/>
  </w:num>
  <w:num w:numId="7">
    <w:abstractNumId w:val="28"/>
  </w:num>
  <w:num w:numId="8">
    <w:abstractNumId w:val="14"/>
  </w:num>
  <w:num w:numId="9">
    <w:abstractNumId w:val="8"/>
  </w:num>
  <w:num w:numId="10">
    <w:abstractNumId w:val="10"/>
  </w:num>
  <w:num w:numId="11">
    <w:abstractNumId w:val="9"/>
  </w:num>
  <w:num w:numId="12">
    <w:abstractNumId w:val="21"/>
  </w:num>
  <w:num w:numId="13">
    <w:abstractNumId w:val="7"/>
  </w:num>
  <w:num w:numId="14">
    <w:abstractNumId w:val="18"/>
  </w:num>
  <w:num w:numId="15">
    <w:abstractNumId w:val="26"/>
  </w:num>
  <w:num w:numId="16">
    <w:abstractNumId w:val="11"/>
  </w:num>
  <w:num w:numId="17">
    <w:abstractNumId w:val="17"/>
  </w:num>
  <w:num w:numId="18">
    <w:abstractNumId w:val="16"/>
  </w:num>
  <w:num w:numId="19">
    <w:abstractNumId w:val="20"/>
  </w:num>
  <w:num w:numId="20">
    <w:abstractNumId w:val="5"/>
  </w:num>
  <w:num w:numId="21">
    <w:abstractNumId w:val="27"/>
  </w:num>
  <w:num w:numId="22">
    <w:abstractNumId w:val="25"/>
  </w:num>
  <w:num w:numId="23">
    <w:abstractNumId w:val="29"/>
  </w:num>
  <w:num w:numId="24">
    <w:abstractNumId w:val="22"/>
  </w:num>
  <w:num w:numId="25">
    <w:abstractNumId w:val="12"/>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grammar="clean"/>
  <w:defaultTabStop w:val="720"/>
  <w:hyphenationZone w:val="425"/>
  <w:doNotHyphenateCaps/>
  <w:drawingGridHorizontalSpacing w:val="120"/>
  <w:drawingGridVerticalSpacing w:val="0"/>
  <w:displayHorizontalDrawingGridEvery w:val="0"/>
  <w:displayVerticalDrawingGridEvery w:val="0"/>
  <w:characterSpacingControl w:val="doNotCompress"/>
  <w:savePreviewPicture/>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6"/>
    <w:rsid w:val="00000FC6"/>
    <w:rsid w:val="00001524"/>
    <w:rsid w:val="00001CAD"/>
    <w:rsid w:val="00003C31"/>
    <w:rsid w:val="00005143"/>
    <w:rsid w:val="000105C9"/>
    <w:rsid w:val="0001088C"/>
    <w:rsid w:val="00011466"/>
    <w:rsid w:val="00011D6B"/>
    <w:rsid w:val="00012946"/>
    <w:rsid w:val="0001378E"/>
    <w:rsid w:val="00013F64"/>
    <w:rsid w:val="00014839"/>
    <w:rsid w:val="00014AA8"/>
    <w:rsid w:val="00014EA9"/>
    <w:rsid w:val="000159C9"/>
    <w:rsid w:val="0001617F"/>
    <w:rsid w:val="0002009C"/>
    <w:rsid w:val="000206DD"/>
    <w:rsid w:val="00021DA7"/>
    <w:rsid w:val="0002356F"/>
    <w:rsid w:val="00023D4F"/>
    <w:rsid w:val="000240C6"/>
    <w:rsid w:val="00024747"/>
    <w:rsid w:val="0002541A"/>
    <w:rsid w:val="00025E09"/>
    <w:rsid w:val="00026BDE"/>
    <w:rsid w:val="000300A5"/>
    <w:rsid w:val="000316C1"/>
    <w:rsid w:val="00032036"/>
    <w:rsid w:val="000327AF"/>
    <w:rsid w:val="000329A6"/>
    <w:rsid w:val="00032C35"/>
    <w:rsid w:val="00032FBC"/>
    <w:rsid w:val="00033777"/>
    <w:rsid w:val="00033A10"/>
    <w:rsid w:val="00033B56"/>
    <w:rsid w:val="00035FE5"/>
    <w:rsid w:val="0004262C"/>
    <w:rsid w:val="00042D69"/>
    <w:rsid w:val="00042DDE"/>
    <w:rsid w:val="0004607F"/>
    <w:rsid w:val="0005269F"/>
    <w:rsid w:val="0005275D"/>
    <w:rsid w:val="00053350"/>
    <w:rsid w:val="0005351E"/>
    <w:rsid w:val="00053758"/>
    <w:rsid w:val="000545BA"/>
    <w:rsid w:val="000554CE"/>
    <w:rsid w:val="00055A16"/>
    <w:rsid w:val="00057698"/>
    <w:rsid w:val="00061A57"/>
    <w:rsid w:val="00064092"/>
    <w:rsid w:val="00065B6A"/>
    <w:rsid w:val="0007040B"/>
    <w:rsid w:val="000725D3"/>
    <w:rsid w:val="00075849"/>
    <w:rsid w:val="00076004"/>
    <w:rsid w:val="00076662"/>
    <w:rsid w:val="00076A93"/>
    <w:rsid w:val="00077127"/>
    <w:rsid w:val="00077455"/>
    <w:rsid w:val="000815EC"/>
    <w:rsid w:val="0008161D"/>
    <w:rsid w:val="00081E95"/>
    <w:rsid w:val="00083024"/>
    <w:rsid w:val="00084459"/>
    <w:rsid w:val="000856BE"/>
    <w:rsid w:val="00086765"/>
    <w:rsid w:val="00087338"/>
    <w:rsid w:val="0008769A"/>
    <w:rsid w:val="00087D64"/>
    <w:rsid w:val="0009016A"/>
    <w:rsid w:val="00093F9A"/>
    <w:rsid w:val="00094101"/>
    <w:rsid w:val="0009473E"/>
    <w:rsid w:val="00095332"/>
    <w:rsid w:val="00096744"/>
    <w:rsid w:val="00097AB0"/>
    <w:rsid w:val="000A2B54"/>
    <w:rsid w:val="000A3D9B"/>
    <w:rsid w:val="000A57BA"/>
    <w:rsid w:val="000A5C97"/>
    <w:rsid w:val="000A6A24"/>
    <w:rsid w:val="000B040E"/>
    <w:rsid w:val="000B0615"/>
    <w:rsid w:val="000B1D71"/>
    <w:rsid w:val="000B31C5"/>
    <w:rsid w:val="000B66A9"/>
    <w:rsid w:val="000B6EA4"/>
    <w:rsid w:val="000B7BC6"/>
    <w:rsid w:val="000C08BD"/>
    <w:rsid w:val="000C22A3"/>
    <w:rsid w:val="000C643A"/>
    <w:rsid w:val="000C6686"/>
    <w:rsid w:val="000D0508"/>
    <w:rsid w:val="000D100F"/>
    <w:rsid w:val="000D1A19"/>
    <w:rsid w:val="000D2250"/>
    <w:rsid w:val="000D2946"/>
    <w:rsid w:val="000D526E"/>
    <w:rsid w:val="000D58C8"/>
    <w:rsid w:val="000D74F4"/>
    <w:rsid w:val="000D77A4"/>
    <w:rsid w:val="000E0004"/>
    <w:rsid w:val="000E0E55"/>
    <w:rsid w:val="000E11C0"/>
    <w:rsid w:val="000E1BCF"/>
    <w:rsid w:val="000E3430"/>
    <w:rsid w:val="000E410B"/>
    <w:rsid w:val="000E44EE"/>
    <w:rsid w:val="000E63E6"/>
    <w:rsid w:val="000F2E13"/>
    <w:rsid w:val="000F38F7"/>
    <w:rsid w:val="000F3BB5"/>
    <w:rsid w:val="000F3F6E"/>
    <w:rsid w:val="000F49AD"/>
    <w:rsid w:val="00101878"/>
    <w:rsid w:val="00101BDE"/>
    <w:rsid w:val="00101E6A"/>
    <w:rsid w:val="00102085"/>
    <w:rsid w:val="00103758"/>
    <w:rsid w:val="00106323"/>
    <w:rsid w:val="001069C8"/>
    <w:rsid w:val="00107033"/>
    <w:rsid w:val="00107C9A"/>
    <w:rsid w:val="0011173C"/>
    <w:rsid w:val="00113F67"/>
    <w:rsid w:val="001143B4"/>
    <w:rsid w:val="00115214"/>
    <w:rsid w:val="00117349"/>
    <w:rsid w:val="00120D66"/>
    <w:rsid w:val="0012138A"/>
    <w:rsid w:val="001219C7"/>
    <w:rsid w:val="001220BB"/>
    <w:rsid w:val="00123360"/>
    <w:rsid w:val="00125D22"/>
    <w:rsid w:val="00130541"/>
    <w:rsid w:val="00132F3C"/>
    <w:rsid w:val="0013420C"/>
    <w:rsid w:val="0013427E"/>
    <w:rsid w:val="00134703"/>
    <w:rsid w:val="001355D1"/>
    <w:rsid w:val="0013593C"/>
    <w:rsid w:val="0013689A"/>
    <w:rsid w:val="00136E18"/>
    <w:rsid w:val="00136FCC"/>
    <w:rsid w:val="001405F1"/>
    <w:rsid w:val="0014063A"/>
    <w:rsid w:val="00140AF9"/>
    <w:rsid w:val="00140DD1"/>
    <w:rsid w:val="00144068"/>
    <w:rsid w:val="0014742F"/>
    <w:rsid w:val="00150050"/>
    <w:rsid w:val="0015027B"/>
    <w:rsid w:val="001528A5"/>
    <w:rsid w:val="00152AD9"/>
    <w:rsid w:val="00154555"/>
    <w:rsid w:val="001548DF"/>
    <w:rsid w:val="001550F3"/>
    <w:rsid w:val="00155E47"/>
    <w:rsid w:val="00156575"/>
    <w:rsid w:val="0015698A"/>
    <w:rsid w:val="00160579"/>
    <w:rsid w:val="00160842"/>
    <w:rsid w:val="00161A8B"/>
    <w:rsid w:val="00162ABE"/>
    <w:rsid w:val="00162F7C"/>
    <w:rsid w:val="00163051"/>
    <w:rsid w:val="001636E9"/>
    <w:rsid w:val="00163AAB"/>
    <w:rsid w:val="00166774"/>
    <w:rsid w:val="0016792B"/>
    <w:rsid w:val="00170FCA"/>
    <w:rsid w:val="00172BC4"/>
    <w:rsid w:val="001737DB"/>
    <w:rsid w:val="00173C41"/>
    <w:rsid w:val="001744BC"/>
    <w:rsid w:val="0017476A"/>
    <w:rsid w:val="001754B8"/>
    <w:rsid w:val="00175707"/>
    <w:rsid w:val="001773A8"/>
    <w:rsid w:val="00177E50"/>
    <w:rsid w:val="00180EFA"/>
    <w:rsid w:val="0018196D"/>
    <w:rsid w:val="00181AE7"/>
    <w:rsid w:val="00181F1B"/>
    <w:rsid w:val="001825DC"/>
    <w:rsid w:val="00182885"/>
    <w:rsid w:val="001830B6"/>
    <w:rsid w:val="00184080"/>
    <w:rsid w:val="001855CF"/>
    <w:rsid w:val="00186DA6"/>
    <w:rsid w:val="00187736"/>
    <w:rsid w:val="00187DB8"/>
    <w:rsid w:val="0019076B"/>
    <w:rsid w:val="00193568"/>
    <w:rsid w:val="00194254"/>
    <w:rsid w:val="00196007"/>
    <w:rsid w:val="00196039"/>
    <w:rsid w:val="00196A3E"/>
    <w:rsid w:val="00196C66"/>
    <w:rsid w:val="001A0F6E"/>
    <w:rsid w:val="001A1A67"/>
    <w:rsid w:val="001A31B5"/>
    <w:rsid w:val="001A37F8"/>
    <w:rsid w:val="001A3BF8"/>
    <w:rsid w:val="001A5945"/>
    <w:rsid w:val="001A597E"/>
    <w:rsid w:val="001A6D85"/>
    <w:rsid w:val="001A6E37"/>
    <w:rsid w:val="001A7379"/>
    <w:rsid w:val="001A74D0"/>
    <w:rsid w:val="001A77A4"/>
    <w:rsid w:val="001A7ECA"/>
    <w:rsid w:val="001B2284"/>
    <w:rsid w:val="001B3E6F"/>
    <w:rsid w:val="001B52E0"/>
    <w:rsid w:val="001B7647"/>
    <w:rsid w:val="001B77D8"/>
    <w:rsid w:val="001B7F32"/>
    <w:rsid w:val="001C02DE"/>
    <w:rsid w:val="001C05B7"/>
    <w:rsid w:val="001C2088"/>
    <w:rsid w:val="001C2900"/>
    <w:rsid w:val="001C2BE3"/>
    <w:rsid w:val="001C32FE"/>
    <w:rsid w:val="001C33FA"/>
    <w:rsid w:val="001C3EA3"/>
    <w:rsid w:val="001C44D4"/>
    <w:rsid w:val="001C4BAF"/>
    <w:rsid w:val="001C4E51"/>
    <w:rsid w:val="001C557F"/>
    <w:rsid w:val="001C5C8D"/>
    <w:rsid w:val="001C6B1A"/>
    <w:rsid w:val="001C6E19"/>
    <w:rsid w:val="001C7DDA"/>
    <w:rsid w:val="001D16FB"/>
    <w:rsid w:val="001D1EBC"/>
    <w:rsid w:val="001D35A5"/>
    <w:rsid w:val="001D3F61"/>
    <w:rsid w:val="001D49E8"/>
    <w:rsid w:val="001D4AB7"/>
    <w:rsid w:val="001D703F"/>
    <w:rsid w:val="001D729A"/>
    <w:rsid w:val="001E0D54"/>
    <w:rsid w:val="001E21E6"/>
    <w:rsid w:val="001E3678"/>
    <w:rsid w:val="001E43B4"/>
    <w:rsid w:val="001E510F"/>
    <w:rsid w:val="001E581E"/>
    <w:rsid w:val="001E5B37"/>
    <w:rsid w:val="001E621D"/>
    <w:rsid w:val="001E66FB"/>
    <w:rsid w:val="001E6FB2"/>
    <w:rsid w:val="001E75AD"/>
    <w:rsid w:val="001F0F8C"/>
    <w:rsid w:val="001F1B9A"/>
    <w:rsid w:val="001F1CE5"/>
    <w:rsid w:val="001F254B"/>
    <w:rsid w:val="001F266D"/>
    <w:rsid w:val="001F3410"/>
    <w:rsid w:val="001F3D57"/>
    <w:rsid w:val="001F48E1"/>
    <w:rsid w:val="001F4B9D"/>
    <w:rsid w:val="001F5983"/>
    <w:rsid w:val="001F6617"/>
    <w:rsid w:val="001F683B"/>
    <w:rsid w:val="001F6BCA"/>
    <w:rsid w:val="00201457"/>
    <w:rsid w:val="0020154C"/>
    <w:rsid w:val="00202A85"/>
    <w:rsid w:val="00203AF2"/>
    <w:rsid w:val="00203BDF"/>
    <w:rsid w:val="00205794"/>
    <w:rsid w:val="00207107"/>
    <w:rsid w:val="00207499"/>
    <w:rsid w:val="00211506"/>
    <w:rsid w:val="002121BD"/>
    <w:rsid w:val="00213DDD"/>
    <w:rsid w:val="00213E0D"/>
    <w:rsid w:val="00215B76"/>
    <w:rsid w:val="002171D0"/>
    <w:rsid w:val="002172CA"/>
    <w:rsid w:val="00217775"/>
    <w:rsid w:val="002178E5"/>
    <w:rsid w:val="00221630"/>
    <w:rsid w:val="00221A75"/>
    <w:rsid w:val="00222887"/>
    <w:rsid w:val="00222B7E"/>
    <w:rsid w:val="002260A4"/>
    <w:rsid w:val="00226460"/>
    <w:rsid w:val="00230192"/>
    <w:rsid w:val="00230820"/>
    <w:rsid w:val="002330D3"/>
    <w:rsid w:val="002358E4"/>
    <w:rsid w:val="00237993"/>
    <w:rsid w:val="00237DB9"/>
    <w:rsid w:val="00237DEB"/>
    <w:rsid w:val="00240B69"/>
    <w:rsid w:val="00241E4D"/>
    <w:rsid w:val="00241F97"/>
    <w:rsid w:val="002429ED"/>
    <w:rsid w:val="002433C4"/>
    <w:rsid w:val="00243FCA"/>
    <w:rsid w:val="00244FB0"/>
    <w:rsid w:val="00245700"/>
    <w:rsid w:val="0025057E"/>
    <w:rsid w:val="002510E5"/>
    <w:rsid w:val="002515C3"/>
    <w:rsid w:val="00252991"/>
    <w:rsid w:val="002530D5"/>
    <w:rsid w:val="002536D8"/>
    <w:rsid w:val="00253B08"/>
    <w:rsid w:val="00255358"/>
    <w:rsid w:val="002569C2"/>
    <w:rsid w:val="00261142"/>
    <w:rsid w:val="0026180A"/>
    <w:rsid w:val="0026276D"/>
    <w:rsid w:val="00262D9D"/>
    <w:rsid w:val="002631EE"/>
    <w:rsid w:val="00263236"/>
    <w:rsid w:val="00265EBD"/>
    <w:rsid w:val="00266305"/>
    <w:rsid w:val="0027033A"/>
    <w:rsid w:val="0027082E"/>
    <w:rsid w:val="00274196"/>
    <w:rsid w:val="00276BBC"/>
    <w:rsid w:val="00277135"/>
    <w:rsid w:val="00277CC4"/>
    <w:rsid w:val="00282187"/>
    <w:rsid w:val="00286E3D"/>
    <w:rsid w:val="00291835"/>
    <w:rsid w:val="00292F62"/>
    <w:rsid w:val="002934D2"/>
    <w:rsid w:val="002944BC"/>
    <w:rsid w:val="00295364"/>
    <w:rsid w:val="002961F3"/>
    <w:rsid w:val="0029684D"/>
    <w:rsid w:val="00297493"/>
    <w:rsid w:val="002A0EE3"/>
    <w:rsid w:val="002A1AD6"/>
    <w:rsid w:val="002A371D"/>
    <w:rsid w:val="002A3CAD"/>
    <w:rsid w:val="002A3EDC"/>
    <w:rsid w:val="002B0BC7"/>
    <w:rsid w:val="002B3CAC"/>
    <w:rsid w:val="002B6C67"/>
    <w:rsid w:val="002B744B"/>
    <w:rsid w:val="002C0A31"/>
    <w:rsid w:val="002C20B9"/>
    <w:rsid w:val="002C2152"/>
    <w:rsid w:val="002C6B21"/>
    <w:rsid w:val="002C7246"/>
    <w:rsid w:val="002C755A"/>
    <w:rsid w:val="002D4180"/>
    <w:rsid w:val="002D4A51"/>
    <w:rsid w:val="002D54AB"/>
    <w:rsid w:val="002D5DA2"/>
    <w:rsid w:val="002E2BC2"/>
    <w:rsid w:val="002E3249"/>
    <w:rsid w:val="002E41E3"/>
    <w:rsid w:val="002E43F8"/>
    <w:rsid w:val="002E4E84"/>
    <w:rsid w:val="002F3D6A"/>
    <w:rsid w:val="002F44E7"/>
    <w:rsid w:val="002F6287"/>
    <w:rsid w:val="002F74FA"/>
    <w:rsid w:val="00301ECC"/>
    <w:rsid w:val="0030482A"/>
    <w:rsid w:val="00304847"/>
    <w:rsid w:val="00305586"/>
    <w:rsid w:val="00307069"/>
    <w:rsid w:val="00307480"/>
    <w:rsid w:val="003100EA"/>
    <w:rsid w:val="00310EB7"/>
    <w:rsid w:val="00311FD8"/>
    <w:rsid w:val="00312425"/>
    <w:rsid w:val="00314F47"/>
    <w:rsid w:val="00314F8D"/>
    <w:rsid w:val="00317633"/>
    <w:rsid w:val="0032042C"/>
    <w:rsid w:val="00321730"/>
    <w:rsid w:val="00321D52"/>
    <w:rsid w:val="00323E62"/>
    <w:rsid w:val="00324264"/>
    <w:rsid w:val="0032445F"/>
    <w:rsid w:val="0032459D"/>
    <w:rsid w:val="00325200"/>
    <w:rsid w:val="003260C7"/>
    <w:rsid w:val="003305BA"/>
    <w:rsid w:val="00330CEF"/>
    <w:rsid w:val="00332559"/>
    <w:rsid w:val="00332A15"/>
    <w:rsid w:val="003357EB"/>
    <w:rsid w:val="00335B5E"/>
    <w:rsid w:val="00335F0A"/>
    <w:rsid w:val="00335F3E"/>
    <w:rsid w:val="00335F65"/>
    <w:rsid w:val="00337192"/>
    <w:rsid w:val="00340B66"/>
    <w:rsid w:val="00341243"/>
    <w:rsid w:val="00341B3F"/>
    <w:rsid w:val="00341E74"/>
    <w:rsid w:val="003420FD"/>
    <w:rsid w:val="003429F9"/>
    <w:rsid w:val="00343345"/>
    <w:rsid w:val="00344D82"/>
    <w:rsid w:val="00344D93"/>
    <w:rsid w:val="0034566A"/>
    <w:rsid w:val="00346CE3"/>
    <w:rsid w:val="003515B1"/>
    <w:rsid w:val="00352F2B"/>
    <w:rsid w:val="003532E6"/>
    <w:rsid w:val="003545C7"/>
    <w:rsid w:val="00354C24"/>
    <w:rsid w:val="003554A1"/>
    <w:rsid w:val="00355849"/>
    <w:rsid w:val="003560B9"/>
    <w:rsid w:val="003563C6"/>
    <w:rsid w:val="00356AD8"/>
    <w:rsid w:val="003572CC"/>
    <w:rsid w:val="00360B8B"/>
    <w:rsid w:val="003644B4"/>
    <w:rsid w:val="00364F06"/>
    <w:rsid w:val="00364F2C"/>
    <w:rsid w:val="0036674B"/>
    <w:rsid w:val="00367756"/>
    <w:rsid w:val="003704E5"/>
    <w:rsid w:val="00371654"/>
    <w:rsid w:val="0037259E"/>
    <w:rsid w:val="003726CC"/>
    <w:rsid w:val="00372EDC"/>
    <w:rsid w:val="00373258"/>
    <w:rsid w:val="003762E6"/>
    <w:rsid w:val="00376705"/>
    <w:rsid w:val="00376DB8"/>
    <w:rsid w:val="0038048A"/>
    <w:rsid w:val="00381509"/>
    <w:rsid w:val="00381849"/>
    <w:rsid w:val="003822F1"/>
    <w:rsid w:val="00383F77"/>
    <w:rsid w:val="00384C0D"/>
    <w:rsid w:val="00384F92"/>
    <w:rsid w:val="00385080"/>
    <w:rsid w:val="00385790"/>
    <w:rsid w:val="00385EE5"/>
    <w:rsid w:val="00385F00"/>
    <w:rsid w:val="003865F8"/>
    <w:rsid w:val="00386D1A"/>
    <w:rsid w:val="00391183"/>
    <w:rsid w:val="00394490"/>
    <w:rsid w:val="00394EDB"/>
    <w:rsid w:val="00396EC3"/>
    <w:rsid w:val="0039739D"/>
    <w:rsid w:val="00397E8E"/>
    <w:rsid w:val="003A001C"/>
    <w:rsid w:val="003A1404"/>
    <w:rsid w:val="003A2287"/>
    <w:rsid w:val="003A25B8"/>
    <w:rsid w:val="003A30C5"/>
    <w:rsid w:val="003A4AF0"/>
    <w:rsid w:val="003A4ED0"/>
    <w:rsid w:val="003B1B2C"/>
    <w:rsid w:val="003B1F31"/>
    <w:rsid w:val="003B38C4"/>
    <w:rsid w:val="003B452D"/>
    <w:rsid w:val="003B4BD5"/>
    <w:rsid w:val="003B66F4"/>
    <w:rsid w:val="003C124B"/>
    <w:rsid w:val="003C164C"/>
    <w:rsid w:val="003C6F9C"/>
    <w:rsid w:val="003D0978"/>
    <w:rsid w:val="003D2FF1"/>
    <w:rsid w:val="003D3BA9"/>
    <w:rsid w:val="003D3BD1"/>
    <w:rsid w:val="003D3E4E"/>
    <w:rsid w:val="003D4B64"/>
    <w:rsid w:val="003D5883"/>
    <w:rsid w:val="003D5F4B"/>
    <w:rsid w:val="003D6E7E"/>
    <w:rsid w:val="003D78C5"/>
    <w:rsid w:val="003E001D"/>
    <w:rsid w:val="003E192F"/>
    <w:rsid w:val="003E1D19"/>
    <w:rsid w:val="003E2323"/>
    <w:rsid w:val="003E2E05"/>
    <w:rsid w:val="003E4551"/>
    <w:rsid w:val="003E48B9"/>
    <w:rsid w:val="003E4958"/>
    <w:rsid w:val="003E5172"/>
    <w:rsid w:val="003F07FB"/>
    <w:rsid w:val="003F2138"/>
    <w:rsid w:val="003F232A"/>
    <w:rsid w:val="003F2A67"/>
    <w:rsid w:val="003F30C3"/>
    <w:rsid w:val="003F4D5A"/>
    <w:rsid w:val="003F5E75"/>
    <w:rsid w:val="003F5ED5"/>
    <w:rsid w:val="003F64FF"/>
    <w:rsid w:val="003F78E1"/>
    <w:rsid w:val="00401307"/>
    <w:rsid w:val="00401D55"/>
    <w:rsid w:val="00402859"/>
    <w:rsid w:val="004028F4"/>
    <w:rsid w:val="0040367D"/>
    <w:rsid w:val="00403DC1"/>
    <w:rsid w:val="004041DA"/>
    <w:rsid w:val="00407345"/>
    <w:rsid w:val="00412376"/>
    <w:rsid w:val="00412451"/>
    <w:rsid w:val="00413F12"/>
    <w:rsid w:val="004147AD"/>
    <w:rsid w:val="0041715B"/>
    <w:rsid w:val="00420395"/>
    <w:rsid w:val="00420E2A"/>
    <w:rsid w:val="00421A3A"/>
    <w:rsid w:val="00421ACD"/>
    <w:rsid w:val="00424BEA"/>
    <w:rsid w:val="0042592E"/>
    <w:rsid w:val="00426578"/>
    <w:rsid w:val="004270E8"/>
    <w:rsid w:val="00427C8D"/>
    <w:rsid w:val="004311AE"/>
    <w:rsid w:val="00432A11"/>
    <w:rsid w:val="00432B06"/>
    <w:rsid w:val="00432B26"/>
    <w:rsid w:val="004334B9"/>
    <w:rsid w:val="00434538"/>
    <w:rsid w:val="00434931"/>
    <w:rsid w:val="0043506B"/>
    <w:rsid w:val="0043563C"/>
    <w:rsid w:val="004372B9"/>
    <w:rsid w:val="004374FA"/>
    <w:rsid w:val="00440FC1"/>
    <w:rsid w:val="00442B36"/>
    <w:rsid w:val="0044621E"/>
    <w:rsid w:val="0044675D"/>
    <w:rsid w:val="00446AD8"/>
    <w:rsid w:val="00447681"/>
    <w:rsid w:val="00447FDC"/>
    <w:rsid w:val="00451B25"/>
    <w:rsid w:val="00451C7D"/>
    <w:rsid w:val="00453755"/>
    <w:rsid w:val="004543E4"/>
    <w:rsid w:val="00454515"/>
    <w:rsid w:val="004556DA"/>
    <w:rsid w:val="0045570F"/>
    <w:rsid w:val="004562D5"/>
    <w:rsid w:val="00456A34"/>
    <w:rsid w:val="004609E3"/>
    <w:rsid w:val="00460CA9"/>
    <w:rsid w:val="00460D3E"/>
    <w:rsid w:val="00463550"/>
    <w:rsid w:val="00467AE9"/>
    <w:rsid w:val="004714E4"/>
    <w:rsid w:val="00471E4E"/>
    <w:rsid w:val="004728E6"/>
    <w:rsid w:val="0047609B"/>
    <w:rsid w:val="004767CA"/>
    <w:rsid w:val="0047698B"/>
    <w:rsid w:val="00480D1F"/>
    <w:rsid w:val="004815E8"/>
    <w:rsid w:val="00482103"/>
    <w:rsid w:val="00482B6E"/>
    <w:rsid w:val="00482C29"/>
    <w:rsid w:val="00483783"/>
    <w:rsid w:val="00483933"/>
    <w:rsid w:val="004839E2"/>
    <w:rsid w:val="0049049B"/>
    <w:rsid w:val="00491C62"/>
    <w:rsid w:val="00492B60"/>
    <w:rsid w:val="0049351C"/>
    <w:rsid w:val="004942FB"/>
    <w:rsid w:val="00496BD7"/>
    <w:rsid w:val="004974EF"/>
    <w:rsid w:val="00497E58"/>
    <w:rsid w:val="004A141E"/>
    <w:rsid w:val="004A16FF"/>
    <w:rsid w:val="004A35E0"/>
    <w:rsid w:val="004A3D71"/>
    <w:rsid w:val="004A4CBF"/>
    <w:rsid w:val="004A4F6B"/>
    <w:rsid w:val="004A508C"/>
    <w:rsid w:val="004A6A83"/>
    <w:rsid w:val="004A6B6B"/>
    <w:rsid w:val="004B0ADE"/>
    <w:rsid w:val="004B38A0"/>
    <w:rsid w:val="004B4D63"/>
    <w:rsid w:val="004B514D"/>
    <w:rsid w:val="004B5A35"/>
    <w:rsid w:val="004B5F72"/>
    <w:rsid w:val="004B6829"/>
    <w:rsid w:val="004C3086"/>
    <w:rsid w:val="004C3972"/>
    <w:rsid w:val="004C4061"/>
    <w:rsid w:val="004C44CF"/>
    <w:rsid w:val="004C486C"/>
    <w:rsid w:val="004C48D0"/>
    <w:rsid w:val="004C5099"/>
    <w:rsid w:val="004C5ACB"/>
    <w:rsid w:val="004C79A7"/>
    <w:rsid w:val="004C7ABD"/>
    <w:rsid w:val="004D340D"/>
    <w:rsid w:val="004D4339"/>
    <w:rsid w:val="004D6162"/>
    <w:rsid w:val="004D6A3F"/>
    <w:rsid w:val="004D7453"/>
    <w:rsid w:val="004D7AC0"/>
    <w:rsid w:val="004E20CE"/>
    <w:rsid w:val="004E2CC3"/>
    <w:rsid w:val="004E2E44"/>
    <w:rsid w:val="004E4364"/>
    <w:rsid w:val="004E4F26"/>
    <w:rsid w:val="004E53CE"/>
    <w:rsid w:val="004E57C3"/>
    <w:rsid w:val="004E76A1"/>
    <w:rsid w:val="004E79B0"/>
    <w:rsid w:val="004F210D"/>
    <w:rsid w:val="004F3BD2"/>
    <w:rsid w:val="004F42C8"/>
    <w:rsid w:val="004F5BBD"/>
    <w:rsid w:val="004F7DD4"/>
    <w:rsid w:val="005001C0"/>
    <w:rsid w:val="005019A2"/>
    <w:rsid w:val="00501D0C"/>
    <w:rsid w:val="0050272F"/>
    <w:rsid w:val="00502E01"/>
    <w:rsid w:val="00504637"/>
    <w:rsid w:val="00505661"/>
    <w:rsid w:val="00505861"/>
    <w:rsid w:val="00506101"/>
    <w:rsid w:val="00507F54"/>
    <w:rsid w:val="005114E9"/>
    <w:rsid w:val="00511E5A"/>
    <w:rsid w:val="005124B1"/>
    <w:rsid w:val="005125E9"/>
    <w:rsid w:val="00512BB4"/>
    <w:rsid w:val="00514643"/>
    <w:rsid w:val="00514A05"/>
    <w:rsid w:val="00515091"/>
    <w:rsid w:val="00517B16"/>
    <w:rsid w:val="00517F70"/>
    <w:rsid w:val="0052249F"/>
    <w:rsid w:val="0052271C"/>
    <w:rsid w:val="00522F6C"/>
    <w:rsid w:val="00524C11"/>
    <w:rsid w:val="0052675D"/>
    <w:rsid w:val="0052694D"/>
    <w:rsid w:val="00527A2D"/>
    <w:rsid w:val="00527C51"/>
    <w:rsid w:val="00531828"/>
    <w:rsid w:val="00532489"/>
    <w:rsid w:val="00535ED7"/>
    <w:rsid w:val="00536107"/>
    <w:rsid w:val="00536882"/>
    <w:rsid w:val="00537231"/>
    <w:rsid w:val="00537550"/>
    <w:rsid w:val="005378F6"/>
    <w:rsid w:val="00540BF6"/>
    <w:rsid w:val="00543AA4"/>
    <w:rsid w:val="0054421F"/>
    <w:rsid w:val="00545B97"/>
    <w:rsid w:val="00550A57"/>
    <w:rsid w:val="00551CBF"/>
    <w:rsid w:val="00552252"/>
    <w:rsid w:val="005536D0"/>
    <w:rsid w:val="00554903"/>
    <w:rsid w:val="00555C36"/>
    <w:rsid w:val="00556D49"/>
    <w:rsid w:val="0056003D"/>
    <w:rsid w:val="00560B56"/>
    <w:rsid w:val="00561610"/>
    <w:rsid w:val="00561C8E"/>
    <w:rsid w:val="00563B14"/>
    <w:rsid w:val="00564A5E"/>
    <w:rsid w:val="00565BCE"/>
    <w:rsid w:val="00566087"/>
    <w:rsid w:val="00567024"/>
    <w:rsid w:val="0056712C"/>
    <w:rsid w:val="00567F61"/>
    <w:rsid w:val="00571642"/>
    <w:rsid w:val="00571F4D"/>
    <w:rsid w:val="00572294"/>
    <w:rsid w:val="00574532"/>
    <w:rsid w:val="0057616D"/>
    <w:rsid w:val="00577808"/>
    <w:rsid w:val="00580D7C"/>
    <w:rsid w:val="0058191B"/>
    <w:rsid w:val="005829A1"/>
    <w:rsid w:val="00583A3B"/>
    <w:rsid w:val="00584287"/>
    <w:rsid w:val="00584C4C"/>
    <w:rsid w:val="00584D7B"/>
    <w:rsid w:val="00585568"/>
    <w:rsid w:val="0058643F"/>
    <w:rsid w:val="005874A3"/>
    <w:rsid w:val="00590788"/>
    <w:rsid w:val="00590F0B"/>
    <w:rsid w:val="0059105D"/>
    <w:rsid w:val="00592409"/>
    <w:rsid w:val="0059331E"/>
    <w:rsid w:val="00593BD2"/>
    <w:rsid w:val="005950C4"/>
    <w:rsid w:val="005954B8"/>
    <w:rsid w:val="00595780"/>
    <w:rsid w:val="00597D5E"/>
    <w:rsid w:val="005A035C"/>
    <w:rsid w:val="005A1B2F"/>
    <w:rsid w:val="005A2732"/>
    <w:rsid w:val="005A27AE"/>
    <w:rsid w:val="005A2B3E"/>
    <w:rsid w:val="005A34B6"/>
    <w:rsid w:val="005A4F32"/>
    <w:rsid w:val="005A5681"/>
    <w:rsid w:val="005B0F79"/>
    <w:rsid w:val="005B3333"/>
    <w:rsid w:val="005B4010"/>
    <w:rsid w:val="005B4370"/>
    <w:rsid w:val="005B53DB"/>
    <w:rsid w:val="005B5F5D"/>
    <w:rsid w:val="005B5FB0"/>
    <w:rsid w:val="005B7D0D"/>
    <w:rsid w:val="005C00C5"/>
    <w:rsid w:val="005C0197"/>
    <w:rsid w:val="005C1AA9"/>
    <w:rsid w:val="005C1B5A"/>
    <w:rsid w:val="005C20DD"/>
    <w:rsid w:val="005C4739"/>
    <w:rsid w:val="005C53C8"/>
    <w:rsid w:val="005C6023"/>
    <w:rsid w:val="005C633B"/>
    <w:rsid w:val="005C68DF"/>
    <w:rsid w:val="005D144A"/>
    <w:rsid w:val="005D14C8"/>
    <w:rsid w:val="005D17E6"/>
    <w:rsid w:val="005D185E"/>
    <w:rsid w:val="005D1F95"/>
    <w:rsid w:val="005D392E"/>
    <w:rsid w:val="005D4275"/>
    <w:rsid w:val="005D4451"/>
    <w:rsid w:val="005D5778"/>
    <w:rsid w:val="005D5D6A"/>
    <w:rsid w:val="005D6C08"/>
    <w:rsid w:val="005E0009"/>
    <w:rsid w:val="005E217A"/>
    <w:rsid w:val="005E2CEC"/>
    <w:rsid w:val="005E3528"/>
    <w:rsid w:val="005E3870"/>
    <w:rsid w:val="005E3992"/>
    <w:rsid w:val="005E3ECB"/>
    <w:rsid w:val="005E440C"/>
    <w:rsid w:val="005E57B6"/>
    <w:rsid w:val="005E78DE"/>
    <w:rsid w:val="005E7C97"/>
    <w:rsid w:val="005E7F23"/>
    <w:rsid w:val="005F041C"/>
    <w:rsid w:val="005F05ED"/>
    <w:rsid w:val="005F1406"/>
    <w:rsid w:val="005F1CCA"/>
    <w:rsid w:val="005F21B9"/>
    <w:rsid w:val="005F21C2"/>
    <w:rsid w:val="005F3481"/>
    <w:rsid w:val="005F39A4"/>
    <w:rsid w:val="005F4E98"/>
    <w:rsid w:val="005F678F"/>
    <w:rsid w:val="005F6E3C"/>
    <w:rsid w:val="005F703A"/>
    <w:rsid w:val="005F7326"/>
    <w:rsid w:val="005F76A0"/>
    <w:rsid w:val="0060076D"/>
    <w:rsid w:val="00602F66"/>
    <w:rsid w:val="0060371D"/>
    <w:rsid w:val="00603D11"/>
    <w:rsid w:val="0060458A"/>
    <w:rsid w:val="0060776B"/>
    <w:rsid w:val="006077CE"/>
    <w:rsid w:val="00607BD9"/>
    <w:rsid w:val="006130A6"/>
    <w:rsid w:val="006143D1"/>
    <w:rsid w:val="00614F7A"/>
    <w:rsid w:val="00615D71"/>
    <w:rsid w:val="00621E9F"/>
    <w:rsid w:val="0062338A"/>
    <w:rsid w:val="00623AC9"/>
    <w:rsid w:val="006247F7"/>
    <w:rsid w:val="00626F2A"/>
    <w:rsid w:val="006272E1"/>
    <w:rsid w:val="00633C7A"/>
    <w:rsid w:val="00633C94"/>
    <w:rsid w:val="006342F6"/>
    <w:rsid w:val="00634A36"/>
    <w:rsid w:val="00634CFC"/>
    <w:rsid w:val="0063534D"/>
    <w:rsid w:val="00635DE4"/>
    <w:rsid w:val="0063697E"/>
    <w:rsid w:val="0064046A"/>
    <w:rsid w:val="00640EB5"/>
    <w:rsid w:val="006410A1"/>
    <w:rsid w:val="006410E3"/>
    <w:rsid w:val="00641D2A"/>
    <w:rsid w:val="00643C2E"/>
    <w:rsid w:val="0064537F"/>
    <w:rsid w:val="00646BC8"/>
    <w:rsid w:val="00650605"/>
    <w:rsid w:val="00655966"/>
    <w:rsid w:val="00655C2D"/>
    <w:rsid w:val="00656427"/>
    <w:rsid w:val="006566AC"/>
    <w:rsid w:val="006566D3"/>
    <w:rsid w:val="00656D8E"/>
    <w:rsid w:val="006606D0"/>
    <w:rsid w:val="00661358"/>
    <w:rsid w:val="00661CB2"/>
    <w:rsid w:val="00662929"/>
    <w:rsid w:val="0066293D"/>
    <w:rsid w:val="00662C61"/>
    <w:rsid w:val="00663A18"/>
    <w:rsid w:val="00663D87"/>
    <w:rsid w:val="006649DB"/>
    <w:rsid w:val="00665754"/>
    <w:rsid w:val="00665CAF"/>
    <w:rsid w:val="006666C4"/>
    <w:rsid w:val="006668AC"/>
    <w:rsid w:val="00667CB3"/>
    <w:rsid w:val="00670C5C"/>
    <w:rsid w:val="0067199E"/>
    <w:rsid w:val="00671D9B"/>
    <w:rsid w:val="006722AF"/>
    <w:rsid w:val="006723F9"/>
    <w:rsid w:val="00672D1C"/>
    <w:rsid w:val="00673B8A"/>
    <w:rsid w:val="00675292"/>
    <w:rsid w:val="00675711"/>
    <w:rsid w:val="0067656C"/>
    <w:rsid w:val="006828C1"/>
    <w:rsid w:val="0068386C"/>
    <w:rsid w:val="0068415F"/>
    <w:rsid w:val="006845FE"/>
    <w:rsid w:val="00684A26"/>
    <w:rsid w:val="006871CE"/>
    <w:rsid w:val="00687797"/>
    <w:rsid w:val="006904E3"/>
    <w:rsid w:val="00690B90"/>
    <w:rsid w:val="00691879"/>
    <w:rsid w:val="006941CA"/>
    <w:rsid w:val="0069570E"/>
    <w:rsid w:val="0069573E"/>
    <w:rsid w:val="00696468"/>
    <w:rsid w:val="006964C1"/>
    <w:rsid w:val="006976CF"/>
    <w:rsid w:val="00697C32"/>
    <w:rsid w:val="006A0E1F"/>
    <w:rsid w:val="006A0E3D"/>
    <w:rsid w:val="006A1C22"/>
    <w:rsid w:val="006A22B2"/>
    <w:rsid w:val="006A2A2A"/>
    <w:rsid w:val="006A49CB"/>
    <w:rsid w:val="006A62C7"/>
    <w:rsid w:val="006A79B6"/>
    <w:rsid w:val="006B0E9A"/>
    <w:rsid w:val="006B1EAA"/>
    <w:rsid w:val="006B20BE"/>
    <w:rsid w:val="006B23BC"/>
    <w:rsid w:val="006B256E"/>
    <w:rsid w:val="006B300A"/>
    <w:rsid w:val="006B4B84"/>
    <w:rsid w:val="006B69A0"/>
    <w:rsid w:val="006C0802"/>
    <w:rsid w:val="006C106F"/>
    <w:rsid w:val="006C1543"/>
    <w:rsid w:val="006C3628"/>
    <w:rsid w:val="006C3994"/>
    <w:rsid w:val="006C4DCD"/>
    <w:rsid w:val="006C579F"/>
    <w:rsid w:val="006C5AB6"/>
    <w:rsid w:val="006C766D"/>
    <w:rsid w:val="006D16F8"/>
    <w:rsid w:val="006D3679"/>
    <w:rsid w:val="006D4ACA"/>
    <w:rsid w:val="006D4F66"/>
    <w:rsid w:val="006D5073"/>
    <w:rsid w:val="006D5307"/>
    <w:rsid w:val="006D690E"/>
    <w:rsid w:val="006D7C93"/>
    <w:rsid w:val="006E2251"/>
    <w:rsid w:val="006E2853"/>
    <w:rsid w:val="006E2992"/>
    <w:rsid w:val="006E39E2"/>
    <w:rsid w:val="006E3FB5"/>
    <w:rsid w:val="006E5BD4"/>
    <w:rsid w:val="006E6313"/>
    <w:rsid w:val="006E69E5"/>
    <w:rsid w:val="006F0603"/>
    <w:rsid w:val="006F2464"/>
    <w:rsid w:val="006F31DE"/>
    <w:rsid w:val="006F338C"/>
    <w:rsid w:val="006F47DA"/>
    <w:rsid w:val="006F4AE5"/>
    <w:rsid w:val="006F6390"/>
    <w:rsid w:val="006F72A4"/>
    <w:rsid w:val="00700B97"/>
    <w:rsid w:val="00700C90"/>
    <w:rsid w:val="00700D21"/>
    <w:rsid w:val="00701093"/>
    <w:rsid w:val="00703787"/>
    <w:rsid w:val="007041D0"/>
    <w:rsid w:val="0070429A"/>
    <w:rsid w:val="00704450"/>
    <w:rsid w:val="00704ACA"/>
    <w:rsid w:val="00704FF5"/>
    <w:rsid w:val="00705727"/>
    <w:rsid w:val="0070578B"/>
    <w:rsid w:val="00706CB2"/>
    <w:rsid w:val="00706ECB"/>
    <w:rsid w:val="00707597"/>
    <w:rsid w:val="00707D35"/>
    <w:rsid w:val="00710DFC"/>
    <w:rsid w:val="00711A1A"/>
    <w:rsid w:val="00711BAF"/>
    <w:rsid w:val="00711EB2"/>
    <w:rsid w:val="00712294"/>
    <w:rsid w:val="0071238D"/>
    <w:rsid w:val="00714208"/>
    <w:rsid w:val="00715ECE"/>
    <w:rsid w:val="0071678B"/>
    <w:rsid w:val="00717FFC"/>
    <w:rsid w:val="007214D4"/>
    <w:rsid w:val="00721A68"/>
    <w:rsid w:val="007228F0"/>
    <w:rsid w:val="007234D8"/>
    <w:rsid w:val="0072436A"/>
    <w:rsid w:val="00726214"/>
    <w:rsid w:val="00726880"/>
    <w:rsid w:val="00726B50"/>
    <w:rsid w:val="0073123D"/>
    <w:rsid w:val="00731C14"/>
    <w:rsid w:val="00732DDF"/>
    <w:rsid w:val="007350B2"/>
    <w:rsid w:val="00735D40"/>
    <w:rsid w:val="00736EF1"/>
    <w:rsid w:val="0073719E"/>
    <w:rsid w:val="00740642"/>
    <w:rsid w:val="00741D6D"/>
    <w:rsid w:val="00743098"/>
    <w:rsid w:val="0074400F"/>
    <w:rsid w:val="0074541A"/>
    <w:rsid w:val="007470B1"/>
    <w:rsid w:val="007471E7"/>
    <w:rsid w:val="00753E7F"/>
    <w:rsid w:val="00755A2D"/>
    <w:rsid w:val="0075618D"/>
    <w:rsid w:val="0076100D"/>
    <w:rsid w:val="0076183D"/>
    <w:rsid w:val="007628CB"/>
    <w:rsid w:val="00762E96"/>
    <w:rsid w:val="00763667"/>
    <w:rsid w:val="00763F57"/>
    <w:rsid w:val="0076467A"/>
    <w:rsid w:val="00764B42"/>
    <w:rsid w:val="00765370"/>
    <w:rsid w:val="007654D3"/>
    <w:rsid w:val="007673FB"/>
    <w:rsid w:val="00767BF0"/>
    <w:rsid w:val="00767DCE"/>
    <w:rsid w:val="00771063"/>
    <w:rsid w:val="00771F74"/>
    <w:rsid w:val="00773836"/>
    <w:rsid w:val="00775B42"/>
    <w:rsid w:val="00783CB8"/>
    <w:rsid w:val="00785B82"/>
    <w:rsid w:val="00785EBA"/>
    <w:rsid w:val="007909AD"/>
    <w:rsid w:val="00792170"/>
    <w:rsid w:val="007926E7"/>
    <w:rsid w:val="0079306E"/>
    <w:rsid w:val="00793F18"/>
    <w:rsid w:val="00796CD9"/>
    <w:rsid w:val="00797088"/>
    <w:rsid w:val="007A4CFB"/>
    <w:rsid w:val="007A5006"/>
    <w:rsid w:val="007A5A0C"/>
    <w:rsid w:val="007A5E1D"/>
    <w:rsid w:val="007A66D9"/>
    <w:rsid w:val="007A7811"/>
    <w:rsid w:val="007B2176"/>
    <w:rsid w:val="007B4990"/>
    <w:rsid w:val="007B4994"/>
    <w:rsid w:val="007B695C"/>
    <w:rsid w:val="007B7C91"/>
    <w:rsid w:val="007C069A"/>
    <w:rsid w:val="007C17B8"/>
    <w:rsid w:val="007C2159"/>
    <w:rsid w:val="007C2D1F"/>
    <w:rsid w:val="007C335D"/>
    <w:rsid w:val="007C396B"/>
    <w:rsid w:val="007C601E"/>
    <w:rsid w:val="007C6E23"/>
    <w:rsid w:val="007C7256"/>
    <w:rsid w:val="007C7F01"/>
    <w:rsid w:val="007D0705"/>
    <w:rsid w:val="007D1CF1"/>
    <w:rsid w:val="007D213C"/>
    <w:rsid w:val="007D5632"/>
    <w:rsid w:val="007E1F14"/>
    <w:rsid w:val="007E4796"/>
    <w:rsid w:val="007F0747"/>
    <w:rsid w:val="007F09B9"/>
    <w:rsid w:val="007F2364"/>
    <w:rsid w:val="007F35BE"/>
    <w:rsid w:val="007F529F"/>
    <w:rsid w:val="007F5C5F"/>
    <w:rsid w:val="007F6C85"/>
    <w:rsid w:val="00801E7F"/>
    <w:rsid w:val="008021F4"/>
    <w:rsid w:val="00802778"/>
    <w:rsid w:val="0080401E"/>
    <w:rsid w:val="00804168"/>
    <w:rsid w:val="00805162"/>
    <w:rsid w:val="008067CC"/>
    <w:rsid w:val="0080695C"/>
    <w:rsid w:val="0080709B"/>
    <w:rsid w:val="008072F7"/>
    <w:rsid w:val="00807D69"/>
    <w:rsid w:val="008104E6"/>
    <w:rsid w:val="00810ACC"/>
    <w:rsid w:val="00810EA6"/>
    <w:rsid w:val="0081211B"/>
    <w:rsid w:val="00812F0F"/>
    <w:rsid w:val="00813180"/>
    <w:rsid w:val="00814213"/>
    <w:rsid w:val="0081505C"/>
    <w:rsid w:val="008150B7"/>
    <w:rsid w:val="00815107"/>
    <w:rsid w:val="008151F2"/>
    <w:rsid w:val="008158B7"/>
    <w:rsid w:val="00816550"/>
    <w:rsid w:val="0081729A"/>
    <w:rsid w:val="0082082B"/>
    <w:rsid w:val="00822829"/>
    <w:rsid w:val="00823FA3"/>
    <w:rsid w:val="0082483F"/>
    <w:rsid w:val="00826A75"/>
    <w:rsid w:val="00831CC1"/>
    <w:rsid w:val="00832A82"/>
    <w:rsid w:val="00832FC1"/>
    <w:rsid w:val="008339DC"/>
    <w:rsid w:val="00833ABE"/>
    <w:rsid w:val="00833BE3"/>
    <w:rsid w:val="00834B7F"/>
    <w:rsid w:val="008369D6"/>
    <w:rsid w:val="00836EB1"/>
    <w:rsid w:val="00836FE2"/>
    <w:rsid w:val="008409B2"/>
    <w:rsid w:val="00842308"/>
    <w:rsid w:val="00844F30"/>
    <w:rsid w:val="0084524E"/>
    <w:rsid w:val="008455F1"/>
    <w:rsid w:val="00845735"/>
    <w:rsid w:val="00845B90"/>
    <w:rsid w:val="0084690C"/>
    <w:rsid w:val="00847147"/>
    <w:rsid w:val="0085084D"/>
    <w:rsid w:val="00851BA7"/>
    <w:rsid w:val="00851D8C"/>
    <w:rsid w:val="00852042"/>
    <w:rsid w:val="008538C7"/>
    <w:rsid w:val="00854374"/>
    <w:rsid w:val="008555F0"/>
    <w:rsid w:val="00855684"/>
    <w:rsid w:val="00856CBD"/>
    <w:rsid w:val="008638F1"/>
    <w:rsid w:val="00864B27"/>
    <w:rsid w:val="00864D50"/>
    <w:rsid w:val="00865F66"/>
    <w:rsid w:val="008679C1"/>
    <w:rsid w:val="008709A2"/>
    <w:rsid w:val="00870D0C"/>
    <w:rsid w:val="008717BF"/>
    <w:rsid w:val="00872C3A"/>
    <w:rsid w:val="00874DB2"/>
    <w:rsid w:val="00874E00"/>
    <w:rsid w:val="008769E2"/>
    <w:rsid w:val="00876FCB"/>
    <w:rsid w:val="0087725A"/>
    <w:rsid w:val="00877710"/>
    <w:rsid w:val="00877C7C"/>
    <w:rsid w:val="00882153"/>
    <w:rsid w:val="008826CB"/>
    <w:rsid w:val="008827D1"/>
    <w:rsid w:val="00883371"/>
    <w:rsid w:val="00884097"/>
    <w:rsid w:val="00884711"/>
    <w:rsid w:val="008852E4"/>
    <w:rsid w:val="00885D86"/>
    <w:rsid w:val="00885EB6"/>
    <w:rsid w:val="00886042"/>
    <w:rsid w:val="008861F0"/>
    <w:rsid w:val="00886EA2"/>
    <w:rsid w:val="00891F13"/>
    <w:rsid w:val="00896304"/>
    <w:rsid w:val="0089675E"/>
    <w:rsid w:val="008971F6"/>
    <w:rsid w:val="00897966"/>
    <w:rsid w:val="008A01E0"/>
    <w:rsid w:val="008A0D54"/>
    <w:rsid w:val="008A1095"/>
    <w:rsid w:val="008A1769"/>
    <w:rsid w:val="008A45FD"/>
    <w:rsid w:val="008A5356"/>
    <w:rsid w:val="008B0A32"/>
    <w:rsid w:val="008B1E30"/>
    <w:rsid w:val="008B2F49"/>
    <w:rsid w:val="008B499F"/>
    <w:rsid w:val="008B5259"/>
    <w:rsid w:val="008B571C"/>
    <w:rsid w:val="008B7A09"/>
    <w:rsid w:val="008B7C83"/>
    <w:rsid w:val="008B7E52"/>
    <w:rsid w:val="008C0F04"/>
    <w:rsid w:val="008C0F07"/>
    <w:rsid w:val="008C10AF"/>
    <w:rsid w:val="008C3993"/>
    <w:rsid w:val="008C3F78"/>
    <w:rsid w:val="008C5BD1"/>
    <w:rsid w:val="008C5CF2"/>
    <w:rsid w:val="008C6B6B"/>
    <w:rsid w:val="008C6FC0"/>
    <w:rsid w:val="008C7593"/>
    <w:rsid w:val="008D0656"/>
    <w:rsid w:val="008D0FDF"/>
    <w:rsid w:val="008D11D8"/>
    <w:rsid w:val="008D23EA"/>
    <w:rsid w:val="008D3720"/>
    <w:rsid w:val="008D3A6C"/>
    <w:rsid w:val="008D43F5"/>
    <w:rsid w:val="008D5392"/>
    <w:rsid w:val="008D66A8"/>
    <w:rsid w:val="008D6DB2"/>
    <w:rsid w:val="008D7309"/>
    <w:rsid w:val="008E0D27"/>
    <w:rsid w:val="008E33C5"/>
    <w:rsid w:val="008E3CA7"/>
    <w:rsid w:val="008E4154"/>
    <w:rsid w:val="008E497F"/>
    <w:rsid w:val="008E6099"/>
    <w:rsid w:val="008E6726"/>
    <w:rsid w:val="008E70AE"/>
    <w:rsid w:val="008F005D"/>
    <w:rsid w:val="008F1E66"/>
    <w:rsid w:val="008F32FF"/>
    <w:rsid w:val="008F3D68"/>
    <w:rsid w:val="008F4BF5"/>
    <w:rsid w:val="008F536E"/>
    <w:rsid w:val="008F657A"/>
    <w:rsid w:val="008F6F07"/>
    <w:rsid w:val="008F7BD6"/>
    <w:rsid w:val="0090019A"/>
    <w:rsid w:val="00900CC1"/>
    <w:rsid w:val="00900ED6"/>
    <w:rsid w:val="009021C0"/>
    <w:rsid w:val="00905CFE"/>
    <w:rsid w:val="0090643C"/>
    <w:rsid w:val="00906DAE"/>
    <w:rsid w:val="00907B64"/>
    <w:rsid w:val="00907CCF"/>
    <w:rsid w:val="00910399"/>
    <w:rsid w:val="00913422"/>
    <w:rsid w:val="009134B2"/>
    <w:rsid w:val="00916077"/>
    <w:rsid w:val="00916BAF"/>
    <w:rsid w:val="00916C2E"/>
    <w:rsid w:val="00917C81"/>
    <w:rsid w:val="009200C0"/>
    <w:rsid w:val="00922B5D"/>
    <w:rsid w:val="0092374E"/>
    <w:rsid w:val="00923C09"/>
    <w:rsid w:val="009259C0"/>
    <w:rsid w:val="009263D5"/>
    <w:rsid w:val="00926AEE"/>
    <w:rsid w:val="00927CC2"/>
    <w:rsid w:val="00930809"/>
    <w:rsid w:val="0093118D"/>
    <w:rsid w:val="00931369"/>
    <w:rsid w:val="00932A17"/>
    <w:rsid w:val="009342E4"/>
    <w:rsid w:val="0093618E"/>
    <w:rsid w:val="00936400"/>
    <w:rsid w:val="00936815"/>
    <w:rsid w:val="009377E5"/>
    <w:rsid w:val="00940887"/>
    <w:rsid w:val="009422F5"/>
    <w:rsid w:val="00942691"/>
    <w:rsid w:val="00943A8A"/>
    <w:rsid w:val="009443F3"/>
    <w:rsid w:val="00944732"/>
    <w:rsid w:val="0094483E"/>
    <w:rsid w:val="00946EE7"/>
    <w:rsid w:val="00950D76"/>
    <w:rsid w:val="00952460"/>
    <w:rsid w:val="00953FAE"/>
    <w:rsid w:val="00954D12"/>
    <w:rsid w:val="00955F0E"/>
    <w:rsid w:val="00956A7C"/>
    <w:rsid w:val="00962633"/>
    <w:rsid w:val="00963FEE"/>
    <w:rsid w:val="0096532F"/>
    <w:rsid w:val="0096596C"/>
    <w:rsid w:val="00971B25"/>
    <w:rsid w:val="00972020"/>
    <w:rsid w:val="00972F5F"/>
    <w:rsid w:val="00973AD9"/>
    <w:rsid w:val="00974A4B"/>
    <w:rsid w:val="009761AF"/>
    <w:rsid w:val="00977F7A"/>
    <w:rsid w:val="00977FEF"/>
    <w:rsid w:val="00980B9B"/>
    <w:rsid w:val="00982B52"/>
    <w:rsid w:val="009839F1"/>
    <w:rsid w:val="00983C57"/>
    <w:rsid w:val="0098469A"/>
    <w:rsid w:val="009846D8"/>
    <w:rsid w:val="00984CB7"/>
    <w:rsid w:val="00985653"/>
    <w:rsid w:val="0098595F"/>
    <w:rsid w:val="009865F7"/>
    <w:rsid w:val="009868EF"/>
    <w:rsid w:val="00987DCF"/>
    <w:rsid w:val="00990595"/>
    <w:rsid w:val="009911B6"/>
    <w:rsid w:val="00991867"/>
    <w:rsid w:val="00991A19"/>
    <w:rsid w:val="00993B80"/>
    <w:rsid w:val="009964DC"/>
    <w:rsid w:val="00997DEA"/>
    <w:rsid w:val="009A036B"/>
    <w:rsid w:val="009A1032"/>
    <w:rsid w:val="009A2043"/>
    <w:rsid w:val="009A2272"/>
    <w:rsid w:val="009A2B83"/>
    <w:rsid w:val="009A3B3D"/>
    <w:rsid w:val="009A3EB3"/>
    <w:rsid w:val="009A4369"/>
    <w:rsid w:val="009A48FF"/>
    <w:rsid w:val="009A606D"/>
    <w:rsid w:val="009A66B4"/>
    <w:rsid w:val="009A73F4"/>
    <w:rsid w:val="009A77E3"/>
    <w:rsid w:val="009A798D"/>
    <w:rsid w:val="009B08AB"/>
    <w:rsid w:val="009B1C04"/>
    <w:rsid w:val="009B462D"/>
    <w:rsid w:val="009B4A28"/>
    <w:rsid w:val="009B6105"/>
    <w:rsid w:val="009B6E88"/>
    <w:rsid w:val="009B7548"/>
    <w:rsid w:val="009B7851"/>
    <w:rsid w:val="009C2C71"/>
    <w:rsid w:val="009C2EA9"/>
    <w:rsid w:val="009C547E"/>
    <w:rsid w:val="009C6221"/>
    <w:rsid w:val="009C642F"/>
    <w:rsid w:val="009C67EB"/>
    <w:rsid w:val="009D09C6"/>
    <w:rsid w:val="009D131D"/>
    <w:rsid w:val="009D22BC"/>
    <w:rsid w:val="009D23F2"/>
    <w:rsid w:val="009D4DB3"/>
    <w:rsid w:val="009D67F8"/>
    <w:rsid w:val="009D7001"/>
    <w:rsid w:val="009E0AE0"/>
    <w:rsid w:val="009E1048"/>
    <w:rsid w:val="009E19CF"/>
    <w:rsid w:val="009E3D56"/>
    <w:rsid w:val="009E506D"/>
    <w:rsid w:val="009E7967"/>
    <w:rsid w:val="009E7B5B"/>
    <w:rsid w:val="009F0359"/>
    <w:rsid w:val="009F14D0"/>
    <w:rsid w:val="009F423E"/>
    <w:rsid w:val="009F51EE"/>
    <w:rsid w:val="009F616E"/>
    <w:rsid w:val="009F696B"/>
    <w:rsid w:val="00A00ADD"/>
    <w:rsid w:val="00A0206C"/>
    <w:rsid w:val="00A0424A"/>
    <w:rsid w:val="00A051F5"/>
    <w:rsid w:val="00A05A6E"/>
    <w:rsid w:val="00A0642B"/>
    <w:rsid w:val="00A10EBA"/>
    <w:rsid w:val="00A119AF"/>
    <w:rsid w:val="00A12EB8"/>
    <w:rsid w:val="00A13199"/>
    <w:rsid w:val="00A136EC"/>
    <w:rsid w:val="00A149FE"/>
    <w:rsid w:val="00A14A5A"/>
    <w:rsid w:val="00A16E4A"/>
    <w:rsid w:val="00A16F32"/>
    <w:rsid w:val="00A171CD"/>
    <w:rsid w:val="00A1734D"/>
    <w:rsid w:val="00A178DE"/>
    <w:rsid w:val="00A17CA0"/>
    <w:rsid w:val="00A2236D"/>
    <w:rsid w:val="00A249C1"/>
    <w:rsid w:val="00A24ABF"/>
    <w:rsid w:val="00A25FA3"/>
    <w:rsid w:val="00A26D1D"/>
    <w:rsid w:val="00A274D3"/>
    <w:rsid w:val="00A306F0"/>
    <w:rsid w:val="00A3417B"/>
    <w:rsid w:val="00A359B6"/>
    <w:rsid w:val="00A36791"/>
    <w:rsid w:val="00A36888"/>
    <w:rsid w:val="00A37B88"/>
    <w:rsid w:val="00A4014F"/>
    <w:rsid w:val="00A40376"/>
    <w:rsid w:val="00A421D8"/>
    <w:rsid w:val="00A42215"/>
    <w:rsid w:val="00A42A5F"/>
    <w:rsid w:val="00A445A0"/>
    <w:rsid w:val="00A502AF"/>
    <w:rsid w:val="00A52566"/>
    <w:rsid w:val="00A53199"/>
    <w:rsid w:val="00A549F6"/>
    <w:rsid w:val="00A5532B"/>
    <w:rsid w:val="00A579DD"/>
    <w:rsid w:val="00A61A17"/>
    <w:rsid w:val="00A61E9C"/>
    <w:rsid w:val="00A6242B"/>
    <w:rsid w:val="00A63478"/>
    <w:rsid w:val="00A6354E"/>
    <w:rsid w:val="00A636B2"/>
    <w:rsid w:val="00A64687"/>
    <w:rsid w:val="00A64907"/>
    <w:rsid w:val="00A64E39"/>
    <w:rsid w:val="00A657C9"/>
    <w:rsid w:val="00A712C4"/>
    <w:rsid w:val="00A74213"/>
    <w:rsid w:val="00A768DE"/>
    <w:rsid w:val="00A81557"/>
    <w:rsid w:val="00A81C29"/>
    <w:rsid w:val="00A81C80"/>
    <w:rsid w:val="00A83812"/>
    <w:rsid w:val="00A84700"/>
    <w:rsid w:val="00A84A67"/>
    <w:rsid w:val="00A84AB2"/>
    <w:rsid w:val="00A878ED"/>
    <w:rsid w:val="00A87A6C"/>
    <w:rsid w:val="00A9093F"/>
    <w:rsid w:val="00A9204E"/>
    <w:rsid w:val="00A93E38"/>
    <w:rsid w:val="00A96B5D"/>
    <w:rsid w:val="00A9718A"/>
    <w:rsid w:val="00AA0146"/>
    <w:rsid w:val="00AA0A0B"/>
    <w:rsid w:val="00AA1AD0"/>
    <w:rsid w:val="00AA2D6D"/>
    <w:rsid w:val="00AA5B9A"/>
    <w:rsid w:val="00AA625F"/>
    <w:rsid w:val="00AA703C"/>
    <w:rsid w:val="00AB13E7"/>
    <w:rsid w:val="00AB4188"/>
    <w:rsid w:val="00AB4D95"/>
    <w:rsid w:val="00AB581E"/>
    <w:rsid w:val="00AB597B"/>
    <w:rsid w:val="00AB63D0"/>
    <w:rsid w:val="00AC0CAE"/>
    <w:rsid w:val="00AC15BF"/>
    <w:rsid w:val="00AC1DA3"/>
    <w:rsid w:val="00AC3211"/>
    <w:rsid w:val="00AC4078"/>
    <w:rsid w:val="00AC45FD"/>
    <w:rsid w:val="00AC463F"/>
    <w:rsid w:val="00AC51C1"/>
    <w:rsid w:val="00AC5650"/>
    <w:rsid w:val="00AC5A4D"/>
    <w:rsid w:val="00AC6046"/>
    <w:rsid w:val="00AC6D1C"/>
    <w:rsid w:val="00AC6D43"/>
    <w:rsid w:val="00AC70B2"/>
    <w:rsid w:val="00AC742A"/>
    <w:rsid w:val="00AC7BE0"/>
    <w:rsid w:val="00AD13EB"/>
    <w:rsid w:val="00AD27C1"/>
    <w:rsid w:val="00AD2A3D"/>
    <w:rsid w:val="00AD2FDB"/>
    <w:rsid w:val="00AD406F"/>
    <w:rsid w:val="00AD47F7"/>
    <w:rsid w:val="00AD5928"/>
    <w:rsid w:val="00AD7B42"/>
    <w:rsid w:val="00AD7BF6"/>
    <w:rsid w:val="00AD7C6C"/>
    <w:rsid w:val="00AE0A5B"/>
    <w:rsid w:val="00AE0D71"/>
    <w:rsid w:val="00AE166C"/>
    <w:rsid w:val="00AE22C7"/>
    <w:rsid w:val="00AE4837"/>
    <w:rsid w:val="00AE6E21"/>
    <w:rsid w:val="00AE6F3C"/>
    <w:rsid w:val="00AF0CEA"/>
    <w:rsid w:val="00AF2334"/>
    <w:rsid w:val="00AF2C7C"/>
    <w:rsid w:val="00AF4581"/>
    <w:rsid w:val="00AF5355"/>
    <w:rsid w:val="00AF6223"/>
    <w:rsid w:val="00B00061"/>
    <w:rsid w:val="00B007A1"/>
    <w:rsid w:val="00B008E9"/>
    <w:rsid w:val="00B02635"/>
    <w:rsid w:val="00B026C3"/>
    <w:rsid w:val="00B026E1"/>
    <w:rsid w:val="00B04303"/>
    <w:rsid w:val="00B060BC"/>
    <w:rsid w:val="00B07FB4"/>
    <w:rsid w:val="00B10A14"/>
    <w:rsid w:val="00B11E75"/>
    <w:rsid w:val="00B123AE"/>
    <w:rsid w:val="00B142FC"/>
    <w:rsid w:val="00B15D0B"/>
    <w:rsid w:val="00B17D52"/>
    <w:rsid w:val="00B21882"/>
    <w:rsid w:val="00B243A5"/>
    <w:rsid w:val="00B257B4"/>
    <w:rsid w:val="00B260B8"/>
    <w:rsid w:val="00B26953"/>
    <w:rsid w:val="00B26F3C"/>
    <w:rsid w:val="00B3233F"/>
    <w:rsid w:val="00B3247F"/>
    <w:rsid w:val="00B32B6C"/>
    <w:rsid w:val="00B33C19"/>
    <w:rsid w:val="00B34A2E"/>
    <w:rsid w:val="00B350DB"/>
    <w:rsid w:val="00B36AF7"/>
    <w:rsid w:val="00B36F85"/>
    <w:rsid w:val="00B37318"/>
    <w:rsid w:val="00B4074D"/>
    <w:rsid w:val="00B40975"/>
    <w:rsid w:val="00B40AF5"/>
    <w:rsid w:val="00B41A2D"/>
    <w:rsid w:val="00B420E7"/>
    <w:rsid w:val="00B42B0F"/>
    <w:rsid w:val="00B42CCE"/>
    <w:rsid w:val="00B435CF"/>
    <w:rsid w:val="00B436A7"/>
    <w:rsid w:val="00B43A42"/>
    <w:rsid w:val="00B444EE"/>
    <w:rsid w:val="00B446DF"/>
    <w:rsid w:val="00B44D55"/>
    <w:rsid w:val="00B4508A"/>
    <w:rsid w:val="00B46B8F"/>
    <w:rsid w:val="00B52262"/>
    <w:rsid w:val="00B52437"/>
    <w:rsid w:val="00B52491"/>
    <w:rsid w:val="00B54076"/>
    <w:rsid w:val="00B55217"/>
    <w:rsid w:val="00B56BAD"/>
    <w:rsid w:val="00B5729E"/>
    <w:rsid w:val="00B609C3"/>
    <w:rsid w:val="00B60EED"/>
    <w:rsid w:val="00B6113F"/>
    <w:rsid w:val="00B61E24"/>
    <w:rsid w:val="00B6248F"/>
    <w:rsid w:val="00B62A24"/>
    <w:rsid w:val="00B62AA4"/>
    <w:rsid w:val="00B63231"/>
    <w:rsid w:val="00B64F17"/>
    <w:rsid w:val="00B6735C"/>
    <w:rsid w:val="00B70AE3"/>
    <w:rsid w:val="00B713DC"/>
    <w:rsid w:val="00B71757"/>
    <w:rsid w:val="00B71B39"/>
    <w:rsid w:val="00B7274E"/>
    <w:rsid w:val="00B7343D"/>
    <w:rsid w:val="00B768CD"/>
    <w:rsid w:val="00B77C43"/>
    <w:rsid w:val="00B824F2"/>
    <w:rsid w:val="00B82545"/>
    <w:rsid w:val="00B83376"/>
    <w:rsid w:val="00B83804"/>
    <w:rsid w:val="00B83CE4"/>
    <w:rsid w:val="00B84638"/>
    <w:rsid w:val="00B86884"/>
    <w:rsid w:val="00B902A8"/>
    <w:rsid w:val="00B90606"/>
    <w:rsid w:val="00B9077D"/>
    <w:rsid w:val="00B92893"/>
    <w:rsid w:val="00B931FD"/>
    <w:rsid w:val="00B943E5"/>
    <w:rsid w:val="00B94610"/>
    <w:rsid w:val="00B946FA"/>
    <w:rsid w:val="00B96EEE"/>
    <w:rsid w:val="00BA6174"/>
    <w:rsid w:val="00BA6D3D"/>
    <w:rsid w:val="00BA7BC3"/>
    <w:rsid w:val="00BB05C8"/>
    <w:rsid w:val="00BB081A"/>
    <w:rsid w:val="00BB320E"/>
    <w:rsid w:val="00BB4521"/>
    <w:rsid w:val="00BB5732"/>
    <w:rsid w:val="00BB5F20"/>
    <w:rsid w:val="00BB622C"/>
    <w:rsid w:val="00BC025E"/>
    <w:rsid w:val="00BC38FA"/>
    <w:rsid w:val="00BC50E2"/>
    <w:rsid w:val="00BC6889"/>
    <w:rsid w:val="00BD0B99"/>
    <w:rsid w:val="00BD0DFE"/>
    <w:rsid w:val="00BD2582"/>
    <w:rsid w:val="00BD4217"/>
    <w:rsid w:val="00BD65EA"/>
    <w:rsid w:val="00BE174C"/>
    <w:rsid w:val="00BE36AA"/>
    <w:rsid w:val="00BE4430"/>
    <w:rsid w:val="00BE6DFE"/>
    <w:rsid w:val="00BE7043"/>
    <w:rsid w:val="00BE7107"/>
    <w:rsid w:val="00BE7112"/>
    <w:rsid w:val="00BE749F"/>
    <w:rsid w:val="00BE7805"/>
    <w:rsid w:val="00BE794E"/>
    <w:rsid w:val="00BF1C35"/>
    <w:rsid w:val="00BF455E"/>
    <w:rsid w:val="00BF5AC2"/>
    <w:rsid w:val="00BF72BF"/>
    <w:rsid w:val="00BF7AE8"/>
    <w:rsid w:val="00C01107"/>
    <w:rsid w:val="00C01847"/>
    <w:rsid w:val="00C02683"/>
    <w:rsid w:val="00C02FDE"/>
    <w:rsid w:val="00C02FF8"/>
    <w:rsid w:val="00C03384"/>
    <w:rsid w:val="00C033FA"/>
    <w:rsid w:val="00C03571"/>
    <w:rsid w:val="00C03D01"/>
    <w:rsid w:val="00C03E3E"/>
    <w:rsid w:val="00C05CB1"/>
    <w:rsid w:val="00C0704C"/>
    <w:rsid w:val="00C074A6"/>
    <w:rsid w:val="00C11CB2"/>
    <w:rsid w:val="00C1232D"/>
    <w:rsid w:val="00C12EDC"/>
    <w:rsid w:val="00C13E3D"/>
    <w:rsid w:val="00C14C0E"/>
    <w:rsid w:val="00C14C24"/>
    <w:rsid w:val="00C15540"/>
    <w:rsid w:val="00C1697E"/>
    <w:rsid w:val="00C16E0B"/>
    <w:rsid w:val="00C2131D"/>
    <w:rsid w:val="00C223FD"/>
    <w:rsid w:val="00C230FB"/>
    <w:rsid w:val="00C23DF9"/>
    <w:rsid w:val="00C27FED"/>
    <w:rsid w:val="00C302B1"/>
    <w:rsid w:val="00C30471"/>
    <w:rsid w:val="00C3078B"/>
    <w:rsid w:val="00C3266B"/>
    <w:rsid w:val="00C32C2C"/>
    <w:rsid w:val="00C3310D"/>
    <w:rsid w:val="00C3497C"/>
    <w:rsid w:val="00C36D1E"/>
    <w:rsid w:val="00C37446"/>
    <w:rsid w:val="00C40A2C"/>
    <w:rsid w:val="00C41C72"/>
    <w:rsid w:val="00C42E3D"/>
    <w:rsid w:val="00C4302E"/>
    <w:rsid w:val="00C43C04"/>
    <w:rsid w:val="00C444C5"/>
    <w:rsid w:val="00C454DA"/>
    <w:rsid w:val="00C45D59"/>
    <w:rsid w:val="00C45F70"/>
    <w:rsid w:val="00C46867"/>
    <w:rsid w:val="00C50195"/>
    <w:rsid w:val="00C50330"/>
    <w:rsid w:val="00C5368F"/>
    <w:rsid w:val="00C564B6"/>
    <w:rsid w:val="00C5687F"/>
    <w:rsid w:val="00C56BEB"/>
    <w:rsid w:val="00C56BF3"/>
    <w:rsid w:val="00C57506"/>
    <w:rsid w:val="00C62575"/>
    <w:rsid w:val="00C64EEA"/>
    <w:rsid w:val="00C65F47"/>
    <w:rsid w:val="00C6679B"/>
    <w:rsid w:val="00C70582"/>
    <w:rsid w:val="00C71A72"/>
    <w:rsid w:val="00C71BED"/>
    <w:rsid w:val="00C74C67"/>
    <w:rsid w:val="00C752E5"/>
    <w:rsid w:val="00C76A1A"/>
    <w:rsid w:val="00C80903"/>
    <w:rsid w:val="00C832DF"/>
    <w:rsid w:val="00C8344B"/>
    <w:rsid w:val="00C924E3"/>
    <w:rsid w:val="00C94813"/>
    <w:rsid w:val="00C94DBF"/>
    <w:rsid w:val="00CA0A01"/>
    <w:rsid w:val="00CA1834"/>
    <w:rsid w:val="00CA1B0A"/>
    <w:rsid w:val="00CA2524"/>
    <w:rsid w:val="00CA2B6F"/>
    <w:rsid w:val="00CA2E3C"/>
    <w:rsid w:val="00CA346C"/>
    <w:rsid w:val="00CA3631"/>
    <w:rsid w:val="00CA4D06"/>
    <w:rsid w:val="00CA54CC"/>
    <w:rsid w:val="00CA5A05"/>
    <w:rsid w:val="00CA5BB0"/>
    <w:rsid w:val="00CA75CA"/>
    <w:rsid w:val="00CA7DBC"/>
    <w:rsid w:val="00CA7DFA"/>
    <w:rsid w:val="00CB0309"/>
    <w:rsid w:val="00CB070A"/>
    <w:rsid w:val="00CB095B"/>
    <w:rsid w:val="00CB0ACF"/>
    <w:rsid w:val="00CB0DD6"/>
    <w:rsid w:val="00CB12B3"/>
    <w:rsid w:val="00CB1EA8"/>
    <w:rsid w:val="00CB36A9"/>
    <w:rsid w:val="00CB3C6B"/>
    <w:rsid w:val="00CB3F1D"/>
    <w:rsid w:val="00CB49B8"/>
    <w:rsid w:val="00CB62A3"/>
    <w:rsid w:val="00CB706B"/>
    <w:rsid w:val="00CB72A9"/>
    <w:rsid w:val="00CB7A26"/>
    <w:rsid w:val="00CC374C"/>
    <w:rsid w:val="00CC5CD4"/>
    <w:rsid w:val="00CC5EAA"/>
    <w:rsid w:val="00CC5F4A"/>
    <w:rsid w:val="00CC6481"/>
    <w:rsid w:val="00CC75E0"/>
    <w:rsid w:val="00CC76D2"/>
    <w:rsid w:val="00CD0950"/>
    <w:rsid w:val="00CD098B"/>
    <w:rsid w:val="00CD12BA"/>
    <w:rsid w:val="00CD14C3"/>
    <w:rsid w:val="00CD26B7"/>
    <w:rsid w:val="00CD2701"/>
    <w:rsid w:val="00CD3B36"/>
    <w:rsid w:val="00CD40E3"/>
    <w:rsid w:val="00CD4477"/>
    <w:rsid w:val="00CD53F3"/>
    <w:rsid w:val="00CD5592"/>
    <w:rsid w:val="00CD5A26"/>
    <w:rsid w:val="00CD5A63"/>
    <w:rsid w:val="00CD5E57"/>
    <w:rsid w:val="00CD684F"/>
    <w:rsid w:val="00CD6D7E"/>
    <w:rsid w:val="00CD6F0F"/>
    <w:rsid w:val="00CE0357"/>
    <w:rsid w:val="00CE0377"/>
    <w:rsid w:val="00CE0EDE"/>
    <w:rsid w:val="00CE0F56"/>
    <w:rsid w:val="00CE144F"/>
    <w:rsid w:val="00CE2729"/>
    <w:rsid w:val="00CE3C44"/>
    <w:rsid w:val="00CE42E5"/>
    <w:rsid w:val="00CE4A4B"/>
    <w:rsid w:val="00CE4D56"/>
    <w:rsid w:val="00CE4FA7"/>
    <w:rsid w:val="00CE50A5"/>
    <w:rsid w:val="00CE5F72"/>
    <w:rsid w:val="00CE7ECF"/>
    <w:rsid w:val="00CF0238"/>
    <w:rsid w:val="00CF0369"/>
    <w:rsid w:val="00CF0DF1"/>
    <w:rsid w:val="00CF2335"/>
    <w:rsid w:val="00CF2D9C"/>
    <w:rsid w:val="00CF2E01"/>
    <w:rsid w:val="00CF37B7"/>
    <w:rsid w:val="00CF38B1"/>
    <w:rsid w:val="00CF38F3"/>
    <w:rsid w:val="00CF6228"/>
    <w:rsid w:val="00CF6942"/>
    <w:rsid w:val="00CF69A5"/>
    <w:rsid w:val="00D020AA"/>
    <w:rsid w:val="00D02D38"/>
    <w:rsid w:val="00D032A4"/>
    <w:rsid w:val="00D0362E"/>
    <w:rsid w:val="00D03CB4"/>
    <w:rsid w:val="00D03D2C"/>
    <w:rsid w:val="00D059BD"/>
    <w:rsid w:val="00D0713A"/>
    <w:rsid w:val="00D074F2"/>
    <w:rsid w:val="00D0767E"/>
    <w:rsid w:val="00D07AB1"/>
    <w:rsid w:val="00D106A6"/>
    <w:rsid w:val="00D113B4"/>
    <w:rsid w:val="00D1151A"/>
    <w:rsid w:val="00D11CE1"/>
    <w:rsid w:val="00D13953"/>
    <w:rsid w:val="00D140A8"/>
    <w:rsid w:val="00D14767"/>
    <w:rsid w:val="00D15C05"/>
    <w:rsid w:val="00D175C6"/>
    <w:rsid w:val="00D175DB"/>
    <w:rsid w:val="00D20542"/>
    <w:rsid w:val="00D20D2C"/>
    <w:rsid w:val="00D20E63"/>
    <w:rsid w:val="00D2160C"/>
    <w:rsid w:val="00D22EF2"/>
    <w:rsid w:val="00D23030"/>
    <w:rsid w:val="00D24834"/>
    <w:rsid w:val="00D24A89"/>
    <w:rsid w:val="00D24DB3"/>
    <w:rsid w:val="00D26A9C"/>
    <w:rsid w:val="00D26DF2"/>
    <w:rsid w:val="00D27AAE"/>
    <w:rsid w:val="00D306C0"/>
    <w:rsid w:val="00D32E7C"/>
    <w:rsid w:val="00D332CD"/>
    <w:rsid w:val="00D34338"/>
    <w:rsid w:val="00D355D9"/>
    <w:rsid w:val="00D3640E"/>
    <w:rsid w:val="00D36C06"/>
    <w:rsid w:val="00D40AA6"/>
    <w:rsid w:val="00D41ACE"/>
    <w:rsid w:val="00D43084"/>
    <w:rsid w:val="00D437BA"/>
    <w:rsid w:val="00D43D2A"/>
    <w:rsid w:val="00D4466F"/>
    <w:rsid w:val="00D44E9B"/>
    <w:rsid w:val="00D44FB2"/>
    <w:rsid w:val="00D513C9"/>
    <w:rsid w:val="00D535E5"/>
    <w:rsid w:val="00D53F7F"/>
    <w:rsid w:val="00D556DA"/>
    <w:rsid w:val="00D565E3"/>
    <w:rsid w:val="00D56A79"/>
    <w:rsid w:val="00D6058F"/>
    <w:rsid w:val="00D60DB8"/>
    <w:rsid w:val="00D61249"/>
    <w:rsid w:val="00D61458"/>
    <w:rsid w:val="00D61F7A"/>
    <w:rsid w:val="00D6235F"/>
    <w:rsid w:val="00D627CE"/>
    <w:rsid w:val="00D62ADE"/>
    <w:rsid w:val="00D63D7F"/>
    <w:rsid w:val="00D64AF0"/>
    <w:rsid w:val="00D65B60"/>
    <w:rsid w:val="00D65C22"/>
    <w:rsid w:val="00D6632E"/>
    <w:rsid w:val="00D66F73"/>
    <w:rsid w:val="00D67641"/>
    <w:rsid w:val="00D705C3"/>
    <w:rsid w:val="00D70C65"/>
    <w:rsid w:val="00D71474"/>
    <w:rsid w:val="00D71A19"/>
    <w:rsid w:val="00D725AD"/>
    <w:rsid w:val="00D74EE0"/>
    <w:rsid w:val="00D75B99"/>
    <w:rsid w:val="00D7777E"/>
    <w:rsid w:val="00D80416"/>
    <w:rsid w:val="00D80FA9"/>
    <w:rsid w:val="00D82E5C"/>
    <w:rsid w:val="00D84153"/>
    <w:rsid w:val="00D84C3D"/>
    <w:rsid w:val="00D86122"/>
    <w:rsid w:val="00D86440"/>
    <w:rsid w:val="00D90782"/>
    <w:rsid w:val="00D915D5"/>
    <w:rsid w:val="00D91800"/>
    <w:rsid w:val="00D92836"/>
    <w:rsid w:val="00D92EFC"/>
    <w:rsid w:val="00D940A9"/>
    <w:rsid w:val="00D96BD1"/>
    <w:rsid w:val="00D96DF5"/>
    <w:rsid w:val="00D97D38"/>
    <w:rsid w:val="00D97F82"/>
    <w:rsid w:val="00DA0286"/>
    <w:rsid w:val="00DA0683"/>
    <w:rsid w:val="00DA0A6A"/>
    <w:rsid w:val="00DA0D85"/>
    <w:rsid w:val="00DA12F5"/>
    <w:rsid w:val="00DA160B"/>
    <w:rsid w:val="00DA1F74"/>
    <w:rsid w:val="00DA1FE0"/>
    <w:rsid w:val="00DA2BE9"/>
    <w:rsid w:val="00DA2D36"/>
    <w:rsid w:val="00DA30A6"/>
    <w:rsid w:val="00DA431C"/>
    <w:rsid w:val="00DA4DA8"/>
    <w:rsid w:val="00DA5BCB"/>
    <w:rsid w:val="00DA704D"/>
    <w:rsid w:val="00DA707C"/>
    <w:rsid w:val="00DA7BF3"/>
    <w:rsid w:val="00DA7CE5"/>
    <w:rsid w:val="00DB0018"/>
    <w:rsid w:val="00DB007E"/>
    <w:rsid w:val="00DB0BA9"/>
    <w:rsid w:val="00DB3A53"/>
    <w:rsid w:val="00DB4D18"/>
    <w:rsid w:val="00DB51B3"/>
    <w:rsid w:val="00DB6737"/>
    <w:rsid w:val="00DB6BFB"/>
    <w:rsid w:val="00DB76D6"/>
    <w:rsid w:val="00DC21A0"/>
    <w:rsid w:val="00DC4D5B"/>
    <w:rsid w:val="00DC73DB"/>
    <w:rsid w:val="00DC7433"/>
    <w:rsid w:val="00DD366A"/>
    <w:rsid w:val="00DD4183"/>
    <w:rsid w:val="00DD57C7"/>
    <w:rsid w:val="00DD5FDE"/>
    <w:rsid w:val="00DD68DD"/>
    <w:rsid w:val="00DD69E1"/>
    <w:rsid w:val="00DD70D8"/>
    <w:rsid w:val="00DD762A"/>
    <w:rsid w:val="00DD7C99"/>
    <w:rsid w:val="00DD7FBE"/>
    <w:rsid w:val="00DE048E"/>
    <w:rsid w:val="00DE0543"/>
    <w:rsid w:val="00DE05ED"/>
    <w:rsid w:val="00DE14FF"/>
    <w:rsid w:val="00DE15B9"/>
    <w:rsid w:val="00DE20B7"/>
    <w:rsid w:val="00DE2412"/>
    <w:rsid w:val="00DE3F72"/>
    <w:rsid w:val="00DE43A1"/>
    <w:rsid w:val="00DF1EA6"/>
    <w:rsid w:val="00DF1F5E"/>
    <w:rsid w:val="00DF368F"/>
    <w:rsid w:val="00DF3CD9"/>
    <w:rsid w:val="00DF54FA"/>
    <w:rsid w:val="00DF6FF2"/>
    <w:rsid w:val="00E007F9"/>
    <w:rsid w:val="00E00F2C"/>
    <w:rsid w:val="00E02A1B"/>
    <w:rsid w:val="00E02A3B"/>
    <w:rsid w:val="00E02CA3"/>
    <w:rsid w:val="00E03B34"/>
    <w:rsid w:val="00E04258"/>
    <w:rsid w:val="00E05AC1"/>
    <w:rsid w:val="00E05F7C"/>
    <w:rsid w:val="00E06A87"/>
    <w:rsid w:val="00E109BD"/>
    <w:rsid w:val="00E10F9B"/>
    <w:rsid w:val="00E12127"/>
    <w:rsid w:val="00E12851"/>
    <w:rsid w:val="00E13441"/>
    <w:rsid w:val="00E13D1C"/>
    <w:rsid w:val="00E14493"/>
    <w:rsid w:val="00E14D36"/>
    <w:rsid w:val="00E14F34"/>
    <w:rsid w:val="00E1671C"/>
    <w:rsid w:val="00E16AAE"/>
    <w:rsid w:val="00E17431"/>
    <w:rsid w:val="00E179D5"/>
    <w:rsid w:val="00E22075"/>
    <w:rsid w:val="00E2512B"/>
    <w:rsid w:val="00E257E1"/>
    <w:rsid w:val="00E25C6F"/>
    <w:rsid w:val="00E3098A"/>
    <w:rsid w:val="00E30B5A"/>
    <w:rsid w:val="00E31845"/>
    <w:rsid w:val="00E339BA"/>
    <w:rsid w:val="00E41003"/>
    <w:rsid w:val="00E41DF4"/>
    <w:rsid w:val="00E41FB6"/>
    <w:rsid w:val="00E42D83"/>
    <w:rsid w:val="00E43FE4"/>
    <w:rsid w:val="00E44DC7"/>
    <w:rsid w:val="00E47FDC"/>
    <w:rsid w:val="00E50668"/>
    <w:rsid w:val="00E513A8"/>
    <w:rsid w:val="00E53895"/>
    <w:rsid w:val="00E57476"/>
    <w:rsid w:val="00E60D2B"/>
    <w:rsid w:val="00E61265"/>
    <w:rsid w:val="00E61DC9"/>
    <w:rsid w:val="00E624B0"/>
    <w:rsid w:val="00E62CB2"/>
    <w:rsid w:val="00E63D92"/>
    <w:rsid w:val="00E655C9"/>
    <w:rsid w:val="00E6640F"/>
    <w:rsid w:val="00E70D7C"/>
    <w:rsid w:val="00E71426"/>
    <w:rsid w:val="00E7167A"/>
    <w:rsid w:val="00E719D0"/>
    <w:rsid w:val="00E73DD0"/>
    <w:rsid w:val="00E76054"/>
    <w:rsid w:val="00E773B0"/>
    <w:rsid w:val="00E8012C"/>
    <w:rsid w:val="00E81862"/>
    <w:rsid w:val="00E81ED1"/>
    <w:rsid w:val="00E83113"/>
    <w:rsid w:val="00E83B9D"/>
    <w:rsid w:val="00E85725"/>
    <w:rsid w:val="00E864AD"/>
    <w:rsid w:val="00E87E37"/>
    <w:rsid w:val="00E90D15"/>
    <w:rsid w:val="00E90EA0"/>
    <w:rsid w:val="00E91495"/>
    <w:rsid w:val="00E94538"/>
    <w:rsid w:val="00E94E3E"/>
    <w:rsid w:val="00E952D8"/>
    <w:rsid w:val="00E963FB"/>
    <w:rsid w:val="00E9743F"/>
    <w:rsid w:val="00E979F1"/>
    <w:rsid w:val="00EA1E63"/>
    <w:rsid w:val="00EA2B9C"/>
    <w:rsid w:val="00EA2ED6"/>
    <w:rsid w:val="00EA7D92"/>
    <w:rsid w:val="00EB0AD1"/>
    <w:rsid w:val="00EB1DD2"/>
    <w:rsid w:val="00EB22BD"/>
    <w:rsid w:val="00EB22F3"/>
    <w:rsid w:val="00EB579A"/>
    <w:rsid w:val="00EB6C27"/>
    <w:rsid w:val="00EC049E"/>
    <w:rsid w:val="00EC0979"/>
    <w:rsid w:val="00EC128F"/>
    <w:rsid w:val="00EC1850"/>
    <w:rsid w:val="00EC252D"/>
    <w:rsid w:val="00EC3016"/>
    <w:rsid w:val="00EC3D61"/>
    <w:rsid w:val="00EC67FF"/>
    <w:rsid w:val="00EC6D94"/>
    <w:rsid w:val="00EC7EF1"/>
    <w:rsid w:val="00ED16B6"/>
    <w:rsid w:val="00ED1D59"/>
    <w:rsid w:val="00ED2A6D"/>
    <w:rsid w:val="00ED2C29"/>
    <w:rsid w:val="00ED3352"/>
    <w:rsid w:val="00ED385A"/>
    <w:rsid w:val="00ED48FC"/>
    <w:rsid w:val="00ED612A"/>
    <w:rsid w:val="00ED6394"/>
    <w:rsid w:val="00ED6BE2"/>
    <w:rsid w:val="00ED747D"/>
    <w:rsid w:val="00ED7667"/>
    <w:rsid w:val="00EE279A"/>
    <w:rsid w:val="00EE3876"/>
    <w:rsid w:val="00EE46DB"/>
    <w:rsid w:val="00EF00A1"/>
    <w:rsid w:val="00EF1F18"/>
    <w:rsid w:val="00EF5E42"/>
    <w:rsid w:val="00EF650A"/>
    <w:rsid w:val="00EF6F56"/>
    <w:rsid w:val="00EF7EAE"/>
    <w:rsid w:val="00F001D2"/>
    <w:rsid w:val="00F00536"/>
    <w:rsid w:val="00F011D4"/>
    <w:rsid w:val="00F0160A"/>
    <w:rsid w:val="00F02941"/>
    <w:rsid w:val="00F04446"/>
    <w:rsid w:val="00F05967"/>
    <w:rsid w:val="00F06D8E"/>
    <w:rsid w:val="00F10CB3"/>
    <w:rsid w:val="00F12602"/>
    <w:rsid w:val="00F144A5"/>
    <w:rsid w:val="00F1465A"/>
    <w:rsid w:val="00F15806"/>
    <w:rsid w:val="00F15F5D"/>
    <w:rsid w:val="00F16891"/>
    <w:rsid w:val="00F20980"/>
    <w:rsid w:val="00F20C0A"/>
    <w:rsid w:val="00F21B30"/>
    <w:rsid w:val="00F22A1E"/>
    <w:rsid w:val="00F23836"/>
    <w:rsid w:val="00F24C97"/>
    <w:rsid w:val="00F25677"/>
    <w:rsid w:val="00F30346"/>
    <w:rsid w:val="00F30541"/>
    <w:rsid w:val="00F312AA"/>
    <w:rsid w:val="00F31AC6"/>
    <w:rsid w:val="00F31FF7"/>
    <w:rsid w:val="00F32390"/>
    <w:rsid w:val="00F32B24"/>
    <w:rsid w:val="00F34168"/>
    <w:rsid w:val="00F36061"/>
    <w:rsid w:val="00F408B1"/>
    <w:rsid w:val="00F40FCE"/>
    <w:rsid w:val="00F4105F"/>
    <w:rsid w:val="00F41706"/>
    <w:rsid w:val="00F43C61"/>
    <w:rsid w:val="00F443BF"/>
    <w:rsid w:val="00F446E0"/>
    <w:rsid w:val="00F446EC"/>
    <w:rsid w:val="00F44AD6"/>
    <w:rsid w:val="00F44CC4"/>
    <w:rsid w:val="00F45B8C"/>
    <w:rsid w:val="00F4644E"/>
    <w:rsid w:val="00F46499"/>
    <w:rsid w:val="00F46BC7"/>
    <w:rsid w:val="00F471B5"/>
    <w:rsid w:val="00F477BC"/>
    <w:rsid w:val="00F53D38"/>
    <w:rsid w:val="00F53E49"/>
    <w:rsid w:val="00F57583"/>
    <w:rsid w:val="00F57608"/>
    <w:rsid w:val="00F60324"/>
    <w:rsid w:val="00F60689"/>
    <w:rsid w:val="00F61137"/>
    <w:rsid w:val="00F615E9"/>
    <w:rsid w:val="00F6169C"/>
    <w:rsid w:val="00F61EF8"/>
    <w:rsid w:val="00F62553"/>
    <w:rsid w:val="00F63139"/>
    <w:rsid w:val="00F636FD"/>
    <w:rsid w:val="00F65EDC"/>
    <w:rsid w:val="00F66044"/>
    <w:rsid w:val="00F66300"/>
    <w:rsid w:val="00F6654F"/>
    <w:rsid w:val="00F670C1"/>
    <w:rsid w:val="00F7007F"/>
    <w:rsid w:val="00F70A04"/>
    <w:rsid w:val="00F71425"/>
    <w:rsid w:val="00F7228D"/>
    <w:rsid w:val="00F728E2"/>
    <w:rsid w:val="00F738C0"/>
    <w:rsid w:val="00F747A3"/>
    <w:rsid w:val="00F75540"/>
    <w:rsid w:val="00F7656B"/>
    <w:rsid w:val="00F76685"/>
    <w:rsid w:val="00F76CA1"/>
    <w:rsid w:val="00F777D0"/>
    <w:rsid w:val="00F80B8B"/>
    <w:rsid w:val="00F81A3C"/>
    <w:rsid w:val="00F81C86"/>
    <w:rsid w:val="00F81CB0"/>
    <w:rsid w:val="00F854C3"/>
    <w:rsid w:val="00F860FC"/>
    <w:rsid w:val="00F87493"/>
    <w:rsid w:val="00F8760A"/>
    <w:rsid w:val="00F879EA"/>
    <w:rsid w:val="00F87A94"/>
    <w:rsid w:val="00F90E8C"/>
    <w:rsid w:val="00F92BA5"/>
    <w:rsid w:val="00F949EF"/>
    <w:rsid w:val="00F95609"/>
    <w:rsid w:val="00F96F33"/>
    <w:rsid w:val="00FA0671"/>
    <w:rsid w:val="00FA07CF"/>
    <w:rsid w:val="00FA0F40"/>
    <w:rsid w:val="00FA19AA"/>
    <w:rsid w:val="00FA2688"/>
    <w:rsid w:val="00FA2A5B"/>
    <w:rsid w:val="00FA3BB0"/>
    <w:rsid w:val="00FA4154"/>
    <w:rsid w:val="00FA419F"/>
    <w:rsid w:val="00FA4867"/>
    <w:rsid w:val="00FA4D74"/>
    <w:rsid w:val="00FA556D"/>
    <w:rsid w:val="00FA56AF"/>
    <w:rsid w:val="00FA6132"/>
    <w:rsid w:val="00FA66C8"/>
    <w:rsid w:val="00FA713F"/>
    <w:rsid w:val="00FB0B4E"/>
    <w:rsid w:val="00FB116C"/>
    <w:rsid w:val="00FB4577"/>
    <w:rsid w:val="00FB46B4"/>
    <w:rsid w:val="00FB7D13"/>
    <w:rsid w:val="00FC0624"/>
    <w:rsid w:val="00FC1E37"/>
    <w:rsid w:val="00FC22F3"/>
    <w:rsid w:val="00FC2897"/>
    <w:rsid w:val="00FC5143"/>
    <w:rsid w:val="00FC68A8"/>
    <w:rsid w:val="00FC6CEA"/>
    <w:rsid w:val="00FC6CEF"/>
    <w:rsid w:val="00FC7AB1"/>
    <w:rsid w:val="00FC7F38"/>
    <w:rsid w:val="00FD027A"/>
    <w:rsid w:val="00FD07ED"/>
    <w:rsid w:val="00FD0EB3"/>
    <w:rsid w:val="00FD2113"/>
    <w:rsid w:val="00FD21A6"/>
    <w:rsid w:val="00FD4CC9"/>
    <w:rsid w:val="00FD4D64"/>
    <w:rsid w:val="00FD72C2"/>
    <w:rsid w:val="00FE04B7"/>
    <w:rsid w:val="00FE14ED"/>
    <w:rsid w:val="00FE4D50"/>
    <w:rsid w:val="00FE5C60"/>
    <w:rsid w:val="00FE6FAB"/>
    <w:rsid w:val="00FE76B0"/>
    <w:rsid w:val="00FF0427"/>
    <w:rsid w:val="00FF1061"/>
    <w:rsid w:val="00FF132E"/>
    <w:rsid w:val="00FF27E6"/>
    <w:rsid w:val="00FF3120"/>
    <w:rsid w:val="00FF3561"/>
    <w:rsid w:val="00FF3649"/>
    <w:rsid w:val="00FF526F"/>
    <w:rsid w:val="00FF7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index heading" w:unhideWhenUsed="1"/>
    <w:lsdException w:name="caption" w:semiHidden="0" w:uiPriority="0" w:qFormat="1"/>
    <w:lsdException w:name="table of figures" w:unhideWhenUsed="1"/>
    <w:lsdException w:name="envelope address" w:unhideWhenUsed="1"/>
    <w:lsdException w:name="envelope return" w:unhideWhenUsed="1"/>
    <w:lsdException w:name="footnote reference"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lsdException w:name="Body Text 3" w:unhideWhenUsed="1"/>
    <w:lsdException w:name="Body Text Indent 2" w:uiPriority="0"/>
    <w:lsdException w:name="Body Text Indent 3" w:uiPriority="0"/>
    <w:lsdException w:name="Block Text" w:unhideWhenUsed="1"/>
    <w:lsdException w:name="FollowedHyperlink" w:uiPriority="0"/>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iPriority="0"/>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iPriority="0"/>
    <w:lsdException w:name="Table List 1" w:uiPriority="0"/>
    <w:lsdException w:name="Table List 2" w:unhideWhenUsed="1"/>
    <w:lsdException w:name="Table List 3" w:unhideWhenUsed="1"/>
    <w:lsdException w:name="Table List 4" w:unhideWhenUsed="1"/>
    <w:lsdException w:name="Table List 5" w:unhideWhenUsed="1"/>
    <w:lsdException w:name="Table List 6" w:uiPriority="0"/>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iPriority="0"/>
    <w:lsdException w:name="Table Subtle 1" w:unhideWhenUsed="1"/>
    <w:lsdException w:name="Table Subtle 2" w:unhideWhenUsed="1"/>
    <w:lsdException w:name="Table Web 1" w:unhideWhenUsed="1"/>
    <w:lsdException w:name="Table Web 2" w:unhideWhenUsed="1"/>
    <w:lsdException w:name="Table Web 3" w:uiPriority="0"/>
    <w:lsdException w:name="Balloon Text" w:uiPriority="0"/>
    <w:lsdException w:name="Table Grid" w:semiHidden="0" w:uiPriority="0"/>
    <w:lsdException w:name="Table Theme"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qFormat="1"/>
    <w:lsdException w:name="Bibliography" w:uiPriority="37" w:unhideWhenUsed="1"/>
    <w:lsdException w:name="TOC Heading" w:uiPriority="39" w:unhideWhenUsed="1" w:qFormat="1"/>
  </w:latentStyles>
  <w:style w:type="paragraph" w:default="1" w:styleId="Normal">
    <w:name w:val="Normal"/>
    <w:qFormat/>
    <w:rsid w:val="006410E3"/>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b/>
      <w:bCs/>
      <w:sz w:val="16"/>
      <w:szCs w:val="16"/>
    </w:rPr>
  </w:style>
  <w:style w:type="paragraph" w:styleId="Heading2">
    <w:name w:val="heading 2"/>
    <w:aliases w:val="Char"/>
    <w:basedOn w:val="Normal"/>
    <w:next w:val="Normal"/>
    <w:link w:val="Heading2Char"/>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b/>
      <w:bCs/>
      <w:sz w:val="16"/>
      <w:szCs w:val="16"/>
      <w:lang w:eastAsia="ar-SA"/>
    </w:rPr>
  </w:style>
  <w:style w:type="character" w:customStyle="1" w:styleId="Heading2Char">
    <w:name w:val="Heading 2 Char"/>
    <w:aliases w:val="Char Char"/>
    <w:link w:val="Heading2"/>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uiPriority w:val="99"/>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w:basedOn w:val="Normal"/>
    <w:link w:val="BodyTextChar"/>
    <w:rsid w:val="00561610"/>
    <w:pPr>
      <w:jc w:val="both"/>
    </w:pPr>
    <w:rPr>
      <w:lang w:val="sr-Latn-CS"/>
    </w:rPr>
  </w:style>
  <w:style w:type="character" w:customStyle="1" w:styleId="BodyTextChar">
    <w:name w:val="Body Text Char"/>
    <w:aliases w:val="Char1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semiHidden/>
    <w:rsid w:val="0015027B"/>
    <w:rPr>
      <w:sz w:val="20"/>
      <w:szCs w:val="2"/>
    </w:rPr>
  </w:style>
  <w:style w:type="character" w:customStyle="1" w:styleId="BalloonTextChar">
    <w:name w:val="Balloon Text Char"/>
    <w:link w:val="BalloonText"/>
    <w:semiHidden/>
    <w:rsid w:val="0015027B"/>
    <w:rPr>
      <w:szCs w:val="2"/>
      <w:lang w:eastAsia="ar-SA"/>
    </w:rPr>
  </w:style>
  <w:style w:type="paragraph" w:styleId="Title">
    <w:name w:val="Title"/>
    <w:basedOn w:val="Normal"/>
    <w:next w:val="Subtitle"/>
    <w:link w:val="TitleChar"/>
    <w:qFormat/>
    <w:rsid w:val="00561610"/>
    <w:pPr>
      <w:jc w:val="center"/>
    </w:pPr>
    <w:rPr>
      <w:rFonts w:ascii="Cambria" w:hAnsi="Cambria" w:cs="Cambria"/>
      <w:b/>
      <w:bCs/>
      <w:kern w:val="28"/>
      <w:sz w:val="32"/>
      <w:szCs w:val="32"/>
    </w:rPr>
  </w:style>
  <w:style w:type="paragraph" w:styleId="Subtitle">
    <w:name w:val="Subtitle"/>
    <w:basedOn w:val="Heading"/>
    <w:next w:val="BodyText"/>
    <w:link w:val="SubtitleChar"/>
    <w:uiPriority w:val="11"/>
    <w:qFormat/>
    <w:rsid w:val="00561610"/>
    <w:pPr>
      <w:jc w:val="center"/>
    </w:pPr>
    <w:rPr>
      <w:rFonts w:ascii="Cambria" w:eastAsia="Times New Roman" w:hAnsi="Cambria" w:cs="Cambria"/>
      <w:sz w:val="24"/>
      <w:szCs w:val="24"/>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semiHidden/>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sz w:val="16"/>
      <w:szCs w:val="16"/>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rsid w:val="00D106A6"/>
    <w:pPr>
      <w:tabs>
        <w:tab w:val="left" w:pos="-720"/>
      </w:tabs>
    </w:pPr>
    <w:rPr>
      <w:rFonts w:ascii="Helvetica 11pt" w:hAnsi="Helvetica 11pt"/>
      <w:snapToGrid w:val="0"/>
    </w:rPr>
  </w:style>
  <w:style w:type="character" w:customStyle="1" w:styleId="CommentTextChar">
    <w:name w:val="Comment Text Char"/>
    <w:link w:val="CommentText"/>
    <w:uiPriority w:val="99"/>
    <w:rsid w:val="00385EE5"/>
    <w:rPr>
      <w:rFonts w:ascii="Helvetica 11pt" w:hAnsi="Helvetica 11pt" w:cs="Helvetica 11pt"/>
      <w:snapToGrid/>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jc w:val="left"/>
    </w:pPr>
    <w:rPr>
      <w:rFonts w:ascii="Tahoma" w:hAnsi="Tahoma" w:cs="Tahoma"/>
      <w:b w:val="0"/>
      <w:bCs w:val="0"/>
      <w:sz w:val="24"/>
      <w:szCs w:val="24"/>
    </w:rPr>
  </w:style>
  <w:style w:type="character" w:styleId="LineNumber">
    <w:name w:val="line number"/>
    <w:basedOn w:val="DefaultParagraphFont"/>
    <w:uiPriority w:val="99"/>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sz w:val="22"/>
      <w:szCs w:val="22"/>
    </w:rPr>
  </w:style>
  <w:style w:type="character" w:customStyle="1" w:styleId="NoSpacingChar">
    <w:name w:val="No Spacing Char"/>
    <w:link w:val="NoSpacing"/>
    <w:uiPriority w:val="1"/>
    <w:rsid w:val="00D3640E"/>
    <w:rPr>
      <w:rFonts w:ascii="Calibri" w:hAnsi="Calibri"/>
      <w:sz w:val="22"/>
      <w:szCs w:val="22"/>
      <w:lang w:val="en-US" w:eastAsia="en-US" w:bidi="ar-SA"/>
    </w:rPr>
  </w:style>
  <w:style w:type="character" w:styleId="FollowedHyperlink">
    <w:name w:val="FollowedHyperlink"/>
    <w:rsid w:val="00BE6DFE"/>
    <w:rPr>
      <w:rFonts w:ascii="Verdana" w:hAnsi="Verdana"/>
      <w:color w:val="auto"/>
      <w:sz w:val="20"/>
      <w:szCs w:val="2"/>
      <w:u w:val="single"/>
      <w:lang w:eastAsia="ar-SA"/>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BE6DFE"/>
    <w:rPr>
      <w:rFonts w:ascii="Verdana" w:hAnsi="Verdana" w:cs="Helvetica 11pt"/>
      <w:snapToGrid/>
      <w:sz w:val="20"/>
      <w:szCs w:val="16"/>
    </w:rPr>
  </w:style>
  <w:style w:type="paragraph" w:styleId="CommentSubject">
    <w:name w:val="annotation subject"/>
    <w:basedOn w:val="CommentText"/>
    <w:next w:val="CommentText"/>
    <w:link w:val="CommentSubjectChar"/>
    <w:uiPriority w:val="99"/>
    <w:semiHidden/>
    <w:rsid w:val="00385EE5"/>
    <w:pPr>
      <w:tabs>
        <w:tab w:val="clear" w:pos="-720"/>
      </w:tabs>
    </w:pPr>
  </w:style>
  <w:style w:type="character" w:customStyle="1" w:styleId="CommentSubjectChar">
    <w:name w:val="Comment Subject Char"/>
    <w:link w:val="CommentSubject"/>
    <w:uiPriority w:val="99"/>
    <w:rsid w:val="00385EE5"/>
    <w:rPr>
      <w:rFonts w:ascii="Helvetica 11pt" w:hAnsi="Helvetica 11pt" w:cs="Helvetica 11pt"/>
      <w:snapToGrid/>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semiHidden/>
    <w:rsid w:val="00F23836"/>
    <w:rPr>
      <w:sz w:val="24"/>
      <w:szCs w:val="24"/>
      <w:lang w:eastAsia="ar-SA"/>
    </w:rPr>
  </w:style>
  <w:style w:type="paragraph" w:styleId="BodyTextIndent">
    <w:name w:val="Body Text Indent"/>
    <w:basedOn w:val="Normal"/>
    <w:link w:val="BodyTextIndentChar"/>
    <w:semiHidden/>
    <w:unhideWhenUsed/>
    <w:rsid w:val="00F23836"/>
    <w:pPr>
      <w:ind w:firstLine="360"/>
      <w:jc w:val="both"/>
    </w:pPr>
  </w:style>
  <w:style w:type="paragraph" w:styleId="TOCHeading">
    <w:name w:val="TOC Heading"/>
    <w:basedOn w:val="Heading1"/>
    <w:next w:val="Normal"/>
    <w:uiPriority w:val="39"/>
    <w:unhideWhenUsed/>
    <w:qFormat/>
    <w:rsid w:val="00F04446"/>
    <w:pPr>
      <w:keepLines/>
      <w:numPr>
        <w:numId w:val="0"/>
      </w:numPr>
      <w:suppressAutoHyphens w:val="0"/>
      <w:spacing w:before="480" w:line="276" w:lineRule="auto"/>
      <w:jc w:val="left"/>
      <w:outlineLvl w:val="9"/>
    </w:pPr>
    <w:rPr>
      <w:rFonts w:ascii="Cambria" w:hAnsi="Cambria"/>
      <w:color w:val="365F91"/>
      <w:sz w:val="28"/>
      <w:szCs w:val="28"/>
      <w:lang w:eastAsia="ja-JP"/>
    </w:rPr>
  </w:style>
  <w:style w:type="paragraph" w:styleId="TOC2">
    <w:name w:val="toc 2"/>
    <w:basedOn w:val="Normal"/>
    <w:next w:val="Normal"/>
    <w:autoRedefine/>
    <w:uiPriority w:val="39"/>
    <w:semiHidden/>
    <w:unhideWhenUsed/>
    <w:qFormat/>
    <w:rsid w:val="00F04446"/>
    <w:pPr>
      <w:suppressAutoHyphens w:val="0"/>
      <w:spacing w:after="100" w:line="276" w:lineRule="auto"/>
      <w:ind w:left="220"/>
    </w:pPr>
    <w:rPr>
      <w:rFonts w:ascii="Calibri" w:hAnsi="Calibri"/>
      <w:sz w:val="22"/>
      <w:szCs w:val="22"/>
      <w:lang w:eastAsia="ja-JP"/>
    </w:rPr>
  </w:style>
  <w:style w:type="paragraph" w:styleId="TOC1">
    <w:name w:val="toc 1"/>
    <w:basedOn w:val="Normal"/>
    <w:next w:val="Normal"/>
    <w:autoRedefine/>
    <w:uiPriority w:val="39"/>
    <w:unhideWhenUsed/>
    <w:qFormat/>
    <w:rsid w:val="00EF00A1"/>
    <w:pPr>
      <w:tabs>
        <w:tab w:val="right" w:leader="dot" w:pos="9396"/>
      </w:tabs>
      <w:suppressAutoHyphens w:val="0"/>
      <w:spacing w:after="20" w:line="276" w:lineRule="auto"/>
      <w:ind w:left="426" w:hanging="426"/>
    </w:pPr>
    <w:rPr>
      <w:rFonts w:ascii="Verdana" w:hAnsi="Verdana" w:cs="Tahoma"/>
      <w:b/>
      <w:noProof/>
      <w:color w:val="4F81BD"/>
      <w:sz w:val="20"/>
      <w:szCs w:val="22"/>
      <w:lang w:val="sr-Cyrl-CS" w:eastAsia="ja-JP"/>
    </w:rPr>
  </w:style>
  <w:style w:type="paragraph" w:styleId="TOC3">
    <w:name w:val="toc 3"/>
    <w:basedOn w:val="Normal"/>
    <w:next w:val="Normal"/>
    <w:autoRedefine/>
    <w:uiPriority w:val="39"/>
    <w:unhideWhenUsed/>
    <w:qFormat/>
    <w:rsid w:val="00103758"/>
    <w:pPr>
      <w:tabs>
        <w:tab w:val="left" w:pos="1320"/>
        <w:tab w:val="right" w:leader="dot" w:pos="9396"/>
      </w:tabs>
      <w:suppressAutoHyphens w:val="0"/>
      <w:spacing w:after="20" w:line="276" w:lineRule="auto"/>
      <w:ind w:left="1276" w:hanging="836"/>
    </w:pPr>
    <w:rPr>
      <w:rFonts w:ascii="Tahoma" w:hAnsi="Tahoma" w:cs="Tahoma"/>
      <w:noProof/>
      <w:sz w:val="16"/>
      <w:szCs w:val="16"/>
      <w:lang w:eastAsia="ja-JP"/>
    </w:rPr>
  </w:style>
  <w:style w:type="character" w:customStyle="1" w:styleId="ListParagraphChar">
    <w:name w:val="List Paragraph Char"/>
    <w:link w:val="ListParagraph"/>
    <w:locked/>
    <w:rsid w:val="004767CA"/>
    <w:rPr>
      <w:sz w:val="24"/>
      <w:szCs w:val="24"/>
      <w:lang w:val="en-US" w:eastAsia="ar-SA"/>
    </w:rPr>
  </w:style>
  <w:style w:type="character" w:styleId="IntenseEmphasis">
    <w:name w:val="Intense Emphasis"/>
    <w:uiPriority w:val="21"/>
    <w:qFormat/>
    <w:rsid w:val="00F81CB0"/>
    <w:rPr>
      <w:b/>
      <w:bCs/>
      <w:i/>
      <w:iCs/>
      <w:color w:val="4F81BD"/>
    </w:rPr>
  </w:style>
  <w:style w:type="table" w:customStyle="1" w:styleId="LightList-Accent11">
    <w:name w:val="Light List - Accent 11"/>
    <w:basedOn w:val="TableNormal"/>
    <w:next w:val="LightList-Accent1"/>
    <w:uiPriority w:val="61"/>
    <w:rsid w:val="005D1F95"/>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rsid w:val="005D1F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index heading" w:unhideWhenUsed="1"/>
    <w:lsdException w:name="caption" w:semiHidden="0" w:uiPriority="0" w:qFormat="1"/>
    <w:lsdException w:name="table of figures" w:unhideWhenUsed="1"/>
    <w:lsdException w:name="envelope address" w:unhideWhenUsed="1"/>
    <w:lsdException w:name="envelope return" w:unhideWhenUsed="1"/>
    <w:lsdException w:name="footnote reference"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iPriority="0"/>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Body Text" w:uiPriority="0"/>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lsdException w:name="Body Text 3" w:unhideWhenUsed="1"/>
    <w:lsdException w:name="Body Text Indent 2" w:uiPriority="0"/>
    <w:lsdException w:name="Body Text Indent 3" w:uiPriority="0"/>
    <w:lsdException w:name="Block Text" w:unhideWhenUsed="1"/>
    <w:lsdException w:name="FollowedHyperlink" w:uiPriority="0"/>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iPriority="0"/>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iPriority="0"/>
    <w:lsdException w:name="Table List 1" w:uiPriority="0"/>
    <w:lsdException w:name="Table List 2" w:unhideWhenUsed="1"/>
    <w:lsdException w:name="Table List 3" w:unhideWhenUsed="1"/>
    <w:lsdException w:name="Table List 4" w:unhideWhenUsed="1"/>
    <w:lsdException w:name="Table List 5" w:unhideWhenUsed="1"/>
    <w:lsdException w:name="Table List 6" w:uiPriority="0"/>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iPriority="0"/>
    <w:lsdException w:name="Table Subtle 1" w:unhideWhenUsed="1"/>
    <w:lsdException w:name="Table Subtle 2" w:unhideWhenUsed="1"/>
    <w:lsdException w:name="Table Web 1" w:unhideWhenUsed="1"/>
    <w:lsdException w:name="Table Web 2" w:unhideWhenUsed="1"/>
    <w:lsdException w:name="Table Web 3" w:uiPriority="0"/>
    <w:lsdException w:name="Balloon Text" w:uiPriority="0"/>
    <w:lsdException w:name="Table Grid" w:semiHidden="0" w:uiPriority="0"/>
    <w:lsdException w:name="Table Theme" w:uiPriority="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qFormat="1"/>
    <w:lsdException w:name="Bibliography" w:uiPriority="37" w:unhideWhenUsed="1"/>
    <w:lsdException w:name="TOC Heading" w:uiPriority="39" w:unhideWhenUsed="1" w:qFormat="1"/>
  </w:latentStyles>
  <w:style w:type="paragraph" w:default="1" w:styleId="Normal">
    <w:name w:val="Normal"/>
    <w:qFormat/>
    <w:rsid w:val="006410E3"/>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b/>
      <w:bCs/>
      <w:sz w:val="16"/>
      <w:szCs w:val="16"/>
    </w:rPr>
  </w:style>
  <w:style w:type="paragraph" w:styleId="Heading2">
    <w:name w:val="heading 2"/>
    <w:aliases w:val="Char"/>
    <w:basedOn w:val="Normal"/>
    <w:next w:val="Normal"/>
    <w:link w:val="Heading2Char"/>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b/>
      <w:bCs/>
      <w:sz w:val="16"/>
      <w:szCs w:val="16"/>
      <w:lang w:eastAsia="ar-SA"/>
    </w:rPr>
  </w:style>
  <w:style w:type="character" w:customStyle="1" w:styleId="Heading2Char">
    <w:name w:val="Heading 2 Char"/>
    <w:aliases w:val="Char Char"/>
    <w:link w:val="Heading2"/>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uiPriority w:val="99"/>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w:basedOn w:val="Normal"/>
    <w:link w:val="BodyTextChar"/>
    <w:rsid w:val="00561610"/>
    <w:pPr>
      <w:jc w:val="both"/>
    </w:pPr>
    <w:rPr>
      <w:lang w:val="sr-Latn-CS"/>
    </w:rPr>
  </w:style>
  <w:style w:type="character" w:customStyle="1" w:styleId="BodyTextChar">
    <w:name w:val="Body Text Char"/>
    <w:aliases w:val="Char1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semiHidden/>
    <w:rsid w:val="0015027B"/>
    <w:rPr>
      <w:sz w:val="20"/>
      <w:szCs w:val="2"/>
    </w:rPr>
  </w:style>
  <w:style w:type="character" w:customStyle="1" w:styleId="BalloonTextChar">
    <w:name w:val="Balloon Text Char"/>
    <w:link w:val="BalloonText"/>
    <w:semiHidden/>
    <w:rsid w:val="0015027B"/>
    <w:rPr>
      <w:szCs w:val="2"/>
      <w:lang w:eastAsia="ar-SA"/>
    </w:rPr>
  </w:style>
  <w:style w:type="paragraph" w:styleId="Title">
    <w:name w:val="Title"/>
    <w:basedOn w:val="Normal"/>
    <w:next w:val="Subtitle"/>
    <w:link w:val="TitleChar"/>
    <w:qFormat/>
    <w:rsid w:val="00561610"/>
    <w:pPr>
      <w:jc w:val="center"/>
    </w:pPr>
    <w:rPr>
      <w:rFonts w:ascii="Cambria" w:hAnsi="Cambria" w:cs="Cambria"/>
      <w:b/>
      <w:bCs/>
      <w:kern w:val="28"/>
      <w:sz w:val="32"/>
      <w:szCs w:val="32"/>
    </w:rPr>
  </w:style>
  <w:style w:type="paragraph" w:styleId="Subtitle">
    <w:name w:val="Subtitle"/>
    <w:basedOn w:val="Heading"/>
    <w:next w:val="BodyText"/>
    <w:link w:val="SubtitleChar"/>
    <w:uiPriority w:val="11"/>
    <w:qFormat/>
    <w:rsid w:val="00561610"/>
    <w:pPr>
      <w:jc w:val="center"/>
    </w:pPr>
    <w:rPr>
      <w:rFonts w:ascii="Cambria" w:eastAsia="Times New Roman" w:hAnsi="Cambria" w:cs="Cambria"/>
      <w:sz w:val="24"/>
      <w:szCs w:val="24"/>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semiHidden/>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sz w:val="16"/>
      <w:szCs w:val="16"/>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rsid w:val="00D106A6"/>
    <w:pPr>
      <w:tabs>
        <w:tab w:val="left" w:pos="-720"/>
      </w:tabs>
    </w:pPr>
    <w:rPr>
      <w:rFonts w:ascii="Helvetica 11pt" w:hAnsi="Helvetica 11pt"/>
      <w:snapToGrid w:val="0"/>
    </w:rPr>
  </w:style>
  <w:style w:type="character" w:customStyle="1" w:styleId="CommentTextChar">
    <w:name w:val="Comment Text Char"/>
    <w:link w:val="CommentText"/>
    <w:uiPriority w:val="99"/>
    <w:rsid w:val="00385EE5"/>
    <w:rPr>
      <w:rFonts w:ascii="Helvetica 11pt" w:hAnsi="Helvetica 11pt" w:cs="Helvetica 11pt"/>
      <w:snapToGrid/>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jc w:val="left"/>
    </w:pPr>
    <w:rPr>
      <w:rFonts w:ascii="Tahoma" w:hAnsi="Tahoma" w:cs="Tahoma"/>
      <w:b w:val="0"/>
      <w:bCs w:val="0"/>
      <w:sz w:val="24"/>
      <w:szCs w:val="24"/>
    </w:rPr>
  </w:style>
  <w:style w:type="character" w:styleId="LineNumber">
    <w:name w:val="line number"/>
    <w:basedOn w:val="DefaultParagraphFont"/>
    <w:uiPriority w:val="99"/>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sz w:val="22"/>
      <w:szCs w:val="22"/>
    </w:rPr>
  </w:style>
  <w:style w:type="character" w:customStyle="1" w:styleId="NoSpacingChar">
    <w:name w:val="No Spacing Char"/>
    <w:link w:val="NoSpacing"/>
    <w:uiPriority w:val="1"/>
    <w:rsid w:val="00D3640E"/>
    <w:rPr>
      <w:rFonts w:ascii="Calibri" w:hAnsi="Calibri"/>
      <w:sz w:val="22"/>
      <w:szCs w:val="22"/>
      <w:lang w:val="en-US" w:eastAsia="en-US" w:bidi="ar-SA"/>
    </w:rPr>
  </w:style>
  <w:style w:type="character" w:styleId="FollowedHyperlink">
    <w:name w:val="FollowedHyperlink"/>
    <w:rsid w:val="00BE6DFE"/>
    <w:rPr>
      <w:rFonts w:ascii="Verdana" w:hAnsi="Verdana"/>
      <w:color w:val="auto"/>
      <w:sz w:val="20"/>
      <w:szCs w:val="2"/>
      <w:u w:val="single"/>
      <w:lang w:eastAsia="ar-SA"/>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BE6DFE"/>
    <w:rPr>
      <w:rFonts w:ascii="Verdana" w:hAnsi="Verdana" w:cs="Helvetica 11pt"/>
      <w:snapToGrid/>
      <w:sz w:val="20"/>
      <w:szCs w:val="16"/>
    </w:rPr>
  </w:style>
  <w:style w:type="paragraph" w:styleId="CommentSubject">
    <w:name w:val="annotation subject"/>
    <w:basedOn w:val="CommentText"/>
    <w:next w:val="CommentText"/>
    <w:link w:val="CommentSubjectChar"/>
    <w:uiPriority w:val="99"/>
    <w:semiHidden/>
    <w:rsid w:val="00385EE5"/>
    <w:pPr>
      <w:tabs>
        <w:tab w:val="clear" w:pos="-720"/>
      </w:tabs>
    </w:pPr>
  </w:style>
  <w:style w:type="character" w:customStyle="1" w:styleId="CommentSubjectChar">
    <w:name w:val="Comment Subject Char"/>
    <w:link w:val="CommentSubject"/>
    <w:uiPriority w:val="99"/>
    <w:rsid w:val="00385EE5"/>
    <w:rPr>
      <w:rFonts w:ascii="Helvetica 11pt" w:hAnsi="Helvetica 11pt" w:cs="Helvetica 11pt"/>
      <w:snapToGrid/>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semiHidden/>
    <w:rsid w:val="00F23836"/>
    <w:rPr>
      <w:sz w:val="24"/>
      <w:szCs w:val="24"/>
      <w:lang w:eastAsia="ar-SA"/>
    </w:rPr>
  </w:style>
  <w:style w:type="paragraph" w:styleId="BodyTextIndent">
    <w:name w:val="Body Text Indent"/>
    <w:basedOn w:val="Normal"/>
    <w:link w:val="BodyTextIndentChar"/>
    <w:semiHidden/>
    <w:unhideWhenUsed/>
    <w:rsid w:val="00F23836"/>
    <w:pPr>
      <w:ind w:firstLine="360"/>
      <w:jc w:val="both"/>
    </w:pPr>
  </w:style>
  <w:style w:type="paragraph" w:styleId="TOCHeading">
    <w:name w:val="TOC Heading"/>
    <w:basedOn w:val="Heading1"/>
    <w:next w:val="Normal"/>
    <w:uiPriority w:val="39"/>
    <w:unhideWhenUsed/>
    <w:qFormat/>
    <w:rsid w:val="00F04446"/>
    <w:pPr>
      <w:keepLines/>
      <w:numPr>
        <w:numId w:val="0"/>
      </w:numPr>
      <w:suppressAutoHyphens w:val="0"/>
      <w:spacing w:before="480" w:line="276" w:lineRule="auto"/>
      <w:jc w:val="left"/>
      <w:outlineLvl w:val="9"/>
    </w:pPr>
    <w:rPr>
      <w:rFonts w:ascii="Cambria" w:hAnsi="Cambria"/>
      <w:color w:val="365F91"/>
      <w:sz w:val="28"/>
      <w:szCs w:val="28"/>
      <w:lang w:eastAsia="ja-JP"/>
    </w:rPr>
  </w:style>
  <w:style w:type="paragraph" w:styleId="TOC2">
    <w:name w:val="toc 2"/>
    <w:basedOn w:val="Normal"/>
    <w:next w:val="Normal"/>
    <w:autoRedefine/>
    <w:uiPriority w:val="39"/>
    <w:semiHidden/>
    <w:unhideWhenUsed/>
    <w:qFormat/>
    <w:rsid w:val="00F04446"/>
    <w:pPr>
      <w:suppressAutoHyphens w:val="0"/>
      <w:spacing w:after="100" w:line="276" w:lineRule="auto"/>
      <w:ind w:left="220"/>
    </w:pPr>
    <w:rPr>
      <w:rFonts w:ascii="Calibri" w:hAnsi="Calibri"/>
      <w:sz w:val="22"/>
      <w:szCs w:val="22"/>
      <w:lang w:eastAsia="ja-JP"/>
    </w:rPr>
  </w:style>
  <w:style w:type="paragraph" w:styleId="TOC1">
    <w:name w:val="toc 1"/>
    <w:basedOn w:val="Normal"/>
    <w:next w:val="Normal"/>
    <w:autoRedefine/>
    <w:uiPriority w:val="39"/>
    <w:unhideWhenUsed/>
    <w:qFormat/>
    <w:rsid w:val="00EF00A1"/>
    <w:pPr>
      <w:tabs>
        <w:tab w:val="right" w:leader="dot" w:pos="9396"/>
      </w:tabs>
      <w:suppressAutoHyphens w:val="0"/>
      <w:spacing w:after="20" w:line="276" w:lineRule="auto"/>
      <w:ind w:left="426" w:hanging="426"/>
    </w:pPr>
    <w:rPr>
      <w:rFonts w:ascii="Verdana" w:hAnsi="Verdana" w:cs="Tahoma"/>
      <w:b/>
      <w:noProof/>
      <w:color w:val="4F81BD"/>
      <w:sz w:val="20"/>
      <w:szCs w:val="22"/>
      <w:lang w:val="sr-Cyrl-CS" w:eastAsia="ja-JP"/>
    </w:rPr>
  </w:style>
  <w:style w:type="paragraph" w:styleId="TOC3">
    <w:name w:val="toc 3"/>
    <w:basedOn w:val="Normal"/>
    <w:next w:val="Normal"/>
    <w:autoRedefine/>
    <w:uiPriority w:val="39"/>
    <w:unhideWhenUsed/>
    <w:qFormat/>
    <w:rsid w:val="00103758"/>
    <w:pPr>
      <w:tabs>
        <w:tab w:val="left" w:pos="1320"/>
        <w:tab w:val="right" w:leader="dot" w:pos="9396"/>
      </w:tabs>
      <w:suppressAutoHyphens w:val="0"/>
      <w:spacing w:after="20" w:line="276" w:lineRule="auto"/>
      <w:ind w:left="1276" w:hanging="836"/>
    </w:pPr>
    <w:rPr>
      <w:rFonts w:ascii="Tahoma" w:hAnsi="Tahoma" w:cs="Tahoma"/>
      <w:noProof/>
      <w:sz w:val="16"/>
      <w:szCs w:val="16"/>
      <w:lang w:eastAsia="ja-JP"/>
    </w:rPr>
  </w:style>
  <w:style w:type="character" w:customStyle="1" w:styleId="ListParagraphChar">
    <w:name w:val="List Paragraph Char"/>
    <w:link w:val="ListParagraph"/>
    <w:locked/>
    <w:rsid w:val="004767CA"/>
    <w:rPr>
      <w:sz w:val="24"/>
      <w:szCs w:val="24"/>
      <w:lang w:val="en-US" w:eastAsia="ar-SA"/>
    </w:rPr>
  </w:style>
  <w:style w:type="character" w:styleId="IntenseEmphasis">
    <w:name w:val="Intense Emphasis"/>
    <w:uiPriority w:val="21"/>
    <w:qFormat/>
    <w:rsid w:val="00F81CB0"/>
    <w:rPr>
      <w:b/>
      <w:bCs/>
      <w:i/>
      <w:iCs/>
      <w:color w:val="4F81BD"/>
    </w:rPr>
  </w:style>
  <w:style w:type="table" w:customStyle="1" w:styleId="LightList-Accent11">
    <w:name w:val="Light List - Accent 11"/>
    <w:basedOn w:val="TableNormal"/>
    <w:next w:val="LightList-Accent1"/>
    <w:uiPriority w:val="61"/>
    <w:rsid w:val="005D1F95"/>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rsid w:val="005D1F9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80624">
      <w:bodyDiv w:val="1"/>
      <w:marLeft w:val="0"/>
      <w:marRight w:val="0"/>
      <w:marTop w:val="0"/>
      <w:marBottom w:val="0"/>
      <w:divBdr>
        <w:top w:val="none" w:sz="0" w:space="0" w:color="auto"/>
        <w:left w:val="none" w:sz="0" w:space="0" w:color="auto"/>
        <w:bottom w:val="none" w:sz="0" w:space="0" w:color="auto"/>
        <w:right w:val="none" w:sz="0" w:space="0" w:color="auto"/>
      </w:divBdr>
    </w:div>
    <w:div w:id="203489658">
      <w:bodyDiv w:val="1"/>
      <w:marLeft w:val="0"/>
      <w:marRight w:val="0"/>
      <w:marTop w:val="0"/>
      <w:marBottom w:val="0"/>
      <w:divBdr>
        <w:top w:val="none" w:sz="0" w:space="0" w:color="auto"/>
        <w:left w:val="none" w:sz="0" w:space="0" w:color="auto"/>
        <w:bottom w:val="none" w:sz="0" w:space="0" w:color="auto"/>
        <w:right w:val="none" w:sz="0" w:space="0" w:color="auto"/>
      </w:divBdr>
    </w:div>
    <w:div w:id="236212818">
      <w:bodyDiv w:val="1"/>
      <w:marLeft w:val="0"/>
      <w:marRight w:val="0"/>
      <w:marTop w:val="0"/>
      <w:marBottom w:val="0"/>
      <w:divBdr>
        <w:top w:val="none" w:sz="0" w:space="0" w:color="auto"/>
        <w:left w:val="none" w:sz="0" w:space="0" w:color="auto"/>
        <w:bottom w:val="none" w:sz="0" w:space="0" w:color="auto"/>
        <w:right w:val="none" w:sz="0" w:space="0" w:color="auto"/>
      </w:divBdr>
    </w:div>
    <w:div w:id="260140623">
      <w:bodyDiv w:val="1"/>
      <w:marLeft w:val="0"/>
      <w:marRight w:val="0"/>
      <w:marTop w:val="0"/>
      <w:marBottom w:val="0"/>
      <w:divBdr>
        <w:top w:val="none" w:sz="0" w:space="0" w:color="auto"/>
        <w:left w:val="none" w:sz="0" w:space="0" w:color="auto"/>
        <w:bottom w:val="none" w:sz="0" w:space="0" w:color="auto"/>
        <w:right w:val="none" w:sz="0" w:space="0" w:color="auto"/>
      </w:divBdr>
    </w:div>
    <w:div w:id="354617278">
      <w:marLeft w:val="0"/>
      <w:marRight w:val="0"/>
      <w:marTop w:val="0"/>
      <w:marBottom w:val="0"/>
      <w:divBdr>
        <w:top w:val="none" w:sz="0" w:space="0" w:color="auto"/>
        <w:left w:val="none" w:sz="0" w:space="0" w:color="auto"/>
        <w:bottom w:val="none" w:sz="0" w:space="0" w:color="auto"/>
        <w:right w:val="none" w:sz="0" w:space="0" w:color="auto"/>
      </w:divBdr>
    </w:div>
    <w:div w:id="354617279">
      <w:marLeft w:val="0"/>
      <w:marRight w:val="0"/>
      <w:marTop w:val="0"/>
      <w:marBottom w:val="0"/>
      <w:divBdr>
        <w:top w:val="none" w:sz="0" w:space="0" w:color="auto"/>
        <w:left w:val="none" w:sz="0" w:space="0" w:color="auto"/>
        <w:bottom w:val="none" w:sz="0" w:space="0" w:color="auto"/>
        <w:right w:val="none" w:sz="0" w:space="0" w:color="auto"/>
      </w:divBdr>
    </w:div>
    <w:div w:id="354617280">
      <w:marLeft w:val="0"/>
      <w:marRight w:val="0"/>
      <w:marTop w:val="0"/>
      <w:marBottom w:val="0"/>
      <w:divBdr>
        <w:top w:val="none" w:sz="0" w:space="0" w:color="auto"/>
        <w:left w:val="none" w:sz="0" w:space="0" w:color="auto"/>
        <w:bottom w:val="none" w:sz="0" w:space="0" w:color="auto"/>
        <w:right w:val="none" w:sz="0" w:space="0" w:color="auto"/>
      </w:divBdr>
    </w:div>
    <w:div w:id="354617281">
      <w:marLeft w:val="0"/>
      <w:marRight w:val="0"/>
      <w:marTop w:val="0"/>
      <w:marBottom w:val="0"/>
      <w:divBdr>
        <w:top w:val="none" w:sz="0" w:space="0" w:color="auto"/>
        <w:left w:val="none" w:sz="0" w:space="0" w:color="auto"/>
        <w:bottom w:val="none" w:sz="0" w:space="0" w:color="auto"/>
        <w:right w:val="none" w:sz="0" w:space="0" w:color="auto"/>
      </w:divBdr>
    </w:div>
    <w:div w:id="354617282">
      <w:marLeft w:val="0"/>
      <w:marRight w:val="0"/>
      <w:marTop w:val="0"/>
      <w:marBottom w:val="0"/>
      <w:divBdr>
        <w:top w:val="none" w:sz="0" w:space="0" w:color="auto"/>
        <w:left w:val="none" w:sz="0" w:space="0" w:color="auto"/>
        <w:bottom w:val="none" w:sz="0" w:space="0" w:color="auto"/>
        <w:right w:val="none" w:sz="0" w:space="0" w:color="auto"/>
      </w:divBdr>
    </w:div>
    <w:div w:id="354617283">
      <w:marLeft w:val="0"/>
      <w:marRight w:val="0"/>
      <w:marTop w:val="0"/>
      <w:marBottom w:val="0"/>
      <w:divBdr>
        <w:top w:val="none" w:sz="0" w:space="0" w:color="auto"/>
        <w:left w:val="none" w:sz="0" w:space="0" w:color="auto"/>
        <w:bottom w:val="none" w:sz="0" w:space="0" w:color="auto"/>
        <w:right w:val="none" w:sz="0" w:space="0" w:color="auto"/>
      </w:divBdr>
    </w:div>
    <w:div w:id="354617284">
      <w:marLeft w:val="0"/>
      <w:marRight w:val="0"/>
      <w:marTop w:val="0"/>
      <w:marBottom w:val="0"/>
      <w:divBdr>
        <w:top w:val="none" w:sz="0" w:space="0" w:color="auto"/>
        <w:left w:val="none" w:sz="0" w:space="0" w:color="auto"/>
        <w:bottom w:val="none" w:sz="0" w:space="0" w:color="auto"/>
        <w:right w:val="none" w:sz="0" w:space="0" w:color="auto"/>
      </w:divBdr>
    </w:div>
    <w:div w:id="354617285">
      <w:marLeft w:val="0"/>
      <w:marRight w:val="0"/>
      <w:marTop w:val="0"/>
      <w:marBottom w:val="0"/>
      <w:divBdr>
        <w:top w:val="none" w:sz="0" w:space="0" w:color="auto"/>
        <w:left w:val="none" w:sz="0" w:space="0" w:color="auto"/>
        <w:bottom w:val="none" w:sz="0" w:space="0" w:color="auto"/>
        <w:right w:val="none" w:sz="0" w:space="0" w:color="auto"/>
      </w:divBdr>
    </w:div>
    <w:div w:id="354617286">
      <w:marLeft w:val="0"/>
      <w:marRight w:val="0"/>
      <w:marTop w:val="0"/>
      <w:marBottom w:val="0"/>
      <w:divBdr>
        <w:top w:val="none" w:sz="0" w:space="0" w:color="auto"/>
        <w:left w:val="none" w:sz="0" w:space="0" w:color="auto"/>
        <w:bottom w:val="none" w:sz="0" w:space="0" w:color="auto"/>
        <w:right w:val="none" w:sz="0" w:space="0" w:color="auto"/>
      </w:divBdr>
    </w:div>
    <w:div w:id="354617287">
      <w:marLeft w:val="0"/>
      <w:marRight w:val="0"/>
      <w:marTop w:val="0"/>
      <w:marBottom w:val="0"/>
      <w:divBdr>
        <w:top w:val="none" w:sz="0" w:space="0" w:color="auto"/>
        <w:left w:val="none" w:sz="0" w:space="0" w:color="auto"/>
        <w:bottom w:val="none" w:sz="0" w:space="0" w:color="auto"/>
        <w:right w:val="none" w:sz="0" w:space="0" w:color="auto"/>
      </w:divBdr>
    </w:div>
    <w:div w:id="354617288">
      <w:marLeft w:val="0"/>
      <w:marRight w:val="0"/>
      <w:marTop w:val="0"/>
      <w:marBottom w:val="0"/>
      <w:divBdr>
        <w:top w:val="none" w:sz="0" w:space="0" w:color="auto"/>
        <w:left w:val="none" w:sz="0" w:space="0" w:color="auto"/>
        <w:bottom w:val="none" w:sz="0" w:space="0" w:color="auto"/>
        <w:right w:val="none" w:sz="0" w:space="0" w:color="auto"/>
      </w:divBdr>
    </w:div>
    <w:div w:id="354617289">
      <w:marLeft w:val="0"/>
      <w:marRight w:val="0"/>
      <w:marTop w:val="0"/>
      <w:marBottom w:val="0"/>
      <w:divBdr>
        <w:top w:val="none" w:sz="0" w:space="0" w:color="auto"/>
        <w:left w:val="none" w:sz="0" w:space="0" w:color="auto"/>
        <w:bottom w:val="none" w:sz="0" w:space="0" w:color="auto"/>
        <w:right w:val="none" w:sz="0" w:space="0" w:color="auto"/>
      </w:divBdr>
    </w:div>
    <w:div w:id="354617290">
      <w:marLeft w:val="0"/>
      <w:marRight w:val="0"/>
      <w:marTop w:val="0"/>
      <w:marBottom w:val="0"/>
      <w:divBdr>
        <w:top w:val="none" w:sz="0" w:space="0" w:color="auto"/>
        <w:left w:val="none" w:sz="0" w:space="0" w:color="auto"/>
        <w:bottom w:val="none" w:sz="0" w:space="0" w:color="auto"/>
        <w:right w:val="none" w:sz="0" w:space="0" w:color="auto"/>
      </w:divBdr>
    </w:div>
    <w:div w:id="354617291">
      <w:marLeft w:val="0"/>
      <w:marRight w:val="0"/>
      <w:marTop w:val="0"/>
      <w:marBottom w:val="0"/>
      <w:divBdr>
        <w:top w:val="none" w:sz="0" w:space="0" w:color="auto"/>
        <w:left w:val="none" w:sz="0" w:space="0" w:color="auto"/>
        <w:bottom w:val="none" w:sz="0" w:space="0" w:color="auto"/>
        <w:right w:val="none" w:sz="0" w:space="0" w:color="auto"/>
      </w:divBdr>
    </w:div>
    <w:div w:id="354617292">
      <w:marLeft w:val="0"/>
      <w:marRight w:val="0"/>
      <w:marTop w:val="0"/>
      <w:marBottom w:val="0"/>
      <w:divBdr>
        <w:top w:val="none" w:sz="0" w:space="0" w:color="auto"/>
        <w:left w:val="none" w:sz="0" w:space="0" w:color="auto"/>
        <w:bottom w:val="none" w:sz="0" w:space="0" w:color="auto"/>
        <w:right w:val="none" w:sz="0" w:space="0" w:color="auto"/>
      </w:divBdr>
    </w:div>
    <w:div w:id="354617293">
      <w:marLeft w:val="0"/>
      <w:marRight w:val="0"/>
      <w:marTop w:val="0"/>
      <w:marBottom w:val="0"/>
      <w:divBdr>
        <w:top w:val="none" w:sz="0" w:space="0" w:color="auto"/>
        <w:left w:val="none" w:sz="0" w:space="0" w:color="auto"/>
        <w:bottom w:val="none" w:sz="0" w:space="0" w:color="auto"/>
        <w:right w:val="none" w:sz="0" w:space="0" w:color="auto"/>
      </w:divBdr>
    </w:div>
    <w:div w:id="354617294">
      <w:marLeft w:val="0"/>
      <w:marRight w:val="0"/>
      <w:marTop w:val="0"/>
      <w:marBottom w:val="0"/>
      <w:divBdr>
        <w:top w:val="none" w:sz="0" w:space="0" w:color="auto"/>
        <w:left w:val="none" w:sz="0" w:space="0" w:color="auto"/>
        <w:bottom w:val="none" w:sz="0" w:space="0" w:color="auto"/>
        <w:right w:val="none" w:sz="0" w:space="0" w:color="auto"/>
      </w:divBdr>
    </w:div>
    <w:div w:id="354617295">
      <w:marLeft w:val="0"/>
      <w:marRight w:val="0"/>
      <w:marTop w:val="0"/>
      <w:marBottom w:val="0"/>
      <w:divBdr>
        <w:top w:val="none" w:sz="0" w:space="0" w:color="auto"/>
        <w:left w:val="none" w:sz="0" w:space="0" w:color="auto"/>
        <w:bottom w:val="none" w:sz="0" w:space="0" w:color="auto"/>
        <w:right w:val="none" w:sz="0" w:space="0" w:color="auto"/>
      </w:divBdr>
    </w:div>
    <w:div w:id="354617296">
      <w:marLeft w:val="0"/>
      <w:marRight w:val="0"/>
      <w:marTop w:val="0"/>
      <w:marBottom w:val="0"/>
      <w:divBdr>
        <w:top w:val="none" w:sz="0" w:space="0" w:color="auto"/>
        <w:left w:val="none" w:sz="0" w:space="0" w:color="auto"/>
        <w:bottom w:val="none" w:sz="0" w:space="0" w:color="auto"/>
        <w:right w:val="none" w:sz="0" w:space="0" w:color="auto"/>
      </w:divBdr>
    </w:div>
    <w:div w:id="354617297">
      <w:marLeft w:val="0"/>
      <w:marRight w:val="0"/>
      <w:marTop w:val="0"/>
      <w:marBottom w:val="0"/>
      <w:divBdr>
        <w:top w:val="none" w:sz="0" w:space="0" w:color="auto"/>
        <w:left w:val="none" w:sz="0" w:space="0" w:color="auto"/>
        <w:bottom w:val="none" w:sz="0" w:space="0" w:color="auto"/>
        <w:right w:val="none" w:sz="0" w:space="0" w:color="auto"/>
      </w:divBdr>
    </w:div>
    <w:div w:id="354617298">
      <w:marLeft w:val="0"/>
      <w:marRight w:val="0"/>
      <w:marTop w:val="0"/>
      <w:marBottom w:val="0"/>
      <w:divBdr>
        <w:top w:val="none" w:sz="0" w:space="0" w:color="auto"/>
        <w:left w:val="none" w:sz="0" w:space="0" w:color="auto"/>
        <w:bottom w:val="none" w:sz="0" w:space="0" w:color="auto"/>
        <w:right w:val="none" w:sz="0" w:space="0" w:color="auto"/>
      </w:divBdr>
    </w:div>
    <w:div w:id="354617299">
      <w:marLeft w:val="0"/>
      <w:marRight w:val="0"/>
      <w:marTop w:val="0"/>
      <w:marBottom w:val="0"/>
      <w:divBdr>
        <w:top w:val="none" w:sz="0" w:space="0" w:color="auto"/>
        <w:left w:val="none" w:sz="0" w:space="0" w:color="auto"/>
        <w:bottom w:val="none" w:sz="0" w:space="0" w:color="auto"/>
        <w:right w:val="none" w:sz="0" w:space="0" w:color="auto"/>
      </w:divBdr>
    </w:div>
    <w:div w:id="354617300">
      <w:marLeft w:val="0"/>
      <w:marRight w:val="0"/>
      <w:marTop w:val="0"/>
      <w:marBottom w:val="0"/>
      <w:divBdr>
        <w:top w:val="none" w:sz="0" w:space="0" w:color="auto"/>
        <w:left w:val="none" w:sz="0" w:space="0" w:color="auto"/>
        <w:bottom w:val="none" w:sz="0" w:space="0" w:color="auto"/>
        <w:right w:val="none" w:sz="0" w:space="0" w:color="auto"/>
      </w:divBdr>
    </w:div>
    <w:div w:id="354617301">
      <w:marLeft w:val="0"/>
      <w:marRight w:val="0"/>
      <w:marTop w:val="0"/>
      <w:marBottom w:val="0"/>
      <w:divBdr>
        <w:top w:val="none" w:sz="0" w:space="0" w:color="auto"/>
        <w:left w:val="none" w:sz="0" w:space="0" w:color="auto"/>
        <w:bottom w:val="none" w:sz="0" w:space="0" w:color="auto"/>
        <w:right w:val="none" w:sz="0" w:space="0" w:color="auto"/>
      </w:divBdr>
    </w:div>
    <w:div w:id="354617302">
      <w:marLeft w:val="0"/>
      <w:marRight w:val="0"/>
      <w:marTop w:val="0"/>
      <w:marBottom w:val="0"/>
      <w:divBdr>
        <w:top w:val="none" w:sz="0" w:space="0" w:color="auto"/>
        <w:left w:val="none" w:sz="0" w:space="0" w:color="auto"/>
        <w:bottom w:val="none" w:sz="0" w:space="0" w:color="auto"/>
        <w:right w:val="none" w:sz="0" w:space="0" w:color="auto"/>
      </w:divBdr>
    </w:div>
    <w:div w:id="354617303">
      <w:marLeft w:val="0"/>
      <w:marRight w:val="0"/>
      <w:marTop w:val="0"/>
      <w:marBottom w:val="0"/>
      <w:divBdr>
        <w:top w:val="none" w:sz="0" w:space="0" w:color="auto"/>
        <w:left w:val="none" w:sz="0" w:space="0" w:color="auto"/>
        <w:bottom w:val="none" w:sz="0" w:space="0" w:color="auto"/>
        <w:right w:val="none" w:sz="0" w:space="0" w:color="auto"/>
      </w:divBdr>
    </w:div>
    <w:div w:id="354617304">
      <w:marLeft w:val="0"/>
      <w:marRight w:val="0"/>
      <w:marTop w:val="0"/>
      <w:marBottom w:val="0"/>
      <w:divBdr>
        <w:top w:val="none" w:sz="0" w:space="0" w:color="auto"/>
        <w:left w:val="none" w:sz="0" w:space="0" w:color="auto"/>
        <w:bottom w:val="none" w:sz="0" w:space="0" w:color="auto"/>
        <w:right w:val="none" w:sz="0" w:space="0" w:color="auto"/>
      </w:divBdr>
    </w:div>
    <w:div w:id="354617305">
      <w:marLeft w:val="0"/>
      <w:marRight w:val="0"/>
      <w:marTop w:val="0"/>
      <w:marBottom w:val="0"/>
      <w:divBdr>
        <w:top w:val="none" w:sz="0" w:space="0" w:color="auto"/>
        <w:left w:val="none" w:sz="0" w:space="0" w:color="auto"/>
        <w:bottom w:val="none" w:sz="0" w:space="0" w:color="auto"/>
        <w:right w:val="none" w:sz="0" w:space="0" w:color="auto"/>
      </w:divBdr>
    </w:div>
    <w:div w:id="354617306">
      <w:marLeft w:val="0"/>
      <w:marRight w:val="0"/>
      <w:marTop w:val="0"/>
      <w:marBottom w:val="0"/>
      <w:divBdr>
        <w:top w:val="none" w:sz="0" w:space="0" w:color="auto"/>
        <w:left w:val="none" w:sz="0" w:space="0" w:color="auto"/>
        <w:bottom w:val="none" w:sz="0" w:space="0" w:color="auto"/>
        <w:right w:val="none" w:sz="0" w:space="0" w:color="auto"/>
      </w:divBdr>
    </w:div>
    <w:div w:id="354617307">
      <w:marLeft w:val="0"/>
      <w:marRight w:val="0"/>
      <w:marTop w:val="0"/>
      <w:marBottom w:val="0"/>
      <w:divBdr>
        <w:top w:val="none" w:sz="0" w:space="0" w:color="auto"/>
        <w:left w:val="none" w:sz="0" w:space="0" w:color="auto"/>
        <w:bottom w:val="none" w:sz="0" w:space="0" w:color="auto"/>
        <w:right w:val="none" w:sz="0" w:space="0" w:color="auto"/>
      </w:divBdr>
    </w:div>
    <w:div w:id="354617308">
      <w:marLeft w:val="0"/>
      <w:marRight w:val="0"/>
      <w:marTop w:val="0"/>
      <w:marBottom w:val="0"/>
      <w:divBdr>
        <w:top w:val="none" w:sz="0" w:space="0" w:color="auto"/>
        <w:left w:val="none" w:sz="0" w:space="0" w:color="auto"/>
        <w:bottom w:val="none" w:sz="0" w:space="0" w:color="auto"/>
        <w:right w:val="none" w:sz="0" w:space="0" w:color="auto"/>
      </w:divBdr>
    </w:div>
    <w:div w:id="354617309">
      <w:marLeft w:val="0"/>
      <w:marRight w:val="0"/>
      <w:marTop w:val="0"/>
      <w:marBottom w:val="0"/>
      <w:divBdr>
        <w:top w:val="none" w:sz="0" w:space="0" w:color="auto"/>
        <w:left w:val="none" w:sz="0" w:space="0" w:color="auto"/>
        <w:bottom w:val="none" w:sz="0" w:space="0" w:color="auto"/>
        <w:right w:val="none" w:sz="0" w:space="0" w:color="auto"/>
      </w:divBdr>
    </w:div>
    <w:div w:id="354617310">
      <w:marLeft w:val="0"/>
      <w:marRight w:val="0"/>
      <w:marTop w:val="0"/>
      <w:marBottom w:val="0"/>
      <w:divBdr>
        <w:top w:val="none" w:sz="0" w:space="0" w:color="auto"/>
        <w:left w:val="none" w:sz="0" w:space="0" w:color="auto"/>
        <w:bottom w:val="none" w:sz="0" w:space="0" w:color="auto"/>
        <w:right w:val="none" w:sz="0" w:space="0" w:color="auto"/>
      </w:divBdr>
    </w:div>
    <w:div w:id="354617311">
      <w:marLeft w:val="0"/>
      <w:marRight w:val="0"/>
      <w:marTop w:val="0"/>
      <w:marBottom w:val="0"/>
      <w:divBdr>
        <w:top w:val="none" w:sz="0" w:space="0" w:color="auto"/>
        <w:left w:val="none" w:sz="0" w:space="0" w:color="auto"/>
        <w:bottom w:val="none" w:sz="0" w:space="0" w:color="auto"/>
        <w:right w:val="none" w:sz="0" w:space="0" w:color="auto"/>
      </w:divBdr>
    </w:div>
    <w:div w:id="354617312">
      <w:marLeft w:val="0"/>
      <w:marRight w:val="0"/>
      <w:marTop w:val="0"/>
      <w:marBottom w:val="0"/>
      <w:divBdr>
        <w:top w:val="none" w:sz="0" w:space="0" w:color="auto"/>
        <w:left w:val="none" w:sz="0" w:space="0" w:color="auto"/>
        <w:bottom w:val="none" w:sz="0" w:space="0" w:color="auto"/>
        <w:right w:val="none" w:sz="0" w:space="0" w:color="auto"/>
      </w:divBdr>
    </w:div>
    <w:div w:id="354617313">
      <w:marLeft w:val="0"/>
      <w:marRight w:val="0"/>
      <w:marTop w:val="0"/>
      <w:marBottom w:val="0"/>
      <w:divBdr>
        <w:top w:val="none" w:sz="0" w:space="0" w:color="auto"/>
        <w:left w:val="none" w:sz="0" w:space="0" w:color="auto"/>
        <w:bottom w:val="none" w:sz="0" w:space="0" w:color="auto"/>
        <w:right w:val="none" w:sz="0" w:space="0" w:color="auto"/>
      </w:divBdr>
    </w:div>
    <w:div w:id="354617314">
      <w:marLeft w:val="0"/>
      <w:marRight w:val="0"/>
      <w:marTop w:val="0"/>
      <w:marBottom w:val="0"/>
      <w:divBdr>
        <w:top w:val="none" w:sz="0" w:space="0" w:color="auto"/>
        <w:left w:val="none" w:sz="0" w:space="0" w:color="auto"/>
        <w:bottom w:val="none" w:sz="0" w:space="0" w:color="auto"/>
        <w:right w:val="none" w:sz="0" w:space="0" w:color="auto"/>
      </w:divBdr>
    </w:div>
    <w:div w:id="354617315">
      <w:marLeft w:val="0"/>
      <w:marRight w:val="0"/>
      <w:marTop w:val="0"/>
      <w:marBottom w:val="0"/>
      <w:divBdr>
        <w:top w:val="none" w:sz="0" w:space="0" w:color="auto"/>
        <w:left w:val="none" w:sz="0" w:space="0" w:color="auto"/>
        <w:bottom w:val="none" w:sz="0" w:space="0" w:color="auto"/>
        <w:right w:val="none" w:sz="0" w:space="0" w:color="auto"/>
      </w:divBdr>
    </w:div>
    <w:div w:id="354617316">
      <w:marLeft w:val="0"/>
      <w:marRight w:val="0"/>
      <w:marTop w:val="0"/>
      <w:marBottom w:val="0"/>
      <w:divBdr>
        <w:top w:val="none" w:sz="0" w:space="0" w:color="auto"/>
        <w:left w:val="none" w:sz="0" w:space="0" w:color="auto"/>
        <w:bottom w:val="none" w:sz="0" w:space="0" w:color="auto"/>
        <w:right w:val="none" w:sz="0" w:space="0" w:color="auto"/>
      </w:divBdr>
    </w:div>
    <w:div w:id="354617317">
      <w:marLeft w:val="0"/>
      <w:marRight w:val="0"/>
      <w:marTop w:val="0"/>
      <w:marBottom w:val="0"/>
      <w:divBdr>
        <w:top w:val="none" w:sz="0" w:space="0" w:color="auto"/>
        <w:left w:val="none" w:sz="0" w:space="0" w:color="auto"/>
        <w:bottom w:val="none" w:sz="0" w:space="0" w:color="auto"/>
        <w:right w:val="none" w:sz="0" w:space="0" w:color="auto"/>
      </w:divBdr>
    </w:div>
    <w:div w:id="354617318">
      <w:marLeft w:val="0"/>
      <w:marRight w:val="0"/>
      <w:marTop w:val="0"/>
      <w:marBottom w:val="0"/>
      <w:divBdr>
        <w:top w:val="none" w:sz="0" w:space="0" w:color="auto"/>
        <w:left w:val="none" w:sz="0" w:space="0" w:color="auto"/>
        <w:bottom w:val="none" w:sz="0" w:space="0" w:color="auto"/>
        <w:right w:val="none" w:sz="0" w:space="0" w:color="auto"/>
      </w:divBdr>
    </w:div>
    <w:div w:id="354617319">
      <w:marLeft w:val="0"/>
      <w:marRight w:val="0"/>
      <w:marTop w:val="0"/>
      <w:marBottom w:val="0"/>
      <w:divBdr>
        <w:top w:val="none" w:sz="0" w:space="0" w:color="auto"/>
        <w:left w:val="none" w:sz="0" w:space="0" w:color="auto"/>
        <w:bottom w:val="none" w:sz="0" w:space="0" w:color="auto"/>
        <w:right w:val="none" w:sz="0" w:space="0" w:color="auto"/>
      </w:divBdr>
    </w:div>
    <w:div w:id="354617320">
      <w:marLeft w:val="0"/>
      <w:marRight w:val="0"/>
      <w:marTop w:val="0"/>
      <w:marBottom w:val="0"/>
      <w:divBdr>
        <w:top w:val="none" w:sz="0" w:space="0" w:color="auto"/>
        <w:left w:val="none" w:sz="0" w:space="0" w:color="auto"/>
        <w:bottom w:val="none" w:sz="0" w:space="0" w:color="auto"/>
        <w:right w:val="none" w:sz="0" w:space="0" w:color="auto"/>
      </w:divBdr>
    </w:div>
    <w:div w:id="354617321">
      <w:marLeft w:val="0"/>
      <w:marRight w:val="0"/>
      <w:marTop w:val="0"/>
      <w:marBottom w:val="0"/>
      <w:divBdr>
        <w:top w:val="none" w:sz="0" w:space="0" w:color="auto"/>
        <w:left w:val="none" w:sz="0" w:space="0" w:color="auto"/>
        <w:bottom w:val="none" w:sz="0" w:space="0" w:color="auto"/>
        <w:right w:val="none" w:sz="0" w:space="0" w:color="auto"/>
      </w:divBdr>
    </w:div>
    <w:div w:id="354617322">
      <w:marLeft w:val="0"/>
      <w:marRight w:val="0"/>
      <w:marTop w:val="0"/>
      <w:marBottom w:val="0"/>
      <w:divBdr>
        <w:top w:val="none" w:sz="0" w:space="0" w:color="auto"/>
        <w:left w:val="none" w:sz="0" w:space="0" w:color="auto"/>
        <w:bottom w:val="none" w:sz="0" w:space="0" w:color="auto"/>
        <w:right w:val="none" w:sz="0" w:space="0" w:color="auto"/>
      </w:divBdr>
    </w:div>
    <w:div w:id="354617323">
      <w:marLeft w:val="0"/>
      <w:marRight w:val="0"/>
      <w:marTop w:val="0"/>
      <w:marBottom w:val="0"/>
      <w:divBdr>
        <w:top w:val="none" w:sz="0" w:space="0" w:color="auto"/>
        <w:left w:val="none" w:sz="0" w:space="0" w:color="auto"/>
        <w:bottom w:val="none" w:sz="0" w:space="0" w:color="auto"/>
        <w:right w:val="none" w:sz="0" w:space="0" w:color="auto"/>
      </w:divBdr>
    </w:div>
    <w:div w:id="354617324">
      <w:marLeft w:val="0"/>
      <w:marRight w:val="0"/>
      <w:marTop w:val="0"/>
      <w:marBottom w:val="0"/>
      <w:divBdr>
        <w:top w:val="none" w:sz="0" w:space="0" w:color="auto"/>
        <w:left w:val="none" w:sz="0" w:space="0" w:color="auto"/>
        <w:bottom w:val="none" w:sz="0" w:space="0" w:color="auto"/>
        <w:right w:val="none" w:sz="0" w:space="0" w:color="auto"/>
      </w:divBdr>
    </w:div>
    <w:div w:id="354617325">
      <w:marLeft w:val="0"/>
      <w:marRight w:val="0"/>
      <w:marTop w:val="0"/>
      <w:marBottom w:val="0"/>
      <w:divBdr>
        <w:top w:val="none" w:sz="0" w:space="0" w:color="auto"/>
        <w:left w:val="none" w:sz="0" w:space="0" w:color="auto"/>
        <w:bottom w:val="none" w:sz="0" w:space="0" w:color="auto"/>
        <w:right w:val="none" w:sz="0" w:space="0" w:color="auto"/>
      </w:divBdr>
    </w:div>
    <w:div w:id="354617326">
      <w:marLeft w:val="0"/>
      <w:marRight w:val="0"/>
      <w:marTop w:val="0"/>
      <w:marBottom w:val="0"/>
      <w:divBdr>
        <w:top w:val="none" w:sz="0" w:space="0" w:color="auto"/>
        <w:left w:val="none" w:sz="0" w:space="0" w:color="auto"/>
        <w:bottom w:val="none" w:sz="0" w:space="0" w:color="auto"/>
        <w:right w:val="none" w:sz="0" w:space="0" w:color="auto"/>
      </w:divBdr>
    </w:div>
    <w:div w:id="354617327">
      <w:marLeft w:val="0"/>
      <w:marRight w:val="0"/>
      <w:marTop w:val="0"/>
      <w:marBottom w:val="0"/>
      <w:divBdr>
        <w:top w:val="none" w:sz="0" w:space="0" w:color="auto"/>
        <w:left w:val="none" w:sz="0" w:space="0" w:color="auto"/>
        <w:bottom w:val="none" w:sz="0" w:space="0" w:color="auto"/>
        <w:right w:val="none" w:sz="0" w:space="0" w:color="auto"/>
      </w:divBdr>
    </w:div>
    <w:div w:id="354617328">
      <w:marLeft w:val="0"/>
      <w:marRight w:val="0"/>
      <w:marTop w:val="0"/>
      <w:marBottom w:val="0"/>
      <w:divBdr>
        <w:top w:val="none" w:sz="0" w:space="0" w:color="auto"/>
        <w:left w:val="none" w:sz="0" w:space="0" w:color="auto"/>
        <w:bottom w:val="none" w:sz="0" w:space="0" w:color="auto"/>
        <w:right w:val="none" w:sz="0" w:space="0" w:color="auto"/>
      </w:divBdr>
    </w:div>
    <w:div w:id="354617329">
      <w:marLeft w:val="0"/>
      <w:marRight w:val="0"/>
      <w:marTop w:val="0"/>
      <w:marBottom w:val="0"/>
      <w:divBdr>
        <w:top w:val="none" w:sz="0" w:space="0" w:color="auto"/>
        <w:left w:val="none" w:sz="0" w:space="0" w:color="auto"/>
        <w:bottom w:val="none" w:sz="0" w:space="0" w:color="auto"/>
        <w:right w:val="none" w:sz="0" w:space="0" w:color="auto"/>
      </w:divBdr>
    </w:div>
    <w:div w:id="354617330">
      <w:marLeft w:val="0"/>
      <w:marRight w:val="0"/>
      <w:marTop w:val="0"/>
      <w:marBottom w:val="0"/>
      <w:divBdr>
        <w:top w:val="none" w:sz="0" w:space="0" w:color="auto"/>
        <w:left w:val="none" w:sz="0" w:space="0" w:color="auto"/>
        <w:bottom w:val="none" w:sz="0" w:space="0" w:color="auto"/>
        <w:right w:val="none" w:sz="0" w:space="0" w:color="auto"/>
      </w:divBdr>
    </w:div>
    <w:div w:id="354617331">
      <w:marLeft w:val="0"/>
      <w:marRight w:val="0"/>
      <w:marTop w:val="0"/>
      <w:marBottom w:val="0"/>
      <w:divBdr>
        <w:top w:val="none" w:sz="0" w:space="0" w:color="auto"/>
        <w:left w:val="none" w:sz="0" w:space="0" w:color="auto"/>
        <w:bottom w:val="none" w:sz="0" w:space="0" w:color="auto"/>
        <w:right w:val="none" w:sz="0" w:space="0" w:color="auto"/>
      </w:divBdr>
    </w:div>
    <w:div w:id="354617332">
      <w:marLeft w:val="0"/>
      <w:marRight w:val="0"/>
      <w:marTop w:val="0"/>
      <w:marBottom w:val="0"/>
      <w:divBdr>
        <w:top w:val="none" w:sz="0" w:space="0" w:color="auto"/>
        <w:left w:val="none" w:sz="0" w:space="0" w:color="auto"/>
        <w:bottom w:val="none" w:sz="0" w:space="0" w:color="auto"/>
        <w:right w:val="none" w:sz="0" w:space="0" w:color="auto"/>
      </w:divBdr>
    </w:div>
    <w:div w:id="354617333">
      <w:marLeft w:val="0"/>
      <w:marRight w:val="0"/>
      <w:marTop w:val="0"/>
      <w:marBottom w:val="0"/>
      <w:divBdr>
        <w:top w:val="none" w:sz="0" w:space="0" w:color="auto"/>
        <w:left w:val="none" w:sz="0" w:space="0" w:color="auto"/>
        <w:bottom w:val="none" w:sz="0" w:space="0" w:color="auto"/>
        <w:right w:val="none" w:sz="0" w:space="0" w:color="auto"/>
      </w:divBdr>
    </w:div>
    <w:div w:id="354617334">
      <w:marLeft w:val="0"/>
      <w:marRight w:val="0"/>
      <w:marTop w:val="0"/>
      <w:marBottom w:val="0"/>
      <w:divBdr>
        <w:top w:val="none" w:sz="0" w:space="0" w:color="auto"/>
        <w:left w:val="none" w:sz="0" w:space="0" w:color="auto"/>
        <w:bottom w:val="none" w:sz="0" w:space="0" w:color="auto"/>
        <w:right w:val="none" w:sz="0" w:space="0" w:color="auto"/>
      </w:divBdr>
    </w:div>
    <w:div w:id="354617335">
      <w:marLeft w:val="0"/>
      <w:marRight w:val="0"/>
      <w:marTop w:val="0"/>
      <w:marBottom w:val="0"/>
      <w:divBdr>
        <w:top w:val="none" w:sz="0" w:space="0" w:color="auto"/>
        <w:left w:val="none" w:sz="0" w:space="0" w:color="auto"/>
        <w:bottom w:val="none" w:sz="0" w:space="0" w:color="auto"/>
        <w:right w:val="none" w:sz="0" w:space="0" w:color="auto"/>
      </w:divBdr>
    </w:div>
    <w:div w:id="354617336">
      <w:marLeft w:val="0"/>
      <w:marRight w:val="0"/>
      <w:marTop w:val="0"/>
      <w:marBottom w:val="0"/>
      <w:divBdr>
        <w:top w:val="none" w:sz="0" w:space="0" w:color="auto"/>
        <w:left w:val="none" w:sz="0" w:space="0" w:color="auto"/>
        <w:bottom w:val="none" w:sz="0" w:space="0" w:color="auto"/>
        <w:right w:val="none" w:sz="0" w:space="0" w:color="auto"/>
      </w:divBdr>
    </w:div>
    <w:div w:id="354617337">
      <w:marLeft w:val="0"/>
      <w:marRight w:val="0"/>
      <w:marTop w:val="0"/>
      <w:marBottom w:val="0"/>
      <w:divBdr>
        <w:top w:val="none" w:sz="0" w:space="0" w:color="auto"/>
        <w:left w:val="none" w:sz="0" w:space="0" w:color="auto"/>
        <w:bottom w:val="none" w:sz="0" w:space="0" w:color="auto"/>
        <w:right w:val="none" w:sz="0" w:space="0" w:color="auto"/>
      </w:divBdr>
    </w:div>
    <w:div w:id="354617338">
      <w:marLeft w:val="0"/>
      <w:marRight w:val="0"/>
      <w:marTop w:val="0"/>
      <w:marBottom w:val="0"/>
      <w:divBdr>
        <w:top w:val="none" w:sz="0" w:space="0" w:color="auto"/>
        <w:left w:val="none" w:sz="0" w:space="0" w:color="auto"/>
        <w:bottom w:val="none" w:sz="0" w:space="0" w:color="auto"/>
        <w:right w:val="none" w:sz="0" w:space="0" w:color="auto"/>
      </w:divBdr>
    </w:div>
    <w:div w:id="354617339">
      <w:marLeft w:val="0"/>
      <w:marRight w:val="0"/>
      <w:marTop w:val="0"/>
      <w:marBottom w:val="0"/>
      <w:divBdr>
        <w:top w:val="none" w:sz="0" w:space="0" w:color="auto"/>
        <w:left w:val="none" w:sz="0" w:space="0" w:color="auto"/>
        <w:bottom w:val="none" w:sz="0" w:space="0" w:color="auto"/>
        <w:right w:val="none" w:sz="0" w:space="0" w:color="auto"/>
      </w:divBdr>
    </w:div>
    <w:div w:id="354617340">
      <w:marLeft w:val="0"/>
      <w:marRight w:val="0"/>
      <w:marTop w:val="0"/>
      <w:marBottom w:val="0"/>
      <w:divBdr>
        <w:top w:val="none" w:sz="0" w:space="0" w:color="auto"/>
        <w:left w:val="none" w:sz="0" w:space="0" w:color="auto"/>
        <w:bottom w:val="none" w:sz="0" w:space="0" w:color="auto"/>
        <w:right w:val="none" w:sz="0" w:space="0" w:color="auto"/>
      </w:divBdr>
    </w:div>
    <w:div w:id="354617341">
      <w:marLeft w:val="0"/>
      <w:marRight w:val="0"/>
      <w:marTop w:val="0"/>
      <w:marBottom w:val="0"/>
      <w:divBdr>
        <w:top w:val="none" w:sz="0" w:space="0" w:color="auto"/>
        <w:left w:val="none" w:sz="0" w:space="0" w:color="auto"/>
        <w:bottom w:val="none" w:sz="0" w:space="0" w:color="auto"/>
        <w:right w:val="none" w:sz="0" w:space="0" w:color="auto"/>
      </w:divBdr>
    </w:div>
    <w:div w:id="354617342">
      <w:marLeft w:val="0"/>
      <w:marRight w:val="0"/>
      <w:marTop w:val="0"/>
      <w:marBottom w:val="0"/>
      <w:divBdr>
        <w:top w:val="none" w:sz="0" w:space="0" w:color="auto"/>
        <w:left w:val="none" w:sz="0" w:space="0" w:color="auto"/>
        <w:bottom w:val="none" w:sz="0" w:space="0" w:color="auto"/>
        <w:right w:val="none" w:sz="0" w:space="0" w:color="auto"/>
      </w:divBdr>
    </w:div>
    <w:div w:id="354617343">
      <w:marLeft w:val="0"/>
      <w:marRight w:val="0"/>
      <w:marTop w:val="0"/>
      <w:marBottom w:val="0"/>
      <w:divBdr>
        <w:top w:val="none" w:sz="0" w:space="0" w:color="auto"/>
        <w:left w:val="none" w:sz="0" w:space="0" w:color="auto"/>
        <w:bottom w:val="none" w:sz="0" w:space="0" w:color="auto"/>
        <w:right w:val="none" w:sz="0" w:space="0" w:color="auto"/>
      </w:divBdr>
    </w:div>
    <w:div w:id="354617344">
      <w:marLeft w:val="0"/>
      <w:marRight w:val="0"/>
      <w:marTop w:val="0"/>
      <w:marBottom w:val="0"/>
      <w:divBdr>
        <w:top w:val="none" w:sz="0" w:space="0" w:color="auto"/>
        <w:left w:val="none" w:sz="0" w:space="0" w:color="auto"/>
        <w:bottom w:val="none" w:sz="0" w:space="0" w:color="auto"/>
        <w:right w:val="none" w:sz="0" w:space="0" w:color="auto"/>
      </w:divBdr>
    </w:div>
    <w:div w:id="354617345">
      <w:marLeft w:val="0"/>
      <w:marRight w:val="0"/>
      <w:marTop w:val="0"/>
      <w:marBottom w:val="0"/>
      <w:divBdr>
        <w:top w:val="none" w:sz="0" w:space="0" w:color="auto"/>
        <w:left w:val="none" w:sz="0" w:space="0" w:color="auto"/>
        <w:bottom w:val="none" w:sz="0" w:space="0" w:color="auto"/>
        <w:right w:val="none" w:sz="0" w:space="0" w:color="auto"/>
      </w:divBdr>
    </w:div>
    <w:div w:id="354617346">
      <w:marLeft w:val="0"/>
      <w:marRight w:val="0"/>
      <w:marTop w:val="0"/>
      <w:marBottom w:val="0"/>
      <w:divBdr>
        <w:top w:val="none" w:sz="0" w:space="0" w:color="auto"/>
        <w:left w:val="none" w:sz="0" w:space="0" w:color="auto"/>
        <w:bottom w:val="none" w:sz="0" w:space="0" w:color="auto"/>
        <w:right w:val="none" w:sz="0" w:space="0" w:color="auto"/>
      </w:divBdr>
    </w:div>
    <w:div w:id="354617347">
      <w:marLeft w:val="0"/>
      <w:marRight w:val="0"/>
      <w:marTop w:val="0"/>
      <w:marBottom w:val="0"/>
      <w:divBdr>
        <w:top w:val="none" w:sz="0" w:space="0" w:color="auto"/>
        <w:left w:val="none" w:sz="0" w:space="0" w:color="auto"/>
        <w:bottom w:val="none" w:sz="0" w:space="0" w:color="auto"/>
        <w:right w:val="none" w:sz="0" w:space="0" w:color="auto"/>
      </w:divBdr>
    </w:div>
    <w:div w:id="354617348">
      <w:marLeft w:val="0"/>
      <w:marRight w:val="0"/>
      <w:marTop w:val="0"/>
      <w:marBottom w:val="0"/>
      <w:divBdr>
        <w:top w:val="none" w:sz="0" w:space="0" w:color="auto"/>
        <w:left w:val="none" w:sz="0" w:space="0" w:color="auto"/>
        <w:bottom w:val="none" w:sz="0" w:space="0" w:color="auto"/>
        <w:right w:val="none" w:sz="0" w:space="0" w:color="auto"/>
      </w:divBdr>
    </w:div>
    <w:div w:id="354617349">
      <w:marLeft w:val="0"/>
      <w:marRight w:val="0"/>
      <w:marTop w:val="0"/>
      <w:marBottom w:val="0"/>
      <w:divBdr>
        <w:top w:val="none" w:sz="0" w:space="0" w:color="auto"/>
        <w:left w:val="none" w:sz="0" w:space="0" w:color="auto"/>
        <w:bottom w:val="none" w:sz="0" w:space="0" w:color="auto"/>
        <w:right w:val="none" w:sz="0" w:space="0" w:color="auto"/>
      </w:divBdr>
    </w:div>
    <w:div w:id="354617350">
      <w:marLeft w:val="0"/>
      <w:marRight w:val="0"/>
      <w:marTop w:val="0"/>
      <w:marBottom w:val="0"/>
      <w:divBdr>
        <w:top w:val="none" w:sz="0" w:space="0" w:color="auto"/>
        <w:left w:val="none" w:sz="0" w:space="0" w:color="auto"/>
        <w:bottom w:val="none" w:sz="0" w:space="0" w:color="auto"/>
        <w:right w:val="none" w:sz="0" w:space="0" w:color="auto"/>
      </w:divBdr>
    </w:div>
    <w:div w:id="354617351">
      <w:marLeft w:val="0"/>
      <w:marRight w:val="0"/>
      <w:marTop w:val="0"/>
      <w:marBottom w:val="0"/>
      <w:divBdr>
        <w:top w:val="none" w:sz="0" w:space="0" w:color="auto"/>
        <w:left w:val="none" w:sz="0" w:space="0" w:color="auto"/>
        <w:bottom w:val="none" w:sz="0" w:space="0" w:color="auto"/>
        <w:right w:val="none" w:sz="0" w:space="0" w:color="auto"/>
      </w:divBdr>
    </w:div>
    <w:div w:id="354617352">
      <w:marLeft w:val="0"/>
      <w:marRight w:val="0"/>
      <w:marTop w:val="0"/>
      <w:marBottom w:val="0"/>
      <w:divBdr>
        <w:top w:val="none" w:sz="0" w:space="0" w:color="auto"/>
        <w:left w:val="none" w:sz="0" w:space="0" w:color="auto"/>
        <w:bottom w:val="none" w:sz="0" w:space="0" w:color="auto"/>
        <w:right w:val="none" w:sz="0" w:space="0" w:color="auto"/>
      </w:divBdr>
    </w:div>
    <w:div w:id="354617353">
      <w:marLeft w:val="0"/>
      <w:marRight w:val="0"/>
      <w:marTop w:val="0"/>
      <w:marBottom w:val="0"/>
      <w:divBdr>
        <w:top w:val="none" w:sz="0" w:space="0" w:color="auto"/>
        <w:left w:val="none" w:sz="0" w:space="0" w:color="auto"/>
        <w:bottom w:val="none" w:sz="0" w:space="0" w:color="auto"/>
        <w:right w:val="none" w:sz="0" w:space="0" w:color="auto"/>
      </w:divBdr>
    </w:div>
    <w:div w:id="354617354">
      <w:marLeft w:val="0"/>
      <w:marRight w:val="0"/>
      <w:marTop w:val="0"/>
      <w:marBottom w:val="0"/>
      <w:divBdr>
        <w:top w:val="none" w:sz="0" w:space="0" w:color="auto"/>
        <w:left w:val="none" w:sz="0" w:space="0" w:color="auto"/>
        <w:bottom w:val="none" w:sz="0" w:space="0" w:color="auto"/>
        <w:right w:val="none" w:sz="0" w:space="0" w:color="auto"/>
      </w:divBdr>
    </w:div>
    <w:div w:id="354617355">
      <w:marLeft w:val="0"/>
      <w:marRight w:val="0"/>
      <w:marTop w:val="0"/>
      <w:marBottom w:val="0"/>
      <w:divBdr>
        <w:top w:val="none" w:sz="0" w:space="0" w:color="auto"/>
        <w:left w:val="none" w:sz="0" w:space="0" w:color="auto"/>
        <w:bottom w:val="none" w:sz="0" w:space="0" w:color="auto"/>
        <w:right w:val="none" w:sz="0" w:space="0" w:color="auto"/>
      </w:divBdr>
    </w:div>
    <w:div w:id="354617356">
      <w:marLeft w:val="0"/>
      <w:marRight w:val="0"/>
      <w:marTop w:val="0"/>
      <w:marBottom w:val="0"/>
      <w:divBdr>
        <w:top w:val="none" w:sz="0" w:space="0" w:color="auto"/>
        <w:left w:val="none" w:sz="0" w:space="0" w:color="auto"/>
        <w:bottom w:val="none" w:sz="0" w:space="0" w:color="auto"/>
        <w:right w:val="none" w:sz="0" w:space="0" w:color="auto"/>
      </w:divBdr>
    </w:div>
    <w:div w:id="354617357">
      <w:marLeft w:val="0"/>
      <w:marRight w:val="0"/>
      <w:marTop w:val="0"/>
      <w:marBottom w:val="0"/>
      <w:divBdr>
        <w:top w:val="none" w:sz="0" w:space="0" w:color="auto"/>
        <w:left w:val="none" w:sz="0" w:space="0" w:color="auto"/>
        <w:bottom w:val="none" w:sz="0" w:space="0" w:color="auto"/>
        <w:right w:val="none" w:sz="0" w:space="0" w:color="auto"/>
      </w:divBdr>
    </w:div>
    <w:div w:id="354617358">
      <w:marLeft w:val="0"/>
      <w:marRight w:val="0"/>
      <w:marTop w:val="0"/>
      <w:marBottom w:val="0"/>
      <w:divBdr>
        <w:top w:val="none" w:sz="0" w:space="0" w:color="auto"/>
        <w:left w:val="none" w:sz="0" w:space="0" w:color="auto"/>
        <w:bottom w:val="none" w:sz="0" w:space="0" w:color="auto"/>
        <w:right w:val="none" w:sz="0" w:space="0" w:color="auto"/>
      </w:divBdr>
    </w:div>
    <w:div w:id="354617359">
      <w:marLeft w:val="0"/>
      <w:marRight w:val="0"/>
      <w:marTop w:val="0"/>
      <w:marBottom w:val="0"/>
      <w:divBdr>
        <w:top w:val="none" w:sz="0" w:space="0" w:color="auto"/>
        <w:left w:val="none" w:sz="0" w:space="0" w:color="auto"/>
        <w:bottom w:val="none" w:sz="0" w:space="0" w:color="auto"/>
        <w:right w:val="none" w:sz="0" w:space="0" w:color="auto"/>
      </w:divBdr>
    </w:div>
    <w:div w:id="354617360">
      <w:marLeft w:val="0"/>
      <w:marRight w:val="0"/>
      <w:marTop w:val="0"/>
      <w:marBottom w:val="0"/>
      <w:divBdr>
        <w:top w:val="none" w:sz="0" w:space="0" w:color="auto"/>
        <w:left w:val="none" w:sz="0" w:space="0" w:color="auto"/>
        <w:bottom w:val="none" w:sz="0" w:space="0" w:color="auto"/>
        <w:right w:val="none" w:sz="0" w:space="0" w:color="auto"/>
      </w:divBdr>
    </w:div>
    <w:div w:id="354617361">
      <w:marLeft w:val="0"/>
      <w:marRight w:val="0"/>
      <w:marTop w:val="0"/>
      <w:marBottom w:val="0"/>
      <w:divBdr>
        <w:top w:val="none" w:sz="0" w:space="0" w:color="auto"/>
        <w:left w:val="none" w:sz="0" w:space="0" w:color="auto"/>
        <w:bottom w:val="none" w:sz="0" w:space="0" w:color="auto"/>
        <w:right w:val="none" w:sz="0" w:space="0" w:color="auto"/>
      </w:divBdr>
    </w:div>
    <w:div w:id="354617362">
      <w:marLeft w:val="0"/>
      <w:marRight w:val="0"/>
      <w:marTop w:val="0"/>
      <w:marBottom w:val="0"/>
      <w:divBdr>
        <w:top w:val="none" w:sz="0" w:space="0" w:color="auto"/>
        <w:left w:val="none" w:sz="0" w:space="0" w:color="auto"/>
        <w:bottom w:val="none" w:sz="0" w:space="0" w:color="auto"/>
        <w:right w:val="none" w:sz="0" w:space="0" w:color="auto"/>
      </w:divBdr>
    </w:div>
    <w:div w:id="354617363">
      <w:marLeft w:val="0"/>
      <w:marRight w:val="0"/>
      <w:marTop w:val="0"/>
      <w:marBottom w:val="0"/>
      <w:divBdr>
        <w:top w:val="none" w:sz="0" w:space="0" w:color="auto"/>
        <w:left w:val="none" w:sz="0" w:space="0" w:color="auto"/>
        <w:bottom w:val="none" w:sz="0" w:space="0" w:color="auto"/>
        <w:right w:val="none" w:sz="0" w:space="0" w:color="auto"/>
      </w:divBdr>
    </w:div>
    <w:div w:id="354617364">
      <w:marLeft w:val="0"/>
      <w:marRight w:val="0"/>
      <w:marTop w:val="0"/>
      <w:marBottom w:val="0"/>
      <w:divBdr>
        <w:top w:val="none" w:sz="0" w:space="0" w:color="auto"/>
        <w:left w:val="none" w:sz="0" w:space="0" w:color="auto"/>
        <w:bottom w:val="none" w:sz="0" w:space="0" w:color="auto"/>
        <w:right w:val="none" w:sz="0" w:space="0" w:color="auto"/>
      </w:divBdr>
    </w:div>
    <w:div w:id="354617365">
      <w:marLeft w:val="0"/>
      <w:marRight w:val="0"/>
      <w:marTop w:val="0"/>
      <w:marBottom w:val="0"/>
      <w:divBdr>
        <w:top w:val="none" w:sz="0" w:space="0" w:color="auto"/>
        <w:left w:val="none" w:sz="0" w:space="0" w:color="auto"/>
        <w:bottom w:val="none" w:sz="0" w:space="0" w:color="auto"/>
        <w:right w:val="none" w:sz="0" w:space="0" w:color="auto"/>
      </w:divBdr>
    </w:div>
    <w:div w:id="354617366">
      <w:marLeft w:val="0"/>
      <w:marRight w:val="0"/>
      <w:marTop w:val="0"/>
      <w:marBottom w:val="0"/>
      <w:divBdr>
        <w:top w:val="none" w:sz="0" w:space="0" w:color="auto"/>
        <w:left w:val="none" w:sz="0" w:space="0" w:color="auto"/>
        <w:bottom w:val="none" w:sz="0" w:space="0" w:color="auto"/>
        <w:right w:val="none" w:sz="0" w:space="0" w:color="auto"/>
      </w:divBdr>
    </w:div>
    <w:div w:id="354617367">
      <w:marLeft w:val="0"/>
      <w:marRight w:val="0"/>
      <w:marTop w:val="0"/>
      <w:marBottom w:val="0"/>
      <w:divBdr>
        <w:top w:val="none" w:sz="0" w:space="0" w:color="auto"/>
        <w:left w:val="none" w:sz="0" w:space="0" w:color="auto"/>
        <w:bottom w:val="none" w:sz="0" w:space="0" w:color="auto"/>
        <w:right w:val="none" w:sz="0" w:space="0" w:color="auto"/>
      </w:divBdr>
    </w:div>
    <w:div w:id="354617368">
      <w:marLeft w:val="0"/>
      <w:marRight w:val="0"/>
      <w:marTop w:val="0"/>
      <w:marBottom w:val="0"/>
      <w:divBdr>
        <w:top w:val="none" w:sz="0" w:space="0" w:color="auto"/>
        <w:left w:val="none" w:sz="0" w:space="0" w:color="auto"/>
        <w:bottom w:val="none" w:sz="0" w:space="0" w:color="auto"/>
        <w:right w:val="none" w:sz="0" w:space="0" w:color="auto"/>
      </w:divBdr>
    </w:div>
    <w:div w:id="354617369">
      <w:marLeft w:val="0"/>
      <w:marRight w:val="0"/>
      <w:marTop w:val="0"/>
      <w:marBottom w:val="0"/>
      <w:divBdr>
        <w:top w:val="none" w:sz="0" w:space="0" w:color="auto"/>
        <w:left w:val="none" w:sz="0" w:space="0" w:color="auto"/>
        <w:bottom w:val="none" w:sz="0" w:space="0" w:color="auto"/>
        <w:right w:val="none" w:sz="0" w:space="0" w:color="auto"/>
      </w:divBdr>
    </w:div>
    <w:div w:id="354617370">
      <w:marLeft w:val="0"/>
      <w:marRight w:val="0"/>
      <w:marTop w:val="0"/>
      <w:marBottom w:val="0"/>
      <w:divBdr>
        <w:top w:val="none" w:sz="0" w:space="0" w:color="auto"/>
        <w:left w:val="none" w:sz="0" w:space="0" w:color="auto"/>
        <w:bottom w:val="none" w:sz="0" w:space="0" w:color="auto"/>
        <w:right w:val="none" w:sz="0" w:space="0" w:color="auto"/>
      </w:divBdr>
    </w:div>
    <w:div w:id="354617371">
      <w:marLeft w:val="0"/>
      <w:marRight w:val="0"/>
      <w:marTop w:val="0"/>
      <w:marBottom w:val="0"/>
      <w:divBdr>
        <w:top w:val="none" w:sz="0" w:space="0" w:color="auto"/>
        <w:left w:val="none" w:sz="0" w:space="0" w:color="auto"/>
        <w:bottom w:val="none" w:sz="0" w:space="0" w:color="auto"/>
        <w:right w:val="none" w:sz="0" w:space="0" w:color="auto"/>
      </w:divBdr>
    </w:div>
    <w:div w:id="354617372">
      <w:marLeft w:val="0"/>
      <w:marRight w:val="0"/>
      <w:marTop w:val="0"/>
      <w:marBottom w:val="0"/>
      <w:divBdr>
        <w:top w:val="none" w:sz="0" w:space="0" w:color="auto"/>
        <w:left w:val="none" w:sz="0" w:space="0" w:color="auto"/>
        <w:bottom w:val="none" w:sz="0" w:space="0" w:color="auto"/>
        <w:right w:val="none" w:sz="0" w:space="0" w:color="auto"/>
      </w:divBdr>
    </w:div>
    <w:div w:id="354617373">
      <w:marLeft w:val="0"/>
      <w:marRight w:val="0"/>
      <w:marTop w:val="0"/>
      <w:marBottom w:val="0"/>
      <w:divBdr>
        <w:top w:val="none" w:sz="0" w:space="0" w:color="auto"/>
        <w:left w:val="none" w:sz="0" w:space="0" w:color="auto"/>
        <w:bottom w:val="none" w:sz="0" w:space="0" w:color="auto"/>
        <w:right w:val="none" w:sz="0" w:space="0" w:color="auto"/>
      </w:divBdr>
    </w:div>
    <w:div w:id="354617374">
      <w:marLeft w:val="0"/>
      <w:marRight w:val="0"/>
      <w:marTop w:val="0"/>
      <w:marBottom w:val="0"/>
      <w:divBdr>
        <w:top w:val="none" w:sz="0" w:space="0" w:color="auto"/>
        <w:left w:val="none" w:sz="0" w:space="0" w:color="auto"/>
        <w:bottom w:val="none" w:sz="0" w:space="0" w:color="auto"/>
        <w:right w:val="none" w:sz="0" w:space="0" w:color="auto"/>
      </w:divBdr>
    </w:div>
    <w:div w:id="354617375">
      <w:marLeft w:val="0"/>
      <w:marRight w:val="0"/>
      <w:marTop w:val="0"/>
      <w:marBottom w:val="0"/>
      <w:divBdr>
        <w:top w:val="none" w:sz="0" w:space="0" w:color="auto"/>
        <w:left w:val="none" w:sz="0" w:space="0" w:color="auto"/>
        <w:bottom w:val="none" w:sz="0" w:space="0" w:color="auto"/>
        <w:right w:val="none" w:sz="0" w:space="0" w:color="auto"/>
      </w:divBdr>
    </w:div>
    <w:div w:id="354617376">
      <w:marLeft w:val="0"/>
      <w:marRight w:val="0"/>
      <w:marTop w:val="0"/>
      <w:marBottom w:val="0"/>
      <w:divBdr>
        <w:top w:val="none" w:sz="0" w:space="0" w:color="auto"/>
        <w:left w:val="none" w:sz="0" w:space="0" w:color="auto"/>
        <w:bottom w:val="none" w:sz="0" w:space="0" w:color="auto"/>
        <w:right w:val="none" w:sz="0" w:space="0" w:color="auto"/>
      </w:divBdr>
    </w:div>
    <w:div w:id="354617377">
      <w:marLeft w:val="0"/>
      <w:marRight w:val="0"/>
      <w:marTop w:val="0"/>
      <w:marBottom w:val="0"/>
      <w:divBdr>
        <w:top w:val="none" w:sz="0" w:space="0" w:color="auto"/>
        <w:left w:val="none" w:sz="0" w:space="0" w:color="auto"/>
        <w:bottom w:val="none" w:sz="0" w:space="0" w:color="auto"/>
        <w:right w:val="none" w:sz="0" w:space="0" w:color="auto"/>
      </w:divBdr>
    </w:div>
    <w:div w:id="354617378">
      <w:marLeft w:val="0"/>
      <w:marRight w:val="0"/>
      <w:marTop w:val="0"/>
      <w:marBottom w:val="0"/>
      <w:divBdr>
        <w:top w:val="none" w:sz="0" w:space="0" w:color="auto"/>
        <w:left w:val="none" w:sz="0" w:space="0" w:color="auto"/>
        <w:bottom w:val="none" w:sz="0" w:space="0" w:color="auto"/>
        <w:right w:val="none" w:sz="0" w:space="0" w:color="auto"/>
      </w:divBdr>
    </w:div>
    <w:div w:id="354617379">
      <w:marLeft w:val="0"/>
      <w:marRight w:val="0"/>
      <w:marTop w:val="0"/>
      <w:marBottom w:val="0"/>
      <w:divBdr>
        <w:top w:val="none" w:sz="0" w:space="0" w:color="auto"/>
        <w:left w:val="none" w:sz="0" w:space="0" w:color="auto"/>
        <w:bottom w:val="none" w:sz="0" w:space="0" w:color="auto"/>
        <w:right w:val="none" w:sz="0" w:space="0" w:color="auto"/>
      </w:divBdr>
    </w:div>
    <w:div w:id="354617380">
      <w:marLeft w:val="0"/>
      <w:marRight w:val="0"/>
      <w:marTop w:val="0"/>
      <w:marBottom w:val="0"/>
      <w:divBdr>
        <w:top w:val="none" w:sz="0" w:space="0" w:color="auto"/>
        <w:left w:val="none" w:sz="0" w:space="0" w:color="auto"/>
        <w:bottom w:val="none" w:sz="0" w:space="0" w:color="auto"/>
        <w:right w:val="none" w:sz="0" w:space="0" w:color="auto"/>
      </w:divBdr>
    </w:div>
    <w:div w:id="354617381">
      <w:marLeft w:val="0"/>
      <w:marRight w:val="0"/>
      <w:marTop w:val="0"/>
      <w:marBottom w:val="0"/>
      <w:divBdr>
        <w:top w:val="none" w:sz="0" w:space="0" w:color="auto"/>
        <w:left w:val="none" w:sz="0" w:space="0" w:color="auto"/>
        <w:bottom w:val="none" w:sz="0" w:space="0" w:color="auto"/>
        <w:right w:val="none" w:sz="0" w:space="0" w:color="auto"/>
      </w:divBdr>
    </w:div>
    <w:div w:id="354617382">
      <w:marLeft w:val="0"/>
      <w:marRight w:val="0"/>
      <w:marTop w:val="0"/>
      <w:marBottom w:val="0"/>
      <w:divBdr>
        <w:top w:val="none" w:sz="0" w:space="0" w:color="auto"/>
        <w:left w:val="none" w:sz="0" w:space="0" w:color="auto"/>
        <w:bottom w:val="none" w:sz="0" w:space="0" w:color="auto"/>
        <w:right w:val="none" w:sz="0" w:space="0" w:color="auto"/>
      </w:divBdr>
    </w:div>
    <w:div w:id="354617383">
      <w:marLeft w:val="0"/>
      <w:marRight w:val="0"/>
      <w:marTop w:val="0"/>
      <w:marBottom w:val="0"/>
      <w:divBdr>
        <w:top w:val="none" w:sz="0" w:space="0" w:color="auto"/>
        <w:left w:val="none" w:sz="0" w:space="0" w:color="auto"/>
        <w:bottom w:val="none" w:sz="0" w:space="0" w:color="auto"/>
        <w:right w:val="none" w:sz="0" w:space="0" w:color="auto"/>
      </w:divBdr>
    </w:div>
    <w:div w:id="354617384">
      <w:marLeft w:val="0"/>
      <w:marRight w:val="0"/>
      <w:marTop w:val="0"/>
      <w:marBottom w:val="0"/>
      <w:divBdr>
        <w:top w:val="none" w:sz="0" w:space="0" w:color="auto"/>
        <w:left w:val="none" w:sz="0" w:space="0" w:color="auto"/>
        <w:bottom w:val="none" w:sz="0" w:space="0" w:color="auto"/>
        <w:right w:val="none" w:sz="0" w:space="0" w:color="auto"/>
      </w:divBdr>
    </w:div>
    <w:div w:id="354617385">
      <w:marLeft w:val="0"/>
      <w:marRight w:val="0"/>
      <w:marTop w:val="0"/>
      <w:marBottom w:val="0"/>
      <w:divBdr>
        <w:top w:val="none" w:sz="0" w:space="0" w:color="auto"/>
        <w:left w:val="none" w:sz="0" w:space="0" w:color="auto"/>
        <w:bottom w:val="none" w:sz="0" w:space="0" w:color="auto"/>
        <w:right w:val="none" w:sz="0" w:space="0" w:color="auto"/>
      </w:divBdr>
    </w:div>
    <w:div w:id="354617386">
      <w:marLeft w:val="0"/>
      <w:marRight w:val="0"/>
      <w:marTop w:val="0"/>
      <w:marBottom w:val="0"/>
      <w:divBdr>
        <w:top w:val="none" w:sz="0" w:space="0" w:color="auto"/>
        <w:left w:val="none" w:sz="0" w:space="0" w:color="auto"/>
        <w:bottom w:val="none" w:sz="0" w:space="0" w:color="auto"/>
        <w:right w:val="none" w:sz="0" w:space="0" w:color="auto"/>
      </w:divBdr>
    </w:div>
    <w:div w:id="354617387">
      <w:marLeft w:val="0"/>
      <w:marRight w:val="0"/>
      <w:marTop w:val="0"/>
      <w:marBottom w:val="0"/>
      <w:divBdr>
        <w:top w:val="none" w:sz="0" w:space="0" w:color="auto"/>
        <w:left w:val="none" w:sz="0" w:space="0" w:color="auto"/>
        <w:bottom w:val="none" w:sz="0" w:space="0" w:color="auto"/>
        <w:right w:val="none" w:sz="0" w:space="0" w:color="auto"/>
      </w:divBdr>
    </w:div>
    <w:div w:id="354617388">
      <w:marLeft w:val="0"/>
      <w:marRight w:val="0"/>
      <w:marTop w:val="0"/>
      <w:marBottom w:val="0"/>
      <w:divBdr>
        <w:top w:val="none" w:sz="0" w:space="0" w:color="auto"/>
        <w:left w:val="none" w:sz="0" w:space="0" w:color="auto"/>
        <w:bottom w:val="none" w:sz="0" w:space="0" w:color="auto"/>
        <w:right w:val="none" w:sz="0" w:space="0" w:color="auto"/>
      </w:divBdr>
    </w:div>
    <w:div w:id="354617389">
      <w:marLeft w:val="0"/>
      <w:marRight w:val="0"/>
      <w:marTop w:val="0"/>
      <w:marBottom w:val="0"/>
      <w:divBdr>
        <w:top w:val="none" w:sz="0" w:space="0" w:color="auto"/>
        <w:left w:val="none" w:sz="0" w:space="0" w:color="auto"/>
        <w:bottom w:val="none" w:sz="0" w:space="0" w:color="auto"/>
        <w:right w:val="none" w:sz="0" w:space="0" w:color="auto"/>
      </w:divBdr>
    </w:div>
    <w:div w:id="354617390">
      <w:marLeft w:val="0"/>
      <w:marRight w:val="0"/>
      <w:marTop w:val="0"/>
      <w:marBottom w:val="0"/>
      <w:divBdr>
        <w:top w:val="none" w:sz="0" w:space="0" w:color="auto"/>
        <w:left w:val="none" w:sz="0" w:space="0" w:color="auto"/>
        <w:bottom w:val="none" w:sz="0" w:space="0" w:color="auto"/>
        <w:right w:val="none" w:sz="0" w:space="0" w:color="auto"/>
      </w:divBdr>
    </w:div>
    <w:div w:id="354617391">
      <w:marLeft w:val="0"/>
      <w:marRight w:val="0"/>
      <w:marTop w:val="0"/>
      <w:marBottom w:val="0"/>
      <w:divBdr>
        <w:top w:val="none" w:sz="0" w:space="0" w:color="auto"/>
        <w:left w:val="none" w:sz="0" w:space="0" w:color="auto"/>
        <w:bottom w:val="none" w:sz="0" w:space="0" w:color="auto"/>
        <w:right w:val="none" w:sz="0" w:space="0" w:color="auto"/>
      </w:divBdr>
    </w:div>
    <w:div w:id="354617392">
      <w:marLeft w:val="0"/>
      <w:marRight w:val="0"/>
      <w:marTop w:val="0"/>
      <w:marBottom w:val="0"/>
      <w:divBdr>
        <w:top w:val="none" w:sz="0" w:space="0" w:color="auto"/>
        <w:left w:val="none" w:sz="0" w:space="0" w:color="auto"/>
        <w:bottom w:val="none" w:sz="0" w:space="0" w:color="auto"/>
        <w:right w:val="none" w:sz="0" w:space="0" w:color="auto"/>
      </w:divBdr>
    </w:div>
    <w:div w:id="354617393">
      <w:marLeft w:val="0"/>
      <w:marRight w:val="0"/>
      <w:marTop w:val="0"/>
      <w:marBottom w:val="0"/>
      <w:divBdr>
        <w:top w:val="none" w:sz="0" w:space="0" w:color="auto"/>
        <w:left w:val="none" w:sz="0" w:space="0" w:color="auto"/>
        <w:bottom w:val="none" w:sz="0" w:space="0" w:color="auto"/>
        <w:right w:val="none" w:sz="0" w:space="0" w:color="auto"/>
      </w:divBdr>
    </w:div>
    <w:div w:id="354617394">
      <w:marLeft w:val="0"/>
      <w:marRight w:val="0"/>
      <w:marTop w:val="0"/>
      <w:marBottom w:val="0"/>
      <w:divBdr>
        <w:top w:val="none" w:sz="0" w:space="0" w:color="auto"/>
        <w:left w:val="none" w:sz="0" w:space="0" w:color="auto"/>
        <w:bottom w:val="none" w:sz="0" w:space="0" w:color="auto"/>
        <w:right w:val="none" w:sz="0" w:space="0" w:color="auto"/>
      </w:divBdr>
    </w:div>
    <w:div w:id="354617395">
      <w:marLeft w:val="0"/>
      <w:marRight w:val="0"/>
      <w:marTop w:val="0"/>
      <w:marBottom w:val="0"/>
      <w:divBdr>
        <w:top w:val="none" w:sz="0" w:space="0" w:color="auto"/>
        <w:left w:val="none" w:sz="0" w:space="0" w:color="auto"/>
        <w:bottom w:val="none" w:sz="0" w:space="0" w:color="auto"/>
        <w:right w:val="none" w:sz="0" w:space="0" w:color="auto"/>
      </w:divBdr>
    </w:div>
    <w:div w:id="354617396">
      <w:marLeft w:val="0"/>
      <w:marRight w:val="0"/>
      <w:marTop w:val="0"/>
      <w:marBottom w:val="0"/>
      <w:divBdr>
        <w:top w:val="none" w:sz="0" w:space="0" w:color="auto"/>
        <w:left w:val="none" w:sz="0" w:space="0" w:color="auto"/>
        <w:bottom w:val="none" w:sz="0" w:space="0" w:color="auto"/>
        <w:right w:val="none" w:sz="0" w:space="0" w:color="auto"/>
      </w:divBdr>
    </w:div>
    <w:div w:id="354617397">
      <w:marLeft w:val="0"/>
      <w:marRight w:val="0"/>
      <w:marTop w:val="0"/>
      <w:marBottom w:val="0"/>
      <w:divBdr>
        <w:top w:val="none" w:sz="0" w:space="0" w:color="auto"/>
        <w:left w:val="none" w:sz="0" w:space="0" w:color="auto"/>
        <w:bottom w:val="none" w:sz="0" w:space="0" w:color="auto"/>
        <w:right w:val="none" w:sz="0" w:space="0" w:color="auto"/>
      </w:divBdr>
    </w:div>
    <w:div w:id="354617398">
      <w:marLeft w:val="0"/>
      <w:marRight w:val="0"/>
      <w:marTop w:val="0"/>
      <w:marBottom w:val="0"/>
      <w:divBdr>
        <w:top w:val="none" w:sz="0" w:space="0" w:color="auto"/>
        <w:left w:val="none" w:sz="0" w:space="0" w:color="auto"/>
        <w:bottom w:val="none" w:sz="0" w:space="0" w:color="auto"/>
        <w:right w:val="none" w:sz="0" w:space="0" w:color="auto"/>
      </w:divBdr>
    </w:div>
    <w:div w:id="400107183">
      <w:bodyDiv w:val="1"/>
      <w:marLeft w:val="0"/>
      <w:marRight w:val="0"/>
      <w:marTop w:val="0"/>
      <w:marBottom w:val="0"/>
      <w:divBdr>
        <w:top w:val="none" w:sz="0" w:space="0" w:color="auto"/>
        <w:left w:val="none" w:sz="0" w:space="0" w:color="auto"/>
        <w:bottom w:val="none" w:sz="0" w:space="0" w:color="auto"/>
        <w:right w:val="none" w:sz="0" w:space="0" w:color="auto"/>
      </w:divBdr>
    </w:div>
    <w:div w:id="445275339">
      <w:bodyDiv w:val="1"/>
      <w:marLeft w:val="0"/>
      <w:marRight w:val="0"/>
      <w:marTop w:val="0"/>
      <w:marBottom w:val="0"/>
      <w:divBdr>
        <w:top w:val="none" w:sz="0" w:space="0" w:color="auto"/>
        <w:left w:val="none" w:sz="0" w:space="0" w:color="auto"/>
        <w:bottom w:val="none" w:sz="0" w:space="0" w:color="auto"/>
        <w:right w:val="none" w:sz="0" w:space="0" w:color="auto"/>
      </w:divBdr>
    </w:div>
    <w:div w:id="470055405">
      <w:bodyDiv w:val="1"/>
      <w:marLeft w:val="0"/>
      <w:marRight w:val="0"/>
      <w:marTop w:val="0"/>
      <w:marBottom w:val="0"/>
      <w:divBdr>
        <w:top w:val="none" w:sz="0" w:space="0" w:color="auto"/>
        <w:left w:val="none" w:sz="0" w:space="0" w:color="auto"/>
        <w:bottom w:val="none" w:sz="0" w:space="0" w:color="auto"/>
        <w:right w:val="none" w:sz="0" w:space="0" w:color="auto"/>
      </w:divBdr>
    </w:div>
    <w:div w:id="548613554">
      <w:bodyDiv w:val="1"/>
      <w:marLeft w:val="0"/>
      <w:marRight w:val="0"/>
      <w:marTop w:val="0"/>
      <w:marBottom w:val="0"/>
      <w:divBdr>
        <w:top w:val="none" w:sz="0" w:space="0" w:color="auto"/>
        <w:left w:val="none" w:sz="0" w:space="0" w:color="auto"/>
        <w:bottom w:val="none" w:sz="0" w:space="0" w:color="auto"/>
        <w:right w:val="none" w:sz="0" w:space="0" w:color="auto"/>
      </w:divBdr>
    </w:div>
    <w:div w:id="607087317">
      <w:bodyDiv w:val="1"/>
      <w:marLeft w:val="0"/>
      <w:marRight w:val="0"/>
      <w:marTop w:val="0"/>
      <w:marBottom w:val="0"/>
      <w:divBdr>
        <w:top w:val="none" w:sz="0" w:space="0" w:color="auto"/>
        <w:left w:val="none" w:sz="0" w:space="0" w:color="auto"/>
        <w:bottom w:val="none" w:sz="0" w:space="0" w:color="auto"/>
        <w:right w:val="none" w:sz="0" w:space="0" w:color="auto"/>
      </w:divBdr>
    </w:div>
    <w:div w:id="642077185">
      <w:bodyDiv w:val="1"/>
      <w:marLeft w:val="0"/>
      <w:marRight w:val="0"/>
      <w:marTop w:val="0"/>
      <w:marBottom w:val="0"/>
      <w:divBdr>
        <w:top w:val="none" w:sz="0" w:space="0" w:color="auto"/>
        <w:left w:val="none" w:sz="0" w:space="0" w:color="auto"/>
        <w:bottom w:val="none" w:sz="0" w:space="0" w:color="auto"/>
        <w:right w:val="none" w:sz="0" w:space="0" w:color="auto"/>
      </w:divBdr>
    </w:div>
    <w:div w:id="723526289">
      <w:bodyDiv w:val="1"/>
      <w:marLeft w:val="0"/>
      <w:marRight w:val="0"/>
      <w:marTop w:val="0"/>
      <w:marBottom w:val="0"/>
      <w:divBdr>
        <w:top w:val="none" w:sz="0" w:space="0" w:color="auto"/>
        <w:left w:val="none" w:sz="0" w:space="0" w:color="auto"/>
        <w:bottom w:val="none" w:sz="0" w:space="0" w:color="auto"/>
        <w:right w:val="none" w:sz="0" w:space="0" w:color="auto"/>
      </w:divBdr>
    </w:div>
    <w:div w:id="736394875">
      <w:bodyDiv w:val="1"/>
      <w:marLeft w:val="0"/>
      <w:marRight w:val="0"/>
      <w:marTop w:val="0"/>
      <w:marBottom w:val="0"/>
      <w:divBdr>
        <w:top w:val="none" w:sz="0" w:space="0" w:color="auto"/>
        <w:left w:val="none" w:sz="0" w:space="0" w:color="auto"/>
        <w:bottom w:val="none" w:sz="0" w:space="0" w:color="auto"/>
        <w:right w:val="none" w:sz="0" w:space="0" w:color="auto"/>
      </w:divBdr>
    </w:div>
    <w:div w:id="747574329">
      <w:bodyDiv w:val="1"/>
      <w:marLeft w:val="0"/>
      <w:marRight w:val="0"/>
      <w:marTop w:val="0"/>
      <w:marBottom w:val="0"/>
      <w:divBdr>
        <w:top w:val="none" w:sz="0" w:space="0" w:color="auto"/>
        <w:left w:val="none" w:sz="0" w:space="0" w:color="auto"/>
        <w:bottom w:val="none" w:sz="0" w:space="0" w:color="auto"/>
        <w:right w:val="none" w:sz="0" w:space="0" w:color="auto"/>
      </w:divBdr>
    </w:div>
    <w:div w:id="818184000">
      <w:bodyDiv w:val="1"/>
      <w:marLeft w:val="0"/>
      <w:marRight w:val="0"/>
      <w:marTop w:val="0"/>
      <w:marBottom w:val="0"/>
      <w:divBdr>
        <w:top w:val="none" w:sz="0" w:space="0" w:color="auto"/>
        <w:left w:val="none" w:sz="0" w:space="0" w:color="auto"/>
        <w:bottom w:val="none" w:sz="0" w:space="0" w:color="auto"/>
        <w:right w:val="none" w:sz="0" w:space="0" w:color="auto"/>
      </w:divBdr>
    </w:div>
    <w:div w:id="865749298">
      <w:bodyDiv w:val="1"/>
      <w:marLeft w:val="0"/>
      <w:marRight w:val="0"/>
      <w:marTop w:val="0"/>
      <w:marBottom w:val="0"/>
      <w:divBdr>
        <w:top w:val="none" w:sz="0" w:space="0" w:color="auto"/>
        <w:left w:val="none" w:sz="0" w:space="0" w:color="auto"/>
        <w:bottom w:val="none" w:sz="0" w:space="0" w:color="auto"/>
        <w:right w:val="none" w:sz="0" w:space="0" w:color="auto"/>
      </w:divBdr>
    </w:div>
    <w:div w:id="897398548">
      <w:bodyDiv w:val="1"/>
      <w:marLeft w:val="0"/>
      <w:marRight w:val="0"/>
      <w:marTop w:val="0"/>
      <w:marBottom w:val="0"/>
      <w:divBdr>
        <w:top w:val="none" w:sz="0" w:space="0" w:color="auto"/>
        <w:left w:val="none" w:sz="0" w:space="0" w:color="auto"/>
        <w:bottom w:val="none" w:sz="0" w:space="0" w:color="auto"/>
        <w:right w:val="none" w:sz="0" w:space="0" w:color="auto"/>
      </w:divBdr>
    </w:div>
    <w:div w:id="977801166">
      <w:bodyDiv w:val="1"/>
      <w:marLeft w:val="0"/>
      <w:marRight w:val="0"/>
      <w:marTop w:val="0"/>
      <w:marBottom w:val="0"/>
      <w:divBdr>
        <w:top w:val="none" w:sz="0" w:space="0" w:color="auto"/>
        <w:left w:val="none" w:sz="0" w:space="0" w:color="auto"/>
        <w:bottom w:val="none" w:sz="0" w:space="0" w:color="auto"/>
        <w:right w:val="none" w:sz="0" w:space="0" w:color="auto"/>
      </w:divBdr>
    </w:div>
    <w:div w:id="1108625654">
      <w:bodyDiv w:val="1"/>
      <w:marLeft w:val="0"/>
      <w:marRight w:val="0"/>
      <w:marTop w:val="0"/>
      <w:marBottom w:val="0"/>
      <w:divBdr>
        <w:top w:val="none" w:sz="0" w:space="0" w:color="auto"/>
        <w:left w:val="none" w:sz="0" w:space="0" w:color="auto"/>
        <w:bottom w:val="none" w:sz="0" w:space="0" w:color="auto"/>
        <w:right w:val="none" w:sz="0" w:space="0" w:color="auto"/>
      </w:divBdr>
    </w:div>
    <w:div w:id="1172985425">
      <w:bodyDiv w:val="1"/>
      <w:marLeft w:val="0"/>
      <w:marRight w:val="0"/>
      <w:marTop w:val="0"/>
      <w:marBottom w:val="0"/>
      <w:divBdr>
        <w:top w:val="none" w:sz="0" w:space="0" w:color="auto"/>
        <w:left w:val="none" w:sz="0" w:space="0" w:color="auto"/>
        <w:bottom w:val="none" w:sz="0" w:space="0" w:color="auto"/>
        <w:right w:val="none" w:sz="0" w:space="0" w:color="auto"/>
      </w:divBdr>
    </w:div>
    <w:div w:id="1218661445">
      <w:bodyDiv w:val="1"/>
      <w:marLeft w:val="0"/>
      <w:marRight w:val="0"/>
      <w:marTop w:val="0"/>
      <w:marBottom w:val="0"/>
      <w:divBdr>
        <w:top w:val="none" w:sz="0" w:space="0" w:color="auto"/>
        <w:left w:val="none" w:sz="0" w:space="0" w:color="auto"/>
        <w:bottom w:val="none" w:sz="0" w:space="0" w:color="auto"/>
        <w:right w:val="none" w:sz="0" w:space="0" w:color="auto"/>
      </w:divBdr>
    </w:div>
    <w:div w:id="1277256781">
      <w:bodyDiv w:val="1"/>
      <w:marLeft w:val="0"/>
      <w:marRight w:val="0"/>
      <w:marTop w:val="0"/>
      <w:marBottom w:val="0"/>
      <w:divBdr>
        <w:top w:val="none" w:sz="0" w:space="0" w:color="auto"/>
        <w:left w:val="none" w:sz="0" w:space="0" w:color="auto"/>
        <w:bottom w:val="none" w:sz="0" w:space="0" w:color="auto"/>
        <w:right w:val="none" w:sz="0" w:space="0" w:color="auto"/>
      </w:divBdr>
    </w:div>
    <w:div w:id="1311711997">
      <w:bodyDiv w:val="1"/>
      <w:marLeft w:val="0"/>
      <w:marRight w:val="0"/>
      <w:marTop w:val="0"/>
      <w:marBottom w:val="0"/>
      <w:divBdr>
        <w:top w:val="none" w:sz="0" w:space="0" w:color="auto"/>
        <w:left w:val="none" w:sz="0" w:space="0" w:color="auto"/>
        <w:bottom w:val="none" w:sz="0" w:space="0" w:color="auto"/>
        <w:right w:val="none" w:sz="0" w:space="0" w:color="auto"/>
      </w:divBdr>
    </w:div>
    <w:div w:id="1343817104">
      <w:bodyDiv w:val="1"/>
      <w:marLeft w:val="0"/>
      <w:marRight w:val="0"/>
      <w:marTop w:val="0"/>
      <w:marBottom w:val="0"/>
      <w:divBdr>
        <w:top w:val="none" w:sz="0" w:space="0" w:color="auto"/>
        <w:left w:val="none" w:sz="0" w:space="0" w:color="auto"/>
        <w:bottom w:val="none" w:sz="0" w:space="0" w:color="auto"/>
        <w:right w:val="none" w:sz="0" w:space="0" w:color="auto"/>
      </w:divBdr>
    </w:div>
    <w:div w:id="1442871309">
      <w:bodyDiv w:val="1"/>
      <w:marLeft w:val="0"/>
      <w:marRight w:val="0"/>
      <w:marTop w:val="0"/>
      <w:marBottom w:val="0"/>
      <w:divBdr>
        <w:top w:val="none" w:sz="0" w:space="0" w:color="auto"/>
        <w:left w:val="none" w:sz="0" w:space="0" w:color="auto"/>
        <w:bottom w:val="none" w:sz="0" w:space="0" w:color="auto"/>
        <w:right w:val="none" w:sz="0" w:space="0" w:color="auto"/>
      </w:divBdr>
    </w:div>
    <w:div w:id="1502164638">
      <w:bodyDiv w:val="1"/>
      <w:marLeft w:val="0"/>
      <w:marRight w:val="0"/>
      <w:marTop w:val="0"/>
      <w:marBottom w:val="0"/>
      <w:divBdr>
        <w:top w:val="none" w:sz="0" w:space="0" w:color="auto"/>
        <w:left w:val="none" w:sz="0" w:space="0" w:color="auto"/>
        <w:bottom w:val="none" w:sz="0" w:space="0" w:color="auto"/>
        <w:right w:val="none" w:sz="0" w:space="0" w:color="auto"/>
      </w:divBdr>
    </w:div>
    <w:div w:id="1515606476">
      <w:bodyDiv w:val="1"/>
      <w:marLeft w:val="0"/>
      <w:marRight w:val="0"/>
      <w:marTop w:val="0"/>
      <w:marBottom w:val="0"/>
      <w:divBdr>
        <w:top w:val="none" w:sz="0" w:space="0" w:color="auto"/>
        <w:left w:val="none" w:sz="0" w:space="0" w:color="auto"/>
        <w:bottom w:val="none" w:sz="0" w:space="0" w:color="auto"/>
        <w:right w:val="none" w:sz="0" w:space="0" w:color="auto"/>
      </w:divBdr>
    </w:div>
    <w:div w:id="1515680676">
      <w:bodyDiv w:val="1"/>
      <w:marLeft w:val="0"/>
      <w:marRight w:val="0"/>
      <w:marTop w:val="0"/>
      <w:marBottom w:val="0"/>
      <w:divBdr>
        <w:top w:val="none" w:sz="0" w:space="0" w:color="auto"/>
        <w:left w:val="none" w:sz="0" w:space="0" w:color="auto"/>
        <w:bottom w:val="none" w:sz="0" w:space="0" w:color="auto"/>
        <w:right w:val="none" w:sz="0" w:space="0" w:color="auto"/>
      </w:divBdr>
    </w:div>
    <w:div w:id="1536654286">
      <w:bodyDiv w:val="1"/>
      <w:marLeft w:val="0"/>
      <w:marRight w:val="0"/>
      <w:marTop w:val="0"/>
      <w:marBottom w:val="0"/>
      <w:divBdr>
        <w:top w:val="none" w:sz="0" w:space="0" w:color="auto"/>
        <w:left w:val="none" w:sz="0" w:space="0" w:color="auto"/>
        <w:bottom w:val="none" w:sz="0" w:space="0" w:color="auto"/>
        <w:right w:val="none" w:sz="0" w:space="0" w:color="auto"/>
      </w:divBdr>
    </w:div>
    <w:div w:id="1551501288">
      <w:bodyDiv w:val="1"/>
      <w:marLeft w:val="0"/>
      <w:marRight w:val="0"/>
      <w:marTop w:val="0"/>
      <w:marBottom w:val="600"/>
      <w:divBdr>
        <w:top w:val="none" w:sz="0" w:space="0" w:color="auto"/>
        <w:left w:val="none" w:sz="0" w:space="0" w:color="auto"/>
        <w:bottom w:val="none" w:sz="0" w:space="0" w:color="auto"/>
        <w:right w:val="none" w:sz="0" w:space="0" w:color="auto"/>
      </w:divBdr>
      <w:divsChild>
        <w:div w:id="100422828">
          <w:marLeft w:val="0"/>
          <w:marRight w:val="0"/>
          <w:marTop w:val="0"/>
          <w:marBottom w:val="0"/>
          <w:divBdr>
            <w:top w:val="none" w:sz="0" w:space="0" w:color="auto"/>
            <w:left w:val="none" w:sz="0" w:space="0" w:color="auto"/>
            <w:bottom w:val="none" w:sz="0" w:space="0" w:color="auto"/>
            <w:right w:val="none" w:sz="0" w:space="0" w:color="auto"/>
          </w:divBdr>
          <w:divsChild>
            <w:div w:id="1420835674">
              <w:marLeft w:val="0"/>
              <w:marRight w:val="0"/>
              <w:marTop w:val="0"/>
              <w:marBottom w:val="0"/>
              <w:divBdr>
                <w:top w:val="none" w:sz="0" w:space="0" w:color="auto"/>
                <w:left w:val="none" w:sz="0" w:space="0" w:color="auto"/>
                <w:bottom w:val="single" w:sz="18" w:space="4" w:color="68686A"/>
                <w:right w:val="none" w:sz="0" w:space="0" w:color="auto"/>
              </w:divBdr>
              <w:divsChild>
                <w:div w:id="611132751">
                  <w:marLeft w:val="0"/>
                  <w:marRight w:val="0"/>
                  <w:marTop w:val="75"/>
                  <w:marBottom w:val="75"/>
                  <w:divBdr>
                    <w:top w:val="none" w:sz="0" w:space="0" w:color="auto"/>
                    <w:left w:val="none" w:sz="0" w:space="0" w:color="auto"/>
                    <w:bottom w:val="none" w:sz="0" w:space="0" w:color="auto"/>
                    <w:right w:val="none" w:sz="0" w:space="0" w:color="auto"/>
                  </w:divBdr>
                  <w:divsChild>
                    <w:div w:id="6302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119">
      <w:bodyDiv w:val="1"/>
      <w:marLeft w:val="0"/>
      <w:marRight w:val="0"/>
      <w:marTop w:val="0"/>
      <w:marBottom w:val="0"/>
      <w:divBdr>
        <w:top w:val="none" w:sz="0" w:space="0" w:color="auto"/>
        <w:left w:val="none" w:sz="0" w:space="0" w:color="auto"/>
        <w:bottom w:val="none" w:sz="0" w:space="0" w:color="auto"/>
        <w:right w:val="none" w:sz="0" w:space="0" w:color="auto"/>
      </w:divBdr>
    </w:div>
    <w:div w:id="1565026252">
      <w:bodyDiv w:val="1"/>
      <w:marLeft w:val="0"/>
      <w:marRight w:val="0"/>
      <w:marTop w:val="0"/>
      <w:marBottom w:val="0"/>
      <w:divBdr>
        <w:top w:val="none" w:sz="0" w:space="0" w:color="auto"/>
        <w:left w:val="none" w:sz="0" w:space="0" w:color="auto"/>
        <w:bottom w:val="none" w:sz="0" w:space="0" w:color="auto"/>
        <w:right w:val="none" w:sz="0" w:space="0" w:color="auto"/>
      </w:divBdr>
    </w:div>
    <w:div w:id="1586111590">
      <w:bodyDiv w:val="1"/>
      <w:marLeft w:val="0"/>
      <w:marRight w:val="0"/>
      <w:marTop w:val="0"/>
      <w:marBottom w:val="0"/>
      <w:divBdr>
        <w:top w:val="none" w:sz="0" w:space="0" w:color="auto"/>
        <w:left w:val="none" w:sz="0" w:space="0" w:color="auto"/>
        <w:bottom w:val="none" w:sz="0" w:space="0" w:color="auto"/>
        <w:right w:val="none" w:sz="0" w:space="0" w:color="auto"/>
      </w:divBdr>
    </w:div>
    <w:div w:id="1609968451">
      <w:bodyDiv w:val="1"/>
      <w:marLeft w:val="0"/>
      <w:marRight w:val="0"/>
      <w:marTop w:val="0"/>
      <w:marBottom w:val="0"/>
      <w:divBdr>
        <w:top w:val="none" w:sz="0" w:space="0" w:color="auto"/>
        <w:left w:val="none" w:sz="0" w:space="0" w:color="auto"/>
        <w:bottom w:val="none" w:sz="0" w:space="0" w:color="auto"/>
        <w:right w:val="none" w:sz="0" w:space="0" w:color="auto"/>
      </w:divBdr>
    </w:div>
    <w:div w:id="1701976072">
      <w:bodyDiv w:val="1"/>
      <w:marLeft w:val="0"/>
      <w:marRight w:val="0"/>
      <w:marTop w:val="0"/>
      <w:marBottom w:val="0"/>
      <w:divBdr>
        <w:top w:val="none" w:sz="0" w:space="0" w:color="auto"/>
        <w:left w:val="none" w:sz="0" w:space="0" w:color="auto"/>
        <w:bottom w:val="none" w:sz="0" w:space="0" w:color="auto"/>
        <w:right w:val="none" w:sz="0" w:space="0" w:color="auto"/>
      </w:divBdr>
    </w:div>
    <w:div w:id="1744526101">
      <w:bodyDiv w:val="1"/>
      <w:marLeft w:val="0"/>
      <w:marRight w:val="0"/>
      <w:marTop w:val="0"/>
      <w:marBottom w:val="0"/>
      <w:divBdr>
        <w:top w:val="none" w:sz="0" w:space="0" w:color="auto"/>
        <w:left w:val="none" w:sz="0" w:space="0" w:color="auto"/>
        <w:bottom w:val="none" w:sz="0" w:space="0" w:color="auto"/>
        <w:right w:val="none" w:sz="0" w:space="0" w:color="auto"/>
      </w:divBdr>
    </w:div>
    <w:div w:id="1765105096">
      <w:bodyDiv w:val="1"/>
      <w:marLeft w:val="0"/>
      <w:marRight w:val="0"/>
      <w:marTop w:val="0"/>
      <w:marBottom w:val="0"/>
      <w:divBdr>
        <w:top w:val="none" w:sz="0" w:space="0" w:color="auto"/>
        <w:left w:val="none" w:sz="0" w:space="0" w:color="auto"/>
        <w:bottom w:val="none" w:sz="0" w:space="0" w:color="auto"/>
        <w:right w:val="none" w:sz="0" w:space="0" w:color="auto"/>
      </w:divBdr>
    </w:div>
    <w:div w:id="1817411483">
      <w:bodyDiv w:val="1"/>
      <w:marLeft w:val="0"/>
      <w:marRight w:val="0"/>
      <w:marTop w:val="0"/>
      <w:marBottom w:val="0"/>
      <w:divBdr>
        <w:top w:val="none" w:sz="0" w:space="0" w:color="auto"/>
        <w:left w:val="none" w:sz="0" w:space="0" w:color="auto"/>
        <w:bottom w:val="none" w:sz="0" w:space="0" w:color="auto"/>
        <w:right w:val="none" w:sz="0" w:space="0" w:color="auto"/>
      </w:divBdr>
    </w:div>
    <w:div w:id="1896426140">
      <w:bodyDiv w:val="1"/>
      <w:marLeft w:val="0"/>
      <w:marRight w:val="0"/>
      <w:marTop w:val="0"/>
      <w:marBottom w:val="0"/>
      <w:divBdr>
        <w:top w:val="none" w:sz="0" w:space="0" w:color="auto"/>
        <w:left w:val="none" w:sz="0" w:space="0" w:color="auto"/>
        <w:bottom w:val="none" w:sz="0" w:space="0" w:color="auto"/>
        <w:right w:val="none" w:sz="0" w:space="0" w:color="auto"/>
      </w:divBdr>
    </w:div>
    <w:div w:id="1973511168">
      <w:bodyDiv w:val="1"/>
      <w:marLeft w:val="0"/>
      <w:marRight w:val="0"/>
      <w:marTop w:val="0"/>
      <w:marBottom w:val="0"/>
      <w:divBdr>
        <w:top w:val="none" w:sz="0" w:space="0" w:color="auto"/>
        <w:left w:val="none" w:sz="0" w:space="0" w:color="auto"/>
        <w:bottom w:val="none" w:sz="0" w:space="0" w:color="auto"/>
        <w:right w:val="none" w:sz="0" w:space="0" w:color="auto"/>
      </w:divBdr>
    </w:div>
    <w:div w:id="2082827573">
      <w:bodyDiv w:val="1"/>
      <w:marLeft w:val="0"/>
      <w:marRight w:val="0"/>
      <w:marTop w:val="0"/>
      <w:marBottom w:val="0"/>
      <w:divBdr>
        <w:top w:val="none" w:sz="0" w:space="0" w:color="auto"/>
        <w:left w:val="none" w:sz="0" w:space="0" w:color="auto"/>
        <w:bottom w:val="none" w:sz="0" w:space="0" w:color="auto"/>
        <w:right w:val="none" w:sz="0" w:space="0" w:color="auto"/>
      </w:divBdr>
    </w:div>
    <w:div w:id="213216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diagramData" Target="diagrams/data2.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chart" Target="charts/chart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diagramQuickStyle" Target="diagrams/quickStyle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chart" Target="charts/chart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chart" Target="charts/chart5.xml"/><Relationship Id="rId28" Type="http://schemas.openxmlformats.org/officeDocument/2006/relationships/chart" Target="charts/chart7.xml"/><Relationship Id="rId10" Type="http://schemas.openxmlformats.org/officeDocument/2006/relationships/diagramLayout" Target="diagrams/layout1.xml"/><Relationship Id="rId19" Type="http://schemas.openxmlformats.org/officeDocument/2006/relationships/diagramLayout" Target="diagrams/layout2.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hart" Target="charts/chart1.xml"/><Relationship Id="rId22" Type="http://schemas.microsoft.com/office/2007/relationships/diagramDrawing" Target="diagrams/drawing2.xml"/><Relationship Id="rId27" Type="http://schemas.openxmlformats.org/officeDocument/2006/relationships/footer" Target="footer2.xml"/><Relationship Id="rId30" Type="http://schemas.openxmlformats.org/officeDocument/2006/relationships/footer" Target="footer4.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d.blecic.INTERNAL\Desktop\Interna%20revizija%202014\Izve&#353;taji\Godi&#353;nji\reosiguranje.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d.blecic.INTERNAL\Desktop\Interna%20revizija%202014\Izve&#353;taji\Godi&#353;nji\reosiguranje.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d.blecic.INTERNAL\Desktop\Interna%20revizija%202014\Izve&#353;taji\Godi&#353;nji\reosiguranj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blecic.INTERNAL\Desktop\Interna%20revizija%202014\Izve&#353;taji\Godi&#353;nji\reosiguranje.xlsx"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v.katic\Documents\planovi\plan%202014\plan%20tsr%20%202014-%202%20-po%20mesecima%20-ivana.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sz="1000"/>
            </a:pPr>
            <a:r>
              <a:rPr lang="sr-Cyrl-RS" sz="1000"/>
              <a:t>Учешће</a:t>
            </a:r>
            <a:r>
              <a:rPr lang="sr-Cyrl-RS" sz="1000" baseline="0"/>
              <a:t> у укупној </a:t>
            </a:r>
            <a:r>
              <a:rPr lang="sr-Latn-RS" sz="1000"/>
              <a:t>                           </a:t>
            </a:r>
            <a:r>
              <a:rPr lang="sr-Cyrl-RS" sz="1000"/>
              <a:t>билансној суми реосигурања</a:t>
            </a:r>
            <a:endParaRPr lang="sr-Latn-RS" sz="1000"/>
          </a:p>
        </c:rich>
      </c:tx>
      <c:layout>
        <c:manualLayout>
          <c:xMode val="edge"/>
          <c:yMode val="edge"/>
          <c:x val="0.1376255707762557"/>
          <c:y val="8.948545861297539E-3"/>
        </c:manualLayout>
      </c:layout>
      <c:overlay val="1"/>
    </c:title>
    <c:autoTitleDeleted val="0"/>
    <c:view3D>
      <c:rotX val="40"/>
      <c:rotY val="0"/>
      <c:rAngAx val="0"/>
      <c:perspective val="30"/>
    </c:view3D>
    <c:floor>
      <c:thickness val="0"/>
    </c:floor>
    <c:sideWall>
      <c:thickness val="0"/>
    </c:sideWall>
    <c:backWall>
      <c:thickness val="0"/>
    </c:backWall>
    <c:plotArea>
      <c:layout>
        <c:manualLayout>
          <c:layoutTarget val="inner"/>
          <c:xMode val="edge"/>
          <c:yMode val="edge"/>
          <c:x val="0"/>
          <c:y val="2.3148148148148147E-3"/>
          <c:w val="1"/>
          <c:h val="0.99768518518518523"/>
        </c:manualLayout>
      </c:layout>
      <c:pie3DChart>
        <c:varyColors val="1"/>
        <c:ser>
          <c:idx val="0"/>
          <c:order val="0"/>
          <c:dPt>
            <c:idx val="0"/>
            <c:bubble3D val="0"/>
            <c:spPr>
              <a:solidFill>
                <a:schemeClr val="accent2"/>
              </a:solidFill>
            </c:spPr>
          </c:dPt>
          <c:dPt>
            <c:idx val="1"/>
            <c:bubble3D val="0"/>
            <c:spPr>
              <a:solidFill>
                <a:schemeClr val="accent3"/>
              </a:solidFill>
            </c:spPr>
          </c:dPt>
          <c:dPt>
            <c:idx val="2"/>
            <c:bubble3D val="0"/>
            <c:spPr>
              <a:solidFill>
                <a:schemeClr val="accent4"/>
              </a:solidFill>
            </c:spPr>
          </c:dPt>
          <c:dPt>
            <c:idx val="3"/>
            <c:bubble3D val="0"/>
            <c:spPr>
              <a:solidFill>
                <a:schemeClr val="accent1"/>
              </a:solidFill>
            </c:spPr>
          </c:dPt>
          <c:dLbls>
            <c:dLbl>
              <c:idx val="0"/>
              <c:layout>
                <c:manualLayout>
                  <c:x val="1.4078308704562614E-2"/>
                  <c:y val="0.24398527365287392"/>
                </c:manualLayout>
              </c:layout>
              <c:tx>
                <c:rich>
                  <a:bodyPr/>
                  <a:lstStyle/>
                  <a:p>
                    <a:r>
                      <a:rPr lang="en-US" i="1"/>
                      <a:t>WIENER RE</a:t>
                    </a:r>
                    <a:r>
                      <a:rPr lang="en-US"/>
                      <a:t>
32.46%</a:t>
                    </a:r>
                  </a:p>
                </c:rich>
              </c:tx>
              <c:dLblPos val="bestFit"/>
              <c:showLegendKey val="0"/>
              <c:showVal val="0"/>
              <c:showCatName val="1"/>
              <c:showSerName val="0"/>
              <c:showPercent val="1"/>
              <c:showBubbleSize val="0"/>
            </c:dLbl>
            <c:dLbl>
              <c:idx val="1"/>
              <c:layout>
                <c:manualLayout>
                  <c:x val="0.14926293459892856"/>
                  <c:y val="-3.8127851468230903E-2"/>
                </c:manualLayout>
              </c:layout>
              <c:tx>
                <c:rich>
                  <a:bodyPr/>
                  <a:lstStyle/>
                  <a:p>
                    <a:r>
                      <a:rPr lang="en-US" i="1"/>
                      <a:t>DELTA GEN RE</a:t>
                    </a:r>
                    <a:r>
                      <a:rPr lang="en-US"/>
                      <a:t>
19.30%</a:t>
                    </a:r>
                  </a:p>
                </c:rich>
              </c:tx>
              <c:dLblPos val="bestFit"/>
              <c:showLegendKey val="0"/>
              <c:showVal val="0"/>
              <c:showCatName val="1"/>
              <c:showSerName val="0"/>
              <c:showPercent val="1"/>
              <c:showBubbleSize val="0"/>
            </c:dLbl>
            <c:dLbl>
              <c:idx val="2"/>
              <c:layout>
                <c:manualLayout>
                  <c:x val="-3.5367274296192422E-2"/>
                  <c:y val="-2.6169212069967764E-3"/>
                </c:manualLayout>
              </c:layout>
              <c:tx>
                <c:rich>
                  <a:bodyPr/>
                  <a:lstStyle/>
                  <a:p>
                    <a:r>
                      <a:rPr lang="sr-Cyrl-RS"/>
                      <a:t>ДДОР РЕ</a:t>
                    </a:r>
                    <a:r>
                      <a:rPr lang="en-US"/>
                      <a:t>
9.43%</a:t>
                    </a:r>
                  </a:p>
                </c:rich>
              </c:tx>
              <c:dLblPos val="bestFit"/>
              <c:showLegendKey val="0"/>
              <c:showVal val="0"/>
              <c:showCatName val="1"/>
              <c:showSerName val="0"/>
              <c:showPercent val="1"/>
              <c:showBubbleSize val="0"/>
            </c:dLbl>
            <c:dLbl>
              <c:idx val="3"/>
              <c:layout>
                <c:manualLayout>
                  <c:x val="-1.271491748462949E-2"/>
                  <c:y val="0.13398368828057566"/>
                </c:manualLayout>
              </c:layout>
              <c:tx>
                <c:rich>
                  <a:bodyPr/>
                  <a:lstStyle/>
                  <a:p>
                    <a:r>
                      <a:rPr lang="sr-Cyrl-RS"/>
                      <a:t>ДУНАВ РЕ</a:t>
                    </a:r>
                    <a:r>
                      <a:rPr lang="en-US"/>
                      <a:t>
38.81%</a:t>
                    </a:r>
                  </a:p>
                </c:rich>
              </c:tx>
              <c:dLblPos val="bestFit"/>
              <c:showLegendKey val="0"/>
              <c:showVal val="0"/>
              <c:showCatName val="1"/>
              <c:showSerName val="0"/>
              <c:showPercent val="1"/>
              <c:showBubbleSize val="0"/>
            </c:dLbl>
            <c:numFmt formatCode="0.00%" sourceLinked="0"/>
            <c:txPr>
              <a:bodyPr/>
              <a:lstStyle/>
              <a:p>
                <a:pPr>
                  <a:defRPr sz="800" b="1"/>
                </a:pPr>
                <a:endParaRPr lang="sr-Latn-RS"/>
              </a:p>
            </c:txPr>
            <c:dLblPos val="inEnd"/>
            <c:showLegendKey val="0"/>
            <c:showVal val="0"/>
            <c:showCatName val="1"/>
            <c:showSerName val="0"/>
            <c:showPercent val="1"/>
            <c:showBubbleSize val="0"/>
            <c:showLeaderLines val="1"/>
          </c:dLbls>
          <c:cat>
            <c:strRef>
              <c:f>Sheet2!$C$2:$F$2</c:f>
              <c:strCache>
                <c:ptCount val="4"/>
                <c:pt idx="0">
                  <c:v>WIENER RE</c:v>
                </c:pt>
                <c:pt idx="1">
                  <c:v>DELTA GEN RE</c:v>
                </c:pt>
                <c:pt idx="2">
                  <c:v>DDOR RE</c:v>
                </c:pt>
                <c:pt idx="3">
                  <c:v>DUNAV RE</c:v>
                </c:pt>
              </c:strCache>
            </c:strRef>
          </c:cat>
          <c:val>
            <c:numRef>
              <c:f>Sheet2!$C$8:$F$8</c:f>
              <c:numCache>
                <c:formatCode>_-* #,##0\ _D_i_n_._-;\-* #,##0\ _D_i_n_._-;_-* "-"??\ _D_i_n_._-;_-@_-</c:formatCode>
                <c:ptCount val="4"/>
                <c:pt idx="0">
                  <c:v>3231326</c:v>
                </c:pt>
                <c:pt idx="1">
                  <c:v>1920823</c:v>
                </c:pt>
                <c:pt idx="2">
                  <c:v>938254</c:v>
                </c:pt>
                <c:pt idx="3">
                  <c:v>3863623</c:v>
                </c:pt>
              </c:numCache>
            </c:numRef>
          </c:val>
        </c:ser>
        <c:dLbls>
          <c:showLegendKey val="0"/>
          <c:showVal val="1"/>
          <c:showCatName val="0"/>
          <c:showSerName val="0"/>
          <c:showPercent val="0"/>
          <c:showBubbleSize val="0"/>
          <c:showLeaderLines val="1"/>
        </c:dLbls>
      </c:pie3DChart>
    </c:plotArea>
    <c:plotVisOnly val="1"/>
    <c:dispBlanksAs val="gap"/>
    <c:showDLblsOverMax val="0"/>
  </c:chart>
  <c:spPr>
    <a:ln>
      <a:noFill/>
    </a:ln>
  </c:spPr>
  <c:txPr>
    <a:bodyPr/>
    <a:lstStyle/>
    <a:p>
      <a:pPr>
        <a:defRPr>
          <a:latin typeface="Tahoma" pitchFamily="34" charset="0"/>
          <a:ea typeface="Tahoma" pitchFamily="34" charset="0"/>
          <a:cs typeface="Tahoma" pitchFamily="34" charset="0"/>
        </a:defRPr>
      </a:pPr>
      <a:endParaRPr lang="sr-Latn-R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sz="1000"/>
            </a:pPr>
            <a:r>
              <a:rPr lang="sr-Cyrl-RS" sz="1000"/>
              <a:t>Учешће</a:t>
            </a:r>
            <a:r>
              <a:rPr lang="sr-Cyrl-RS" sz="1000" baseline="0"/>
              <a:t> у укупним</a:t>
            </a:r>
            <a:r>
              <a:rPr lang="sr-Latn-RS" sz="1000"/>
              <a:t>                            </a:t>
            </a:r>
            <a:r>
              <a:rPr lang="sr-Cyrl-RS" sz="1000"/>
              <a:t>пласманима друштава за реосигурање</a:t>
            </a:r>
            <a:endParaRPr lang="sr-Latn-RS" sz="1000"/>
          </a:p>
        </c:rich>
      </c:tx>
      <c:layout>
        <c:manualLayout>
          <c:xMode val="edge"/>
          <c:yMode val="edge"/>
          <c:x val="1.2056938828592378E-2"/>
          <c:y val="0"/>
        </c:manualLayout>
      </c:layout>
      <c:overlay val="1"/>
    </c:title>
    <c:autoTitleDeleted val="0"/>
    <c:view3D>
      <c:rotX val="40"/>
      <c:rotY val="0"/>
      <c:rAngAx val="0"/>
      <c:perspective val="30"/>
    </c:view3D>
    <c:floor>
      <c:thickness val="0"/>
    </c:floor>
    <c:sideWall>
      <c:thickness val="0"/>
    </c:sideWall>
    <c:backWall>
      <c:thickness val="0"/>
    </c:backWall>
    <c:plotArea>
      <c:layout>
        <c:manualLayout>
          <c:layoutTarget val="inner"/>
          <c:xMode val="edge"/>
          <c:yMode val="edge"/>
          <c:x val="0"/>
          <c:y val="2.3148148148148147E-3"/>
          <c:w val="1"/>
          <c:h val="0.99768518518518523"/>
        </c:manualLayout>
      </c:layout>
      <c:pie3DChart>
        <c:varyColors val="1"/>
        <c:ser>
          <c:idx val="0"/>
          <c:order val="0"/>
          <c:dPt>
            <c:idx val="0"/>
            <c:bubble3D val="0"/>
            <c:spPr>
              <a:solidFill>
                <a:schemeClr val="accent2"/>
              </a:solidFill>
            </c:spPr>
          </c:dPt>
          <c:dPt>
            <c:idx val="1"/>
            <c:bubble3D val="0"/>
            <c:spPr>
              <a:solidFill>
                <a:schemeClr val="accent3"/>
              </a:solidFill>
            </c:spPr>
          </c:dPt>
          <c:dPt>
            <c:idx val="2"/>
            <c:bubble3D val="0"/>
            <c:spPr>
              <a:solidFill>
                <a:schemeClr val="accent4"/>
              </a:solidFill>
            </c:spPr>
          </c:dPt>
          <c:dPt>
            <c:idx val="3"/>
            <c:bubble3D val="0"/>
            <c:spPr>
              <a:solidFill>
                <a:schemeClr val="accent1"/>
              </a:solidFill>
            </c:spPr>
          </c:dPt>
          <c:dLbls>
            <c:dLbl>
              <c:idx val="0"/>
              <c:layout>
                <c:manualLayout>
                  <c:x val="0.11154173910079422"/>
                  <c:y val="2.6653119972906633E-3"/>
                </c:manualLayout>
              </c:layout>
              <c:tx>
                <c:rich>
                  <a:bodyPr/>
                  <a:lstStyle/>
                  <a:p>
                    <a:r>
                      <a:rPr lang="en-US" i="1"/>
                      <a:t>WIENER RE</a:t>
                    </a:r>
                    <a:r>
                      <a:rPr lang="en-US"/>
                      <a:t>
21.89%</a:t>
                    </a:r>
                  </a:p>
                </c:rich>
              </c:tx>
              <c:dLblPos val="bestFit"/>
              <c:showLegendKey val="0"/>
              <c:showVal val="0"/>
              <c:showCatName val="1"/>
              <c:showSerName val="0"/>
              <c:showPercent val="1"/>
              <c:showBubbleSize val="0"/>
            </c:dLbl>
            <c:dLbl>
              <c:idx val="1"/>
              <c:layout>
                <c:manualLayout>
                  <c:x val="-2.1890445512492756E-3"/>
                  <c:y val="-0.17323173313013288"/>
                </c:manualLayout>
              </c:layout>
              <c:tx>
                <c:rich>
                  <a:bodyPr/>
                  <a:lstStyle/>
                  <a:p>
                    <a:r>
                      <a:rPr lang="en-US" i="1"/>
                      <a:t>DELTA GEN RE</a:t>
                    </a:r>
                    <a:r>
                      <a:rPr lang="en-US"/>
                      <a:t>
15.01%</a:t>
                    </a:r>
                  </a:p>
                </c:rich>
              </c:tx>
              <c:dLblPos val="bestFit"/>
              <c:showLegendKey val="0"/>
              <c:showVal val="0"/>
              <c:showCatName val="1"/>
              <c:showSerName val="0"/>
              <c:showPercent val="1"/>
              <c:showBubbleSize val="0"/>
            </c:dLbl>
            <c:dLbl>
              <c:idx val="2"/>
              <c:layout>
                <c:manualLayout>
                  <c:x val="0.13966117871629682"/>
                  <c:y val="-3.9949199898399795E-3"/>
                </c:manualLayout>
              </c:layout>
              <c:tx>
                <c:rich>
                  <a:bodyPr/>
                  <a:lstStyle/>
                  <a:p>
                    <a:r>
                      <a:rPr lang="sr-Cyrl-RS"/>
                      <a:t>ДДОР РЕ</a:t>
                    </a:r>
                    <a:r>
                      <a:rPr lang="en-US"/>
                      <a:t>
12.94%</a:t>
                    </a:r>
                  </a:p>
                </c:rich>
              </c:tx>
              <c:dLblPos val="bestFit"/>
              <c:showLegendKey val="0"/>
              <c:showVal val="0"/>
              <c:showCatName val="1"/>
              <c:showSerName val="0"/>
              <c:showPercent val="1"/>
              <c:showBubbleSize val="0"/>
            </c:dLbl>
            <c:dLbl>
              <c:idx val="3"/>
              <c:layout>
                <c:manualLayout>
                  <c:x val="2.7152742270852522E-2"/>
                  <c:y val="0.3185687918042503"/>
                </c:manualLayout>
              </c:layout>
              <c:tx>
                <c:rich>
                  <a:bodyPr/>
                  <a:lstStyle/>
                  <a:p>
                    <a:r>
                      <a:rPr lang="sr-Cyrl-RS"/>
                      <a:t>ДУНАВ РЕ</a:t>
                    </a:r>
                    <a:r>
                      <a:rPr lang="en-US"/>
                      <a:t>
50.16%</a:t>
                    </a:r>
                  </a:p>
                </c:rich>
              </c:tx>
              <c:dLblPos val="bestFit"/>
              <c:showLegendKey val="0"/>
              <c:showVal val="0"/>
              <c:showCatName val="1"/>
              <c:showSerName val="0"/>
              <c:showPercent val="1"/>
              <c:showBubbleSize val="0"/>
            </c:dLbl>
            <c:numFmt formatCode="0.00%" sourceLinked="0"/>
            <c:txPr>
              <a:bodyPr/>
              <a:lstStyle/>
              <a:p>
                <a:pPr>
                  <a:defRPr sz="800" b="1"/>
                </a:pPr>
                <a:endParaRPr lang="sr-Latn-RS"/>
              </a:p>
            </c:txPr>
            <c:dLblPos val="inEnd"/>
            <c:showLegendKey val="0"/>
            <c:showVal val="0"/>
            <c:showCatName val="1"/>
            <c:showSerName val="0"/>
            <c:showPercent val="1"/>
            <c:showBubbleSize val="0"/>
            <c:showLeaderLines val="1"/>
          </c:dLbls>
          <c:cat>
            <c:strRef>
              <c:f>Sheet2!$C$2:$F$2</c:f>
              <c:strCache>
                <c:ptCount val="4"/>
                <c:pt idx="0">
                  <c:v>WIENER RE</c:v>
                </c:pt>
                <c:pt idx="1">
                  <c:v>DELTA GEN RE</c:v>
                </c:pt>
                <c:pt idx="2">
                  <c:v>DDOR RE</c:v>
                </c:pt>
                <c:pt idx="3">
                  <c:v>DUNAV RE</c:v>
                </c:pt>
              </c:strCache>
            </c:strRef>
          </c:cat>
          <c:val>
            <c:numRef>
              <c:f>Sheet2!$C$7:$F$7</c:f>
              <c:numCache>
                <c:formatCode>_-* #,##0\ _D_i_n_._-;\-* #,##0\ _D_i_n_._-;_-* "-"??\ _D_i_n_._-;_-@_-</c:formatCode>
                <c:ptCount val="4"/>
                <c:pt idx="0">
                  <c:v>994105</c:v>
                </c:pt>
                <c:pt idx="1">
                  <c:v>681912</c:v>
                </c:pt>
                <c:pt idx="2">
                  <c:v>587876</c:v>
                </c:pt>
                <c:pt idx="3">
                  <c:v>2278119</c:v>
                </c:pt>
              </c:numCache>
            </c:numRef>
          </c:val>
        </c:ser>
        <c:dLbls>
          <c:showLegendKey val="0"/>
          <c:showVal val="1"/>
          <c:showCatName val="0"/>
          <c:showSerName val="0"/>
          <c:showPercent val="0"/>
          <c:showBubbleSize val="0"/>
          <c:showLeaderLines val="1"/>
        </c:dLbls>
      </c:pie3DChart>
    </c:plotArea>
    <c:plotVisOnly val="1"/>
    <c:dispBlanksAs val="gap"/>
    <c:showDLblsOverMax val="0"/>
  </c:chart>
  <c:spPr>
    <a:ln>
      <a:noFill/>
    </a:ln>
  </c:spPr>
  <c:txPr>
    <a:bodyPr/>
    <a:lstStyle/>
    <a:p>
      <a:pPr>
        <a:defRPr>
          <a:latin typeface="Tahoma" pitchFamily="34" charset="0"/>
          <a:ea typeface="Tahoma" pitchFamily="34" charset="0"/>
          <a:cs typeface="Tahoma" pitchFamily="34" charset="0"/>
        </a:defRPr>
      </a:pPr>
      <a:endParaRPr lang="sr-Latn-R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sz="1400"/>
            </a:pPr>
            <a:r>
              <a:rPr lang="sr-Cyrl-RS" sz="1100"/>
              <a:t>Учешће у укупној</a:t>
            </a:r>
            <a:r>
              <a:rPr lang="sr-Latn-RS" sz="1100"/>
              <a:t>                            </a:t>
            </a:r>
            <a:r>
              <a:rPr lang="sr-Cyrl-RS" sz="1100"/>
              <a:t>активној премији реосигурања</a:t>
            </a:r>
            <a:endParaRPr lang="sr-Latn-RS" sz="1100"/>
          </a:p>
        </c:rich>
      </c:tx>
      <c:layout>
        <c:manualLayout>
          <c:xMode val="edge"/>
          <c:yMode val="edge"/>
          <c:x val="0.12148907422075199"/>
          <c:y val="0"/>
        </c:manualLayout>
      </c:layout>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2.3148148148148147E-3"/>
          <c:w val="1"/>
          <c:h val="0.99768518518518523"/>
        </c:manualLayout>
      </c:layout>
      <c:pie3DChart>
        <c:varyColors val="1"/>
        <c:ser>
          <c:idx val="0"/>
          <c:order val="0"/>
          <c:spPr>
            <a:solidFill>
              <a:schemeClr val="accent2"/>
            </a:solidFill>
          </c:spPr>
          <c:dPt>
            <c:idx val="0"/>
            <c:bubble3D val="0"/>
          </c:dPt>
          <c:dPt>
            <c:idx val="1"/>
            <c:bubble3D val="0"/>
            <c:spPr>
              <a:solidFill>
                <a:schemeClr val="accent3"/>
              </a:solidFill>
            </c:spPr>
          </c:dPt>
          <c:dPt>
            <c:idx val="2"/>
            <c:bubble3D val="0"/>
            <c:spPr>
              <a:solidFill>
                <a:schemeClr val="accent4"/>
              </a:solidFill>
            </c:spPr>
          </c:dPt>
          <c:dPt>
            <c:idx val="3"/>
            <c:bubble3D val="0"/>
            <c:spPr>
              <a:solidFill>
                <a:schemeClr val="accent1"/>
              </a:solidFill>
            </c:spPr>
          </c:dPt>
          <c:dLbls>
            <c:dLbl>
              <c:idx val="0"/>
              <c:layout>
                <c:manualLayout>
                  <c:x val="-0.17430566868796574"/>
                  <c:y val="0.15492486516108567"/>
                </c:manualLayout>
              </c:layout>
              <c:tx>
                <c:rich>
                  <a:bodyPr/>
                  <a:lstStyle/>
                  <a:p>
                    <a:r>
                      <a:rPr lang="en-US" sz="800" i="1"/>
                      <a:t>WIENER RE</a:t>
                    </a:r>
                    <a:r>
                      <a:rPr lang="en-US" sz="800"/>
                      <a:t>
40.77%</a:t>
                    </a:r>
                    <a:endParaRPr lang="en-US"/>
                  </a:p>
                </c:rich>
              </c:tx>
              <c:dLblPos val="bestFit"/>
              <c:showLegendKey val="0"/>
              <c:showVal val="0"/>
              <c:showCatName val="1"/>
              <c:showSerName val="0"/>
              <c:showPercent val="1"/>
              <c:showBubbleSize val="0"/>
            </c:dLbl>
            <c:dLbl>
              <c:idx val="1"/>
              <c:layout>
                <c:manualLayout>
                  <c:x val="1.5779092702169626E-2"/>
                  <c:y val="-0.30560834556697364"/>
                </c:manualLayout>
              </c:layout>
              <c:tx>
                <c:rich>
                  <a:bodyPr/>
                  <a:lstStyle/>
                  <a:p>
                    <a:r>
                      <a:rPr lang="en-US" sz="800" i="1"/>
                      <a:t>DELTA GEN RE</a:t>
                    </a:r>
                    <a:r>
                      <a:rPr lang="en-US" sz="800"/>
                      <a:t>
18.54%</a:t>
                    </a:r>
                    <a:endParaRPr lang="en-US"/>
                  </a:p>
                </c:rich>
              </c:tx>
              <c:dLblPos val="bestFit"/>
              <c:showLegendKey val="0"/>
              <c:showVal val="0"/>
              <c:showCatName val="1"/>
              <c:showSerName val="0"/>
              <c:showPercent val="1"/>
              <c:showBubbleSize val="0"/>
            </c:dLbl>
            <c:dLbl>
              <c:idx val="2"/>
              <c:layout>
                <c:manualLayout>
                  <c:x val="2.1481883730050989E-2"/>
                  <c:y val="1.9983848172824552E-2"/>
                </c:manualLayout>
              </c:layout>
              <c:tx>
                <c:rich>
                  <a:bodyPr/>
                  <a:lstStyle/>
                  <a:p>
                    <a:r>
                      <a:rPr lang="sr-Cyrl-RS" sz="800"/>
                      <a:t>ДДОР РЕ</a:t>
                    </a:r>
                    <a:r>
                      <a:rPr lang="en-US" sz="800"/>
                      <a:t>
5.08%</a:t>
                    </a:r>
                    <a:endParaRPr lang="en-US"/>
                  </a:p>
                </c:rich>
              </c:tx>
              <c:dLblPos val="bestFit"/>
              <c:showLegendKey val="0"/>
              <c:showVal val="0"/>
              <c:showCatName val="1"/>
              <c:showSerName val="0"/>
              <c:showPercent val="1"/>
              <c:showBubbleSize val="0"/>
            </c:dLbl>
            <c:dLbl>
              <c:idx val="3"/>
              <c:layout>
                <c:manualLayout>
                  <c:x val="0.15303526714333121"/>
                  <c:y val="0.16973551383000202"/>
                </c:manualLayout>
              </c:layout>
              <c:tx>
                <c:rich>
                  <a:bodyPr/>
                  <a:lstStyle/>
                  <a:p>
                    <a:r>
                      <a:rPr lang="sr-Cyrl-RS" sz="800"/>
                      <a:t>ДУНАВ РЕ</a:t>
                    </a:r>
                    <a:r>
                      <a:rPr lang="en-US" sz="800"/>
                      <a:t>
35.61%</a:t>
                    </a:r>
                    <a:endParaRPr lang="en-US"/>
                  </a:p>
                </c:rich>
              </c:tx>
              <c:dLblPos val="bestFit"/>
              <c:showLegendKey val="0"/>
              <c:showVal val="0"/>
              <c:showCatName val="1"/>
              <c:showSerName val="0"/>
              <c:showPercent val="1"/>
              <c:showBubbleSize val="0"/>
            </c:dLbl>
            <c:numFmt formatCode="0.00%" sourceLinked="0"/>
            <c:txPr>
              <a:bodyPr/>
              <a:lstStyle/>
              <a:p>
                <a:pPr>
                  <a:defRPr sz="800" b="1"/>
                </a:pPr>
                <a:endParaRPr lang="sr-Latn-RS"/>
              </a:p>
            </c:txPr>
            <c:dLblPos val="inEnd"/>
            <c:showLegendKey val="0"/>
            <c:showVal val="0"/>
            <c:showCatName val="1"/>
            <c:showSerName val="0"/>
            <c:showPercent val="1"/>
            <c:showBubbleSize val="0"/>
            <c:showLeaderLines val="1"/>
          </c:dLbls>
          <c:cat>
            <c:strRef>
              <c:f>(Sheet1!$A$7,Sheet1!$A$10,Sheet1!$A$13,Sheet1!$A$16)</c:f>
              <c:strCache>
                <c:ptCount val="4"/>
                <c:pt idx="0">
                  <c:v>WIENER RE</c:v>
                </c:pt>
                <c:pt idx="1">
                  <c:v>DELTA GEN RE</c:v>
                </c:pt>
                <c:pt idx="2">
                  <c:v>DDOR RE</c:v>
                </c:pt>
                <c:pt idx="3">
                  <c:v>DUNAV RE</c:v>
                </c:pt>
              </c:strCache>
            </c:strRef>
          </c:cat>
          <c:val>
            <c:numRef>
              <c:f>(Sheet1!$C$8,Sheet1!$C$11,Sheet1!$C$14,Sheet1!$C$17)</c:f>
              <c:numCache>
                <c:formatCode>#,##0</c:formatCode>
                <c:ptCount val="4"/>
                <c:pt idx="0">
                  <c:v>3012791</c:v>
                </c:pt>
                <c:pt idx="1">
                  <c:v>1369948</c:v>
                </c:pt>
                <c:pt idx="2">
                  <c:v>375385</c:v>
                </c:pt>
                <c:pt idx="3">
                  <c:v>2631252</c:v>
                </c:pt>
              </c:numCache>
            </c:numRef>
          </c:val>
        </c:ser>
        <c:dLbls>
          <c:showLegendKey val="0"/>
          <c:showVal val="1"/>
          <c:showCatName val="0"/>
          <c:showSerName val="0"/>
          <c:showPercent val="0"/>
          <c:showBubbleSize val="0"/>
          <c:showLeaderLines val="1"/>
        </c:dLbls>
      </c:pie3DChart>
    </c:plotArea>
    <c:plotVisOnly val="1"/>
    <c:dispBlanksAs val="gap"/>
    <c:showDLblsOverMax val="0"/>
  </c:chart>
  <c:spPr>
    <a:ln>
      <a:noFill/>
    </a:ln>
  </c:spPr>
  <c:txPr>
    <a:bodyPr/>
    <a:lstStyle/>
    <a:p>
      <a:pPr>
        <a:defRPr>
          <a:latin typeface="Tahoma" pitchFamily="34" charset="0"/>
          <a:ea typeface="Tahoma" pitchFamily="34" charset="0"/>
          <a:cs typeface="Tahoma" pitchFamily="34" charset="0"/>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sz="1100"/>
            </a:pPr>
            <a:r>
              <a:rPr lang="sr-Cyrl-RS" sz="1100"/>
              <a:t>Учешће у премији и самопридржају</a:t>
            </a:r>
            <a:r>
              <a:rPr lang="sr-Cyrl-RS" sz="1100" baseline="0"/>
              <a:t> друштава за реосигурање</a:t>
            </a:r>
            <a:endParaRPr lang="sr-Latn-RS" sz="1100"/>
          </a:p>
        </c:rich>
      </c:tx>
      <c:layout>
        <c:manualLayout>
          <c:xMode val="edge"/>
          <c:yMode val="edge"/>
          <c:x val="0.17701946040528718"/>
          <c:y val="4.1279669762641896E-3"/>
        </c:manualLayout>
      </c:layout>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
          <c:y val="2.3148148148148147E-3"/>
          <c:w val="1"/>
          <c:h val="0.99768518518518523"/>
        </c:manualLayout>
      </c:layout>
      <c:pie3DChart>
        <c:varyColors val="1"/>
        <c:ser>
          <c:idx val="0"/>
          <c:order val="0"/>
          <c:dPt>
            <c:idx val="0"/>
            <c:bubble3D val="0"/>
            <c:spPr>
              <a:solidFill>
                <a:schemeClr val="accent2"/>
              </a:solidFill>
            </c:spPr>
          </c:dPt>
          <c:dPt>
            <c:idx val="1"/>
            <c:bubble3D val="0"/>
            <c:spPr>
              <a:solidFill>
                <a:schemeClr val="accent3"/>
              </a:solidFill>
            </c:spPr>
          </c:dPt>
          <c:dPt>
            <c:idx val="2"/>
            <c:bubble3D val="0"/>
            <c:spPr>
              <a:solidFill>
                <a:schemeClr val="accent4"/>
              </a:solidFill>
            </c:spPr>
          </c:dPt>
          <c:dPt>
            <c:idx val="3"/>
            <c:bubble3D val="0"/>
            <c:spPr>
              <a:solidFill>
                <a:schemeClr val="accent1"/>
              </a:solidFill>
            </c:spPr>
          </c:dPt>
          <c:dLbls>
            <c:dLbl>
              <c:idx val="0"/>
              <c:layout>
                <c:manualLayout>
                  <c:x val="-0.21736541265675116"/>
                  <c:y val="-0.17143089872386641"/>
                </c:manualLayout>
              </c:layout>
              <c:tx>
                <c:rich>
                  <a:bodyPr/>
                  <a:lstStyle/>
                  <a:p>
                    <a:r>
                      <a:rPr lang="en-US" sz="800" i="1"/>
                      <a:t>WIENER RE</a:t>
                    </a:r>
                    <a:r>
                      <a:rPr lang="en-US" sz="800"/>
                      <a:t>
53.91%</a:t>
                    </a:r>
                    <a:endParaRPr lang="en-US"/>
                  </a:p>
                </c:rich>
              </c:tx>
              <c:dLblPos val="bestFit"/>
              <c:showLegendKey val="0"/>
              <c:showVal val="0"/>
              <c:showCatName val="1"/>
              <c:showSerName val="0"/>
              <c:showPercent val="1"/>
              <c:showBubbleSize val="0"/>
            </c:dLbl>
            <c:dLbl>
              <c:idx val="1"/>
              <c:layout>
                <c:manualLayout>
                  <c:x val="0.17673753280839896"/>
                  <c:y val="-0.29023803059100373"/>
                </c:manualLayout>
              </c:layout>
              <c:tx>
                <c:rich>
                  <a:bodyPr/>
                  <a:lstStyle/>
                  <a:p>
                    <a:r>
                      <a:rPr lang="en-US" sz="800" i="1"/>
                      <a:t>DELTA GEN RE</a:t>
                    </a:r>
                    <a:r>
                      <a:rPr lang="en-US" sz="800"/>
                      <a:t>
3.43%</a:t>
                    </a:r>
                    <a:endParaRPr lang="en-US"/>
                  </a:p>
                </c:rich>
              </c:tx>
              <c:dLblPos val="bestFit"/>
              <c:showLegendKey val="0"/>
              <c:showVal val="0"/>
              <c:showCatName val="1"/>
              <c:showSerName val="0"/>
              <c:showPercent val="1"/>
              <c:showBubbleSize val="0"/>
            </c:dLbl>
            <c:dLbl>
              <c:idx val="2"/>
              <c:layout>
                <c:manualLayout>
                  <c:x val="-6.4360454943132112E-2"/>
                  <c:y val="-6.4253175249645517E-3"/>
                </c:manualLayout>
              </c:layout>
              <c:tx>
                <c:rich>
                  <a:bodyPr/>
                  <a:lstStyle/>
                  <a:p>
                    <a:r>
                      <a:rPr lang="sr-Cyrl-RS" sz="800"/>
                      <a:t>ДДОР РЕ</a:t>
                    </a:r>
                    <a:r>
                      <a:rPr lang="en-US" sz="800"/>
                      <a:t>
1.35%</a:t>
                    </a:r>
                    <a:endParaRPr lang="en-US"/>
                  </a:p>
                </c:rich>
              </c:tx>
              <c:dLblPos val="bestFit"/>
              <c:showLegendKey val="0"/>
              <c:showVal val="0"/>
              <c:showCatName val="1"/>
              <c:showSerName val="0"/>
              <c:showPercent val="1"/>
              <c:showBubbleSize val="0"/>
            </c:dLbl>
            <c:dLbl>
              <c:idx val="3"/>
              <c:layout>
                <c:manualLayout>
                  <c:x val="0.14794925634295714"/>
                  <c:y val="0.13942619241560322"/>
                </c:manualLayout>
              </c:layout>
              <c:tx>
                <c:rich>
                  <a:bodyPr/>
                  <a:lstStyle/>
                  <a:p>
                    <a:r>
                      <a:rPr lang="sr-Cyrl-RS" sz="800"/>
                      <a:t>ДУНАВ РЕ</a:t>
                    </a:r>
                    <a:r>
                      <a:rPr lang="en-US" sz="800"/>
                      <a:t>
41.31%</a:t>
                    </a:r>
                    <a:endParaRPr lang="en-US"/>
                  </a:p>
                </c:rich>
              </c:tx>
              <c:dLblPos val="bestFit"/>
              <c:showLegendKey val="0"/>
              <c:showVal val="0"/>
              <c:showCatName val="1"/>
              <c:showSerName val="0"/>
              <c:showPercent val="1"/>
              <c:showBubbleSize val="0"/>
            </c:dLbl>
            <c:numFmt formatCode="0.00%" sourceLinked="0"/>
            <c:txPr>
              <a:bodyPr/>
              <a:lstStyle/>
              <a:p>
                <a:pPr>
                  <a:defRPr sz="800" b="1"/>
                </a:pPr>
                <a:endParaRPr lang="sr-Latn-RS"/>
              </a:p>
            </c:txPr>
            <c:dLblPos val="inEnd"/>
            <c:showLegendKey val="0"/>
            <c:showVal val="0"/>
            <c:showCatName val="1"/>
            <c:showSerName val="0"/>
            <c:showPercent val="1"/>
            <c:showBubbleSize val="0"/>
            <c:showLeaderLines val="1"/>
          </c:dLbls>
          <c:cat>
            <c:strRef>
              <c:f>(Sheet1!$A$7,Sheet1!$A$10,Sheet1!$A$13,Sheet1!$A$16)</c:f>
              <c:strCache>
                <c:ptCount val="4"/>
                <c:pt idx="0">
                  <c:v>WIENER RE</c:v>
                </c:pt>
                <c:pt idx="1">
                  <c:v>DELTA GEN RE</c:v>
                </c:pt>
                <c:pt idx="2">
                  <c:v>DDOR RE</c:v>
                </c:pt>
                <c:pt idx="3">
                  <c:v>DUNAV RE</c:v>
                </c:pt>
              </c:strCache>
            </c:strRef>
          </c:cat>
          <c:val>
            <c:numRef>
              <c:f>(Sheet1!$C$9,Sheet1!$C$12,Sheet1!$C$15,Sheet1!$C$18)</c:f>
              <c:numCache>
                <c:formatCode>#,##0</c:formatCode>
                <c:ptCount val="4"/>
                <c:pt idx="0">
                  <c:v>371222</c:v>
                </c:pt>
                <c:pt idx="1">
                  <c:v>23648</c:v>
                </c:pt>
                <c:pt idx="2">
                  <c:v>9295</c:v>
                </c:pt>
                <c:pt idx="3">
                  <c:v>284423</c:v>
                </c:pt>
              </c:numCache>
            </c:numRef>
          </c:val>
        </c:ser>
        <c:dLbls>
          <c:showLegendKey val="0"/>
          <c:showVal val="1"/>
          <c:showCatName val="0"/>
          <c:showSerName val="0"/>
          <c:showPercent val="0"/>
          <c:showBubbleSize val="0"/>
          <c:showLeaderLines val="1"/>
        </c:dLbls>
      </c:pie3DChart>
    </c:plotArea>
    <c:plotVisOnly val="1"/>
    <c:dispBlanksAs val="gap"/>
    <c:showDLblsOverMax val="0"/>
  </c:chart>
  <c:spPr>
    <a:ln>
      <a:noFill/>
    </a:ln>
  </c:spPr>
  <c:txPr>
    <a:bodyPr/>
    <a:lstStyle/>
    <a:p>
      <a:pPr>
        <a:defRPr>
          <a:latin typeface="Tahoma" pitchFamily="34" charset="0"/>
          <a:ea typeface="Tahoma" pitchFamily="34" charset="0"/>
          <a:cs typeface="Tahoma" pitchFamily="34" charset="0"/>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sz="1000"/>
            </a:pPr>
            <a:r>
              <a:rPr lang="sr-Cyrl-RS" sz="1000"/>
              <a:t>Премија реосигурања</a:t>
            </a:r>
            <a:endParaRPr lang="en-US" sz="1000"/>
          </a:p>
        </c:rich>
      </c:tx>
      <c:layout>
        <c:manualLayout>
          <c:xMode val="edge"/>
          <c:yMode val="edge"/>
          <c:x val="0.44040886645248023"/>
          <c:y val="4.3041606886657105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8082803168510006"/>
          <c:y val="2.9064946508659158E-2"/>
          <c:w val="0.81917195519482477"/>
          <c:h val="0.7810142455292084"/>
        </c:manualLayout>
      </c:layout>
      <c:bar3DChart>
        <c:barDir val="col"/>
        <c:grouping val="clustered"/>
        <c:varyColors val="0"/>
        <c:ser>
          <c:idx val="0"/>
          <c:order val="0"/>
          <c:tx>
            <c:strRef>
              <c:f>grafikoni!$A$3</c:f>
              <c:strCache>
                <c:ptCount val="1"/>
                <c:pt idx="0">
                  <c:v>осварење 2014</c:v>
                </c:pt>
              </c:strCache>
            </c:strRef>
          </c:tx>
          <c:invertIfNegative val="0"/>
          <c:cat>
            <c:strRef>
              <c:f>grafikoni!$B$2:$D$2</c:f>
              <c:strCache>
                <c:ptCount val="3"/>
                <c:pt idx="0">
                  <c:v>активна</c:v>
                </c:pt>
                <c:pt idx="1">
                  <c:v>пасивна</c:v>
                </c:pt>
                <c:pt idx="2">
                  <c:v>самопридржај</c:v>
                </c:pt>
              </c:strCache>
            </c:strRef>
          </c:cat>
          <c:val>
            <c:numRef>
              <c:f>grafikoni!$B$3:$D$3</c:f>
              <c:numCache>
                <c:formatCode>#,##0</c:formatCode>
                <c:ptCount val="3"/>
                <c:pt idx="0">
                  <c:v>2324890.4671200006</c:v>
                </c:pt>
                <c:pt idx="1">
                  <c:v>1957636.6664600002</c:v>
                </c:pt>
                <c:pt idx="2">
                  <c:v>367253.80065999989</c:v>
                </c:pt>
              </c:numCache>
            </c:numRef>
          </c:val>
        </c:ser>
        <c:ser>
          <c:idx val="1"/>
          <c:order val="1"/>
          <c:tx>
            <c:strRef>
              <c:f>grafikoni!$A$4</c:f>
              <c:strCache>
                <c:ptCount val="1"/>
                <c:pt idx="0">
                  <c:v>план 2015</c:v>
                </c:pt>
              </c:strCache>
            </c:strRef>
          </c:tx>
          <c:invertIfNegative val="0"/>
          <c:cat>
            <c:strRef>
              <c:f>grafikoni!$B$2:$D$2</c:f>
              <c:strCache>
                <c:ptCount val="3"/>
                <c:pt idx="0">
                  <c:v>активна</c:v>
                </c:pt>
                <c:pt idx="1">
                  <c:v>пасивна</c:v>
                </c:pt>
                <c:pt idx="2">
                  <c:v>самопридржај</c:v>
                </c:pt>
              </c:strCache>
            </c:strRef>
          </c:cat>
          <c:val>
            <c:numRef>
              <c:f>grafikoni!$B$4:$D$4</c:f>
              <c:numCache>
                <c:formatCode>#,##0</c:formatCode>
                <c:ptCount val="3"/>
                <c:pt idx="0">
                  <c:v>2568754.4572440526</c:v>
                </c:pt>
                <c:pt idx="1">
                  <c:v>2157004.8965605744</c:v>
                </c:pt>
                <c:pt idx="2">
                  <c:v>411749.56068347796</c:v>
                </c:pt>
              </c:numCache>
            </c:numRef>
          </c:val>
        </c:ser>
        <c:dLbls>
          <c:showLegendKey val="0"/>
          <c:showVal val="0"/>
          <c:showCatName val="0"/>
          <c:showSerName val="0"/>
          <c:showPercent val="0"/>
          <c:showBubbleSize val="0"/>
        </c:dLbls>
        <c:gapWidth val="70"/>
        <c:shape val="box"/>
        <c:axId val="36137216"/>
        <c:axId val="36139008"/>
        <c:axId val="0"/>
      </c:bar3DChart>
      <c:catAx>
        <c:axId val="36137216"/>
        <c:scaling>
          <c:orientation val="minMax"/>
        </c:scaling>
        <c:delete val="0"/>
        <c:axPos val="b"/>
        <c:majorTickMark val="none"/>
        <c:minorTickMark val="none"/>
        <c:tickLblPos val="nextTo"/>
        <c:crossAx val="36139008"/>
        <c:crosses val="autoZero"/>
        <c:auto val="1"/>
        <c:lblAlgn val="ctr"/>
        <c:lblOffset val="100"/>
        <c:noMultiLvlLbl val="0"/>
      </c:catAx>
      <c:valAx>
        <c:axId val="36139008"/>
        <c:scaling>
          <c:orientation val="minMax"/>
        </c:scaling>
        <c:delete val="0"/>
        <c:axPos val="l"/>
        <c:majorGridlines/>
        <c:title>
          <c:tx>
            <c:rich>
              <a:bodyPr/>
              <a:lstStyle/>
              <a:p>
                <a:pPr>
                  <a:defRPr b="0"/>
                </a:pPr>
                <a:r>
                  <a:rPr lang="sr-Cyrl-RS" b="0"/>
                  <a:t>у хиљадама динара</a:t>
                </a:r>
                <a:endParaRPr lang="en-US" b="0"/>
              </a:p>
            </c:rich>
          </c:tx>
          <c:layout>
            <c:manualLayout>
              <c:xMode val="edge"/>
              <c:yMode val="edge"/>
              <c:x val="2.5831065188349715E-2"/>
              <c:y val="0.17562557191111511"/>
            </c:manualLayout>
          </c:layout>
          <c:overlay val="0"/>
        </c:title>
        <c:numFmt formatCode="#,##0" sourceLinked="1"/>
        <c:majorTickMark val="none"/>
        <c:minorTickMark val="none"/>
        <c:tickLblPos val="nextTo"/>
        <c:crossAx val="36137216"/>
        <c:crosses val="autoZero"/>
        <c:crossBetween val="between"/>
      </c:valAx>
      <c:dTable>
        <c:showHorzBorder val="1"/>
        <c:showVertBorder val="1"/>
        <c:showOutline val="1"/>
        <c:showKeys val="1"/>
        <c:txPr>
          <a:bodyPr/>
          <a:lstStyle/>
          <a:p>
            <a:pPr rtl="0">
              <a:defRPr sz="800"/>
            </a:pPr>
            <a:endParaRPr lang="sr-Latn-RS"/>
          </a:p>
        </c:txPr>
      </c:dTable>
      <c:spPr>
        <a:ln>
          <a:noFill/>
        </a:ln>
      </c:spPr>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sr-Latn-R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sz="1000"/>
            </a:pPr>
            <a:r>
              <a:rPr lang="sr-Cyrl-RS" sz="1000"/>
              <a:t>Резервисане штете</a:t>
            </a:r>
            <a:endParaRPr lang="en-US" sz="1000"/>
          </a:p>
        </c:rich>
      </c:tx>
      <c:layout>
        <c:manualLayout>
          <c:xMode val="edge"/>
          <c:yMode val="edge"/>
          <c:x val="0.40742939840038001"/>
          <c:y val="3.896103896103896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1859226888124378"/>
          <c:y val="2.6309438592903162E-2"/>
          <c:w val="0.78140773111875617"/>
          <c:h val="0.71948495074479324"/>
        </c:manualLayout>
      </c:layout>
      <c:bar3DChart>
        <c:barDir val="col"/>
        <c:grouping val="clustered"/>
        <c:varyColors val="0"/>
        <c:ser>
          <c:idx val="0"/>
          <c:order val="0"/>
          <c:tx>
            <c:strRef>
              <c:f>grafikoni!$A$13</c:f>
              <c:strCache>
                <c:ptCount val="1"/>
                <c:pt idx="0">
                  <c:v>осварење 2014</c:v>
                </c:pt>
              </c:strCache>
            </c:strRef>
          </c:tx>
          <c:invertIfNegative val="0"/>
          <c:cat>
            <c:strRef>
              <c:f>grafikoni!$B$12:$D$12</c:f>
              <c:strCache>
                <c:ptCount val="3"/>
                <c:pt idx="0">
                  <c:v>активне</c:v>
                </c:pt>
                <c:pt idx="1">
                  <c:v>пасивне</c:v>
                </c:pt>
                <c:pt idx="2">
                  <c:v>самопридржај</c:v>
                </c:pt>
              </c:strCache>
            </c:strRef>
          </c:cat>
          <c:val>
            <c:numRef>
              <c:f>grafikoni!$B$13:$D$13</c:f>
              <c:numCache>
                <c:formatCode>#,##0</c:formatCode>
                <c:ptCount val="3"/>
                <c:pt idx="0">
                  <c:v>1420646.9294200002</c:v>
                </c:pt>
                <c:pt idx="1">
                  <c:v>1009578.1169899999</c:v>
                </c:pt>
                <c:pt idx="2">
                  <c:v>411068.81242999993</c:v>
                </c:pt>
              </c:numCache>
            </c:numRef>
          </c:val>
        </c:ser>
        <c:ser>
          <c:idx val="1"/>
          <c:order val="1"/>
          <c:tx>
            <c:strRef>
              <c:f>grafikoni!$A$14</c:f>
              <c:strCache>
                <c:ptCount val="1"/>
                <c:pt idx="0">
                  <c:v>план 2015</c:v>
                </c:pt>
              </c:strCache>
            </c:strRef>
          </c:tx>
          <c:invertIfNegative val="0"/>
          <c:cat>
            <c:strRef>
              <c:f>grafikoni!$B$12:$D$12</c:f>
              <c:strCache>
                <c:ptCount val="3"/>
                <c:pt idx="0">
                  <c:v>активне</c:v>
                </c:pt>
                <c:pt idx="1">
                  <c:v>пасивне</c:v>
                </c:pt>
                <c:pt idx="2">
                  <c:v>самопридржај</c:v>
                </c:pt>
              </c:strCache>
            </c:strRef>
          </c:cat>
          <c:val>
            <c:numRef>
              <c:f>grafikoni!$B$14:$D$14</c:f>
              <c:numCache>
                <c:formatCode>#,##0</c:formatCode>
                <c:ptCount val="3"/>
                <c:pt idx="0">
                  <c:v>1247260.5302017119</c:v>
                </c:pt>
                <c:pt idx="1">
                  <c:v>880409.65079238452</c:v>
                </c:pt>
                <c:pt idx="2">
                  <c:v>366850.87940932735</c:v>
                </c:pt>
              </c:numCache>
            </c:numRef>
          </c:val>
        </c:ser>
        <c:dLbls>
          <c:showLegendKey val="0"/>
          <c:showVal val="0"/>
          <c:showCatName val="0"/>
          <c:showSerName val="0"/>
          <c:showPercent val="0"/>
          <c:showBubbleSize val="0"/>
        </c:dLbls>
        <c:gapWidth val="70"/>
        <c:shape val="box"/>
        <c:axId val="181430912"/>
        <c:axId val="153002368"/>
        <c:axId val="0"/>
      </c:bar3DChart>
      <c:catAx>
        <c:axId val="181430912"/>
        <c:scaling>
          <c:orientation val="minMax"/>
        </c:scaling>
        <c:delete val="0"/>
        <c:axPos val="b"/>
        <c:majorTickMark val="none"/>
        <c:minorTickMark val="none"/>
        <c:tickLblPos val="nextTo"/>
        <c:crossAx val="153002368"/>
        <c:crosses val="autoZero"/>
        <c:auto val="1"/>
        <c:lblAlgn val="ctr"/>
        <c:lblOffset val="100"/>
        <c:noMultiLvlLbl val="0"/>
      </c:catAx>
      <c:valAx>
        <c:axId val="153002368"/>
        <c:scaling>
          <c:orientation val="minMax"/>
        </c:scaling>
        <c:delete val="0"/>
        <c:axPos val="l"/>
        <c:majorGridlines/>
        <c:title>
          <c:tx>
            <c:rich>
              <a:bodyPr/>
              <a:lstStyle/>
              <a:p>
                <a:pPr>
                  <a:defRPr/>
                </a:pPr>
                <a:r>
                  <a:rPr lang="sr-Cyrl-RS"/>
                  <a:t>у хиљадама динара</a:t>
                </a:r>
                <a:endParaRPr lang="en-US"/>
              </a:p>
            </c:rich>
          </c:tx>
          <c:layout>
            <c:manualLayout>
              <c:xMode val="edge"/>
              <c:yMode val="edge"/>
              <c:x val="6.1512716182939742E-2"/>
              <c:y val="0.15134335480792174"/>
            </c:manualLayout>
          </c:layout>
          <c:overlay val="0"/>
        </c:title>
        <c:numFmt formatCode="#,##0" sourceLinked="1"/>
        <c:majorTickMark val="none"/>
        <c:minorTickMark val="none"/>
        <c:tickLblPos val="nextTo"/>
        <c:crossAx val="181430912"/>
        <c:crosses val="autoZero"/>
        <c:crossBetween val="between"/>
      </c:valAx>
      <c:dTable>
        <c:showHorzBorder val="1"/>
        <c:showVertBorder val="1"/>
        <c:showOutline val="1"/>
        <c:showKeys val="1"/>
        <c:txPr>
          <a:bodyPr/>
          <a:lstStyle/>
          <a:p>
            <a:pPr rtl="0">
              <a:defRPr sz="800"/>
            </a:pPr>
            <a:endParaRPr lang="sr-Latn-RS"/>
          </a:p>
        </c:txPr>
      </c:dTable>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sr-Latn-R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view3D>
      <c:rotX val="30"/>
      <c:rotY val="190"/>
      <c:rAngAx val="0"/>
      <c:perspective val="30"/>
    </c:view3D>
    <c:floor>
      <c:thickness val="0"/>
    </c:floor>
    <c:sideWall>
      <c:thickness val="0"/>
    </c:sideWall>
    <c:backWall>
      <c:thickness val="0"/>
    </c:backWall>
    <c:plotArea>
      <c:layout>
        <c:manualLayout>
          <c:layoutTarget val="inner"/>
          <c:xMode val="edge"/>
          <c:yMode val="edge"/>
          <c:x val="0"/>
          <c:y val="0"/>
          <c:w val="1"/>
          <c:h val="0.98611111111111116"/>
        </c:manualLayout>
      </c:layout>
      <c:pie3DChart>
        <c:varyColors val="1"/>
        <c:ser>
          <c:idx val="0"/>
          <c:order val="0"/>
          <c:dLbls>
            <c:dLbl>
              <c:idx val="2"/>
              <c:layout>
                <c:manualLayout>
                  <c:x val="0.31505731398559572"/>
                  <c:y val="-3.6150152732614911E-2"/>
                </c:manualLayout>
              </c:layout>
              <c:dLblPos val="bestFit"/>
              <c:showLegendKey val="0"/>
              <c:showVal val="0"/>
              <c:showCatName val="1"/>
              <c:showSerName val="0"/>
              <c:showPercent val="1"/>
              <c:showBubbleSize val="0"/>
            </c:dLbl>
            <c:dLbl>
              <c:idx val="3"/>
              <c:layout>
                <c:manualLayout>
                  <c:x val="8.9543195182504337E-2"/>
                  <c:y val="0"/>
                </c:manualLayout>
              </c:layout>
              <c:dLblPos val="bestFit"/>
              <c:showLegendKey val="0"/>
              <c:showVal val="0"/>
              <c:showCatName val="1"/>
              <c:showSerName val="0"/>
              <c:showPercent val="1"/>
              <c:showBubbleSize val="0"/>
            </c:dLbl>
            <c:dLbl>
              <c:idx val="4"/>
              <c:layout>
                <c:manualLayout>
                  <c:x val="-0.21317044748494532"/>
                  <c:y val="-5.4650652958545563E-2"/>
                </c:manualLayout>
              </c:layout>
              <c:dLblPos val="bestFit"/>
              <c:showLegendKey val="0"/>
              <c:showVal val="0"/>
              <c:showCatName val="1"/>
              <c:showSerName val="0"/>
              <c:showPercent val="1"/>
              <c:showBubbleSize val="0"/>
            </c:dLbl>
            <c:numFmt formatCode="0.00%" sourceLinked="0"/>
            <c:txPr>
              <a:bodyPr/>
              <a:lstStyle/>
              <a:p>
                <a:pPr>
                  <a:defRPr b="1"/>
                </a:pPr>
                <a:endParaRPr lang="sr-Latn-RS"/>
              </a:p>
            </c:txPr>
            <c:dLblPos val="ctr"/>
            <c:showLegendKey val="0"/>
            <c:showVal val="0"/>
            <c:showCatName val="1"/>
            <c:showSerName val="0"/>
            <c:showPercent val="1"/>
            <c:showBubbleSize val="0"/>
            <c:showLeaderLines val="1"/>
          </c:dLbls>
          <c:cat>
            <c:strRef>
              <c:f>'tsr po mestima '!$B$88:$B$92</c:f>
              <c:strCache>
                <c:ptCount val="5"/>
                <c:pt idx="0">
                  <c:v>Прибава</c:v>
                </c:pt>
                <c:pt idx="1">
                  <c:v>Управа</c:v>
                </c:pt>
                <c:pt idx="2">
                  <c:v>Штете</c:v>
                </c:pt>
                <c:pt idx="3">
                  <c:v>Депоновање</c:v>
                </c:pt>
                <c:pt idx="4">
                  <c:v>Остало</c:v>
                </c:pt>
              </c:strCache>
            </c:strRef>
          </c:cat>
          <c:val>
            <c:numRef>
              <c:f>'tsr po mestima '!$C$88:$C$92</c:f>
              <c:numCache>
                <c:formatCode>#,##0.00</c:formatCode>
                <c:ptCount val="5"/>
                <c:pt idx="0">
                  <c:v>54902856.386705011</c:v>
                </c:pt>
                <c:pt idx="1">
                  <c:v>99641248.959189996</c:v>
                </c:pt>
                <c:pt idx="2">
                  <c:v>4739213.0097719999</c:v>
                </c:pt>
                <c:pt idx="3">
                  <c:v>1320987.534333</c:v>
                </c:pt>
                <c:pt idx="4">
                  <c:v>1255000</c:v>
                </c:pt>
              </c:numCache>
            </c:numRef>
          </c:val>
        </c:ser>
        <c:dLbls>
          <c:showLegendKey val="0"/>
          <c:showVal val="1"/>
          <c:showCatName val="0"/>
          <c:showSerName val="0"/>
          <c:showPercent val="0"/>
          <c:showBubbleSize val="0"/>
          <c:showLeaderLines val="1"/>
        </c:dLbls>
      </c:pie3DChart>
    </c:plotArea>
    <c:plotVisOnly val="1"/>
    <c:dispBlanksAs val="gap"/>
    <c:showDLblsOverMax val="0"/>
  </c:chart>
  <c:spPr>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633BEE-3714-4088-BA48-CB7952911368}" type="doc">
      <dgm:prSet loTypeId="urn:diagrams.loki3.com/BracketList+Icon" loCatId="list" qsTypeId="urn:microsoft.com/office/officeart/2005/8/quickstyle/simple2" qsCatId="simple" csTypeId="urn:microsoft.com/office/officeart/2005/8/colors/accent1_5" csCatId="accent1" phldr="1"/>
      <dgm:spPr/>
      <dgm:t>
        <a:bodyPr/>
        <a:lstStyle/>
        <a:p>
          <a:endParaRPr lang="sr-Latn-RS"/>
        </a:p>
      </dgm:t>
    </dgm:pt>
    <dgm:pt modelId="{4EE9A88E-4E81-436C-8A58-E0945F0BA1EC}">
      <dgm:prSet phldrT="[Text]" custT="1"/>
      <dgm:spPr>
        <a:xfrm>
          <a:off x="0" y="43293"/>
          <a:ext cx="1607343" cy="1227600"/>
        </a:xfrm>
        <a:noFill/>
        <a:ln>
          <a:noFill/>
        </a:ln>
        <a:effectLst/>
      </dgm:spPr>
      <dgm:t>
        <a:bodyPr/>
        <a:lstStyle/>
        <a:p>
          <a:pPr algn="ctr"/>
          <a:r>
            <a:rPr lang="sr-Cyrl-RS" sz="1000" b="1">
              <a:solidFill>
                <a:sysClr val="windowText" lastClr="000000">
                  <a:hueOff val="0"/>
                  <a:satOff val="0"/>
                  <a:lumOff val="0"/>
                  <a:alphaOff val="0"/>
                </a:sysClr>
              </a:solidFill>
              <a:latin typeface="Verdana" pitchFamily="34" charset="0"/>
              <a:ea typeface="Verdana" pitchFamily="34" charset="0"/>
              <a:cs typeface="Verdana" pitchFamily="34" charset="0"/>
            </a:rPr>
            <a:t>политички и правни фактори</a:t>
          </a:r>
          <a:endParaRPr lang="sr-Latn-RS" sz="1000" b="1">
            <a:solidFill>
              <a:sysClr val="windowText" lastClr="000000">
                <a:hueOff val="0"/>
                <a:satOff val="0"/>
                <a:lumOff val="0"/>
                <a:alphaOff val="0"/>
              </a:sysClr>
            </a:solidFill>
            <a:latin typeface="Verdana" pitchFamily="34" charset="0"/>
            <a:ea typeface="Verdana" pitchFamily="34" charset="0"/>
            <a:cs typeface="Verdana" pitchFamily="34" charset="0"/>
          </a:endParaRPr>
        </a:p>
      </dgm:t>
    </dgm:pt>
    <dgm:pt modelId="{06305450-113D-45A3-929E-7888334F58E7}" type="parTrans" cxnId="{A456319E-4784-4A65-A15D-A76457735AF7}">
      <dgm:prSet/>
      <dgm:spPr/>
      <dgm:t>
        <a:bodyPr/>
        <a:lstStyle/>
        <a:p>
          <a:endParaRPr lang="sr-Latn-RS" sz="1000">
            <a:latin typeface="Verdana" pitchFamily="34" charset="0"/>
            <a:ea typeface="Verdana" pitchFamily="34" charset="0"/>
            <a:cs typeface="Verdana" pitchFamily="34" charset="0"/>
          </a:endParaRPr>
        </a:p>
      </dgm:t>
    </dgm:pt>
    <dgm:pt modelId="{440BDEDC-DDEB-46DA-9891-7B53CC44E7D0}" type="sibTrans" cxnId="{A456319E-4784-4A65-A15D-A76457735AF7}">
      <dgm:prSet/>
      <dgm:spPr/>
      <dgm:t>
        <a:bodyPr/>
        <a:lstStyle/>
        <a:p>
          <a:endParaRPr lang="sr-Latn-RS" sz="1000">
            <a:latin typeface="Verdana" pitchFamily="34" charset="0"/>
            <a:ea typeface="Verdana" pitchFamily="34" charset="0"/>
            <a:cs typeface="Verdana" pitchFamily="34" charset="0"/>
          </a:endParaRPr>
        </a:p>
      </dgm:t>
    </dgm:pt>
    <dgm:pt modelId="{06A803E3-7830-4FA3-8CA6-01B2DC9327B0}">
      <dgm:prSet phldrT="[Text]" custT="1"/>
      <dgm:spPr>
        <a:xfrm>
          <a:off x="2057399" y="43293"/>
          <a:ext cx="4371975" cy="1227600"/>
        </a:xfr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Latn-RS" sz="900" b="1">
              <a:solidFill>
                <a:sysClr val="window" lastClr="FFFFFF"/>
              </a:solidFill>
              <a:latin typeface="Verdana" pitchFamily="34" charset="0"/>
              <a:ea typeface="Verdana" pitchFamily="34" charset="0"/>
              <a:cs typeface="Verdana" pitchFamily="34" charset="0"/>
            </a:rPr>
            <a:t> </a:t>
          </a:r>
          <a:r>
            <a:rPr lang="sr-Cyrl-RS" sz="900" b="1">
              <a:solidFill>
                <a:sysClr val="window" lastClr="FFFFFF"/>
              </a:solidFill>
              <a:latin typeface="Verdana" pitchFamily="34" charset="0"/>
              <a:ea typeface="Verdana" pitchFamily="34" charset="0"/>
              <a:cs typeface="Verdana" pitchFamily="34" charset="0"/>
            </a:rPr>
            <a:t>Усвојен нови Закон о осигурању који ступа на снагу у јулу 2015. године</a:t>
          </a:r>
          <a:endParaRPr lang="sr-Latn-RS" sz="900" b="1">
            <a:solidFill>
              <a:sysClr val="window" lastClr="FFFFFF"/>
            </a:solidFill>
            <a:latin typeface="Verdana" pitchFamily="34" charset="0"/>
            <a:ea typeface="Verdana" pitchFamily="34" charset="0"/>
            <a:cs typeface="Verdana" pitchFamily="34" charset="0"/>
          </a:endParaRPr>
        </a:p>
      </dgm:t>
    </dgm:pt>
    <dgm:pt modelId="{A093F134-16AC-4E60-8B2F-02035B3C9A69}" type="parTrans" cxnId="{0085F20B-0FF1-4388-8F10-43CFD73C3101}">
      <dgm:prSet/>
      <dgm:spPr/>
      <dgm:t>
        <a:bodyPr/>
        <a:lstStyle/>
        <a:p>
          <a:endParaRPr lang="sr-Latn-RS" sz="1000">
            <a:latin typeface="Verdana" pitchFamily="34" charset="0"/>
            <a:ea typeface="Verdana" pitchFamily="34" charset="0"/>
            <a:cs typeface="Verdana" pitchFamily="34" charset="0"/>
          </a:endParaRPr>
        </a:p>
      </dgm:t>
    </dgm:pt>
    <dgm:pt modelId="{CFADF20B-C386-426F-B593-DE4BC37F59F6}" type="sibTrans" cxnId="{0085F20B-0FF1-4388-8F10-43CFD73C3101}">
      <dgm:prSet/>
      <dgm:spPr/>
      <dgm:t>
        <a:bodyPr/>
        <a:lstStyle/>
        <a:p>
          <a:endParaRPr lang="sr-Latn-RS" sz="1000">
            <a:latin typeface="Verdana" pitchFamily="34" charset="0"/>
            <a:ea typeface="Verdana" pitchFamily="34" charset="0"/>
            <a:cs typeface="Verdana" pitchFamily="34" charset="0"/>
          </a:endParaRPr>
        </a:p>
      </dgm:t>
    </dgm:pt>
    <dgm:pt modelId="{9C9AD3A2-882C-4C9A-911E-E0059F55B9D5}">
      <dgm:prSet phldrT="[Text]" custT="1"/>
      <dgm:spPr>
        <a:xfrm>
          <a:off x="0" y="1551637"/>
          <a:ext cx="1607343" cy="1227600"/>
        </a:xfrm>
        <a:noFill/>
        <a:ln>
          <a:noFill/>
        </a:ln>
        <a:effectLst/>
      </dgm:spPr>
      <dgm:t>
        <a:bodyPr/>
        <a:lstStyle/>
        <a:p>
          <a:pPr algn="ctr">
            <a:spcAft>
              <a:spcPts val="0"/>
            </a:spcAft>
          </a:pPr>
          <a:r>
            <a:rPr lang="sr-Cyrl-RS" sz="1000" b="1">
              <a:solidFill>
                <a:sysClr val="windowText" lastClr="000000">
                  <a:hueOff val="0"/>
                  <a:satOff val="0"/>
                  <a:lumOff val="0"/>
                  <a:alphaOff val="0"/>
                </a:sysClr>
              </a:solidFill>
              <a:latin typeface="Verdana" pitchFamily="34" charset="0"/>
              <a:ea typeface="Verdana" pitchFamily="34" charset="0"/>
              <a:cs typeface="Verdana" pitchFamily="34" charset="0"/>
            </a:rPr>
            <a:t>економски </a:t>
          </a:r>
        </a:p>
        <a:p>
          <a:pPr algn="ctr">
            <a:spcAft>
              <a:spcPts val="0"/>
            </a:spcAft>
          </a:pPr>
          <a:r>
            <a:rPr lang="sr-Cyrl-RS" sz="1000" b="1">
              <a:solidFill>
                <a:sysClr val="windowText" lastClr="000000">
                  <a:hueOff val="0"/>
                  <a:satOff val="0"/>
                  <a:lumOff val="0"/>
                  <a:alphaOff val="0"/>
                </a:sysClr>
              </a:solidFill>
              <a:latin typeface="Verdana" pitchFamily="34" charset="0"/>
              <a:ea typeface="Verdana" pitchFamily="34" charset="0"/>
              <a:cs typeface="Verdana" pitchFamily="34" charset="0"/>
            </a:rPr>
            <a:t>фактори</a:t>
          </a:r>
          <a:endParaRPr lang="sr-Latn-RS" sz="1000" b="1">
            <a:solidFill>
              <a:sysClr val="windowText" lastClr="000000">
                <a:hueOff val="0"/>
                <a:satOff val="0"/>
                <a:lumOff val="0"/>
                <a:alphaOff val="0"/>
              </a:sysClr>
            </a:solidFill>
            <a:latin typeface="Verdana" pitchFamily="34" charset="0"/>
            <a:ea typeface="Verdana" pitchFamily="34" charset="0"/>
            <a:cs typeface="Verdana" pitchFamily="34" charset="0"/>
          </a:endParaRPr>
        </a:p>
      </dgm:t>
    </dgm:pt>
    <dgm:pt modelId="{CFA7F750-57CA-40E2-AE2B-0BC44A9CC60C}" type="parTrans" cxnId="{F6E695F9-10E5-410A-A269-4534D7AE85AF}">
      <dgm:prSet/>
      <dgm:spPr/>
      <dgm:t>
        <a:bodyPr/>
        <a:lstStyle/>
        <a:p>
          <a:endParaRPr lang="sr-Latn-RS" sz="1000">
            <a:latin typeface="Verdana" pitchFamily="34" charset="0"/>
            <a:ea typeface="Verdana" pitchFamily="34" charset="0"/>
            <a:cs typeface="Verdana" pitchFamily="34" charset="0"/>
          </a:endParaRPr>
        </a:p>
      </dgm:t>
    </dgm:pt>
    <dgm:pt modelId="{BDD609DD-333E-4B25-98A8-97EAF12D1FD7}" type="sibTrans" cxnId="{F6E695F9-10E5-410A-A269-4534D7AE85AF}">
      <dgm:prSet/>
      <dgm:spPr/>
      <dgm:t>
        <a:bodyPr/>
        <a:lstStyle/>
        <a:p>
          <a:endParaRPr lang="sr-Latn-RS" sz="1000">
            <a:latin typeface="Verdana" pitchFamily="34" charset="0"/>
            <a:ea typeface="Verdana" pitchFamily="34" charset="0"/>
            <a:cs typeface="Verdana" pitchFamily="34" charset="0"/>
          </a:endParaRPr>
        </a:p>
      </dgm:t>
    </dgm:pt>
    <dgm:pt modelId="{46336E2A-49CC-41BF-919F-7932C3282540}">
      <dgm:prSet phldrT="[Tex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Финансирање како непокривене потрошње, тако и инвестиција, углавном кроз задуживање </a:t>
          </a:r>
          <a:endParaRPr lang="sr-Latn-RS" sz="800" b="1">
            <a:solidFill>
              <a:sysClr val="window" lastClr="FFFFFF"/>
            </a:solidFill>
            <a:latin typeface="Verdana" pitchFamily="34" charset="0"/>
            <a:ea typeface="Verdana" pitchFamily="34" charset="0"/>
            <a:cs typeface="Verdana" pitchFamily="34" charset="0"/>
          </a:endParaRPr>
        </a:p>
      </dgm:t>
    </dgm:pt>
    <dgm:pt modelId="{BF733B9A-F16B-4679-98E0-B084AA2D6A92}" type="parTrans" cxnId="{B519CC2F-B902-4C95-97DC-67E753B1E480}">
      <dgm:prSet/>
      <dgm:spPr/>
      <dgm:t>
        <a:bodyPr/>
        <a:lstStyle/>
        <a:p>
          <a:endParaRPr lang="sr-Latn-RS" sz="1000">
            <a:latin typeface="Verdana" pitchFamily="34" charset="0"/>
            <a:ea typeface="Verdana" pitchFamily="34" charset="0"/>
            <a:cs typeface="Verdana" pitchFamily="34" charset="0"/>
          </a:endParaRPr>
        </a:p>
      </dgm:t>
    </dgm:pt>
    <dgm:pt modelId="{2428CF9E-C567-47C2-9EF5-9E3BD3B770CD}" type="sibTrans" cxnId="{B519CC2F-B902-4C95-97DC-67E753B1E480}">
      <dgm:prSet/>
      <dgm:spPr/>
      <dgm:t>
        <a:bodyPr/>
        <a:lstStyle/>
        <a:p>
          <a:endParaRPr lang="sr-Latn-RS" sz="1000">
            <a:latin typeface="Verdana" pitchFamily="34" charset="0"/>
            <a:ea typeface="Verdana" pitchFamily="34" charset="0"/>
            <a:cs typeface="Verdana" pitchFamily="34" charset="0"/>
          </a:endParaRPr>
        </a:p>
      </dgm:t>
    </dgm:pt>
    <dgm:pt modelId="{F4E0D8C8-7EE7-42B8-A6BB-F9F0AE9F7EBA}">
      <dgm:prSet custT="1"/>
      <dgm:spPr>
        <a:xfrm>
          <a:off x="2057399" y="43293"/>
          <a:ext cx="4371975" cy="1227600"/>
        </a:xfr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Недовољан прилив страних инвестиција на тржиште Србије</a:t>
          </a:r>
          <a:endParaRPr lang="sr-Latn-RS" sz="900" b="1">
            <a:solidFill>
              <a:sysClr val="window" lastClr="FFFFFF"/>
            </a:solidFill>
            <a:latin typeface="Verdana" pitchFamily="34" charset="0"/>
            <a:ea typeface="Verdana" pitchFamily="34" charset="0"/>
            <a:cs typeface="Verdana" pitchFamily="34" charset="0"/>
          </a:endParaRPr>
        </a:p>
      </dgm:t>
    </dgm:pt>
    <dgm:pt modelId="{C653D7EA-956B-48E5-B196-773552B6871D}" type="parTrans" cxnId="{C746BA4C-624B-4205-A0A2-DEFD01970AA5}">
      <dgm:prSet/>
      <dgm:spPr/>
      <dgm:t>
        <a:bodyPr/>
        <a:lstStyle/>
        <a:p>
          <a:endParaRPr lang="sr-Latn-RS" sz="1000">
            <a:latin typeface="Verdana" pitchFamily="34" charset="0"/>
            <a:ea typeface="Verdana" pitchFamily="34" charset="0"/>
            <a:cs typeface="Verdana" pitchFamily="34" charset="0"/>
          </a:endParaRPr>
        </a:p>
      </dgm:t>
    </dgm:pt>
    <dgm:pt modelId="{6A9E9906-CC83-4C44-9765-8867524C525F}" type="sibTrans" cxnId="{C746BA4C-624B-4205-A0A2-DEFD01970AA5}">
      <dgm:prSet/>
      <dgm:spPr/>
      <dgm:t>
        <a:bodyPr/>
        <a:lstStyle/>
        <a:p>
          <a:endParaRPr lang="sr-Latn-RS" sz="1000">
            <a:latin typeface="Verdana" pitchFamily="34" charset="0"/>
            <a:ea typeface="Verdana" pitchFamily="34" charset="0"/>
            <a:cs typeface="Verdana" pitchFamily="34" charset="0"/>
          </a:endParaRPr>
        </a:p>
      </dgm:t>
    </dgm:pt>
    <dgm:pt modelId="{64D197DD-90CF-4A11-B81B-D45BE4512C52}">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Ниска стопа привредног раста</a:t>
          </a:r>
          <a:endParaRPr lang="sr-Latn-RS" sz="900" b="1">
            <a:solidFill>
              <a:sysClr val="window" lastClr="FFFFFF"/>
            </a:solidFill>
            <a:latin typeface="Verdana" pitchFamily="34" charset="0"/>
            <a:ea typeface="Verdana" pitchFamily="34" charset="0"/>
            <a:cs typeface="Verdana" pitchFamily="34" charset="0"/>
          </a:endParaRPr>
        </a:p>
      </dgm:t>
    </dgm:pt>
    <dgm:pt modelId="{C3311DC2-A52E-4274-A845-8E5317AD4655}" type="parTrans" cxnId="{BC8AF569-EB79-4BD2-9379-F24E0B4C4BA7}">
      <dgm:prSet/>
      <dgm:spPr/>
      <dgm:t>
        <a:bodyPr/>
        <a:lstStyle/>
        <a:p>
          <a:endParaRPr lang="sr-Latn-RS" sz="1000">
            <a:latin typeface="Verdana" pitchFamily="34" charset="0"/>
            <a:ea typeface="Verdana" pitchFamily="34" charset="0"/>
            <a:cs typeface="Verdana" pitchFamily="34" charset="0"/>
          </a:endParaRPr>
        </a:p>
      </dgm:t>
    </dgm:pt>
    <dgm:pt modelId="{5DB4161C-5683-41C1-BA89-71421185F94B}" type="sibTrans" cxnId="{BC8AF569-EB79-4BD2-9379-F24E0B4C4BA7}">
      <dgm:prSet/>
      <dgm:spPr/>
      <dgm:t>
        <a:bodyPr/>
        <a:lstStyle/>
        <a:p>
          <a:endParaRPr lang="sr-Latn-RS" sz="1000">
            <a:latin typeface="Verdana" pitchFamily="34" charset="0"/>
            <a:ea typeface="Verdana" pitchFamily="34" charset="0"/>
            <a:cs typeface="Verdana" pitchFamily="34" charset="0"/>
          </a:endParaRPr>
        </a:p>
      </dgm:t>
    </dgm:pt>
    <dgm:pt modelId="{7F98BD71-9C2E-4095-B0FA-EC426CE884F9}">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Утицај тржишта на раст оперативних трошкова</a:t>
          </a:r>
          <a:endParaRPr lang="sr-Latn-RS" sz="900" b="1">
            <a:solidFill>
              <a:sysClr val="window" lastClr="FFFFFF"/>
            </a:solidFill>
            <a:latin typeface="Verdana" pitchFamily="34" charset="0"/>
            <a:ea typeface="Verdana" pitchFamily="34" charset="0"/>
            <a:cs typeface="Verdana" pitchFamily="34" charset="0"/>
          </a:endParaRPr>
        </a:p>
      </dgm:t>
    </dgm:pt>
    <dgm:pt modelId="{97262EF4-3B55-4DF1-A037-9D10D307B42F}" type="parTrans" cxnId="{658B8214-A26C-441C-B9DD-E3F2734DB567}">
      <dgm:prSet/>
      <dgm:spPr/>
      <dgm:t>
        <a:bodyPr/>
        <a:lstStyle/>
        <a:p>
          <a:endParaRPr lang="sr-Latn-RS" sz="1000">
            <a:latin typeface="Verdana" pitchFamily="34" charset="0"/>
            <a:ea typeface="Verdana" pitchFamily="34" charset="0"/>
            <a:cs typeface="Verdana" pitchFamily="34" charset="0"/>
          </a:endParaRPr>
        </a:p>
      </dgm:t>
    </dgm:pt>
    <dgm:pt modelId="{836DB6A7-5558-480F-9C57-0C1B07852024}" type="sibTrans" cxnId="{658B8214-A26C-441C-B9DD-E3F2734DB567}">
      <dgm:prSet/>
      <dgm:spPr/>
      <dgm:t>
        <a:bodyPr/>
        <a:lstStyle/>
        <a:p>
          <a:endParaRPr lang="sr-Latn-RS" sz="1000">
            <a:latin typeface="Verdana" pitchFamily="34" charset="0"/>
            <a:ea typeface="Verdana" pitchFamily="34" charset="0"/>
            <a:cs typeface="Verdana" pitchFamily="34" charset="0"/>
          </a:endParaRPr>
        </a:p>
      </dgm:t>
    </dgm:pt>
    <dgm:pt modelId="{88D46F4F-D731-47B2-92ED-6EB42DF83824}">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Пореска политика</a:t>
          </a:r>
          <a:endParaRPr lang="sr-Latn-RS" sz="900" b="1">
            <a:solidFill>
              <a:sysClr val="window" lastClr="FFFFFF"/>
            </a:solidFill>
            <a:latin typeface="Verdana" pitchFamily="34" charset="0"/>
            <a:ea typeface="Verdana" pitchFamily="34" charset="0"/>
            <a:cs typeface="Verdana" pitchFamily="34" charset="0"/>
          </a:endParaRPr>
        </a:p>
      </dgm:t>
    </dgm:pt>
    <dgm:pt modelId="{258A44E0-D42F-4412-A6CB-138A402D55B1}" type="parTrans" cxnId="{BB1788FF-81B4-407E-BBDC-A6EB2B537868}">
      <dgm:prSet/>
      <dgm:spPr/>
      <dgm:t>
        <a:bodyPr/>
        <a:lstStyle/>
        <a:p>
          <a:endParaRPr lang="sr-Latn-RS" sz="1000">
            <a:latin typeface="Verdana" pitchFamily="34" charset="0"/>
            <a:ea typeface="Verdana" pitchFamily="34" charset="0"/>
            <a:cs typeface="Verdana" pitchFamily="34" charset="0"/>
          </a:endParaRPr>
        </a:p>
      </dgm:t>
    </dgm:pt>
    <dgm:pt modelId="{FB6069F7-E170-46E9-A555-58791F86A1FC}" type="sibTrans" cxnId="{BB1788FF-81B4-407E-BBDC-A6EB2B537868}">
      <dgm:prSet/>
      <dgm:spPr/>
      <dgm:t>
        <a:bodyPr/>
        <a:lstStyle/>
        <a:p>
          <a:endParaRPr lang="sr-Latn-RS" sz="1000">
            <a:latin typeface="Verdana" pitchFamily="34" charset="0"/>
            <a:ea typeface="Verdana" pitchFamily="34" charset="0"/>
            <a:cs typeface="Verdana" pitchFamily="34" charset="0"/>
          </a:endParaRPr>
        </a:p>
      </dgm:t>
    </dgm:pt>
    <dgm:pt modelId="{0B774D5A-71EF-40A3-841E-DD359D601FA2}">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Потецијално нестабилне каматне стопе и девизни курс</a:t>
          </a:r>
          <a:endParaRPr lang="sr-Latn-RS" sz="900" b="1">
            <a:solidFill>
              <a:sysClr val="window" lastClr="FFFFFF"/>
            </a:solidFill>
            <a:latin typeface="Verdana" pitchFamily="34" charset="0"/>
            <a:ea typeface="Verdana" pitchFamily="34" charset="0"/>
            <a:cs typeface="Verdana" pitchFamily="34" charset="0"/>
          </a:endParaRPr>
        </a:p>
      </dgm:t>
    </dgm:pt>
    <dgm:pt modelId="{495377A9-0EB5-473A-97BC-8EA39E07F00B}" type="parTrans" cxnId="{1C0122F2-1D83-4D69-8ACA-FCB541B69BD4}">
      <dgm:prSet/>
      <dgm:spPr/>
      <dgm:t>
        <a:bodyPr/>
        <a:lstStyle/>
        <a:p>
          <a:endParaRPr lang="sr-Latn-RS" sz="1000">
            <a:latin typeface="Verdana" pitchFamily="34" charset="0"/>
            <a:ea typeface="Verdana" pitchFamily="34" charset="0"/>
            <a:cs typeface="Verdana" pitchFamily="34" charset="0"/>
          </a:endParaRPr>
        </a:p>
      </dgm:t>
    </dgm:pt>
    <dgm:pt modelId="{BDCA7636-62AE-4497-9409-5E71ADD4E998}" type="sibTrans" cxnId="{1C0122F2-1D83-4D69-8ACA-FCB541B69BD4}">
      <dgm:prSet/>
      <dgm:spPr/>
      <dgm:t>
        <a:bodyPr/>
        <a:lstStyle/>
        <a:p>
          <a:endParaRPr lang="sr-Latn-RS" sz="1000">
            <a:latin typeface="Verdana" pitchFamily="34" charset="0"/>
            <a:ea typeface="Verdana" pitchFamily="34" charset="0"/>
            <a:cs typeface="Verdana" pitchFamily="34" charset="0"/>
          </a:endParaRPr>
        </a:p>
      </dgm:t>
    </dgm:pt>
    <dgm:pt modelId="{C58559C9-4694-46FF-B939-A7308C2C1EED}">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Сива економија и недовољно уређено тржиште</a:t>
          </a:r>
          <a:endParaRPr lang="sr-Latn-RS" sz="900" b="1">
            <a:solidFill>
              <a:sysClr val="window" lastClr="FFFFFF"/>
            </a:solidFill>
            <a:latin typeface="Verdana" pitchFamily="34" charset="0"/>
            <a:ea typeface="Verdana" pitchFamily="34" charset="0"/>
            <a:cs typeface="Verdana" pitchFamily="34" charset="0"/>
          </a:endParaRPr>
        </a:p>
      </dgm:t>
    </dgm:pt>
    <dgm:pt modelId="{3D97EE96-1F7C-4E52-BBF9-C86A5CA4F0BB}" type="parTrans" cxnId="{A00FC36D-8697-4002-B493-E070938BA2D6}">
      <dgm:prSet/>
      <dgm:spPr/>
      <dgm:t>
        <a:bodyPr/>
        <a:lstStyle/>
        <a:p>
          <a:endParaRPr lang="sr-Latn-RS" sz="1000">
            <a:latin typeface="Verdana" pitchFamily="34" charset="0"/>
            <a:ea typeface="Verdana" pitchFamily="34" charset="0"/>
            <a:cs typeface="Verdana" pitchFamily="34" charset="0"/>
          </a:endParaRPr>
        </a:p>
      </dgm:t>
    </dgm:pt>
    <dgm:pt modelId="{B23450C8-709F-413E-B819-340970CB3258}" type="sibTrans" cxnId="{A00FC36D-8697-4002-B493-E070938BA2D6}">
      <dgm:prSet/>
      <dgm:spPr/>
      <dgm:t>
        <a:bodyPr/>
        <a:lstStyle/>
        <a:p>
          <a:endParaRPr lang="sr-Latn-RS" sz="1000">
            <a:latin typeface="Verdana" pitchFamily="34" charset="0"/>
            <a:ea typeface="Verdana" pitchFamily="34" charset="0"/>
            <a:cs typeface="Verdana" pitchFamily="34" charset="0"/>
          </a:endParaRPr>
        </a:p>
      </dgm:t>
    </dgm:pt>
    <dgm:pt modelId="{29684E66-99CB-4233-B92D-A6C1CFA639DF}">
      <dgm:prSe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Нелојална конкуренција</a:t>
          </a:r>
          <a:endParaRPr lang="sr-Latn-RS" sz="900" b="1">
            <a:solidFill>
              <a:sysClr val="window" lastClr="FFFFFF"/>
            </a:solidFill>
            <a:latin typeface="Verdana" pitchFamily="34" charset="0"/>
            <a:ea typeface="Verdana" pitchFamily="34" charset="0"/>
            <a:cs typeface="Verdana" pitchFamily="34" charset="0"/>
          </a:endParaRPr>
        </a:p>
      </dgm:t>
    </dgm:pt>
    <dgm:pt modelId="{A2853715-6F67-4BBA-B781-7710F8FAF3E3}" type="parTrans" cxnId="{E18C22A9-D0D1-432C-AF16-F0DC3AB4E84B}">
      <dgm:prSet/>
      <dgm:spPr/>
      <dgm:t>
        <a:bodyPr/>
        <a:lstStyle/>
        <a:p>
          <a:endParaRPr lang="sr-Latn-RS" sz="1000">
            <a:latin typeface="Verdana" pitchFamily="34" charset="0"/>
            <a:ea typeface="Verdana" pitchFamily="34" charset="0"/>
            <a:cs typeface="Verdana" pitchFamily="34" charset="0"/>
          </a:endParaRPr>
        </a:p>
      </dgm:t>
    </dgm:pt>
    <dgm:pt modelId="{5B7D8BBB-C3CE-498D-BE1A-9F13D44A172D}" type="sibTrans" cxnId="{E18C22A9-D0D1-432C-AF16-F0DC3AB4E84B}">
      <dgm:prSet/>
      <dgm:spPr/>
      <dgm:t>
        <a:bodyPr/>
        <a:lstStyle/>
        <a:p>
          <a:endParaRPr lang="sr-Latn-RS" sz="1000">
            <a:latin typeface="Verdana" pitchFamily="34" charset="0"/>
            <a:ea typeface="Verdana" pitchFamily="34" charset="0"/>
            <a:cs typeface="Verdana" pitchFamily="34" charset="0"/>
          </a:endParaRPr>
        </a:p>
      </dgm:t>
    </dgm:pt>
    <dgm:pt modelId="{32CB2542-92AE-4F83-8B1D-08AEED3929F2}">
      <dgm:prSet phldrT="[Text]" custT="1"/>
      <dgm:spPr>
        <a:xfrm>
          <a:off x="0" y="3059981"/>
          <a:ext cx="1607343" cy="1227600"/>
        </a:xfrm>
        <a:noFill/>
        <a:ln>
          <a:noFill/>
        </a:ln>
        <a:effectLst/>
      </dgm:spPr>
      <dgm:t>
        <a:bodyPr/>
        <a:lstStyle/>
        <a:p>
          <a:pPr algn="ctr"/>
          <a:r>
            <a:rPr lang="sr-Cyrl-RS" sz="1000" b="1">
              <a:solidFill>
                <a:sysClr val="windowText" lastClr="000000">
                  <a:hueOff val="0"/>
                  <a:satOff val="0"/>
                  <a:lumOff val="0"/>
                  <a:alphaOff val="0"/>
                </a:sysClr>
              </a:solidFill>
              <a:latin typeface="Verdana" pitchFamily="34" charset="0"/>
              <a:ea typeface="Verdana" pitchFamily="34" charset="0"/>
              <a:cs typeface="Verdana" pitchFamily="34" charset="0"/>
            </a:rPr>
            <a:t>социјални факотори</a:t>
          </a:r>
          <a:endParaRPr lang="sr-Latn-RS" sz="1000" b="1">
            <a:solidFill>
              <a:sysClr val="windowText" lastClr="000000">
                <a:hueOff val="0"/>
                <a:satOff val="0"/>
                <a:lumOff val="0"/>
                <a:alphaOff val="0"/>
              </a:sysClr>
            </a:solidFill>
            <a:latin typeface="Verdana" pitchFamily="34" charset="0"/>
            <a:ea typeface="Verdana" pitchFamily="34" charset="0"/>
            <a:cs typeface="Verdana" pitchFamily="34" charset="0"/>
          </a:endParaRPr>
        </a:p>
      </dgm:t>
    </dgm:pt>
    <dgm:pt modelId="{2610B7DB-CD9E-4D5D-B939-612DD3EB6353}" type="parTrans" cxnId="{9A2EE2A7-87E6-4CF7-A390-EFD4872DE367}">
      <dgm:prSet/>
      <dgm:spPr/>
      <dgm:t>
        <a:bodyPr/>
        <a:lstStyle/>
        <a:p>
          <a:endParaRPr lang="sr-Latn-RS" sz="1000">
            <a:latin typeface="Verdana" pitchFamily="34" charset="0"/>
            <a:ea typeface="Verdana" pitchFamily="34" charset="0"/>
            <a:cs typeface="Verdana" pitchFamily="34" charset="0"/>
          </a:endParaRPr>
        </a:p>
      </dgm:t>
    </dgm:pt>
    <dgm:pt modelId="{02B134F4-877D-4C25-A349-11AE888D7070}" type="sibTrans" cxnId="{9A2EE2A7-87E6-4CF7-A390-EFD4872DE367}">
      <dgm:prSet/>
      <dgm:spPr/>
      <dgm:t>
        <a:bodyPr/>
        <a:lstStyle/>
        <a:p>
          <a:endParaRPr lang="sr-Latn-RS" sz="1000">
            <a:latin typeface="Verdana" pitchFamily="34" charset="0"/>
            <a:ea typeface="Verdana" pitchFamily="34" charset="0"/>
            <a:cs typeface="Verdana" pitchFamily="34" charset="0"/>
          </a:endParaRPr>
        </a:p>
      </dgm:t>
    </dgm:pt>
    <dgm:pt modelId="{52F589CA-3F2C-41C1-845A-B38780FE9177}">
      <dgm:prSet phldrT="[Text]" custT="1"/>
      <dgm:spPr>
        <a:xfrm>
          <a:off x="2057399" y="3059981"/>
          <a:ext cx="4371975" cy="1227600"/>
        </a:xfrm>
        <a:solidFill>
          <a:srgbClr val="4F81BD">
            <a:alpha val="90000"/>
            <a:hueOff val="0"/>
            <a:satOff val="0"/>
            <a:lumOff val="0"/>
            <a:alphaOff val="-26667"/>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1000" b="1">
              <a:solidFill>
                <a:sysClr val="window" lastClr="FFFFFF"/>
              </a:solidFill>
              <a:latin typeface="Verdana" pitchFamily="34" charset="0"/>
              <a:ea typeface="Verdana" pitchFamily="34" charset="0"/>
              <a:cs typeface="Verdana" pitchFamily="34" charset="0"/>
            </a:rPr>
            <a:t> </a:t>
          </a:r>
          <a:r>
            <a:rPr lang="sr-Cyrl-RS" sz="900" b="1">
              <a:solidFill>
                <a:sysClr val="window" lastClr="FFFFFF"/>
              </a:solidFill>
              <a:latin typeface="Verdana" pitchFamily="34" charset="0"/>
              <a:ea typeface="Verdana" pitchFamily="34" charset="0"/>
              <a:cs typeface="Verdana" pitchFamily="34" charset="0"/>
            </a:rPr>
            <a:t>Пад стандард становништва</a:t>
          </a:r>
          <a:endParaRPr lang="sr-Latn-RS" sz="900" b="1">
            <a:solidFill>
              <a:sysClr val="window" lastClr="FFFFFF"/>
            </a:solidFill>
            <a:latin typeface="Verdana" pitchFamily="34" charset="0"/>
            <a:ea typeface="Verdana" pitchFamily="34" charset="0"/>
            <a:cs typeface="Verdana" pitchFamily="34" charset="0"/>
          </a:endParaRPr>
        </a:p>
      </dgm:t>
    </dgm:pt>
    <dgm:pt modelId="{05D360A7-775A-4396-AA06-A5404DA49D84}" type="parTrans" cxnId="{BBFB48F9-D4FF-438F-823D-854A9FF3B244}">
      <dgm:prSet/>
      <dgm:spPr/>
      <dgm:t>
        <a:bodyPr/>
        <a:lstStyle/>
        <a:p>
          <a:endParaRPr lang="sr-Latn-RS" sz="1000">
            <a:latin typeface="Verdana" pitchFamily="34" charset="0"/>
            <a:ea typeface="Verdana" pitchFamily="34" charset="0"/>
            <a:cs typeface="Verdana" pitchFamily="34" charset="0"/>
          </a:endParaRPr>
        </a:p>
      </dgm:t>
    </dgm:pt>
    <dgm:pt modelId="{DBEC9E63-9084-42D3-B200-27B9A3D85FC9}" type="sibTrans" cxnId="{BBFB48F9-D4FF-438F-823D-854A9FF3B244}">
      <dgm:prSet/>
      <dgm:spPr/>
      <dgm:t>
        <a:bodyPr/>
        <a:lstStyle/>
        <a:p>
          <a:endParaRPr lang="sr-Latn-RS" sz="1000">
            <a:latin typeface="Verdana" pitchFamily="34" charset="0"/>
            <a:ea typeface="Verdana" pitchFamily="34" charset="0"/>
            <a:cs typeface="Verdana" pitchFamily="34" charset="0"/>
          </a:endParaRPr>
        </a:p>
      </dgm:t>
    </dgm:pt>
    <dgm:pt modelId="{CC5DC643-D826-4C64-B5EF-779E0BB3F05F}">
      <dgm:prSet custT="1"/>
      <dgm:spPr>
        <a:xfrm>
          <a:off x="2057399" y="3059981"/>
          <a:ext cx="4371975" cy="1227600"/>
        </a:xfrm>
        <a:solidFill>
          <a:srgbClr val="4F81BD">
            <a:alpha val="90000"/>
            <a:hueOff val="0"/>
            <a:satOff val="0"/>
            <a:lumOff val="0"/>
            <a:alphaOff val="-26667"/>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Опасност од радикализације социјалних тензија</a:t>
          </a:r>
          <a:endParaRPr lang="sr-Latn-RS" sz="900" b="1">
            <a:solidFill>
              <a:sysClr val="window" lastClr="FFFFFF"/>
            </a:solidFill>
            <a:latin typeface="Verdana" pitchFamily="34" charset="0"/>
            <a:ea typeface="Verdana" pitchFamily="34" charset="0"/>
            <a:cs typeface="Verdana" pitchFamily="34" charset="0"/>
          </a:endParaRPr>
        </a:p>
      </dgm:t>
    </dgm:pt>
    <dgm:pt modelId="{1418EC60-137D-4E2F-BE5D-EEB7A5AE80AB}" type="parTrans" cxnId="{674E1B5D-A1AE-48A2-B254-71A2A84467BF}">
      <dgm:prSet/>
      <dgm:spPr/>
      <dgm:t>
        <a:bodyPr/>
        <a:lstStyle/>
        <a:p>
          <a:endParaRPr lang="sr-Latn-RS" sz="1000">
            <a:latin typeface="Verdana" pitchFamily="34" charset="0"/>
            <a:ea typeface="Verdana" pitchFamily="34" charset="0"/>
            <a:cs typeface="Verdana" pitchFamily="34" charset="0"/>
          </a:endParaRPr>
        </a:p>
      </dgm:t>
    </dgm:pt>
    <dgm:pt modelId="{4B363C0C-8957-4223-A5A3-9A8FD5C08C77}" type="sibTrans" cxnId="{674E1B5D-A1AE-48A2-B254-71A2A84467BF}">
      <dgm:prSet/>
      <dgm:spPr/>
      <dgm:t>
        <a:bodyPr/>
        <a:lstStyle/>
        <a:p>
          <a:endParaRPr lang="sr-Latn-RS" sz="1000">
            <a:latin typeface="Verdana" pitchFamily="34" charset="0"/>
            <a:ea typeface="Verdana" pitchFamily="34" charset="0"/>
            <a:cs typeface="Verdana" pitchFamily="34" charset="0"/>
          </a:endParaRPr>
        </a:p>
      </dgm:t>
    </dgm:pt>
    <dgm:pt modelId="{EFE2A2E4-7792-470D-AAB6-DE4B86080273}">
      <dgm:prSet custT="1"/>
      <dgm:spPr>
        <a:xfrm>
          <a:off x="2057399" y="3059981"/>
          <a:ext cx="4371975" cy="1227600"/>
        </a:xfrm>
        <a:solidFill>
          <a:srgbClr val="4F81BD">
            <a:alpha val="90000"/>
            <a:hueOff val="0"/>
            <a:satOff val="0"/>
            <a:lumOff val="0"/>
            <a:alphaOff val="-26667"/>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Пораст просечне старости радно запосленог становништва (раст старосних граница за одлазак у пензију)</a:t>
          </a:r>
          <a:endParaRPr lang="sr-Latn-RS" sz="900" b="1">
            <a:solidFill>
              <a:sysClr val="window" lastClr="FFFFFF"/>
            </a:solidFill>
            <a:latin typeface="Verdana" pitchFamily="34" charset="0"/>
            <a:ea typeface="Verdana" pitchFamily="34" charset="0"/>
            <a:cs typeface="Verdana" pitchFamily="34" charset="0"/>
          </a:endParaRPr>
        </a:p>
      </dgm:t>
    </dgm:pt>
    <dgm:pt modelId="{9976F552-5A08-41C7-9540-B903F72463F0}" type="parTrans" cxnId="{1FB48025-AE23-40B6-8A0F-1D4FECB0A794}">
      <dgm:prSet/>
      <dgm:spPr/>
      <dgm:t>
        <a:bodyPr/>
        <a:lstStyle/>
        <a:p>
          <a:endParaRPr lang="sr-Latn-RS" sz="1000">
            <a:latin typeface="Verdana" pitchFamily="34" charset="0"/>
            <a:ea typeface="Verdana" pitchFamily="34" charset="0"/>
            <a:cs typeface="Verdana" pitchFamily="34" charset="0"/>
          </a:endParaRPr>
        </a:p>
      </dgm:t>
    </dgm:pt>
    <dgm:pt modelId="{B385FF8A-CB8A-4453-8518-AF7220F66650}" type="sibTrans" cxnId="{1FB48025-AE23-40B6-8A0F-1D4FECB0A794}">
      <dgm:prSet/>
      <dgm:spPr/>
      <dgm:t>
        <a:bodyPr/>
        <a:lstStyle/>
        <a:p>
          <a:endParaRPr lang="sr-Latn-RS" sz="1000">
            <a:latin typeface="Verdana" pitchFamily="34" charset="0"/>
            <a:ea typeface="Verdana" pitchFamily="34" charset="0"/>
            <a:cs typeface="Verdana" pitchFamily="34" charset="0"/>
          </a:endParaRPr>
        </a:p>
      </dgm:t>
    </dgm:pt>
    <dgm:pt modelId="{94F6C647-4D1E-493E-ABFC-263363EC75E1}">
      <dgm:prSet phldrT="[Text]" custT="1"/>
      <dgm:spPr>
        <a:xfrm>
          <a:off x="0" y="4510781"/>
          <a:ext cx="1607343" cy="1227600"/>
        </a:xfrm>
        <a:noFill/>
        <a:ln>
          <a:noFill/>
        </a:ln>
        <a:effectLst/>
      </dgm:spPr>
      <dgm:t>
        <a:bodyPr/>
        <a:lstStyle/>
        <a:p>
          <a:pPr algn="ctr"/>
          <a:r>
            <a:rPr lang="sr-Cyrl-RS" sz="1000" b="1">
              <a:solidFill>
                <a:sysClr val="windowText" lastClr="000000">
                  <a:hueOff val="0"/>
                  <a:satOff val="0"/>
                  <a:lumOff val="0"/>
                  <a:alphaOff val="0"/>
                </a:sysClr>
              </a:solidFill>
              <a:latin typeface="Verdana" pitchFamily="34" charset="0"/>
              <a:ea typeface="Verdana" pitchFamily="34" charset="0"/>
              <a:cs typeface="Verdana" pitchFamily="34" charset="0"/>
            </a:rPr>
            <a:t>технолошки фактори</a:t>
          </a:r>
          <a:endParaRPr lang="sr-Latn-RS" sz="1000">
            <a:solidFill>
              <a:sysClr val="windowText" lastClr="000000">
                <a:hueOff val="0"/>
                <a:satOff val="0"/>
                <a:lumOff val="0"/>
                <a:alphaOff val="0"/>
              </a:sysClr>
            </a:solidFill>
            <a:latin typeface="Calibri"/>
            <a:ea typeface="+mn-ea"/>
            <a:cs typeface="+mn-cs"/>
          </a:endParaRPr>
        </a:p>
      </dgm:t>
    </dgm:pt>
    <dgm:pt modelId="{DFBEFCE7-836A-4E3D-BAB2-1FDA3263C048}" type="parTrans" cxnId="{944513A1-3754-428B-A76F-5C69A3D7AA45}">
      <dgm:prSet/>
      <dgm:spPr/>
      <dgm:t>
        <a:bodyPr/>
        <a:lstStyle/>
        <a:p>
          <a:endParaRPr lang="sr-Latn-RS" sz="1000"/>
        </a:p>
      </dgm:t>
    </dgm:pt>
    <dgm:pt modelId="{749DA523-5BF1-48CA-AE17-D872D1723951}" type="sibTrans" cxnId="{944513A1-3754-428B-A76F-5C69A3D7AA45}">
      <dgm:prSet/>
      <dgm:spPr/>
      <dgm:t>
        <a:bodyPr/>
        <a:lstStyle/>
        <a:p>
          <a:endParaRPr lang="sr-Latn-RS" sz="1000"/>
        </a:p>
      </dgm:t>
    </dgm:pt>
    <dgm:pt modelId="{222D576F-CD1C-4B88-A5AB-D6DB53DABC0F}">
      <dgm:prSet phldrT="[Text]" custT="1"/>
      <dgm:spPr>
        <a:xfrm>
          <a:off x="2057399" y="4510781"/>
          <a:ext cx="4371975" cy="1227600"/>
        </a:xfrm>
        <a:solidFill>
          <a:srgbClr val="4F81BD">
            <a:alpha val="90000"/>
            <a:hueOff val="0"/>
            <a:satOff val="0"/>
            <a:lumOff val="0"/>
            <a:alphaOff val="-4000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Одлуком НБС о минималним стандардима управљања информационим системом финансијских институција регулисане активности на превентивном деловању и правовременом ублажавању најважнијих ризика информационих система у пословању </a:t>
          </a:r>
          <a:endParaRPr lang="sr-Latn-RS" sz="900" b="1">
            <a:solidFill>
              <a:sysClr val="window" lastClr="FFFFFF"/>
            </a:solidFill>
            <a:latin typeface="Verdana" pitchFamily="34" charset="0"/>
            <a:ea typeface="Verdana" pitchFamily="34" charset="0"/>
            <a:cs typeface="Verdana" pitchFamily="34" charset="0"/>
          </a:endParaRPr>
        </a:p>
      </dgm:t>
    </dgm:pt>
    <dgm:pt modelId="{EF088F14-6277-46DE-9198-683799121AC7}" type="parTrans" cxnId="{51031BCC-E57D-4F2C-90BA-859226E7A70A}">
      <dgm:prSet/>
      <dgm:spPr/>
      <dgm:t>
        <a:bodyPr/>
        <a:lstStyle/>
        <a:p>
          <a:endParaRPr lang="sr-Latn-RS" sz="1000"/>
        </a:p>
      </dgm:t>
    </dgm:pt>
    <dgm:pt modelId="{5AD45FE5-5115-4BAB-B5EC-C3CC3C58B109}" type="sibTrans" cxnId="{51031BCC-E57D-4F2C-90BA-859226E7A70A}">
      <dgm:prSet/>
      <dgm:spPr/>
      <dgm:t>
        <a:bodyPr/>
        <a:lstStyle/>
        <a:p>
          <a:endParaRPr lang="sr-Latn-RS" sz="1000"/>
        </a:p>
      </dgm:t>
    </dgm:pt>
    <dgm:pt modelId="{BFF8A5E8-AC20-4777-9CBF-87410BE32580}">
      <dgm:prSet custT="1"/>
      <dgm:spPr>
        <a:xfrm>
          <a:off x="2057399" y="43293"/>
          <a:ext cx="4371975" cy="1227600"/>
        </a:xfr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 Борба Запада и Русије за политички и економски утицај</a:t>
          </a:r>
          <a:endParaRPr lang="sr-Latn-RS" sz="900" b="1">
            <a:solidFill>
              <a:sysClr val="window" lastClr="FFFFFF"/>
            </a:solidFill>
            <a:latin typeface="Verdana" pitchFamily="34" charset="0"/>
            <a:ea typeface="Verdana" pitchFamily="34" charset="0"/>
            <a:cs typeface="Verdana" pitchFamily="34" charset="0"/>
          </a:endParaRPr>
        </a:p>
      </dgm:t>
    </dgm:pt>
    <dgm:pt modelId="{AC262108-D930-4B1F-8446-0F4A015057FE}" type="parTrans" cxnId="{6555D5F0-1DD2-47C2-A039-7BA5FA1D5AFD}">
      <dgm:prSet/>
      <dgm:spPr/>
      <dgm:t>
        <a:bodyPr/>
        <a:lstStyle/>
        <a:p>
          <a:endParaRPr lang="sr-Latn-RS"/>
        </a:p>
      </dgm:t>
    </dgm:pt>
    <dgm:pt modelId="{3077347A-CFB6-4946-AE82-8F657D5CFBB7}" type="sibTrans" cxnId="{6555D5F0-1DD2-47C2-A039-7BA5FA1D5AFD}">
      <dgm:prSet/>
      <dgm:spPr/>
      <dgm:t>
        <a:bodyPr/>
        <a:lstStyle/>
        <a:p>
          <a:endParaRPr lang="sr-Latn-RS"/>
        </a:p>
      </dgm:t>
    </dgm:pt>
    <dgm:pt modelId="{8E4388F6-4FD3-468D-A524-2C981C0B8D70}">
      <dgm:prSet phldrT="[Text]" custT="1"/>
      <dgm:spPr>
        <a:xfrm>
          <a:off x="2057399" y="1494093"/>
          <a:ext cx="4371975" cy="1342687"/>
        </a:xfr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r-Cyrl-RS" sz="900" b="1">
              <a:solidFill>
                <a:sysClr val="window" lastClr="FFFFFF"/>
              </a:solidFill>
              <a:latin typeface="Verdana" pitchFamily="34" charset="0"/>
              <a:ea typeface="Verdana" pitchFamily="34" charset="0"/>
              <a:cs typeface="Verdana" pitchFamily="34" charset="0"/>
            </a:rPr>
            <a:t>Нестабилност јавних финансија и висока незапосленост</a:t>
          </a:r>
          <a:endParaRPr lang="sr-Latn-RS" sz="900" b="1">
            <a:solidFill>
              <a:sysClr val="window" lastClr="FFFFFF"/>
            </a:solidFill>
            <a:latin typeface="Verdana" pitchFamily="34" charset="0"/>
            <a:ea typeface="Verdana" pitchFamily="34" charset="0"/>
            <a:cs typeface="Verdana" pitchFamily="34" charset="0"/>
          </a:endParaRPr>
        </a:p>
      </dgm:t>
    </dgm:pt>
    <dgm:pt modelId="{2555FBEB-48BA-44AD-9133-908267ABA333}" type="parTrans" cxnId="{1BB6DA86-CB34-40B1-919A-F7C97B88BFE5}">
      <dgm:prSet/>
      <dgm:spPr/>
      <dgm:t>
        <a:bodyPr/>
        <a:lstStyle/>
        <a:p>
          <a:endParaRPr lang="sr-Latn-RS"/>
        </a:p>
      </dgm:t>
    </dgm:pt>
    <dgm:pt modelId="{11F3D54C-BF94-4B50-A5E4-5E559F5301E3}" type="sibTrans" cxnId="{1BB6DA86-CB34-40B1-919A-F7C97B88BFE5}">
      <dgm:prSet/>
      <dgm:spPr/>
      <dgm:t>
        <a:bodyPr/>
        <a:lstStyle/>
        <a:p>
          <a:endParaRPr lang="sr-Latn-RS"/>
        </a:p>
      </dgm:t>
    </dgm:pt>
    <dgm:pt modelId="{A376931C-604B-4885-8E90-84B79C1AD90F}" type="pres">
      <dgm:prSet presAssocID="{BC633BEE-3714-4088-BA48-CB7952911368}" presName="Name0" presStyleCnt="0">
        <dgm:presLayoutVars>
          <dgm:dir/>
          <dgm:animLvl val="lvl"/>
          <dgm:resizeHandles val="exact"/>
        </dgm:presLayoutVars>
      </dgm:prSet>
      <dgm:spPr/>
      <dgm:t>
        <a:bodyPr/>
        <a:lstStyle/>
        <a:p>
          <a:endParaRPr lang="sr-Latn-RS"/>
        </a:p>
      </dgm:t>
    </dgm:pt>
    <dgm:pt modelId="{31E03342-655F-4D5D-ADC9-588277E7500F}" type="pres">
      <dgm:prSet presAssocID="{4EE9A88E-4E81-436C-8A58-E0945F0BA1EC}" presName="linNode" presStyleCnt="0"/>
      <dgm:spPr/>
    </dgm:pt>
    <dgm:pt modelId="{60364E31-F74A-4920-B0EF-EA04242CECDF}" type="pres">
      <dgm:prSet presAssocID="{4EE9A88E-4E81-436C-8A58-E0945F0BA1EC}" presName="parTx" presStyleLbl="revTx" presStyleIdx="0" presStyleCnt="4" custScaleY="81119">
        <dgm:presLayoutVars>
          <dgm:chMax val="1"/>
          <dgm:bulletEnabled val="1"/>
        </dgm:presLayoutVars>
      </dgm:prSet>
      <dgm:spPr>
        <a:prstGeom prst="rect">
          <a:avLst/>
        </a:prstGeom>
      </dgm:spPr>
      <dgm:t>
        <a:bodyPr/>
        <a:lstStyle/>
        <a:p>
          <a:endParaRPr lang="sr-Latn-RS"/>
        </a:p>
      </dgm:t>
    </dgm:pt>
    <dgm:pt modelId="{54BC996A-9BC9-42D9-AD96-02DDDAA752B7}" type="pres">
      <dgm:prSet presAssocID="{4EE9A88E-4E81-436C-8A58-E0945F0BA1EC}" presName="bracket" presStyleLbl="parChTrans1D1" presStyleIdx="0" presStyleCnt="4" custScaleY="81119"/>
      <dgm:spPr>
        <a:xfrm>
          <a:off x="1607343" y="43293"/>
          <a:ext cx="321468" cy="1227600"/>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gm:spPr>
      <dgm:t>
        <a:bodyPr/>
        <a:lstStyle/>
        <a:p>
          <a:endParaRPr lang="sr-Latn-RS"/>
        </a:p>
      </dgm:t>
    </dgm:pt>
    <dgm:pt modelId="{BCD4BC7E-65AA-47D1-AB74-E632A85213BA}" type="pres">
      <dgm:prSet presAssocID="{4EE9A88E-4E81-436C-8A58-E0945F0BA1EC}" presName="spH" presStyleCnt="0"/>
      <dgm:spPr/>
    </dgm:pt>
    <dgm:pt modelId="{258188D6-417A-447C-B70B-BF4418A33DB9}" type="pres">
      <dgm:prSet presAssocID="{4EE9A88E-4E81-436C-8A58-E0945F0BA1EC}" presName="desTx" presStyleLbl="node1" presStyleIdx="0" presStyleCnt="4" custScaleY="81119">
        <dgm:presLayoutVars>
          <dgm:bulletEnabled val="1"/>
        </dgm:presLayoutVars>
      </dgm:prSet>
      <dgm:spPr>
        <a:prstGeom prst="rect">
          <a:avLst/>
        </a:prstGeom>
      </dgm:spPr>
      <dgm:t>
        <a:bodyPr/>
        <a:lstStyle/>
        <a:p>
          <a:endParaRPr lang="sr-Latn-RS"/>
        </a:p>
      </dgm:t>
    </dgm:pt>
    <dgm:pt modelId="{D76A7A46-ABE9-4F0B-9876-22E8F2F23AEB}" type="pres">
      <dgm:prSet presAssocID="{440BDEDC-DDEB-46DA-9891-7B53CC44E7D0}" presName="spV" presStyleCnt="0"/>
      <dgm:spPr/>
    </dgm:pt>
    <dgm:pt modelId="{43036259-12D3-4005-95EB-301743F40CBD}" type="pres">
      <dgm:prSet presAssocID="{9C9AD3A2-882C-4C9A-911E-E0059F55B9D5}" presName="linNode" presStyleCnt="0"/>
      <dgm:spPr/>
    </dgm:pt>
    <dgm:pt modelId="{80A1E96A-085E-4D5A-8D85-FF325CFB871E}" type="pres">
      <dgm:prSet presAssocID="{9C9AD3A2-882C-4C9A-911E-E0059F55B9D5}" presName="parTx" presStyleLbl="revTx" presStyleIdx="1" presStyleCnt="4">
        <dgm:presLayoutVars>
          <dgm:chMax val="1"/>
          <dgm:bulletEnabled val="1"/>
        </dgm:presLayoutVars>
      </dgm:prSet>
      <dgm:spPr>
        <a:prstGeom prst="rect">
          <a:avLst/>
        </a:prstGeom>
      </dgm:spPr>
      <dgm:t>
        <a:bodyPr/>
        <a:lstStyle/>
        <a:p>
          <a:endParaRPr lang="sr-Latn-RS"/>
        </a:p>
      </dgm:t>
    </dgm:pt>
    <dgm:pt modelId="{C0F16140-C018-45A3-B790-5116EB02ABF5}" type="pres">
      <dgm:prSet presAssocID="{9C9AD3A2-882C-4C9A-911E-E0059F55B9D5}" presName="bracket" presStyleLbl="parChTrans1D1" presStyleIdx="1" presStyleCnt="4"/>
      <dgm:spPr>
        <a:xfrm>
          <a:off x="1607343" y="1494093"/>
          <a:ext cx="321468" cy="1342687"/>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gm:spPr>
      <dgm:t>
        <a:bodyPr/>
        <a:lstStyle/>
        <a:p>
          <a:endParaRPr lang="sr-Latn-RS"/>
        </a:p>
      </dgm:t>
    </dgm:pt>
    <dgm:pt modelId="{252DE26F-FA4E-4C95-A35C-3D465A18449C}" type="pres">
      <dgm:prSet presAssocID="{9C9AD3A2-882C-4C9A-911E-E0059F55B9D5}" presName="spH" presStyleCnt="0"/>
      <dgm:spPr/>
    </dgm:pt>
    <dgm:pt modelId="{1C6F16E2-14A0-4C3A-B4DC-B7D3BE259CE7}" type="pres">
      <dgm:prSet presAssocID="{9C9AD3A2-882C-4C9A-911E-E0059F55B9D5}" presName="desTx" presStyleLbl="node1" presStyleIdx="1" presStyleCnt="4" custLinFactNeighborX="8689">
        <dgm:presLayoutVars>
          <dgm:bulletEnabled val="1"/>
        </dgm:presLayoutVars>
      </dgm:prSet>
      <dgm:spPr>
        <a:prstGeom prst="rect">
          <a:avLst/>
        </a:prstGeom>
      </dgm:spPr>
      <dgm:t>
        <a:bodyPr/>
        <a:lstStyle/>
        <a:p>
          <a:endParaRPr lang="sr-Latn-RS"/>
        </a:p>
      </dgm:t>
    </dgm:pt>
    <dgm:pt modelId="{A674A646-7BDC-45D2-8AD9-875D49068A45}" type="pres">
      <dgm:prSet presAssocID="{BDD609DD-333E-4B25-98A8-97EAF12D1FD7}" presName="spV" presStyleCnt="0"/>
      <dgm:spPr/>
    </dgm:pt>
    <dgm:pt modelId="{59C0FE04-7842-4BE8-BF46-5B984EA10C6C}" type="pres">
      <dgm:prSet presAssocID="{32CB2542-92AE-4F83-8B1D-08AEED3929F2}" presName="linNode" presStyleCnt="0"/>
      <dgm:spPr/>
    </dgm:pt>
    <dgm:pt modelId="{199C9374-B821-4B60-BFC1-3E1869A76CF0}" type="pres">
      <dgm:prSet presAssocID="{32CB2542-92AE-4F83-8B1D-08AEED3929F2}" presName="parTx" presStyleLbl="revTx" presStyleIdx="2" presStyleCnt="4">
        <dgm:presLayoutVars>
          <dgm:chMax val="1"/>
          <dgm:bulletEnabled val="1"/>
        </dgm:presLayoutVars>
      </dgm:prSet>
      <dgm:spPr>
        <a:prstGeom prst="rect">
          <a:avLst/>
        </a:prstGeom>
      </dgm:spPr>
      <dgm:t>
        <a:bodyPr/>
        <a:lstStyle/>
        <a:p>
          <a:endParaRPr lang="sr-Latn-RS"/>
        </a:p>
      </dgm:t>
    </dgm:pt>
    <dgm:pt modelId="{5E2F965B-C2E4-47DF-AB93-E3CC2366042A}" type="pres">
      <dgm:prSet presAssocID="{32CB2542-92AE-4F83-8B1D-08AEED3929F2}" presName="bracket" presStyleLbl="parChTrans1D1" presStyleIdx="2" presStyleCnt="4"/>
      <dgm:spPr>
        <a:xfrm>
          <a:off x="1607343" y="3059981"/>
          <a:ext cx="321468" cy="1227600"/>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gm:spPr>
      <dgm:t>
        <a:bodyPr/>
        <a:lstStyle/>
        <a:p>
          <a:endParaRPr lang="sr-Latn-RS"/>
        </a:p>
      </dgm:t>
    </dgm:pt>
    <dgm:pt modelId="{93B53472-F708-4595-B737-5FE4133A1334}" type="pres">
      <dgm:prSet presAssocID="{32CB2542-92AE-4F83-8B1D-08AEED3929F2}" presName="spH" presStyleCnt="0"/>
      <dgm:spPr/>
    </dgm:pt>
    <dgm:pt modelId="{8C59516C-2A15-44C7-AF58-E2E1385A3DCC}" type="pres">
      <dgm:prSet presAssocID="{32CB2542-92AE-4F83-8B1D-08AEED3929F2}" presName="desTx" presStyleLbl="node1" presStyleIdx="2" presStyleCnt="4" custLinFactNeighborX="8689">
        <dgm:presLayoutVars>
          <dgm:bulletEnabled val="1"/>
        </dgm:presLayoutVars>
      </dgm:prSet>
      <dgm:spPr>
        <a:prstGeom prst="rect">
          <a:avLst/>
        </a:prstGeom>
      </dgm:spPr>
      <dgm:t>
        <a:bodyPr/>
        <a:lstStyle/>
        <a:p>
          <a:endParaRPr lang="sr-Latn-RS"/>
        </a:p>
      </dgm:t>
    </dgm:pt>
    <dgm:pt modelId="{723C9BDD-2D56-4C56-8479-2C901DBF9A58}" type="pres">
      <dgm:prSet presAssocID="{02B134F4-877D-4C25-A349-11AE888D7070}" presName="spV" presStyleCnt="0"/>
      <dgm:spPr/>
    </dgm:pt>
    <dgm:pt modelId="{EDD57B01-CCBB-46FA-9C6D-22534F21E08D}" type="pres">
      <dgm:prSet presAssocID="{94F6C647-4D1E-493E-ABFC-263363EC75E1}" presName="linNode" presStyleCnt="0"/>
      <dgm:spPr/>
    </dgm:pt>
    <dgm:pt modelId="{51CC5B81-1063-45F3-8D67-19561662C0B4}" type="pres">
      <dgm:prSet presAssocID="{94F6C647-4D1E-493E-ABFC-263363EC75E1}" presName="parTx" presStyleLbl="revTx" presStyleIdx="3" presStyleCnt="4" custScaleY="81119">
        <dgm:presLayoutVars>
          <dgm:chMax val="1"/>
          <dgm:bulletEnabled val="1"/>
        </dgm:presLayoutVars>
      </dgm:prSet>
      <dgm:spPr>
        <a:prstGeom prst="rect">
          <a:avLst/>
        </a:prstGeom>
      </dgm:spPr>
      <dgm:t>
        <a:bodyPr/>
        <a:lstStyle/>
        <a:p>
          <a:endParaRPr lang="sr-Latn-RS"/>
        </a:p>
      </dgm:t>
    </dgm:pt>
    <dgm:pt modelId="{8D77D223-F875-49B7-8D0E-2D6BAEB96F19}" type="pres">
      <dgm:prSet presAssocID="{94F6C647-4D1E-493E-ABFC-263363EC75E1}" presName="bracket" presStyleLbl="parChTrans1D1" presStyleIdx="3" presStyleCnt="4" custScaleY="81119"/>
      <dgm:spPr>
        <a:xfrm>
          <a:off x="1607343" y="4510781"/>
          <a:ext cx="321468" cy="1227600"/>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gm:spPr>
      <dgm:t>
        <a:bodyPr/>
        <a:lstStyle/>
        <a:p>
          <a:endParaRPr lang="sr-Latn-RS"/>
        </a:p>
      </dgm:t>
    </dgm:pt>
    <dgm:pt modelId="{878C15B4-3C63-4EBB-89DD-20F19C983B4E}" type="pres">
      <dgm:prSet presAssocID="{94F6C647-4D1E-493E-ABFC-263363EC75E1}" presName="spH" presStyleCnt="0"/>
      <dgm:spPr/>
    </dgm:pt>
    <dgm:pt modelId="{674B44A5-7666-4509-B0F6-1224A58141FF}" type="pres">
      <dgm:prSet presAssocID="{94F6C647-4D1E-493E-ABFC-263363EC75E1}" presName="desTx" presStyleLbl="node1" presStyleIdx="3" presStyleCnt="4" custScaleY="81119" custLinFactNeighborX="8689">
        <dgm:presLayoutVars>
          <dgm:bulletEnabled val="1"/>
        </dgm:presLayoutVars>
      </dgm:prSet>
      <dgm:spPr>
        <a:prstGeom prst="rect">
          <a:avLst/>
        </a:prstGeom>
      </dgm:spPr>
      <dgm:t>
        <a:bodyPr/>
        <a:lstStyle/>
        <a:p>
          <a:endParaRPr lang="sr-Latn-RS"/>
        </a:p>
      </dgm:t>
    </dgm:pt>
  </dgm:ptLst>
  <dgm:cxnLst>
    <dgm:cxn modelId="{042C3B5D-513B-4DFF-BB41-EDF955015654}" type="presOf" srcId="{29684E66-99CB-4233-B92D-A6C1CFA639DF}" destId="{1C6F16E2-14A0-4C3A-B4DC-B7D3BE259CE7}" srcOrd="0" destOrd="7" presId="urn:diagrams.loki3.com/BracketList+Icon"/>
    <dgm:cxn modelId="{B519CC2F-B902-4C95-97DC-67E753B1E480}" srcId="{9C9AD3A2-882C-4C9A-911E-E0059F55B9D5}" destId="{46336E2A-49CC-41BF-919F-7932C3282540}" srcOrd="0" destOrd="0" parTransId="{BF733B9A-F16B-4679-98E0-B084AA2D6A92}" sibTransId="{2428CF9E-C567-47C2-9EF5-9E3BD3B770CD}"/>
    <dgm:cxn modelId="{EEF92E8C-2042-4687-A6C4-8F913AA85B93}" type="presOf" srcId="{F4E0D8C8-7EE7-42B8-A6BB-F9F0AE9F7EBA}" destId="{258188D6-417A-447C-B70B-BF4418A33DB9}" srcOrd="0" destOrd="1" presId="urn:diagrams.loki3.com/BracketList+Icon"/>
    <dgm:cxn modelId="{DD15FAD9-F9E3-4312-97C4-13EADCA81F6B}" type="presOf" srcId="{7F98BD71-9C2E-4095-B0FA-EC426CE884F9}" destId="{1C6F16E2-14A0-4C3A-B4DC-B7D3BE259CE7}" srcOrd="0" destOrd="3" presId="urn:diagrams.loki3.com/BracketList+Icon"/>
    <dgm:cxn modelId="{9CEE73F6-E233-42AB-9467-A09563F8F2F7}" type="presOf" srcId="{32CB2542-92AE-4F83-8B1D-08AEED3929F2}" destId="{199C9374-B821-4B60-BFC1-3E1869A76CF0}" srcOrd="0" destOrd="0" presId="urn:diagrams.loki3.com/BracketList+Icon"/>
    <dgm:cxn modelId="{16A37D63-5D8D-4183-92E3-1A85228E7F41}" type="presOf" srcId="{222D576F-CD1C-4B88-A5AB-D6DB53DABC0F}" destId="{674B44A5-7666-4509-B0F6-1224A58141FF}" srcOrd="0" destOrd="0" presId="urn:diagrams.loki3.com/BracketList+Icon"/>
    <dgm:cxn modelId="{51031BCC-E57D-4F2C-90BA-859226E7A70A}" srcId="{94F6C647-4D1E-493E-ABFC-263363EC75E1}" destId="{222D576F-CD1C-4B88-A5AB-D6DB53DABC0F}" srcOrd="0" destOrd="0" parTransId="{EF088F14-6277-46DE-9198-683799121AC7}" sibTransId="{5AD45FE5-5115-4BAB-B5EC-C3CC3C58B109}"/>
    <dgm:cxn modelId="{658B8214-A26C-441C-B9DD-E3F2734DB567}" srcId="{9C9AD3A2-882C-4C9A-911E-E0059F55B9D5}" destId="{7F98BD71-9C2E-4095-B0FA-EC426CE884F9}" srcOrd="3" destOrd="0" parTransId="{97262EF4-3B55-4DF1-A037-9D10D307B42F}" sibTransId="{836DB6A7-5558-480F-9C57-0C1B07852024}"/>
    <dgm:cxn modelId="{80A0D662-4496-4A3A-B6ED-7C38809DF607}" type="presOf" srcId="{0B774D5A-71EF-40A3-841E-DD359D601FA2}" destId="{1C6F16E2-14A0-4C3A-B4DC-B7D3BE259CE7}" srcOrd="0" destOrd="5" presId="urn:diagrams.loki3.com/BracketList+Icon"/>
    <dgm:cxn modelId="{FC335828-5291-41F0-AB56-2D48A3C52644}" type="presOf" srcId="{8E4388F6-4FD3-468D-A524-2C981C0B8D70}" destId="{1C6F16E2-14A0-4C3A-B4DC-B7D3BE259CE7}" srcOrd="0" destOrd="1" presId="urn:diagrams.loki3.com/BracketList+Icon"/>
    <dgm:cxn modelId="{4132689F-9DE6-4B17-99F4-7D0A0BE3A5DA}" type="presOf" srcId="{BC633BEE-3714-4088-BA48-CB7952911368}" destId="{A376931C-604B-4885-8E90-84B79C1AD90F}" srcOrd="0" destOrd="0" presId="urn:diagrams.loki3.com/BracketList+Icon"/>
    <dgm:cxn modelId="{944513A1-3754-428B-A76F-5C69A3D7AA45}" srcId="{BC633BEE-3714-4088-BA48-CB7952911368}" destId="{94F6C647-4D1E-493E-ABFC-263363EC75E1}" srcOrd="3" destOrd="0" parTransId="{DFBEFCE7-836A-4E3D-BAB2-1FDA3263C048}" sibTransId="{749DA523-5BF1-48CA-AE17-D872D1723951}"/>
    <dgm:cxn modelId="{1BB6DA86-CB34-40B1-919A-F7C97B88BFE5}" srcId="{9C9AD3A2-882C-4C9A-911E-E0059F55B9D5}" destId="{8E4388F6-4FD3-468D-A524-2C981C0B8D70}" srcOrd="1" destOrd="0" parTransId="{2555FBEB-48BA-44AD-9133-908267ABA333}" sibTransId="{11F3D54C-BF94-4B50-A5E4-5E559F5301E3}"/>
    <dgm:cxn modelId="{A2921617-28A3-494D-AF32-C9D1C1F0B7F9}" type="presOf" srcId="{4EE9A88E-4E81-436C-8A58-E0945F0BA1EC}" destId="{60364E31-F74A-4920-B0EF-EA04242CECDF}" srcOrd="0" destOrd="0" presId="urn:diagrams.loki3.com/BracketList+Icon"/>
    <dgm:cxn modelId="{CA40CD56-FA65-4F02-B74C-DB950B11B6D6}" type="presOf" srcId="{CC5DC643-D826-4C64-B5EF-779E0BB3F05F}" destId="{8C59516C-2A15-44C7-AF58-E2E1385A3DCC}" srcOrd="0" destOrd="1" presId="urn:diagrams.loki3.com/BracketList+Icon"/>
    <dgm:cxn modelId="{BBFB48F9-D4FF-438F-823D-854A9FF3B244}" srcId="{32CB2542-92AE-4F83-8B1D-08AEED3929F2}" destId="{52F589CA-3F2C-41C1-845A-B38780FE9177}" srcOrd="0" destOrd="0" parTransId="{05D360A7-775A-4396-AA06-A5404DA49D84}" sibTransId="{DBEC9E63-9084-42D3-B200-27B9A3D85FC9}"/>
    <dgm:cxn modelId="{E18C22A9-D0D1-432C-AF16-F0DC3AB4E84B}" srcId="{9C9AD3A2-882C-4C9A-911E-E0059F55B9D5}" destId="{29684E66-99CB-4233-B92D-A6C1CFA639DF}" srcOrd="7" destOrd="0" parTransId="{A2853715-6F67-4BBA-B781-7710F8FAF3E3}" sibTransId="{5B7D8BBB-C3CE-498D-BE1A-9F13D44A172D}"/>
    <dgm:cxn modelId="{B55F0138-0EE7-4EC4-9F72-E8D15118F9C2}" type="presOf" srcId="{64D197DD-90CF-4A11-B81B-D45BE4512C52}" destId="{1C6F16E2-14A0-4C3A-B4DC-B7D3BE259CE7}" srcOrd="0" destOrd="2" presId="urn:diagrams.loki3.com/BracketList+Icon"/>
    <dgm:cxn modelId="{BC8AF569-EB79-4BD2-9379-F24E0B4C4BA7}" srcId="{9C9AD3A2-882C-4C9A-911E-E0059F55B9D5}" destId="{64D197DD-90CF-4A11-B81B-D45BE4512C52}" srcOrd="2" destOrd="0" parTransId="{C3311DC2-A52E-4274-A845-8E5317AD4655}" sibTransId="{5DB4161C-5683-41C1-BA89-71421185F94B}"/>
    <dgm:cxn modelId="{D4438111-4C82-4DBD-AE7D-E1ECF396BDD7}" type="presOf" srcId="{EFE2A2E4-7792-470D-AAB6-DE4B86080273}" destId="{8C59516C-2A15-44C7-AF58-E2E1385A3DCC}" srcOrd="0" destOrd="2" presId="urn:diagrams.loki3.com/BracketList+Icon"/>
    <dgm:cxn modelId="{C746BA4C-624B-4205-A0A2-DEFD01970AA5}" srcId="{4EE9A88E-4E81-436C-8A58-E0945F0BA1EC}" destId="{F4E0D8C8-7EE7-42B8-A6BB-F9F0AE9F7EBA}" srcOrd="1" destOrd="0" parTransId="{C653D7EA-956B-48E5-B196-773552B6871D}" sibTransId="{6A9E9906-CC83-4C44-9765-8867524C525F}"/>
    <dgm:cxn modelId="{145D2116-4317-4E94-AE76-CA1CFBA67E31}" type="presOf" srcId="{52F589CA-3F2C-41C1-845A-B38780FE9177}" destId="{8C59516C-2A15-44C7-AF58-E2E1385A3DCC}" srcOrd="0" destOrd="0" presId="urn:diagrams.loki3.com/BracketList+Icon"/>
    <dgm:cxn modelId="{1C0122F2-1D83-4D69-8ACA-FCB541B69BD4}" srcId="{9C9AD3A2-882C-4C9A-911E-E0059F55B9D5}" destId="{0B774D5A-71EF-40A3-841E-DD359D601FA2}" srcOrd="5" destOrd="0" parTransId="{495377A9-0EB5-473A-97BC-8EA39E07F00B}" sibTransId="{BDCA7636-62AE-4497-9409-5E71ADD4E998}"/>
    <dgm:cxn modelId="{AC278626-2836-4B67-B7A1-6D20C18CD558}" type="presOf" srcId="{9C9AD3A2-882C-4C9A-911E-E0059F55B9D5}" destId="{80A1E96A-085E-4D5A-8D85-FF325CFB871E}" srcOrd="0" destOrd="0" presId="urn:diagrams.loki3.com/BracketList+Icon"/>
    <dgm:cxn modelId="{D8F9A1AD-3B9A-4FF1-A0CE-6F247F4FA310}" type="presOf" srcId="{06A803E3-7830-4FA3-8CA6-01B2DC9327B0}" destId="{258188D6-417A-447C-B70B-BF4418A33DB9}" srcOrd="0" destOrd="0" presId="urn:diagrams.loki3.com/BracketList+Icon"/>
    <dgm:cxn modelId="{A00FC36D-8697-4002-B493-E070938BA2D6}" srcId="{9C9AD3A2-882C-4C9A-911E-E0059F55B9D5}" destId="{C58559C9-4694-46FF-B939-A7308C2C1EED}" srcOrd="6" destOrd="0" parTransId="{3D97EE96-1F7C-4E52-BBF9-C86A5CA4F0BB}" sibTransId="{B23450C8-709F-413E-B819-340970CB3258}"/>
    <dgm:cxn modelId="{0A866D46-0AB6-450B-8377-5E1883AB61EB}" type="presOf" srcId="{46336E2A-49CC-41BF-919F-7932C3282540}" destId="{1C6F16E2-14A0-4C3A-B4DC-B7D3BE259CE7}" srcOrd="0" destOrd="0" presId="urn:diagrams.loki3.com/BracketList+Icon"/>
    <dgm:cxn modelId="{6555D5F0-1DD2-47C2-A039-7BA5FA1D5AFD}" srcId="{4EE9A88E-4E81-436C-8A58-E0945F0BA1EC}" destId="{BFF8A5E8-AC20-4777-9CBF-87410BE32580}" srcOrd="2" destOrd="0" parTransId="{AC262108-D930-4B1F-8446-0F4A015057FE}" sibTransId="{3077347A-CFB6-4946-AE82-8F657D5CFBB7}"/>
    <dgm:cxn modelId="{CC8F8438-FAB1-41E1-AEDF-9FD8EE99C91B}" type="presOf" srcId="{C58559C9-4694-46FF-B939-A7308C2C1EED}" destId="{1C6F16E2-14A0-4C3A-B4DC-B7D3BE259CE7}" srcOrd="0" destOrd="6" presId="urn:diagrams.loki3.com/BracketList+Icon"/>
    <dgm:cxn modelId="{674E1B5D-A1AE-48A2-B254-71A2A84467BF}" srcId="{32CB2542-92AE-4F83-8B1D-08AEED3929F2}" destId="{CC5DC643-D826-4C64-B5EF-779E0BB3F05F}" srcOrd="1" destOrd="0" parTransId="{1418EC60-137D-4E2F-BE5D-EEB7A5AE80AB}" sibTransId="{4B363C0C-8957-4223-A5A3-9A8FD5C08C77}"/>
    <dgm:cxn modelId="{0085F20B-0FF1-4388-8F10-43CFD73C3101}" srcId="{4EE9A88E-4E81-436C-8A58-E0945F0BA1EC}" destId="{06A803E3-7830-4FA3-8CA6-01B2DC9327B0}" srcOrd="0" destOrd="0" parTransId="{A093F134-16AC-4E60-8B2F-02035B3C9A69}" sibTransId="{CFADF20B-C386-426F-B593-DE4BC37F59F6}"/>
    <dgm:cxn modelId="{F17E1AEC-2732-4AFE-AE6C-5793B23DA9AD}" type="presOf" srcId="{88D46F4F-D731-47B2-92ED-6EB42DF83824}" destId="{1C6F16E2-14A0-4C3A-B4DC-B7D3BE259CE7}" srcOrd="0" destOrd="4" presId="urn:diagrams.loki3.com/BracketList+Icon"/>
    <dgm:cxn modelId="{F6E695F9-10E5-410A-A269-4534D7AE85AF}" srcId="{BC633BEE-3714-4088-BA48-CB7952911368}" destId="{9C9AD3A2-882C-4C9A-911E-E0059F55B9D5}" srcOrd="1" destOrd="0" parTransId="{CFA7F750-57CA-40E2-AE2B-0BC44A9CC60C}" sibTransId="{BDD609DD-333E-4B25-98A8-97EAF12D1FD7}"/>
    <dgm:cxn modelId="{1FB48025-AE23-40B6-8A0F-1D4FECB0A794}" srcId="{32CB2542-92AE-4F83-8B1D-08AEED3929F2}" destId="{EFE2A2E4-7792-470D-AAB6-DE4B86080273}" srcOrd="2" destOrd="0" parTransId="{9976F552-5A08-41C7-9540-B903F72463F0}" sibTransId="{B385FF8A-CB8A-4453-8518-AF7220F66650}"/>
    <dgm:cxn modelId="{BB1788FF-81B4-407E-BBDC-A6EB2B537868}" srcId="{9C9AD3A2-882C-4C9A-911E-E0059F55B9D5}" destId="{88D46F4F-D731-47B2-92ED-6EB42DF83824}" srcOrd="4" destOrd="0" parTransId="{258A44E0-D42F-4412-A6CB-138A402D55B1}" sibTransId="{FB6069F7-E170-46E9-A555-58791F86A1FC}"/>
    <dgm:cxn modelId="{53125CCD-72DA-4128-805F-73CCA156E366}" type="presOf" srcId="{94F6C647-4D1E-493E-ABFC-263363EC75E1}" destId="{51CC5B81-1063-45F3-8D67-19561662C0B4}" srcOrd="0" destOrd="0" presId="urn:diagrams.loki3.com/BracketList+Icon"/>
    <dgm:cxn modelId="{A456319E-4784-4A65-A15D-A76457735AF7}" srcId="{BC633BEE-3714-4088-BA48-CB7952911368}" destId="{4EE9A88E-4E81-436C-8A58-E0945F0BA1EC}" srcOrd="0" destOrd="0" parTransId="{06305450-113D-45A3-929E-7888334F58E7}" sibTransId="{440BDEDC-DDEB-46DA-9891-7B53CC44E7D0}"/>
    <dgm:cxn modelId="{9A2EE2A7-87E6-4CF7-A390-EFD4872DE367}" srcId="{BC633BEE-3714-4088-BA48-CB7952911368}" destId="{32CB2542-92AE-4F83-8B1D-08AEED3929F2}" srcOrd="2" destOrd="0" parTransId="{2610B7DB-CD9E-4D5D-B939-612DD3EB6353}" sibTransId="{02B134F4-877D-4C25-A349-11AE888D7070}"/>
    <dgm:cxn modelId="{F7DFF5C8-474F-4B4A-9EA7-3D650BA5EAAA}" type="presOf" srcId="{BFF8A5E8-AC20-4777-9CBF-87410BE32580}" destId="{258188D6-417A-447C-B70B-BF4418A33DB9}" srcOrd="0" destOrd="2" presId="urn:diagrams.loki3.com/BracketList+Icon"/>
    <dgm:cxn modelId="{ED031E02-B72F-40A8-928C-8BB5A04401ED}" type="presParOf" srcId="{A376931C-604B-4885-8E90-84B79C1AD90F}" destId="{31E03342-655F-4D5D-ADC9-588277E7500F}" srcOrd="0" destOrd="0" presId="urn:diagrams.loki3.com/BracketList+Icon"/>
    <dgm:cxn modelId="{5500AA24-C459-431A-9504-CADC27F9F8AA}" type="presParOf" srcId="{31E03342-655F-4D5D-ADC9-588277E7500F}" destId="{60364E31-F74A-4920-B0EF-EA04242CECDF}" srcOrd="0" destOrd="0" presId="urn:diagrams.loki3.com/BracketList+Icon"/>
    <dgm:cxn modelId="{57B52840-18BC-41F6-BAF0-38734E97063F}" type="presParOf" srcId="{31E03342-655F-4D5D-ADC9-588277E7500F}" destId="{54BC996A-9BC9-42D9-AD96-02DDDAA752B7}" srcOrd="1" destOrd="0" presId="urn:diagrams.loki3.com/BracketList+Icon"/>
    <dgm:cxn modelId="{AD7531C9-C62E-4DD9-97E7-A792809E6B3B}" type="presParOf" srcId="{31E03342-655F-4D5D-ADC9-588277E7500F}" destId="{BCD4BC7E-65AA-47D1-AB74-E632A85213BA}" srcOrd="2" destOrd="0" presId="urn:diagrams.loki3.com/BracketList+Icon"/>
    <dgm:cxn modelId="{263C8DCF-BEC7-4859-B21B-A26148391328}" type="presParOf" srcId="{31E03342-655F-4D5D-ADC9-588277E7500F}" destId="{258188D6-417A-447C-B70B-BF4418A33DB9}" srcOrd="3" destOrd="0" presId="urn:diagrams.loki3.com/BracketList+Icon"/>
    <dgm:cxn modelId="{A132044C-2BC3-4A93-812F-DDDCA159958D}" type="presParOf" srcId="{A376931C-604B-4885-8E90-84B79C1AD90F}" destId="{D76A7A46-ABE9-4F0B-9876-22E8F2F23AEB}" srcOrd="1" destOrd="0" presId="urn:diagrams.loki3.com/BracketList+Icon"/>
    <dgm:cxn modelId="{A9D21D52-2F98-488F-BBE2-6E3FF1AE9B8C}" type="presParOf" srcId="{A376931C-604B-4885-8E90-84B79C1AD90F}" destId="{43036259-12D3-4005-95EB-301743F40CBD}" srcOrd="2" destOrd="0" presId="urn:diagrams.loki3.com/BracketList+Icon"/>
    <dgm:cxn modelId="{D9A13406-9203-40C8-B1F9-A882127D0C59}" type="presParOf" srcId="{43036259-12D3-4005-95EB-301743F40CBD}" destId="{80A1E96A-085E-4D5A-8D85-FF325CFB871E}" srcOrd="0" destOrd="0" presId="urn:diagrams.loki3.com/BracketList+Icon"/>
    <dgm:cxn modelId="{55452D88-F879-4CC7-B853-4E6349485148}" type="presParOf" srcId="{43036259-12D3-4005-95EB-301743F40CBD}" destId="{C0F16140-C018-45A3-B790-5116EB02ABF5}" srcOrd="1" destOrd="0" presId="urn:diagrams.loki3.com/BracketList+Icon"/>
    <dgm:cxn modelId="{D6D78926-9443-4B7D-9EBB-755C6FBA835A}" type="presParOf" srcId="{43036259-12D3-4005-95EB-301743F40CBD}" destId="{252DE26F-FA4E-4C95-A35C-3D465A18449C}" srcOrd="2" destOrd="0" presId="urn:diagrams.loki3.com/BracketList+Icon"/>
    <dgm:cxn modelId="{88B63141-0304-4439-8D59-62AC35C3AB36}" type="presParOf" srcId="{43036259-12D3-4005-95EB-301743F40CBD}" destId="{1C6F16E2-14A0-4C3A-B4DC-B7D3BE259CE7}" srcOrd="3" destOrd="0" presId="urn:diagrams.loki3.com/BracketList+Icon"/>
    <dgm:cxn modelId="{260D37AE-B99D-44FB-A321-F03078466361}" type="presParOf" srcId="{A376931C-604B-4885-8E90-84B79C1AD90F}" destId="{A674A646-7BDC-45D2-8AD9-875D49068A45}" srcOrd="3" destOrd="0" presId="urn:diagrams.loki3.com/BracketList+Icon"/>
    <dgm:cxn modelId="{1E10A2E2-7913-47B9-8BA2-75F80FDF222E}" type="presParOf" srcId="{A376931C-604B-4885-8E90-84B79C1AD90F}" destId="{59C0FE04-7842-4BE8-BF46-5B984EA10C6C}" srcOrd="4" destOrd="0" presId="urn:diagrams.loki3.com/BracketList+Icon"/>
    <dgm:cxn modelId="{D46B576C-6340-45AE-AC5C-E3C189AFBBC3}" type="presParOf" srcId="{59C0FE04-7842-4BE8-BF46-5B984EA10C6C}" destId="{199C9374-B821-4B60-BFC1-3E1869A76CF0}" srcOrd="0" destOrd="0" presId="urn:diagrams.loki3.com/BracketList+Icon"/>
    <dgm:cxn modelId="{1F9F04D6-6578-4D4B-B7AE-8B44B52B25D9}" type="presParOf" srcId="{59C0FE04-7842-4BE8-BF46-5B984EA10C6C}" destId="{5E2F965B-C2E4-47DF-AB93-E3CC2366042A}" srcOrd="1" destOrd="0" presId="urn:diagrams.loki3.com/BracketList+Icon"/>
    <dgm:cxn modelId="{6400E9F0-222B-40DD-AF71-E4A63072888C}" type="presParOf" srcId="{59C0FE04-7842-4BE8-BF46-5B984EA10C6C}" destId="{93B53472-F708-4595-B737-5FE4133A1334}" srcOrd="2" destOrd="0" presId="urn:diagrams.loki3.com/BracketList+Icon"/>
    <dgm:cxn modelId="{2D8AC647-990A-4720-9F1C-A465A3A62043}" type="presParOf" srcId="{59C0FE04-7842-4BE8-BF46-5B984EA10C6C}" destId="{8C59516C-2A15-44C7-AF58-E2E1385A3DCC}" srcOrd="3" destOrd="0" presId="urn:diagrams.loki3.com/BracketList+Icon"/>
    <dgm:cxn modelId="{9489F3B2-FB1D-4162-92BA-7DD3518C68CE}" type="presParOf" srcId="{A376931C-604B-4885-8E90-84B79C1AD90F}" destId="{723C9BDD-2D56-4C56-8479-2C901DBF9A58}" srcOrd="5" destOrd="0" presId="urn:diagrams.loki3.com/BracketList+Icon"/>
    <dgm:cxn modelId="{12B6EB1A-51FE-43BE-8E77-A7AA5D0BDFAD}" type="presParOf" srcId="{A376931C-604B-4885-8E90-84B79C1AD90F}" destId="{EDD57B01-CCBB-46FA-9C6D-22534F21E08D}" srcOrd="6" destOrd="0" presId="urn:diagrams.loki3.com/BracketList+Icon"/>
    <dgm:cxn modelId="{16E7A9E6-B786-4CE4-A708-DB8D49AAF5CE}" type="presParOf" srcId="{EDD57B01-CCBB-46FA-9C6D-22534F21E08D}" destId="{51CC5B81-1063-45F3-8D67-19561662C0B4}" srcOrd="0" destOrd="0" presId="urn:diagrams.loki3.com/BracketList+Icon"/>
    <dgm:cxn modelId="{D0345986-7046-4503-9B86-FE6F66F7641D}" type="presParOf" srcId="{EDD57B01-CCBB-46FA-9C6D-22534F21E08D}" destId="{8D77D223-F875-49B7-8D0E-2D6BAEB96F19}" srcOrd="1" destOrd="0" presId="urn:diagrams.loki3.com/BracketList+Icon"/>
    <dgm:cxn modelId="{C7254AF8-8BC6-4497-BD62-F908A5F8F083}" type="presParOf" srcId="{EDD57B01-CCBB-46FA-9C6D-22534F21E08D}" destId="{878C15B4-3C63-4EBB-89DD-20F19C983B4E}" srcOrd="2" destOrd="0" presId="urn:diagrams.loki3.com/BracketList+Icon"/>
    <dgm:cxn modelId="{3D7074AD-B805-474C-8460-463BF6199107}" type="presParOf" srcId="{EDD57B01-CCBB-46FA-9C6D-22534F21E08D}" destId="{674B44A5-7666-4509-B0F6-1224A58141FF}" srcOrd="3" destOrd="0" presId="urn:diagrams.loki3.com/BracketList+Icon"/>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C18197-6937-45AB-81B7-1FA2BC744DF8}"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en-US"/>
        </a:p>
      </dgm:t>
    </dgm:pt>
    <dgm:pt modelId="{C6B7E902-CFB0-4CFB-AFE6-D0DCEEA758AE}">
      <dgm:prSet phldrT="[Text]" custT="1"/>
      <dgm:spPr/>
      <dgm:t>
        <a:bodyPr/>
        <a:lstStyle/>
        <a:p>
          <a:r>
            <a:rPr lang="en-US" sz="1800"/>
            <a:t>SWOT</a:t>
          </a:r>
        </a:p>
      </dgm:t>
    </dgm:pt>
    <dgm:pt modelId="{40E56D4B-270E-47EB-92EC-5B449A825874}" type="parTrans" cxnId="{F8F840A2-2719-4291-A95D-1B3DC85855FB}">
      <dgm:prSet/>
      <dgm:spPr/>
      <dgm:t>
        <a:bodyPr/>
        <a:lstStyle/>
        <a:p>
          <a:endParaRPr lang="en-US"/>
        </a:p>
      </dgm:t>
    </dgm:pt>
    <dgm:pt modelId="{B3F50C65-2F93-4E47-BD12-EA50B437046D}" type="sibTrans" cxnId="{F8F840A2-2719-4291-A95D-1B3DC85855FB}">
      <dgm:prSet/>
      <dgm:spPr/>
      <dgm:t>
        <a:bodyPr/>
        <a:lstStyle/>
        <a:p>
          <a:endParaRPr lang="en-US"/>
        </a:p>
      </dgm:t>
    </dgm:pt>
    <dgm:pt modelId="{202FD574-4B02-4A2A-B487-5A545313AB1B}">
      <dgm:prSet phldrT="[Text]" custT="1"/>
      <dgm:spPr/>
      <dgm:t>
        <a:bodyPr anchor="ctr" anchorCtr="0"/>
        <a:lstStyle/>
        <a:p>
          <a:pPr algn="ctr">
            <a:lnSpc>
              <a:spcPct val="90000"/>
            </a:lnSpc>
          </a:pPr>
          <a:r>
            <a:rPr lang="sr-Cyrl-RS" sz="1200" b="1">
              <a:latin typeface="Tahoma" panose="020B0604030504040204" pitchFamily="34" charset="0"/>
              <a:ea typeface="Tahoma" panose="020B0604030504040204" pitchFamily="34" charset="0"/>
              <a:cs typeface="Tahoma" panose="020B0604030504040204" pitchFamily="34" charset="0"/>
            </a:rPr>
            <a:t>СНАГА</a:t>
          </a:r>
        </a:p>
        <a:p>
          <a:pPr algn="l">
            <a:lnSpc>
              <a:spcPct val="114000"/>
            </a:lnSpc>
          </a:pPr>
          <a:r>
            <a:rPr lang="en-US" sz="1000">
              <a:latin typeface="Tahoma" panose="020B0604030504040204" pitchFamily="34" charset="0"/>
              <a:ea typeface="Tahoma" panose="020B0604030504040204" pitchFamily="34" charset="0"/>
              <a:cs typeface="Tahoma" panose="020B0604030504040204" pitchFamily="34" charset="0"/>
            </a:rPr>
            <a:t>-</a:t>
          </a:r>
          <a:r>
            <a:rPr lang="sr-Cyrl-RS" sz="1000">
              <a:latin typeface="Tahoma" panose="020B0604030504040204" pitchFamily="34" charset="0"/>
              <a:ea typeface="Tahoma" panose="020B0604030504040204" pitchFamily="34" charset="0"/>
              <a:cs typeface="Tahoma" panose="020B0604030504040204" pitchFamily="34" charset="0"/>
            </a:rPr>
            <a:t> Искуство на пољу реосигурања преко 30 година</a:t>
          </a: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Препознатиљив партнер на тржишту реосигурања у земљи и иностранству</a:t>
          </a:r>
          <a:endParaRPr lang="en-US" sz="1000">
            <a:latin typeface="Tahoma" panose="020B0604030504040204" pitchFamily="34" charset="0"/>
            <a:ea typeface="Tahoma" panose="020B0604030504040204" pitchFamily="34" charset="0"/>
            <a:cs typeface="Tahoma" panose="020B0604030504040204" pitchFamily="34" charset="0"/>
          </a:endParaRPr>
        </a:p>
      </dgm:t>
    </dgm:pt>
    <dgm:pt modelId="{D1AAA568-9885-49C1-BFE0-36DD0C71CE36}" type="parTrans" cxnId="{27E0761E-8DD8-41BF-819F-3A39C3A1E6D5}">
      <dgm:prSet/>
      <dgm:spPr/>
      <dgm:t>
        <a:bodyPr/>
        <a:lstStyle/>
        <a:p>
          <a:endParaRPr lang="en-US"/>
        </a:p>
      </dgm:t>
    </dgm:pt>
    <dgm:pt modelId="{E38902AE-C9CB-4ABC-A2AE-635F2ED23A15}" type="sibTrans" cxnId="{27E0761E-8DD8-41BF-819F-3A39C3A1E6D5}">
      <dgm:prSet/>
      <dgm:spPr/>
      <dgm:t>
        <a:bodyPr/>
        <a:lstStyle/>
        <a:p>
          <a:endParaRPr lang="en-US"/>
        </a:p>
      </dgm:t>
    </dgm:pt>
    <dgm:pt modelId="{30A5F3D7-76FE-43A9-8287-9D3D6A04D26B}">
      <dgm:prSet phldrT="[Text]"/>
      <dgm:spPr/>
      <dgm:t>
        <a:bodyPr/>
        <a:lstStyle/>
        <a:p>
          <a:endParaRPr lang="en-US"/>
        </a:p>
      </dgm:t>
    </dgm:pt>
    <dgm:pt modelId="{E02527FA-2064-4B0F-A678-7B0AF806088A}" type="parTrans" cxnId="{1E457313-3198-4B1A-8E7A-67CB59AB6905}">
      <dgm:prSet/>
      <dgm:spPr/>
      <dgm:t>
        <a:bodyPr/>
        <a:lstStyle/>
        <a:p>
          <a:endParaRPr lang="en-US"/>
        </a:p>
      </dgm:t>
    </dgm:pt>
    <dgm:pt modelId="{66F97BB0-13EE-4558-9401-9EBFF4C583A7}" type="sibTrans" cxnId="{1E457313-3198-4B1A-8E7A-67CB59AB6905}">
      <dgm:prSet/>
      <dgm:spPr/>
      <dgm:t>
        <a:bodyPr/>
        <a:lstStyle/>
        <a:p>
          <a:endParaRPr lang="en-US"/>
        </a:p>
      </dgm:t>
    </dgm:pt>
    <dgm:pt modelId="{51E24E66-189B-43E3-86DB-EA03EC4DF351}">
      <dgm:prSet phldrT="[Text]" phldr="1"/>
      <dgm:spPr/>
      <dgm:t>
        <a:bodyPr/>
        <a:lstStyle/>
        <a:p>
          <a:endParaRPr lang="en-US"/>
        </a:p>
      </dgm:t>
    </dgm:pt>
    <dgm:pt modelId="{A82A27A8-E59E-4894-B491-BC433882CFBB}" type="parTrans" cxnId="{CC121644-A23A-4D50-91DA-44A735F83E18}">
      <dgm:prSet/>
      <dgm:spPr/>
      <dgm:t>
        <a:bodyPr/>
        <a:lstStyle/>
        <a:p>
          <a:endParaRPr lang="en-US"/>
        </a:p>
      </dgm:t>
    </dgm:pt>
    <dgm:pt modelId="{5A3E3AE1-DEAC-4FA1-A376-4D9A48AB694F}" type="sibTrans" cxnId="{CC121644-A23A-4D50-91DA-44A735F83E18}">
      <dgm:prSet/>
      <dgm:spPr/>
      <dgm:t>
        <a:bodyPr/>
        <a:lstStyle/>
        <a:p>
          <a:endParaRPr lang="en-US"/>
        </a:p>
      </dgm:t>
    </dgm:pt>
    <dgm:pt modelId="{EED81FA9-627C-46F9-B2D5-510593AB62A5}">
      <dgm:prSet phldrT="[Text]" phldr="1"/>
      <dgm:spPr/>
      <dgm:t>
        <a:bodyPr/>
        <a:lstStyle/>
        <a:p>
          <a:endParaRPr lang="en-US"/>
        </a:p>
      </dgm:t>
    </dgm:pt>
    <dgm:pt modelId="{D17F9384-EFB8-4F9B-95CF-A64759F49416}" type="parTrans" cxnId="{6A9C5A02-D008-45B7-874F-FF495534C623}">
      <dgm:prSet/>
      <dgm:spPr/>
      <dgm:t>
        <a:bodyPr/>
        <a:lstStyle/>
        <a:p>
          <a:endParaRPr lang="en-US"/>
        </a:p>
      </dgm:t>
    </dgm:pt>
    <dgm:pt modelId="{22E4967C-5405-4D9F-A6C3-40244477D3A7}" type="sibTrans" cxnId="{6A9C5A02-D008-45B7-874F-FF495534C623}">
      <dgm:prSet/>
      <dgm:spPr/>
      <dgm:t>
        <a:bodyPr/>
        <a:lstStyle/>
        <a:p>
          <a:endParaRPr lang="en-US"/>
        </a:p>
      </dgm:t>
    </dgm:pt>
    <dgm:pt modelId="{D3E08B62-F4E2-45C7-A4A2-0690FB2D8F66}">
      <dgm:prSet phldrT="[Text]"/>
      <dgm:spPr/>
      <dgm:t>
        <a:bodyPr/>
        <a:lstStyle/>
        <a:p>
          <a:endParaRPr lang="en-US"/>
        </a:p>
      </dgm:t>
    </dgm:pt>
    <dgm:pt modelId="{EA7384A7-F810-4F2E-B8AB-2B4B52F387CD}" type="parTrans" cxnId="{7D3CBB80-F93C-426C-9D84-1D4D634B2C1C}">
      <dgm:prSet/>
      <dgm:spPr/>
      <dgm:t>
        <a:bodyPr/>
        <a:lstStyle/>
        <a:p>
          <a:endParaRPr lang="en-US"/>
        </a:p>
      </dgm:t>
    </dgm:pt>
    <dgm:pt modelId="{A9BFF28A-1718-437C-B101-B844E5A3E07D}" type="sibTrans" cxnId="{7D3CBB80-F93C-426C-9D84-1D4D634B2C1C}">
      <dgm:prSet/>
      <dgm:spPr/>
      <dgm:t>
        <a:bodyPr/>
        <a:lstStyle/>
        <a:p>
          <a:endParaRPr lang="en-US"/>
        </a:p>
      </dgm:t>
    </dgm:pt>
    <dgm:pt modelId="{D56FF19D-9B6C-4EFD-8BBE-0F765A2B63A8}">
      <dgm:prSet custT="1"/>
      <dgm:spPr/>
      <dgm:t>
        <a:bodyPr/>
        <a:lstStyle/>
        <a:p>
          <a:pPr algn="ctr">
            <a:lnSpc>
              <a:spcPct val="90000"/>
            </a:lnSpc>
          </a:pPr>
          <a:r>
            <a:rPr lang="sr-Cyrl-RS" sz="1200" b="1">
              <a:latin typeface="Tahoma" panose="020B0604030504040204" pitchFamily="34" charset="0"/>
              <a:ea typeface="Tahoma" panose="020B0604030504040204" pitchFamily="34" charset="0"/>
              <a:cs typeface="Tahoma" panose="020B0604030504040204" pitchFamily="34" charset="0"/>
            </a:rPr>
            <a:t>СЛАБОСТИ</a:t>
          </a:r>
        </a:p>
        <a:p>
          <a:pPr algn="l">
            <a:lnSpc>
              <a:spcPct val="114000"/>
            </a:lnSpc>
          </a:pPr>
          <a:r>
            <a:rPr lang="sr-Cyrl-RS" sz="1200">
              <a:latin typeface="Tahoma" panose="020B0604030504040204" pitchFamily="34" charset="0"/>
              <a:ea typeface="Tahoma" panose="020B0604030504040204" pitchFamily="34" charset="0"/>
              <a:cs typeface="Tahoma" panose="020B0604030504040204" pitchFamily="34" charset="0"/>
            </a:rPr>
            <a:t>- </a:t>
          </a:r>
          <a:r>
            <a:rPr lang="sr-Cyrl-RS" sz="1000">
              <a:latin typeface="Tahoma" panose="020B0604030504040204" pitchFamily="34" charset="0"/>
              <a:ea typeface="Tahoma" panose="020B0604030504040204" pitchFamily="34" charset="0"/>
              <a:cs typeface="Tahoma" panose="020B0604030504040204" pitchFamily="34" charset="0"/>
            </a:rPr>
            <a:t>недовољно развијен информациони систем</a:t>
          </a: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недостатак званичног рејтинга од међународно признатих агенција</a:t>
          </a:r>
        </a:p>
        <a:p>
          <a:pPr algn="l">
            <a:lnSpc>
              <a:spcPct val="114000"/>
            </a:lnSpc>
          </a:pPr>
          <a:endParaRPr lang="en-US" sz="1000">
            <a:latin typeface="Tahoma" panose="020B0604030504040204" pitchFamily="34" charset="0"/>
            <a:ea typeface="Tahoma" panose="020B0604030504040204" pitchFamily="34" charset="0"/>
            <a:cs typeface="Tahoma" panose="020B0604030504040204" pitchFamily="34" charset="0"/>
          </a:endParaRPr>
        </a:p>
      </dgm:t>
    </dgm:pt>
    <dgm:pt modelId="{040FDB19-CEC5-43DD-8C02-40AE26EC97DB}" type="parTrans" cxnId="{DFC3B73B-D663-41D5-AD0E-8E83557A742A}">
      <dgm:prSet/>
      <dgm:spPr/>
      <dgm:t>
        <a:bodyPr/>
        <a:lstStyle/>
        <a:p>
          <a:endParaRPr lang="en-US"/>
        </a:p>
      </dgm:t>
    </dgm:pt>
    <dgm:pt modelId="{6EDDBCD2-1026-4E94-BA51-557C987BC0C1}" type="sibTrans" cxnId="{DFC3B73B-D663-41D5-AD0E-8E83557A742A}">
      <dgm:prSet/>
      <dgm:spPr/>
      <dgm:t>
        <a:bodyPr/>
        <a:lstStyle/>
        <a:p>
          <a:endParaRPr lang="en-US"/>
        </a:p>
      </dgm:t>
    </dgm:pt>
    <dgm:pt modelId="{23645447-FE71-4228-A3D4-42690D0A6D14}">
      <dgm:prSet custT="1"/>
      <dgm:spPr/>
      <dgm:t>
        <a:bodyPr tIns="0" bIns="0" anchor="t" anchorCtr="0"/>
        <a:lstStyle/>
        <a:p>
          <a:pPr algn="ctr">
            <a:lnSpc>
              <a:spcPct val="90000"/>
            </a:lnSpc>
          </a:pPr>
          <a:r>
            <a:rPr lang="sr-Cyrl-RS" sz="1200" b="1">
              <a:latin typeface="Tahoma" panose="020B0604030504040204" pitchFamily="34" charset="0"/>
              <a:ea typeface="Tahoma" panose="020B0604030504040204" pitchFamily="34" charset="0"/>
              <a:cs typeface="Tahoma" panose="020B0604030504040204" pitchFamily="34" charset="0"/>
            </a:rPr>
            <a:t>МОГУЋНОСТИ</a:t>
          </a: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развој хоризонталне ретроцесије на локалном тржишту реосигурања</a:t>
          </a:r>
          <a:endParaRPr lang="en-US" sz="1000">
            <a:latin typeface="Tahoma" panose="020B0604030504040204" pitchFamily="34" charset="0"/>
            <a:ea typeface="Tahoma" panose="020B0604030504040204" pitchFamily="34" charset="0"/>
            <a:cs typeface="Tahoma" panose="020B0604030504040204" pitchFamily="34" charset="0"/>
          </a:endParaRP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обезбеђење  капацитета за аутоматска реосигурања на ино-тржишту за неразвијене портфеље тј. нове производе на тржишту </a:t>
          </a:r>
          <a:endParaRPr lang="en-US" sz="1000">
            <a:latin typeface="Tahoma" panose="020B0604030504040204" pitchFamily="34" charset="0"/>
            <a:ea typeface="Tahoma" panose="020B0604030504040204" pitchFamily="34" charset="0"/>
            <a:cs typeface="Tahoma" panose="020B0604030504040204" pitchFamily="34" charset="0"/>
          </a:endParaRPr>
        </a:p>
        <a:p>
          <a:pPr algn="ctr">
            <a:lnSpc>
              <a:spcPct val="90000"/>
            </a:lnSpc>
          </a:pPr>
          <a:endParaRPr lang="sr-Cyrl-RS" sz="900"/>
        </a:p>
      </dgm:t>
    </dgm:pt>
    <dgm:pt modelId="{8A60CE7A-1AD8-4278-BF1F-C6838C6F2CCC}" type="parTrans" cxnId="{E0CF3561-9E67-4D43-AE0F-11E8AB1163C8}">
      <dgm:prSet/>
      <dgm:spPr/>
      <dgm:t>
        <a:bodyPr/>
        <a:lstStyle/>
        <a:p>
          <a:endParaRPr lang="en-US"/>
        </a:p>
      </dgm:t>
    </dgm:pt>
    <dgm:pt modelId="{570F268B-3095-4E86-AEEE-17079EA413A7}" type="sibTrans" cxnId="{E0CF3561-9E67-4D43-AE0F-11E8AB1163C8}">
      <dgm:prSet/>
      <dgm:spPr/>
      <dgm:t>
        <a:bodyPr/>
        <a:lstStyle/>
        <a:p>
          <a:endParaRPr lang="en-US"/>
        </a:p>
      </dgm:t>
    </dgm:pt>
    <dgm:pt modelId="{2C3BC9C9-8F52-4F92-B3CD-FFCC9FE2BCA5}">
      <dgm:prSet custT="1"/>
      <dgm:spPr/>
      <dgm:t>
        <a:bodyPr anchor="b" anchorCtr="0"/>
        <a:lstStyle/>
        <a:p>
          <a:pPr algn="ctr">
            <a:lnSpc>
              <a:spcPct val="90000"/>
            </a:lnSpc>
          </a:pPr>
          <a:r>
            <a:rPr lang="sr-Cyrl-RS" sz="1200" b="1">
              <a:latin typeface="Tahoma" panose="020B0604030504040204" pitchFamily="34" charset="0"/>
              <a:ea typeface="Tahoma" panose="020B0604030504040204" pitchFamily="34" charset="0"/>
              <a:cs typeface="Tahoma" panose="020B0604030504040204" pitchFamily="34" charset="0"/>
            </a:rPr>
            <a:t>ПРЕТЊЕ</a:t>
          </a: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либеризација тржишта</a:t>
          </a:r>
          <a:endParaRPr lang="en-US" sz="1000">
            <a:latin typeface="Tahoma" panose="020B0604030504040204" pitchFamily="34" charset="0"/>
            <a:ea typeface="Tahoma" panose="020B0604030504040204" pitchFamily="34" charset="0"/>
            <a:cs typeface="Tahoma" panose="020B0604030504040204" pitchFamily="34" charset="0"/>
          </a:endParaRP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експанзија осигурања према мастер полисама за веће привредне субјекте у страном власништву</a:t>
          </a:r>
          <a:endParaRPr lang="en-US" sz="1000">
            <a:latin typeface="Tahoma" panose="020B0604030504040204" pitchFamily="34" charset="0"/>
            <a:ea typeface="Tahoma" panose="020B0604030504040204" pitchFamily="34" charset="0"/>
            <a:cs typeface="Tahoma" panose="020B0604030504040204" pitchFamily="34" charset="0"/>
          </a:endParaRP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високи капацитети групних програма расположиви локалним реосигуравачима у страном власништву</a:t>
          </a:r>
          <a:endParaRPr lang="en-US" sz="1000">
            <a:latin typeface="Tahoma" panose="020B0604030504040204" pitchFamily="34" charset="0"/>
            <a:ea typeface="Tahoma" panose="020B0604030504040204" pitchFamily="34" charset="0"/>
            <a:cs typeface="Tahoma" panose="020B0604030504040204" pitchFamily="34" charset="0"/>
          </a:endParaRP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активност посредника у осигурању који поскупљују укупну цену према осигуранику</a:t>
          </a:r>
          <a:endParaRPr lang="en-US" sz="1000">
            <a:latin typeface="Tahoma" panose="020B0604030504040204" pitchFamily="34" charset="0"/>
            <a:ea typeface="Tahoma" panose="020B0604030504040204" pitchFamily="34" charset="0"/>
            <a:cs typeface="Tahoma" panose="020B0604030504040204" pitchFamily="34" charset="0"/>
          </a:endParaRPr>
        </a:p>
        <a:p>
          <a:pPr algn="l">
            <a:lnSpc>
              <a:spcPct val="114000"/>
            </a:lnSpc>
          </a:pPr>
          <a:r>
            <a:rPr lang="sr-Cyrl-RS" sz="1000">
              <a:latin typeface="Tahoma" panose="020B0604030504040204" pitchFamily="34" charset="0"/>
              <a:ea typeface="Tahoma" panose="020B0604030504040204" pitchFamily="34" charset="0"/>
              <a:cs typeface="Tahoma" panose="020B0604030504040204" pitchFamily="34" charset="0"/>
            </a:rPr>
            <a:t>- нестабилност банкарског тржишта</a:t>
          </a:r>
          <a:endParaRPr lang="en-US" sz="600"/>
        </a:p>
      </dgm:t>
    </dgm:pt>
    <dgm:pt modelId="{1AC270C5-1DE3-46D7-B208-0BDFE111F995}" type="parTrans" cxnId="{3A1D88CA-79CA-4150-96C3-67F927A17DEE}">
      <dgm:prSet/>
      <dgm:spPr/>
      <dgm:t>
        <a:bodyPr/>
        <a:lstStyle/>
        <a:p>
          <a:endParaRPr lang="en-US"/>
        </a:p>
      </dgm:t>
    </dgm:pt>
    <dgm:pt modelId="{3B567A0D-75D7-4ABC-8EFC-A376B126AF28}" type="sibTrans" cxnId="{3A1D88CA-79CA-4150-96C3-67F927A17DEE}">
      <dgm:prSet/>
      <dgm:spPr/>
      <dgm:t>
        <a:bodyPr/>
        <a:lstStyle/>
        <a:p>
          <a:endParaRPr lang="en-US"/>
        </a:p>
      </dgm:t>
    </dgm:pt>
    <dgm:pt modelId="{84AC2119-8B7D-4A1B-AAC5-314377C504E9}" type="pres">
      <dgm:prSet presAssocID="{EDC18197-6937-45AB-81B7-1FA2BC744DF8}" presName="diagram" presStyleCnt="0">
        <dgm:presLayoutVars>
          <dgm:chMax val="1"/>
          <dgm:dir/>
          <dgm:animLvl val="ctr"/>
          <dgm:resizeHandles val="exact"/>
        </dgm:presLayoutVars>
      </dgm:prSet>
      <dgm:spPr/>
      <dgm:t>
        <a:bodyPr/>
        <a:lstStyle/>
        <a:p>
          <a:endParaRPr lang="sr-Latn-RS"/>
        </a:p>
      </dgm:t>
    </dgm:pt>
    <dgm:pt modelId="{270BBC44-1702-42C4-89FC-74155A474752}" type="pres">
      <dgm:prSet presAssocID="{EDC18197-6937-45AB-81B7-1FA2BC744DF8}" presName="matrix" presStyleCnt="0"/>
      <dgm:spPr/>
    </dgm:pt>
    <dgm:pt modelId="{1792DC97-3745-4CAC-A0E7-5785442965AA}" type="pres">
      <dgm:prSet presAssocID="{EDC18197-6937-45AB-81B7-1FA2BC744DF8}" presName="tile1" presStyleLbl="node1" presStyleIdx="0" presStyleCnt="4" custLinFactNeighborX="0" custLinFactNeighborY="0"/>
      <dgm:spPr/>
      <dgm:t>
        <a:bodyPr/>
        <a:lstStyle/>
        <a:p>
          <a:endParaRPr lang="en-US"/>
        </a:p>
      </dgm:t>
    </dgm:pt>
    <dgm:pt modelId="{D90483AC-60D9-4377-8EE6-CD603ED346C0}" type="pres">
      <dgm:prSet presAssocID="{EDC18197-6937-45AB-81B7-1FA2BC744DF8}" presName="tile1text" presStyleLbl="node1" presStyleIdx="0" presStyleCnt="4">
        <dgm:presLayoutVars>
          <dgm:chMax val="0"/>
          <dgm:chPref val="0"/>
          <dgm:bulletEnabled val="1"/>
        </dgm:presLayoutVars>
      </dgm:prSet>
      <dgm:spPr/>
      <dgm:t>
        <a:bodyPr/>
        <a:lstStyle/>
        <a:p>
          <a:endParaRPr lang="en-US"/>
        </a:p>
      </dgm:t>
    </dgm:pt>
    <dgm:pt modelId="{05BC433E-B9E7-48AE-AA4A-860763FF666F}" type="pres">
      <dgm:prSet presAssocID="{EDC18197-6937-45AB-81B7-1FA2BC744DF8}" presName="tile2" presStyleLbl="node1" presStyleIdx="1" presStyleCnt="4"/>
      <dgm:spPr/>
      <dgm:t>
        <a:bodyPr/>
        <a:lstStyle/>
        <a:p>
          <a:endParaRPr lang="en-US"/>
        </a:p>
      </dgm:t>
    </dgm:pt>
    <dgm:pt modelId="{D7CC2127-EB15-4C96-B530-1BDA1AA91D88}" type="pres">
      <dgm:prSet presAssocID="{EDC18197-6937-45AB-81B7-1FA2BC744DF8}" presName="tile2text" presStyleLbl="node1" presStyleIdx="1" presStyleCnt="4">
        <dgm:presLayoutVars>
          <dgm:chMax val="0"/>
          <dgm:chPref val="0"/>
          <dgm:bulletEnabled val="1"/>
        </dgm:presLayoutVars>
      </dgm:prSet>
      <dgm:spPr/>
      <dgm:t>
        <a:bodyPr/>
        <a:lstStyle/>
        <a:p>
          <a:endParaRPr lang="en-US"/>
        </a:p>
      </dgm:t>
    </dgm:pt>
    <dgm:pt modelId="{89AF9D18-452A-476A-A751-93FAB965115C}" type="pres">
      <dgm:prSet presAssocID="{EDC18197-6937-45AB-81B7-1FA2BC744DF8}" presName="tile3" presStyleLbl="node1" presStyleIdx="2" presStyleCnt="4"/>
      <dgm:spPr/>
      <dgm:t>
        <a:bodyPr/>
        <a:lstStyle/>
        <a:p>
          <a:endParaRPr lang="en-US"/>
        </a:p>
      </dgm:t>
    </dgm:pt>
    <dgm:pt modelId="{104A0C50-A137-47D6-BFDC-3B28FC2CB53B}" type="pres">
      <dgm:prSet presAssocID="{EDC18197-6937-45AB-81B7-1FA2BC744DF8}" presName="tile3text" presStyleLbl="node1" presStyleIdx="2" presStyleCnt="4">
        <dgm:presLayoutVars>
          <dgm:chMax val="0"/>
          <dgm:chPref val="0"/>
          <dgm:bulletEnabled val="1"/>
        </dgm:presLayoutVars>
      </dgm:prSet>
      <dgm:spPr/>
      <dgm:t>
        <a:bodyPr/>
        <a:lstStyle/>
        <a:p>
          <a:endParaRPr lang="en-US"/>
        </a:p>
      </dgm:t>
    </dgm:pt>
    <dgm:pt modelId="{27C05185-9F74-44C0-962B-7F8C309F8CC1}" type="pres">
      <dgm:prSet presAssocID="{EDC18197-6937-45AB-81B7-1FA2BC744DF8}" presName="tile4" presStyleLbl="node1" presStyleIdx="3" presStyleCnt="4"/>
      <dgm:spPr/>
      <dgm:t>
        <a:bodyPr/>
        <a:lstStyle/>
        <a:p>
          <a:endParaRPr lang="en-US"/>
        </a:p>
      </dgm:t>
    </dgm:pt>
    <dgm:pt modelId="{FC6AB482-771F-4C9A-A63E-02767B3153D6}" type="pres">
      <dgm:prSet presAssocID="{EDC18197-6937-45AB-81B7-1FA2BC744DF8}" presName="tile4text" presStyleLbl="node1" presStyleIdx="3" presStyleCnt="4">
        <dgm:presLayoutVars>
          <dgm:chMax val="0"/>
          <dgm:chPref val="0"/>
          <dgm:bulletEnabled val="1"/>
        </dgm:presLayoutVars>
      </dgm:prSet>
      <dgm:spPr/>
      <dgm:t>
        <a:bodyPr/>
        <a:lstStyle/>
        <a:p>
          <a:endParaRPr lang="en-US"/>
        </a:p>
      </dgm:t>
    </dgm:pt>
    <dgm:pt modelId="{27EF1CAE-77C4-4025-9EE3-B7A81CE73BCE}" type="pres">
      <dgm:prSet presAssocID="{EDC18197-6937-45AB-81B7-1FA2BC744DF8}" presName="centerTile" presStyleLbl="fgShp" presStyleIdx="0" presStyleCnt="1" custScaleX="78014" custScaleY="45521">
        <dgm:presLayoutVars>
          <dgm:chMax val="0"/>
          <dgm:chPref val="0"/>
        </dgm:presLayoutVars>
      </dgm:prSet>
      <dgm:spPr/>
      <dgm:t>
        <a:bodyPr/>
        <a:lstStyle/>
        <a:p>
          <a:endParaRPr lang="sr-Latn-RS"/>
        </a:p>
      </dgm:t>
    </dgm:pt>
  </dgm:ptLst>
  <dgm:cxnLst>
    <dgm:cxn modelId="{1D5E6466-F206-4AB5-8CA0-052B40D23BEA}" type="presOf" srcId="{D56FF19D-9B6C-4EFD-8BBE-0F765A2B63A8}" destId="{D7CC2127-EB15-4C96-B530-1BDA1AA91D88}" srcOrd="1" destOrd="0" presId="urn:microsoft.com/office/officeart/2005/8/layout/matrix1"/>
    <dgm:cxn modelId="{E898AC5A-CB40-4D2F-AE49-D5B23B3982E8}" type="presOf" srcId="{C6B7E902-CFB0-4CFB-AFE6-D0DCEEA758AE}" destId="{27EF1CAE-77C4-4025-9EE3-B7A81CE73BCE}" srcOrd="0" destOrd="0" presId="urn:microsoft.com/office/officeart/2005/8/layout/matrix1"/>
    <dgm:cxn modelId="{31D993D2-D4ED-43C7-9167-2277325705A3}" type="presOf" srcId="{EDC18197-6937-45AB-81B7-1FA2BC744DF8}" destId="{84AC2119-8B7D-4A1B-AAC5-314377C504E9}" srcOrd="0" destOrd="0" presId="urn:microsoft.com/office/officeart/2005/8/layout/matrix1"/>
    <dgm:cxn modelId="{2933B7F1-AF08-4DB2-B43D-3956028A0702}" type="presOf" srcId="{202FD574-4B02-4A2A-B487-5A545313AB1B}" destId="{1792DC97-3745-4CAC-A0E7-5785442965AA}" srcOrd="0" destOrd="0" presId="urn:microsoft.com/office/officeart/2005/8/layout/matrix1"/>
    <dgm:cxn modelId="{3A1D88CA-79CA-4150-96C3-67F927A17DEE}" srcId="{C6B7E902-CFB0-4CFB-AFE6-D0DCEEA758AE}" destId="{2C3BC9C9-8F52-4F92-B3CD-FFCC9FE2BCA5}" srcOrd="3" destOrd="0" parTransId="{1AC270C5-1DE3-46D7-B208-0BDFE111F995}" sibTransId="{3B567A0D-75D7-4ABC-8EFC-A376B126AF28}"/>
    <dgm:cxn modelId="{CC121644-A23A-4D50-91DA-44A735F83E18}" srcId="{D3E08B62-F4E2-45C7-A4A2-0690FB2D8F66}" destId="{51E24E66-189B-43E3-86DB-EA03EC4DF351}" srcOrd="1" destOrd="0" parTransId="{A82A27A8-E59E-4894-B491-BC433882CFBB}" sibTransId="{5A3E3AE1-DEAC-4FA1-A376-4D9A48AB694F}"/>
    <dgm:cxn modelId="{5A4F9EAF-9170-4D17-BF0E-3BD6C2547AD6}" type="presOf" srcId="{23645447-FE71-4228-A3D4-42690D0A6D14}" destId="{104A0C50-A137-47D6-BFDC-3B28FC2CB53B}" srcOrd="1" destOrd="0" presId="urn:microsoft.com/office/officeart/2005/8/layout/matrix1"/>
    <dgm:cxn modelId="{E0CF3561-9E67-4D43-AE0F-11E8AB1163C8}" srcId="{C6B7E902-CFB0-4CFB-AFE6-D0DCEEA758AE}" destId="{23645447-FE71-4228-A3D4-42690D0A6D14}" srcOrd="2" destOrd="0" parTransId="{8A60CE7A-1AD8-4278-BF1F-C6838C6F2CCC}" sibTransId="{570F268B-3095-4E86-AEEE-17079EA413A7}"/>
    <dgm:cxn modelId="{98CB3662-CDE4-4A72-96A7-E594A037431E}" type="presOf" srcId="{2C3BC9C9-8F52-4F92-B3CD-FFCC9FE2BCA5}" destId="{27C05185-9F74-44C0-962B-7F8C309F8CC1}" srcOrd="0" destOrd="0" presId="urn:microsoft.com/office/officeart/2005/8/layout/matrix1"/>
    <dgm:cxn modelId="{DFC3B73B-D663-41D5-AD0E-8E83557A742A}" srcId="{C6B7E902-CFB0-4CFB-AFE6-D0DCEEA758AE}" destId="{D56FF19D-9B6C-4EFD-8BBE-0F765A2B63A8}" srcOrd="1" destOrd="0" parTransId="{040FDB19-CEC5-43DD-8C02-40AE26EC97DB}" sibTransId="{6EDDBCD2-1026-4E94-BA51-557C987BC0C1}"/>
    <dgm:cxn modelId="{7D3CBB80-F93C-426C-9D84-1D4D634B2C1C}" srcId="{EDC18197-6937-45AB-81B7-1FA2BC744DF8}" destId="{D3E08B62-F4E2-45C7-A4A2-0690FB2D8F66}" srcOrd="1" destOrd="0" parTransId="{EA7384A7-F810-4F2E-B8AB-2B4B52F387CD}" sibTransId="{A9BFF28A-1718-437C-B101-B844E5A3E07D}"/>
    <dgm:cxn modelId="{6A9C5A02-D008-45B7-874F-FF495534C623}" srcId="{D3E08B62-F4E2-45C7-A4A2-0690FB2D8F66}" destId="{EED81FA9-627C-46F9-B2D5-510593AB62A5}" srcOrd="2" destOrd="0" parTransId="{D17F9384-EFB8-4F9B-95CF-A64759F49416}" sibTransId="{22E4967C-5405-4D9F-A6C3-40244477D3A7}"/>
    <dgm:cxn modelId="{C612042D-C822-4A81-8BAC-DFB1AAE5A8A1}" type="presOf" srcId="{2C3BC9C9-8F52-4F92-B3CD-FFCC9FE2BCA5}" destId="{FC6AB482-771F-4C9A-A63E-02767B3153D6}" srcOrd="1" destOrd="0" presId="urn:microsoft.com/office/officeart/2005/8/layout/matrix1"/>
    <dgm:cxn modelId="{F8F840A2-2719-4291-A95D-1B3DC85855FB}" srcId="{EDC18197-6937-45AB-81B7-1FA2BC744DF8}" destId="{C6B7E902-CFB0-4CFB-AFE6-D0DCEEA758AE}" srcOrd="0" destOrd="0" parTransId="{40E56D4B-270E-47EB-92EC-5B449A825874}" sibTransId="{B3F50C65-2F93-4E47-BD12-EA50B437046D}"/>
    <dgm:cxn modelId="{2C162091-2F0D-42FC-B51B-CE6DD3A7BFA8}" type="presOf" srcId="{202FD574-4B02-4A2A-B487-5A545313AB1B}" destId="{D90483AC-60D9-4377-8EE6-CD603ED346C0}" srcOrd="1" destOrd="0" presId="urn:microsoft.com/office/officeart/2005/8/layout/matrix1"/>
    <dgm:cxn modelId="{740FAFDA-1A92-4751-B22B-6551FC802326}" type="presOf" srcId="{23645447-FE71-4228-A3D4-42690D0A6D14}" destId="{89AF9D18-452A-476A-A751-93FAB965115C}" srcOrd="0" destOrd="0" presId="urn:microsoft.com/office/officeart/2005/8/layout/matrix1"/>
    <dgm:cxn modelId="{27E0761E-8DD8-41BF-819F-3A39C3A1E6D5}" srcId="{C6B7E902-CFB0-4CFB-AFE6-D0DCEEA758AE}" destId="{202FD574-4B02-4A2A-B487-5A545313AB1B}" srcOrd="0" destOrd="0" parTransId="{D1AAA568-9885-49C1-BFE0-36DD0C71CE36}" sibTransId="{E38902AE-C9CB-4ABC-A2AE-635F2ED23A15}"/>
    <dgm:cxn modelId="{1E457313-3198-4B1A-8E7A-67CB59AB6905}" srcId="{D3E08B62-F4E2-45C7-A4A2-0690FB2D8F66}" destId="{30A5F3D7-76FE-43A9-8287-9D3D6A04D26B}" srcOrd="0" destOrd="0" parTransId="{E02527FA-2064-4B0F-A678-7B0AF806088A}" sibTransId="{66F97BB0-13EE-4558-9401-9EBFF4C583A7}"/>
    <dgm:cxn modelId="{F1360934-371B-421A-AEA6-E3B662067C1F}" type="presOf" srcId="{D56FF19D-9B6C-4EFD-8BBE-0F765A2B63A8}" destId="{05BC433E-B9E7-48AE-AA4A-860763FF666F}" srcOrd="0" destOrd="0" presId="urn:microsoft.com/office/officeart/2005/8/layout/matrix1"/>
    <dgm:cxn modelId="{A0597593-678D-46A0-BA38-28B2F07B95A8}" type="presParOf" srcId="{84AC2119-8B7D-4A1B-AAC5-314377C504E9}" destId="{270BBC44-1702-42C4-89FC-74155A474752}" srcOrd="0" destOrd="0" presId="urn:microsoft.com/office/officeart/2005/8/layout/matrix1"/>
    <dgm:cxn modelId="{F7B24D11-26FC-453B-BA00-FEDE83A80EBB}" type="presParOf" srcId="{270BBC44-1702-42C4-89FC-74155A474752}" destId="{1792DC97-3745-4CAC-A0E7-5785442965AA}" srcOrd="0" destOrd="0" presId="urn:microsoft.com/office/officeart/2005/8/layout/matrix1"/>
    <dgm:cxn modelId="{0C980969-FFD1-4BC8-91AE-E313ACBA6AA6}" type="presParOf" srcId="{270BBC44-1702-42C4-89FC-74155A474752}" destId="{D90483AC-60D9-4377-8EE6-CD603ED346C0}" srcOrd="1" destOrd="0" presId="urn:microsoft.com/office/officeart/2005/8/layout/matrix1"/>
    <dgm:cxn modelId="{72D59DF7-0F76-486F-AE69-80024E573C94}" type="presParOf" srcId="{270BBC44-1702-42C4-89FC-74155A474752}" destId="{05BC433E-B9E7-48AE-AA4A-860763FF666F}" srcOrd="2" destOrd="0" presId="urn:microsoft.com/office/officeart/2005/8/layout/matrix1"/>
    <dgm:cxn modelId="{5EB9FAB2-92C0-4645-957B-91020865B51A}" type="presParOf" srcId="{270BBC44-1702-42C4-89FC-74155A474752}" destId="{D7CC2127-EB15-4C96-B530-1BDA1AA91D88}" srcOrd="3" destOrd="0" presId="urn:microsoft.com/office/officeart/2005/8/layout/matrix1"/>
    <dgm:cxn modelId="{1390C712-CAE6-4E78-8908-CA6EC41BE27D}" type="presParOf" srcId="{270BBC44-1702-42C4-89FC-74155A474752}" destId="{89AF9D18-452A-476A-A751-93FAB965115C}" srcOrd="4" destOrd="0" presId="urn:microsoft.com/office/officeart/2005/8/layout/matrix1"/>
    <dgm:cxn modelId="{DC3767BF-AE4F-425B-A59A-AFC601748471}" type="presParOf" srcId="{270BBC44-1702-42C4-89FC-74155A474752}" destId="{104A0C50-A137-47D6-BFDC-3B28FC2CB53B}" srcOrd="5" destOrd="0" presId="urn:microsoft.com/office/officeart/2005/8/layout/matrix1"/>
    <dgm:cxn modelId="{90E00FE6-5CED-4D03-8ECA-C15BD1ED2352}" type="presParOf" srcId="{270BBC44-1702-42C4-89FC-74155A474752}" destId="{27C05185-9F74-44C0-962B-7F8C309F8CC1}" srcOrd="6" destOrd="0" presId="urn:microsoft.com/office/officeart/2005/8/layout/matrix1"/>
    <dgm:cxn modelId="{F6C8247D-68FD-464C-8C2A-11021D050F08}" type="presParOf" srcId="{270BBC44-1702-42C4-89FC-74155A474752}" destId="{FC6AB482-771F-4C9A-A63E-02767B3153D6}" srcOrd="7" destOrd="0" presId="urn:microsoft.com/office/officeart/2005/8/layout/matrix1"/>
    <dgm:cxn modelId="{3245F07F-96F9-4E47-BF7E-7597C1BC6959}" type="presParOf" srcId="{84AC2119-8B7D-4A1B-AAC5-314377C504E9}" destId="{27EF1CAE-77C4-4025-9EE3-B7A81CE73BCE}" srcOrd="1" destOrd="0" presId="urn:microsoft.com/office/officeart/2005/8/layout/matrix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364E31-F74A-4920-B0EF-EA04242CECDF}">
      <dsp:nvSpPr>
        <dsp:cNvPr id="0" name=""/>
        <dsp:cNvSpPr/>
      </dsp:nvSpPr>
      <dsp:spPr>
        <a:xfrm>
          <a:off x="0" y="10426"/>
          <a:ext cx="1434006" cy="8833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lvl="0" algn="ctr" defTabSz="444500">
            <a:lnSpc>
              <a:spcPct val="90000"/>
            </a:lnSpc>
            <a:spcBef>
              <a:spcPct val="0"/>
            </a:spcBef>
            <a:spcAft>
              <a:spcPct val="35000"/>
            </a:spcAft>
          </a:pPr>
          <a:r>
            <a:rPr lang="sr-Cyrl-RS" sz="1000" b="1" kern="1200">
              <a:solidFill>
                <a:sysClr val="windowText" lastClr="000000">
                  <a:hueOff val="0"/>
                  <a:satOff val="0"/>
                  <a:lumOff val="0"/>
                  <a:alphaOff val="0"/>
                </a:sysClr>
              </a:solidFill>
              <a:latin typeface="Verdana" pitchFamily="34" charset="0"/>
              <a:ea typeface="Verdana" pitchFamily="34" charset="0"/>
              <a:cs typeface="Verdana" pitchFamily="34" charset="0"/>
            </a:rPr>
            <a:t>политички и правни фактори</a:t>
          </a:r>
          <a:endParaRPr lang="sr-Latn-RS" sz="1000" b="1" kern="1200">
            <a:solidFill>
              <a:sysClr val="windowText" lastClr="000000">
                <a:hueOff val="0"/>
                <a:satOff val="0"/>
                <a:lumOff val="0"/>
                <a:alphaOff val="0"/>
              </a:sysClr>
            </a:solidFill>
            <a:latin typeface="Verdana" pitchFamily="34" charset="0"/>
            <a:ea typeface="Verdana" pitchFamily="34" charset="0"/>
            <a:cs typeface="Verdana" pitchFamily="34" charset="0"/>
          </a:endParaRPr>
        </a:p>
      </dsp:txBody>
      <dsp:txXfrm>
        <a:off x="0" y="10426"/>
        <a:ext cx="1434006" cy="883385"/>
      </dsp:txXfrm>
    </dsp:sp>
    <dsp:sp modelId="{54BC996A-9BC9-42D9-AD96-02DDDAA752B7}">
      <dsp:nvSpPr>
        <dsp:cNvPr id="0" name=""/>
        <dsp:cNvSpPr/>
      </dsp:nvSpPr>
      <dsp:spPr>
        <a:xfrm>
          <a:off x="1434006" y="10426"/>
          <a:ext cx="286801" cy="883385"/>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58188D6-417A-447C-B70B-BF4418A33DB9}">
      <dsp:nvSpPr>
        <dsp:cNvPr id="0" name=""/>
        <dsp:cNvSpPr/>
      </dsp:nvSpPr>
      <dsp:spPr>
        <a:xfrm>
          <a:off x="1835528" y="10426"/>
          <a:ext cx="3900499" cy="883385"/>
        </a:xfrm>
        <a:prstGeom prst="rect">
          <a:avLst/>
        </a:prstGeom>
        <a:solidFill>
          <a:srgbClr val="4F81BD">
            <a:alpha val="9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sr-Latn-RS" sz="900" b="1" kern="1200">
              <a:solidFill>
                <a:sysClr val="window" lastClr="FFFFFF"/>
              </a:solidFill>
              <a:latin typeface="Verdana" pitchFamily="34" charset="0"/>
              <a:ea typeface="Verdana" pitchFamily="34" charset="0"/>
              <a:cs typeface="Verdana" pitchFamily="34" charset="0"/>
            </a:rPr>
            <a:t> </a:t>
          </a:r>
          <a:r>
            <a:rPr lang="sr-Cyrl-RS" sz="900" b="1" kern="1200">
              <a:solidFill>
                <a:sysClr val="window" lastClr="FFFFFF"/>
              </a:solidFill>
              <a:latin typeface="Verdana" pitchFamily="34" charset="0"/>
              <a:ea typeface="Verdana" pitchFamily="34" charset="0"/>
              <a:cs typeface="Verdana" pitchFamily="34" charset="0"/>
            </a:rPr>
            <a:t>Усвојен нови Закон о осигурању који ступа на снагу у јулу 2015. године</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Недовољан прилив страних инвестиција на тржиште Србије</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Борба Запада и Русије за политички и економски утицај</a:t>
          </a:r>
          <a:endParaRPr lang="sr-Latn-RS" sz="900" b="1" kern="1200">
            <a:solidFill>
              <a:sysClr val="window" lastClr="FFFFFF"/>
            </a:solidFill>
            <a:latin typeface="Verdana" pitchFamily="34" charset="0"/>
            <a:ea typeface="Verdana" pitchFamily="34" charset="0"/>
            <a:cs typeface="Verdana" pitchFamily="34" charset="0"/>
          </a:endParaRPr>
        </a:p>
      </dsp:txBody>
      <dsp:txXfrm>
        <a:off x="1835528" y="10426"/>
        <a:ext cx="3900499" cy="883385"/>
      </dsp:txXfrm>
    </dsp:sp>
    <dsp:sp modelId="{80A1E96A-085E-4D5A-8D85-FF325CFB871E}">
      <dsp:nvSpPr>
        <dsp:cNvPr id="0" name=""/>
        <dsp:cNvSpPr/>
      </dsp:nvSpPr>
      <dsp:spPr>
        <a:xfrm>
          <a:off x="0" y="1296000"/>
          <a:ext cx="1434006" cy="1089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lvl="0" algn="ctr" defTabSz="444500">
            <a:lnSpc>
              <a:spcPct val="90000"/>
            </a:lnSpc>
            <a:spcBef>
              <a:spcPct val="0"/>
            </a:spcBef>
            <a:spcAft>
              <a:spcPts val="0"/>
            </a:spcAft>
          </a:pPr>
          <a:r>
            <a:rPr lang="sr-Cyrl-RS" sz="1000" b="1" kern="1200">
              <a:solidFill>
                <a:sysClr val="windowText" lastClr="000000">
                  <a:hueOff val="0"/>
                  <a:satOff val="0"/>
                  <a:lumOff val="0"/>
                  <a:alphaOff val="0"/>
                </a:sysClr>
              </a:solidFill>
              <a:latin typeface="Verdana" pitchFamily="34" charset="0"/>
              <a:ea typeface="Verdana" pitchFamily="34" charset="0"/>
              <a:cs typeface="Verdana" pitchFamily="34" charset="0"/>
            </a:rPr>
            <a:t>економски </a:t>
          </a:r>
        </a:p>
        <a:p>
          <a:pPr lvl="0" algn="ctr" defTabSz="444500">
            <a:lnSpc>
              <a:spcPct val="90000"/>
            </a:lnSpc>
            <a:spcBef>
              <a:spcPct val="0"/>
            </a:spcBef>
            <a:spcAft>
              <a:spcPts val="0"/>
            </a:spcAft>
          </a:pPr>
          <a:r>
            <a:rPr lang="sr-Cyrl-RS" sz="1000" b="1" kern="1200">
              <a:solidFill>
                <a:sysClr val="windowText" lastClr="000000">
                  <a:hueOff val="0"/>
                  <a:satOff val="0"/>
                  <a:lumOff val="0"/>
                  <a:alphaOff val="0"/>
                </a:sysClr>
              </a:solidFill>
              <a:latin typeface="Verdana" pitchFamily="34" charset="0"/>
              <a:ea typeface="Verdana" pitchFamily="34" charset="0"/>
              <a:cs typeface="Verdana" pitchFamily="34" charset="0"/>
            </a:rPr>
            <a:t>фактори</a:t>
          </a:r>
          <a:endParaRPr lang="sr-Latn-RS" sz="1000" b="1" kern="1200">
            <a:solidFill>
              <a:sysClr val="windowText" lastClr="000000">
                <a:hueOff val="0"/>
                <a:satOff val="0"/>
                <a:lumOff val="0"/>
                <a:alphaOff val="0"/>
              </a:sysClr>
            </a:solidFill>
            <a:latin typeface="Verdana" pitchFamily="34" charset="0"/>
            <a:ea typeface="Verdana" pitchFamily="34" charset="0"/>
            <a:cs typeface="Verdana" pitchFamily="34" charset="0"/>
          </a:endParaRPr>
        </a:p>
      </dsp:txBody>
      <dsp:txXfrm>
        <a:off x="0" y="1296000"/>
        <a:ext cx="1434006" cy="1089000"/>
      </dsp:txXfrm>
    </dsp:sp>
    <dsp:sp modelId="{C0F16140-C018-45A3-B790-5116EB02ABF5}">
      <dsp:nvSpPr>
        <dsp:cNvPr id="0" name=""/>
        <dsp:cNvSpPr/>
      </dsp:nvSpPr>
      <dsp:spPr>
        <a:xfrm>
          <a:off x="1434006" y="1091812"/>
          <a:ext cx="286801" cy="1497375"/>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C6F16E2-14A0-4C3A-B4DC-B7D3BE259CE7}">
      <dsp:nvSpPr>
        <dsp:cNvPr id="0" name=""/>
        <dsp:cNvSpPr/>
      </dsp:nvSpPr>
      <dsp:spPr>
        <a:xfrm>
          <a:off x="1835528" y="1091812"/>
          <a:ext cx="3900499" cy="1497375"/>
        </a:xfrm>
        <a:prstGeom prst="rect">
          <a:avLst/>
        </a:prstGeom>
        <a:solidFill>
          <a:srgbClr val="4F81BD">
            <a:alpha val="90000"/>
            <a:hueOff val="0"/>
            <a:satOff val="0"/>
            <a:lumOff val="0"/>
            <a:alphaOff val="-13333"/>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Финансирање како непокривене потрошње, тако и инвестиција, углавном кроз задуживање </a:t>
          </a:r>
          <a:endParaRPr lang="sr-Latn-RS" sz="8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Нестабилност јавних финансија и висока незапосленост</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Ниска стопа привредног раста</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Утицај тржишта на раст оперативних трошкова</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Пореска политика</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Потецијално нестабилне каматне стопе и девизни курс</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Сива економија и недовољно уређено тржиште</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Нелојална конкуренција</a:t>
          </a:r>
          <a:endParaRPr lang="sr-Latn-RS" sz="900" b="1" kern="1200">
            <a:solidFill>
              <a:sysClr val="window" lastClr="FFFFFF"/>
            </a:solidFill>
            <a:latin typeface="Verdana" pitchFamily="34" charset="0"/>
            <a:ea typeface="Verdana" pitchFamily="34" charset="0"/>
            <a:cs typeface="Verdana" pitchFamily="34" charset="0"/>
          </a:endParaRPr>
        </a:p>
      </dsp:txBody>
      <dsp:txXfrm>
        <a:off x="1835528" y="1091812"/>
        <a:ext cx="3900499" cy="1497375"/>
      </dsp:txXfrm>
    </dsp:sp>
    <dsp:sp modelId="{199C9374-B821-4B60-BFC1-3E1869A76CF0}">
      <dsp:nvSpPr>
        <dsp:cNvPr id="0" name=""/>
        <dsp:cNvSpPr/>
      </dsp:nvSpPr>
      <dsp:spPr>
        <a:xfrm>
          <a:off x="0" y="2787187"/>
          <a:ext cx="1434006" cy="1089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lvl="0" algn="ctr" defTabSz="444500">
            <a:lnSpc>
              <a:spcPct val="90000"/>
            </a:lnSpc>
            <a:spcBef>
              <a:spcPct val="0"/>
            </a:spcBef>
            <a:spcAft>
              <a:spcPct val="35000"/>
            </a:spcAft>
          </a:pPr>
          <a:r>
            <a:rPr lang="sr-Cyrl-RS" sz="1000" b="1" kern="1200">
              <a:solidFill>
                <a:sysClr val="windowText" lastClr="000000">
                  <a:hueOff val="0"/>
                  <a:satOff val="0"/>
                  <a:lumOff val="0"/>
                  <a:alphaOff val="0"/>
                </a:sysClr>
              </a:solidFill>
              <a:latin typeface="Verdana" pitchFamily="34" charset="0"/>
              <a:ea typeface="Verdana" pitchFamily="34" charset="0"/>
              <a:cs typeface="Verdana" pitchFamily="34" charset="0"/>
            </a:rPr>
            <a:t>социјални факотори</a:t>
          </a:r>
          <a:endParaRPr lang="sr-Latn-RS" sz="1000" b="1" kern="1200">
            <a:solidFill>
              <a:sysClr val="windowText" lastClr="000000">
                <a:hueOff val="0"/>
                <a:satOff val="0"/>
                <a:lumOff val="0"/>
                <a:alphaOff val="0"/>
              </a:sysClr>
            </a:solidFill>
            <a:latin typeface="Verdana" pitchFamily="34" charset="0"/>
            <a:ea typeface="Verdana" pitchFamily="34" charset="0"/>
            <a:cs typeface="Verdana" pitchFamily="34" charset="0"/>
          </a:endParaRPr>
        </a:p>
      </dsp:txBody>
      <dsp:txXfrm>
        <a:off x="0" y="2787187"/>
        <a:ext cx="1434006" cy="1089000"/>
      </dsp:txXfrm>
    </dsp:sp>
    <dsp:sp modelId="{5E2F965B-C2E4-47DF-AB93-E3CC2366042A}">
      <dsp:nvSpPr>
        <dsp:cNvPr id="0" name=""/>
        <dsp:cNvSpPr/>
      </dsp:nvSpPr>
      <dsp:spPr>
        <a:xfrm>
          <a:off x="1434006" y="2787187"/>
          <a:ext cx="286801" cy="1089000"/>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C59516C-2A15-44C7-AF58-E2E1385A3DCC}">
      <dsp:nvSpPr>
        <dsp:cNvPr id="0" name=""/>
        <dsp:cNvSpPr/>
      </dsp:nvSpPr>
      <dsp:spPr>
        <a:xfrm>
          <a:off x="1835528" y="2787187"/>
          <a:ext cx="3900499" cy="1089000"/>
        </a:xfrm>
        <a:prstGeom prst="rect">
          <a:avLst/>
        </a:prstGeom>
        <a:solidFill>
          <a:srgbClr val="4F81BD">
            <a:alpha val="90000"/>
            <a:hueOff val="0"/>
            <a:satOff val="0"/>
            <a:lumOff val="0"/>
            <a:alphaOff val="-26667"/>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sr-Cyrl-RS" sz="1000" b="1" kern="1200">
              <a:solidFill>
                <a:sysClr val="window" lastClr="FFFFFF"/>
              </a:solidFill>
              <a:latin typeface="Verdana" pitchFamily="34" charset="0"/>
              <a:ea typeface="Verdana" pitchFamily="34" charset="0"/>
              <a:cs typeface="Verdana" pitchFamily="34" charset="0"/>
            </a:rPr>
            <a:t> </a:t>
          </a:r>
          <a:r>
            <a:rPr lang="sr-Cyrl-RS" sz="900" b="1" kern="1200">
              <a:solidFill>
                <a:sysClr val="window" lastClr="FFFFFF"/>
              </a:solidFill>
              <a:latin typeface="Verdana" pitchFamily="34" charset="0"/>
              <a:ea typeface="Verdana" pitchFamily="34" charset="0"/>
              <a:cs typeface="Verdana" pitchFamily="34" charset="0"/>
            </a:rPr>
            <a:t>Пад стандард становништва</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Опасност од радикализације социјалних тензија</a:t>
          </a:r>
          <a:endParaRPr lang="sr-Latn-RS" sz="900" b="1" kern="1200">
            <a:solidFill>
              <a:sysClr val="window" lastClr="FFFFFF"/>
            </a:solidFill>
            <a:latin typeface="Verdana" pitchFamily="34" charset="0"/>
            <a:ea typeface="Verdana" pitchFamily="34" charset="0"/>
            <a:cs typeface="Verdana" pitchFamily="34" charset="0"/>
          </a:endParaRPr>
        </a:p>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Пораст просечне старости радно запосленог становништва (раст старосних граница за одлазак у пензију)</a:t>
          </a:r>
          <a:endParaRPr lang="sr-Latn-RS" sz="900" b="1" kern="1200">
            <a:solidFill>
              <a:sysClr val="window" lastClr="FFFFFF"/>
            </a:solidFill>
            <a:latin typeface="Verdana" pitchFamily="34" charset="0"/>
            <a:ea typeface="Verdana" pitchFamily="34" charset="0"/>
            <a:cs typeface="Verdana" pitchFamily="34" charset="0"/>
          </a:endParaRPr>
        </a:p>
      </dsp:txBody>
      <dsp:txXfrm>
        <a:off x="1835528" y="2787187"/>
        <a:ext cx="3900499" cy="1089000"/>
      </dsp:txXfrm>
    </dsp:sp>
    <dsp:sp modelId="{51CC5B81-1063-45F3-8D67-19561662C0B4}">
      <dsp:nvSpPr>
        <dsp:cNvPr id="0" name=""/>
        <dsp:cNvSpPr/>
      </dsp:nvSpPr>
      <dsp:spPr>
        <a:xfrm>
          <a:off x="0" y="4074187"/>
          <a:ext cx="1434006" cy="8833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lvl="0" algn="ctr" defTabSz="444500">
            <a:lnSpc>
              <a:spcPct val="90000"/>
            </a:lnSpc>
            <a:spcBef>
              <a:spcPct val="0"/>
            </a:spcBef>
            <a:spcAft>
              <a:spcPct val="35000"/>
            </a:spcAft>
          </a:pPr>
          <a:r>
            <a:rPr lang="sr-Cyrl-RS" sz="1000" b="1" kern="1200">
              <a:solidFill>
                <a:sysClr val="windowText" lastClr="000000">
                  <a:hueOff val="0"/>
                  <a:satOff val="0"/>
                  <a:lumOff val="0"/>
                  <a:alphaOff val="0"/>
                </a:sysClr>
              </a:solidFill>
              <a:latin typeface="Verdana" pitchFamily="34" charset="0"/>
              <a:ea typeface="Verdana" pitchFamily="34" charset="0"/>
              <a:cs typeface="Verdana" pitchFamily="34" charset="0"/>
            </a:rPr>
            <a:t>технолошки фактори</a:t>
          </a:r>
          <a:endParaRPr lang="sr-Latn-RS" sz="1000" kern="1200">
            <a:solidFill>
              <a:sysClr val="windowText" lastClr="000000">
                <a:hueOff val="0"/>
                <a:satOff val="0"/>
                <a:lumOff val="0"/>
                <a:alphaOff val="0"/>
              </a:sysClr>
            </a:solidFill>
            <a:latin typeface="Calibri"/>
            <a:ea typeface="+mn-ea"/>
            <a:cs typeface="+mn-cs"/>
          </a:endParaRPr>
        </a:p>
      </dsp:txBody>
      <dsp:txXfrm>
        <a:off x="0" y="4074187"/>
        <a:ext cx="1434006" cy="883385"/>
      </dsp:txXfrm>
    </dsp:sp>
    <dsp:sp modelId="{8D77D223-F875-49B7-8D0E-2D6BAEB96F19}">
      <dsp:nvSpPr>
        <dsp:cNvPr id="0" name=""/>
        <dsp:cNvSpPr/>
      </dsp:nvSpPr>
      <dsp:spPr>
        <a:xfrm>
          <a:off x="1434006" y="4074187"/>
          <a:ext cx="286801" cy="883385"/>
        </a:xfrm>
        <a:prstGeom prst="leftBrace">
          <a:avLst>
            <a:gd name="adj1" fmla="val 35000"/>
            <a:gd name="adj2" fmla="val 50000"/>
          </a:avLst>
        </a:pr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74B44A5-7666-4509-B0F6-1224A58141FF}">
      <dsp:nvSpPr>
        <dsp:cNvPr id="0" name=""/>
        <dsp:cNvSpPr/>
      </dsp:nvSpPr>
      <dsp:spPr>
        <a:xfrm>
          <a:off x="1835528" y="4074187"/>
          <a:ext cx="3900499" cy="883385"/>
        </a:xfrm>
        <a:prstGeom prst="rect">
          <a:avLst/>
        </a:prstGeom>
        <a:solidFill>
          <a:srgbClr val="4F81BD">
            <a:alpha val="90000"/>
            <a:hueOff val="0"/>
            <a:satOff val="0"/>
            <a:lumOff val="0"/>
            <a:alphaOff val="-4000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sr-Cyrl-RS" sz="900" b="1" kern="1200">
              <a:solidFill>
                <a:sysClr val="window" lastClr="FFFFFF"/>
              </a:solidFill>
              <a:latin typeface="Verdana" pitchFamily="34" charset="0"/>
              <a:ea typeface="Verdana" pitchFamily="34" charset="0"/>
              <a:cs typeface="Verdana" pitchFamily="34" charset="0"/>
            </a:rPr>
            <a:t> Одлуком НБС о минималним стандардима управљања информационим системом финансијских институција регулисане активности на превентивном деловању и правовременом ублажавању најважнијих ризика информационих система у пословању </a:t>
          </a:r>
          <a:endParaRPr lang="sr-Latn-RS" sz="900" b="1" kern="1200">
            <a:solidFill>
              <a:sysClr val="window" lastClr="FFFFFF"/>
            </a:solidFill>
            <a:latin typeface="Verdana" pitchFamily="34" charset="0"/>
            <a:ea typeface="Verdana" pitchFamily="34" charset="0"/>
            <a:cs typeface="Verdana" pitchFamily="34" charset="0"/>
          </a:endParaRPr>
        </a:p>
      </dsp:txBody>
      <dsp:txXfrm>
        <a:off x="1835528" y="4074187"/>
        <a:ext cx="3900499" cy="8833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792DC97-3745-4CAC-A0E7-5785442965AA}">
      <dsp:nvSpPr>
        <dsp:cNvPr id="0" name=""/>
        <dsp:cNvSpPr/>
      </dsp:nvSpPr>
      <dsp:spPr>
        <a:xfrm rot="16200000">
          <a:off x="199360" y="-199360"/>
          <a:ext cx="2344479" cy="2743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sr-Cyrl-RS" sz="1200" b="1" kern="1200">
              <a:latin typeface="Tahoma" panose="020B0604030504040204" pitchFamily="34" charset="0"/>
              <a:ea typeface="Tahoma" panose="020B0604030504040204" pitchFamily="34" charset="0"/>
              <a:cs typeface="Tahoma" panose="020B0604030504040204" pitchFamily="34" charset="0"/>
            </a:rPr>
            <a:t>СНАГА</a:t>
          </a:r>
        </a:p>
        <a:p>
          <a:pPr lvl="0" algn="l" defTabSz="533400">
            <a:lnSpc>
              <a:spcPct val="114000"/>
            </a:lnSpc>
            <a:spcBef>
              <a:spcPct val="0"/>
            </a:spcBef>
            <a:spcAft>
              <a:spcPct val="35000"/>
            </a:spcAft>
          </a:pPr>
          <a:r>
            <a:rPr lang="en-US" sz="1000" kern="1200">
              <a:latin typeface="Tahoma" panose="020B0604030504040204" pitchFamily="34" charset="0"/>
              <a:ea typeface="Tahoma" panose="020B0604030504040204" pitchFamily="34" charset="0"/>
              <a:cs typeface="Tahoma" panose="020B0604030504040204" pitchFamily="34" charset="0"/>
            </a:rPr>
            <a:t>-</a:t>
          </a:r>
          <a:r>
            <a:rPr lang="sr-Cyrl-RS" sz="1000" kern="1200">
              <a:latin typeface="Tahoma" panose="020B0604030504040204" pitchFamily="34" charset="0"/>
              <a:ea typeface="Tahoma" panose="020B0604030504040204" pitchFamily="34" charset="0"/>
              <a:cs typeface="Tahoma" panose="020B0604030504040204" pitchFamily="34" charset="0"/>
            </a:rPr>
            <a:t> Искуство на пољу реосигурања преко 30 година</a:t>
          </a: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Препознатиљив партнер на тржишту реосигурања у земљи и иностранству</a:t>
          </a: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rot="5400000">
        <a:off x="0" y="0"/>
        <a:ext cx="2743200" cy="1758359"/>
      </dsp:txXfrm>
    </dsp:sp>
    <dsp:sp modelId="{05BC433E-B9E7-48AE-AA4A-860763FF666F}">
      <dsp:nvSpPr>
        <dsp:cNvPr id="0" name=""/>
        <dsp:cNvSpPr/>
      </dsp:nvSpPr>
      <dsp:spPr>
        <a:xfrm>
          <a:off x="2743200" y="0"/>
          <a:ext cx="2743200" cy="2344479"/>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sr-Cyrl-RS" sz="1200" b="1" kern="1200">
              <a:latin typeface="Tahoma" panose="020B0604030504040204" pitchFamily="34" charset="0"/>
              <a:ea typeface="Tahoma" panose="020B0604030504040204" pitchFamily="34" charset="0"/>
              <a:cs typeface="Tahoma" panose="020B0604030504040204" pitchFamily="34" charset="0"/>
            </a:rPr>
            <a:t>СЛАБОСТИ</a:t>
          </a:r>
        </a:p>
        <a:p>
          <a:pPr lvl="0" algn="l" defTabSz="533400">
            <a:lnSpc>
              <a:spcPct val="114000"/>
            </a:lnSpc>
            <a:spcBef>
              <a:spcPct val="0"/>
            </a:spcBef>
            <a:spcAft>
              <a:spcPct val="35000"/>
            </a:spcAft>
          </a:pPr>
          <a:r>
            <a:rPr lang="sr-Cyrl-RS" sz="1200" kern="1200">
              <a:latin typeface="Tahoma" panose="020B0604030504040204" pitchFamily="34" charset="0"/>
              <a:ea typeface="Tahoma" panose="020B0604030504040204" pitchFamily="34" charset="0"/>
              <a:cs typeface="Tahoma" panose="020B0604030504040204" pitchFamily="34" charset="0"/>
            </a:rPr>
            <a:t>- </a:t>
          </a:r>
          <a:r>
            <a:rPr lang="sr-Cyrl-RS" sz="1000" kern="1200">
              <a:latin typeface="Tahoma" panose="020B0604030504040204" pitchFamily="34" charset="0"/>
              <a:ea typeface="Tahoma" panose="020B0604030504040204" pitchFamily="34" charset="0"/>
              <a:cs typeface="Tahoma" panose="020B0604030504040204" pitchFamily="34" charset="0"/>
            </a:rPr>
            <a:t>недовољно развијен информациони систем</a:t>
          </a: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недостатак званичног рејтинга од међународно признатих агенција</a:t>
          </a:r>
        </a:p>
        <a:p>
          <a:pPr lvl="0" algn="l" defTabSz="533400">
            <a:lnSpc>
              <a:spcPct val="114000"/>
            </a:lnSpc>
            <a:spcBef>
              <a:spcPct val="0"/>
            </a:spcBef>
            <a:spcAft>
              <a:spcPct val="35000"/>
            </a:spcAft>
          </a:pPr>
          <a:endParaRPr lang="en-US" sz="1000" kern="1200">
            <a:latin typeface="Tahoma" panose="020B0604030504040204" pitchFamily="34" charset="0"/>
            <a:ea typeface="Tahoma" panose="020B0604030504040204" pitchFamily="34" charset="0"/>
            <a:cs typeface="Tahoma" panose="020B0604030504040204" pitchFamily="34" charset="0"/>
          </a:endParaRPr>
        </a:p>
      </dsp:txBody>
      <dsp:txXfrm>
        <a:off x="2743200" y="0"/>
        <a:ext cx="2743200" cy="1758359"/>
      </dsp:txXfrm>
    </dsp:sp>
    <dsp:sp modelId="{89AF9D18-452A-476A-A751-93FAB965115C}">
      <dsp:nvSpPr>
        <dsp:cNvPr id="0" name=""/>
        <dsp:cNvSpPr/>
      </dsp:nvSpPr>
      <dsp:spPr>
        <a:xfrm rot="10800000">
          <a:off x="0" y="2344479"/>
          <a:ext cx="2743200" cy="2344479"/>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0" rIns="85344" bIns="0" numCol="1" spcCol="1270" anchor="t" anchorCtr="0">
          <a:noAutofit/>
        </a:bodyPr>
        <a:lstStyle/>
        <a:p>
          <a:pPr lvl="0" algn="ctr" defTabSz="533400">
            <a:lnSpc>
              <a:spcPct val="90000"/>
            </a:lnSpc>
            <a:spcBef>
              <a:spcPct val="0"/>
            </a:spcBef>
            <a:spcAft>
              <a:spcPct val="35000"/>
            </a:spcAft>
          </a:pPr>
          <a:r>
            <a:rPr lang="sr-Cyrl-RS" sz="1200" b="1" kern="1200">
              <a:latin typeface="Tahoma" panose="020B0604030504040204" pitchFamily="34" charset="0"/>
              <a:ea typeface="Tahoma" panose="020B0604030504040204" pitchFamily="34" charset="0"/>
              <a:cs typeface="Tahoma" panose="020B0604030504040204" pitchFamily="34" charset="0"/>
            </a:rPr>
            <a:t>МОГУЋНОСТИ</a:t>
          </a: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развој хоризонталне ретроцесије на локалном тржишту реосигурања</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обезбеђење  капацитета за аутоматска реосигурања на ино-тржишту за неразвијене портфеље тј. нове производе на тржишту </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ctr" defTabSz="533400">
            <a:lnSpc>
              <a:spcPct val="90000"/>
            </a:lnSpc>
            <a:spcBef>
              <a:spcPct val="0"/>
            </a:spcBef>
            <a:spcAft>
              <a:spcPct val="35000"/>
            </a:spcAft>
          </a:pPr>
          <a:endParaRPr lang="sr-Cyrl-RS" sz="900" kern="1200"/>
        </a:p>
      </dsp:txBody>
      <dsp:txXfrm rot="10800000">
        <a:off x="0" y="2930598"/>
        <a:ext cx="2743200" cy="1758359"/>
      </dsp:txXfrm>
    </dsp:sp>
    <dsp:sp modelId="{27C05185-9F74-44C0-962B-7F8C309F8CC1}">
      <dsp:nvSpPr>
        <dsp:cNvPr id="0" name=""/>
        <dsp:cNvSpPr/>
      </dsp:nvSpPr>
      <dsp:spPr>
        <a:xfrm rot="5400000">
          <a:off x="2942560" y="2145118"/>
          <a:ext cx="2344479" cy="2743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b" anchorCtr="0">
          <a:noAutofit/>
        </a:bodyPr>
        <a:lstStyle/>
        <a:p>
          <a:pPr lvl="0" algn="ctr" defTabSz="533400">
            <a:lnSpc>
              <a:spcPct val="90000"/>
            </a:lnSpc>
            <a:spcBef>
              <a:spcPct val="0"/>
            </a:spcBef>
            <a:spcAft>
              <a:spcPct val="35000"/>
            </a:spcAft>
          </a:pPr>
          <a:r>
            <a:rPr lang="sr-Cyrl-RS" sz="1200" b="1" kern="1200">
              <a:latin typeface="Tahoma" panose="020B0604030504040204" pitchFamily="34" charset="0"/>
              <a:ea typeface="Tahoma" panose="020B0604030504040204" pitchFamily="34" charset="0"/>
              <a:cs typeface="Tahoma" panose="020B0604030504040204" pitchFamily="34" charset="0"/>
            </a:rPr>
            <a:t>ПРЕТЊЕ</a:t>
          </a: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либеризација тржишта</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експанзија осигурања према мастер полисама за веће привредне субјекте у страном власништву</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високи капацитети групних програма расположиви локалним реосигуравачима у страном власништву</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активност посредника у осигурању који поскупљују укупну цену према осигуранику</a:t>
          </a:r>
          <a:endParaRPr lang="en-US" sz="1000" kern="1200">
            <a:latin typeface="Tahoma" panose="020B0604030504040204" pitchFamily="34" charset="0"/>
            <a:ea typeface="Tahoma" panose="020B0604030504040204" pitchFamily="34" charset="0"/>
            <a:cs typeface="Tahoma" panose="020B0604030504040204" pitchFamily="34" charset="0"/>
          </a:endParaRPr>
        </a:p>
        <a:p>
          <a:pPr lvl="0" algn="l" defTabSz="533400">
            <a:lnSpc>
              <a:spcPct val="114000"/>
            </a:lnSpc>
            <a:spcBef>
              <a:spcPct val="0"/>
            </a:spcBef>
            <a:spcAft>
              <a:spcPct val="35000"/>
            </a:spcAft>
          </a:pPr>
          <a:r>
            <a:rPr lang="sr-Cyrl-RS" sz="1000" kern="1200">
              <a:latin typeface="Tahoma" panose="020B0604030504040204" pitchFamily="34" charset="0"/>
              <a:ea typeface="Tahoma" panose="020B0604030504040204" pitchFamily="34" charset="0"/>
              <a:cs typeface="Tahoma" panose="020B0604030504040204" pitchFamily="34" charset="0"/>
            </a:rPr>
            <a:t>- нестабилност банкарског тржишта</a:t>
          </a:r>
          <a:endParaRPr lang="en-US" sz="600" kern="1200"/>
        </a:p>
      </dsp:txBody>
      <dsp:txXfrm rot="-5400000">
        <a:off x="2743200" y="2930598"/>
        <a:ext cx="2743200" cy="1758359"/>
      </dsp:txXfrm>
    </dsp:sp>
    <dsp:sp modelId="{27EF1CAE-77C4-4025-9EE3-B7A81CE73BCE}">
      <dsp:nvSpPr>
        <dsp:cNvPr id="0" name=""/>
        <dsp:cNvSpPr/>
      </dsp:nvSpPr>
      <dsp:spPr>
        <a:xfrm>
          <a:off x="2101175" y="2077671"/>
          <a:ext cx="1284048" cy="533615"/>
        </a:xfrm>
        <a:prstGeom prst="roundRect">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US" sz="1800" kern="1200"/>
            <a:t>SWOT</a:t>
          </a:r>
        </a:p>
      </dsp:txBody>
      <dsp:txXfrm>
        <a:off x="2127224" y="2103720"/>
        <a:ext cx="1231950" cy="481517"/>
      </dsp:txXfrm>
    </dsp:sp>
  </dsp:spTree>
</dsp:drawing>
</file>

<file path=word/diagrams/layout1.xml><?xml version="1.0" encoding="utf-8"?>
<dgm:layoutDef xmlns:dgm="http://schemas.openxmlformats.org/drawingml/2006/diagram" xmlns:a="http://schemas.openxmlformats.org/drawingml/2006/main" uniqueId="urn:diagrams.loki3.com/BracketList+Icon">
  <dgm:title val="Vertical Bracket List"/>
  <dgm:desc val="Use to show grouped blocks of information.  Works well with large amounts of Level 2 text."/>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70287-879E-4B98-8977-BABA0AC2C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8404</Words>
  <Characters>47904</Characters>
  <Application>Microsoft Office Word</Application>
  <DocSecurity>0</DocSecurity>
  <Lines>399</Lines>
  <Paragraphs>112</Paragraphs>
  <ScaleCrop>false</ScaleCrop>
  <HeadingPairs>
    <vt:vector size="4" baseType="variant">
      <vt:variant>
        <vt:lpstr>Title</vt:lpstr>
      </vt:variant>
      <vt:variant>
        <vt:i4>1</vt:i4>
      </vt:variant>
      <vt:variant>
        <vt:lpstr>Headings</vt:lpstr>
      </vt:variant>
      <vt:variant>
        <vt:i4>35</vt:i4>
      </vt:variant>
    </vt:vector>
  </HeadingPairs>
  <TitlesOfParts>
    <vt:vector size="36" baseType="lpstr">
      <vt:lpstr>Извештај о пословању</vt:lpstr>
      <vt:lpstr>//</vt:lpstr>
      <vt:lpstr>КРАТАК ПРЕГЛЕД </vt:lpstr>
      <vt:lpstr>Основни подаци о Друштву</vt:lpstr>
      <vt:lpstr>Опште информације о друштву</vt:lpstr>
      <vt:lpstr>Визија Друштва</vt:lpstr>
      <vt:lpstr>Мисија </vt:lpstr>
      <vt:lpstr>Вредност Друштва</vt:lpstr>
      <vt:lpstr>АНАЛИЗА И ПРОЈЕКЦИЈЕ ЕКСТЕРНИХ И ИНТЕРНИХ                УСЛОВА ПОСЛОВАЊА </vt:lpstr>
      <vt:lpstr>„PEST“ анализа</vt:lpstr>
      <vt:lpstr>Циљеви економске политике</vt:lpstr>
      <vt:lpstr>Макроекономске пројекције</vt:lpstr>
      <vt:lpstr>*Извор: Фискална стратегија за 2015. годину са пројекцијама за 2016. и 2017. год</vt:lpstr>
      <vt:lpstr>Утицај екстерних фактора на  пословање Друштва</vt:lpstr>
      <vt:lpstr>Тренутна позиција и перспективе</vt:lpstr>
      <vt:lpstr>SWOT анализа </vt:lpstr>
      <vt:lpstr>СТРАТЕШКИ ЦИЉЕВИ И ПРАВЦИ РАЗВОЈА                                       </vt:lpstr>
      <vt:lpstr>Стратешки правци развоја Друштва</vt:lpstr>
      <vt:lpstr>Дефинисање стратешких циљева </vt:lpstr>
      <vt:lpstr/>
      <vt:lpstr>ПЛАНИРАНЕ ПОСЛОВНЕ АКТИВНОСТИ У ТОКУ 2014. ГОДИНЕ </vt:lpstr>
      <vt:lpstr>Претпоставке за израду плана премије за 2015. годину су:</vt:lpstr>
      <vt:lpstr>Планирана премија за 2015. годину</vt:lpstr>
      <vt:lpstr>Претпоставке за израду плана плана ликвидираних и резервисаних  штета за 2015. г</vt:lpstr>
      <vt:lpstr>Планиране штете за 2015. годину</vt:lpstr>
      <vt:lpstr>ДОДАТНЕ ИНФОРМАЦИЈЕ</vt:lpstr>
      <vt:lpstr>План провизије за 2015. годину</vt:lpstr>
      <vt:lpstr>План резервација за настале непријављене штете (ИБНР) за 2015. </vt:lpstr>
      <vt:lpstr>План резерви за изравнање ризика (РЗИР) за 2015. годину</vt:lpstr>
      <vt:lpstr>Планирани меродавни технички резултат у самопридржају Друштва за 2015. годину</vt:lpstr>
      <vt:lpstr>ПЛАН ИНВЕСТИЦИОНИХ УЛАГАЊА У ТОКУ 2014. ГОДИНЕ </vt:lpstr>
      <vt:lpstr>ПЛАН ТРОШКОВА СПРОВОЂЕЊА ЗА 2015. ГОДИНУ </vt:lpstr>
      <vt:lpstr>ПЛАН ДЕПОНОВАЊА И УЛАГАЊА СРЕДСТАВА ДРУШТВА</vt:lpstr>
      <vt:lpstr/>
      <vt:lpstr>ПЛАН ПРИХОДА И РАСХОДА ОД УСКЛАЂИВАЊА                          ЗА 2015. ГОДИНУ</vt:lpstr>
      <vt:lpstr>ПЛАН УКУПНИХ ПРИХОДА, УКУПНИХ РАСХОДА И РЕЗУЛТАТА ЗА 2015. ГОДИНУ</vt:lpstr>
    </vt:vector>
  </TitlesOfParts>
  <Company/>
  <LinksUpToDate>false</LinksUpToDate>
  <CharactersWithSpaces>56196</CharactersWithSpaces>
  <SharedDoc>false</SharedDoc>
  <HLinks>
    <vt:vector size="174" baseType="variant">
      <vt:variant>
        <vt:i4>1114169</vt:i4>
      </vt:variant>
      <vt:variant>
        <vt:i4>170</vt:i4>
      </vt:variant>
      <vt:variant>
        <vt:i4>0</vt:i4>
      </vt:variant>
      <vt:variant>
        <vt:i4>5</vt:i4>
      </vt:variant>
      <vt:variant>
        <vt:lpwstr/>
      </vt:variant>
      <vt:variant>
        <vt:lpwstr>_Toc382985024</vt:lpwstr>
      </vt:variant>
      <vt:variant>
        <vt:i4>1114169</vt:i4>
      </vt:variant>
      <vt:variant>
        <vt:i4>164</vt:i4>
      </vt:variant>
      <vt:variant>
        <vt:i4>0</vt:i4>
      </vt:variant>
      <vt:variant>
        <vt:i4>5</vt:i4>
      </vt:variant>
      <vt:variant>
        <vt:lpwstr/>
      </vt:variant>
      <vt:variant>
        <vt:lpwstr>_Toc382985023</vt:lpwstr>
      </vt:variant>
      <vt:variant>
        <vt:i4>1114169</vt:i4>
      </vt:variant>
      <vt:variant>
        <vt:i4>158</vt:i4>
      </vt:variant>
      <vt:variant>
        <vt:i4>0</vt:i4>
      </vt:variant>
      <vt:variant>
        <vt:i4>5</vt:i4>
      </vt:variant>
      <vt:variant>
        <vt:lpwstr/>
      </vt:variant>
      <vt:variant>
        <vt:lpwstr>_Toc382985022</vt:lpwstr>
      </vt:variant>
      <vt:variant>
        <vt:i4>1114169</vt:i4>
      </vt:variant>
      <vt:variant>
        <vt:i4>152</vt:i4>
      </vt:variant>
      <vt:variant>
        <vt:i4>0</vt:i4>
      </vt:variant>
      <vt:variant>
        <vt:i4>5</vt:i4>
      </vt:variant>
      <vt:variant>
        <vt:lpwstr/>
      </vt:variant>
      <vt:variant>
        <vt:lpwstr>_Toc382985021</vt:lpwstr>
      </vt:variant>
      <vt:variant>
        <vt:i4>1114169</vt:i4>
      </vt:variant>
      <vt:variant>
        <vt:i4>146</vt:i4>
      </vt:variant>
      <vt:variant>
        <vt:i4>0</vt:i4>
      </vt:variant>
      <vt:variant>
        <vt:i4>5</vt:i4>
      </vt:variant>
      <vt:variant>
        <vt:lpwstr/>
      </vt:variant>
      <vt:variant>
        <vt:lpwstr>_Toc382985020</vt:lpwstr>
      </vt:variant>
      <vt:variant>
        <vt:i4>1179705</vt:i4>
      </vt:variant>
      <vt:variant>
        <vt:i4>140</vt:i4>
      </vt:variant>
      <vt:variant>
        <vt:i4>0</vt:i4>
      </vt:variant>
      <vt:variant>
        <vt:i4>5</vt:i4>
      </vt:variant>
      <vt:variant>
        <vt:lpwstr/>
      </vt:variant>
      <vt:variant>
        <vt:lpwstr>_Toc382985019</vt:lpwstr>
      </vt:variant>
      <vt:variant>
        <vt:i4>1179705</vt:i4>
      </vt:variant>
      <vt:variant>
        <vt:i4>134</vt:i4>
      </vt:variant>
      <vt:variant>
        <vt:i4>0</vt:i4>
      </vt:variant>
      <vt:variant>
        <vt:i4>5</vt:i4>
      </vt:variant>
      <vt:variant>
        <vt:lpwstr/>
      </vt:variant>
      <vt:variant>
        <vt:lpwstr>_Toc382985018</vt:lpwstr>
      </vt:variant>
      <vt:variant>
        <vt:i4>1179705</vt:i4>
      </vt:variant>
      <vt:variant>
        <vt:i4>128</vt:i4>
      </vt:variant>
      <vt:variant>
        <vt:i4>0</vt:i4>
      </vt:variant>
      <vt:variant>
        <vt:i4>5</vt:i4>
      </vt:variant>
      <vt:variant>
        <vt:lpwstr/>
      </vt:variant>
      <vt:variant>
        <vt:lpwstr>_Toc382985017</vt:lpwstr>
      </vt:variant>
      <vt:variant>
        <vt:i4>1179705</vt:i4>
      </vt:variant>
      <vt:variant>
        <vt:i4>122</vt:i4>
      </vt:variant>
      <vt:variant>
        <vt:i4>0</vt:i4>
      </vt:variant>
      <vt:variant>
        <vt:i4>5</vt:i4>
      </vt:variant>
      <vt:variant>
        <vt:lpwstr/>
      </vt:variant>
      <vt:variant>
        <vt:lpwstr>_Toc382985016</vt:lpwstr>
      </vt:variant>
      <vt:variant>
        <vt:i4>1179705</vt:i4>
      </vt:variant>
      <vt:variant>
        <vt:i4>116</vt:i4>
      </vt:variant>
      <vt:variant>
        <vt:i4>0</vt:i4>
      </vt:variant>
      <vt:variant>
        <vt:i4>5</vt:i4>
      </vt:variant>
      <vt:variant>
        <vt:lpwstr/>
      </vt:variant>
      <vt:variant>
        <vt:lpwstr>_Toc382985015</vt:lpwstr>
      </vt:variant>
      <vt:variant>
        <vt:i4>1179705</vt:i4>
      </vt:variant>
      <vt:variant>
        <vt:i4>110</vt:i4>
      </vt:variant>
      <vt:variant>
        <vt:i4>0</vt:i4>
      </vt:variant>
      <vt:variant>
        <vt:i4>5</vt:i4>
      </vt:variant>
      <vt:variant>
        <vt:lpwstr/>
      </vt:variant>
      <vt:variant>
        <vt:lpwstr>_Toc382985014</vt:lpwstr>
      </vt:variant>
      <vt:variant>
        <vt:i4>1179705</vt:i4>
      </vt:variant>
      <vt:variant>
        <vt:i4>104</vt:i4>
      </vt:variant>
      <vt:variant>
        <vt:i4>0</vt:i4>
      </vt:variant>
      <vt:variant>
        <vt:i4>5</vt:i4>
      </vt:variant>
      <vt:variant>
        <vt:lpwstr/>
      </vt:variant>
      <vt:variant>
        <vt:lpwstr>_Toc382985013</vt:lpwstr>
      </vt:variant>
      <vt:variant>
        <vt:i4>1179705</vt:i4>
      </vt:variant>
      <vt:variant>
        <vt:i4>98</vt:i4>
      </vt:variant>
      <vt:variant>
        <vt:i4>0</vt:i4>
      </vt:variant>
      <vt:variant>
        <vt:i4>5</vt:i4>
      </vt:variant>
      <vt:variant>
        <vt:lpwstr/>
      </vt:variant>
      <vt:variant>
        <vt:lpwstr>_Toc382985012</vt:lpwstr>
      </vt:variant>
      <vt:variant>
        <vt:i4>1179705</vt:i4>
      </vt:variant>
      <vt:variant>
        <vt:i4>92</vt:i4>
      </vt:variant>
      <vt:variant>
        <vt:i4>0</vt:i4>
      </vt:variant>
      <vt:variant>
        <vt:i4>5</vt:i4>
      </vt:variant>
      <vt:variant>
        <vt:lpwstr/>
      </vt:variant>
      <vt:variant>
        <vt:lpwstr>_Toc382985011</vt:lpwstr>
      </vt:variant>
      <vt:variant>
        <vt:i4>1179705</vt:i4>
      </vt:variant>
      <vt:variant>
        <vt:i4>86</vt:i4>
      </vt:variant>
      <vt:variant>
        <vt:i4>0</vt:i4>
      </vt:variant>
      <vt:variant>
        <vt:i4>5</vt:i4>
      </vt:variant>
      <vt:variant>
        <vt:lpwstr/>
      </vt:variant>
      <vt:variant>
        <vt:lpwstr>_Toc382985010</vt:lpwstr>
      </vt:variant>
      <vt:variant>
        <vt:i4>1245241</vt:i4>
      </vt:variant>
      <vt:variant>
        <vt:i4>80</vt:i4>
      </vt:variant>
      <vt:variant>
        <vt:i4>0</vt:i4>
      </vt:variant>
      <vt:variant>
        <vt:i4>5</vt:i4>
      </vt:variant>
      <vt:variant>
        <vt:lpwstr/>
      </vt:variant>
      <vt:variant>
        <vt:lpwstr>_Toc382985009</vt:lpwstr>
      </vt:variant>
      <vt:variant>
        <vt:i4>1245241</vt:i4>
      </vt:variant>
      <vt:variant>
        <vt:i4>74</vt:i4>
      </vt:variant>
      <vt:variant>
        <vt:i4>0</vt:i4>
      </vt:variant>
      <vt:variant>
        <vt:i4>5</vt:i4>
      </vt:variant>
      <vt:variant>
        <vt:lpwstr/>
      </vt:variant>
      <vt:variant>
        <vt:lpwstr>_Toc382985008</vt:lpwstr>
      </vt:variant>
      <vt:variant>
        <vt:i4>1245241</vt:i4>
      </vt:variant>
      <vt:variant>
        <vt:i4>68</vt:i4>
      </vt:variant>
      <vt:variant>
        <vt:i4>0</vt:i4>
      </vt:variant>
      <vt:variant>
        <vt:i4>5</vt:i4>
      </vt:variant>
      <vt:variant>
        <vt:lpwstr/>
      </vt:variant>
      <vt:variant>
        <vt:lpwstr>_Toc382985007</vt:lpwstr>
      </vt:variant>
      <vt:variant>
        <vt:i4>1245241</vt:i4>
      </vt:variant>
      <vt:variant>
        <vt:i4>62</vt:i4>
      </vt:variant>
      <vt:variant>
        <vt:i4>0</vt:i4>
      </vt:variant>
      <vt:variant>
        <vt:i4>5</vt:i4>
      </vt:variant>
      <vt:variant>
        <vt:lpwstr/>
      </vt:variant>
      <vt:variant>
        <vt:lpwstr>_Toc382985006</vt:lpwstr>
      </vt:variant>
      <vt:variant>
        <vt:i4>1245241</vt:i4>
      </vt:variant>
      <vt:variant>
        <vt:i4>56</vt:i4>
      </vt:variant>
      <vt:variant>
        <vt:i4>0</vt:i4>
      </vt:variant>
      <vt:variant>
        <vt:i4>5</vt:i4>
      </vt:variant>
      <vt:variant>
        <vt:lpwstr/>
      </vt:variant>
      <vt:variant>
        <vt:lpwstr>_Toc382985004</vt:lpwstr>
      </vt:variant>
      <vt:variant>
        <vt:i4>1245241</vt:i4>
      </vt:variant>
      <vt:variant>
        <vt:i4>50</vt:i4>
      </vt:variant>
      <vt:variant>
        <vt:i4>0</vt:i4>
      </vt:variant>
      <vt:variant>
        <vt:i4>5</vt:i4>
      </vt:variant>
      <vt:variant>
        <vt:lpwstr/>
      </vt:variant>
      <vt:variant>
        <vt:lpwstr>_Toc382985003</vt:lpwstr>
      </vt:variant>
      <vt:variant>
        <vt:i4>1245241</vt:i4>
      </vt:variant>
      <vt:variant>
        <vt:i4>44</vt:i4>
      </vt:variant>
      <vt:variant>
        <vt:i4>0</vt:i4>
      </vt:variant>
      <vt:variant>
        <vt:i4>5</vt:i4>
      </vt:variant>
      <vt:variant>
        <vt:lpwstr/>
      </vt:variant>
      <vt:variant>
        <vt:lpwstr>_Toc382985002</vt:lpwstr>
      </vt:variant>
      <vt:variant>
        <vt:i4>1245241</vt:i4>
      </vt:variant>
      <vt:variant>
        <vt:i4>38</vt:i4>
      </vt:variant>
      <vt:variant>
        <vt:i4>0</vt:i4>
      </vt:variant>
      <vt:variant>
        <vt:i4>5</vt:i4>
      </vt:variant>
      <vt:variant>
        <vt:lpwstr/>
      </vt:variant>
      <vt:variant>
        <vt:lpwstr>_Toc382985001</vt:lpwstr>
      </vt:variant>
      <vt:variant>
        <vt:i4>1245241</vt:i4>
      </vt:variant>
      <vt:variant>
        <vt:i4>32</vt:i4>
      </vt:variant>
      <vt:variant>
        <vt:i4>0</vt:i4>
      </vt:variant>
      <vt:variant>
        <vt:i4>5</vt:i4>
      </vt:variant>
      <vt:variant>
        <vt:lpwstr/>
      </vt:variant>
      <vt:variant>
        <vt:lpwstr>_Toc382985000</vt:lpwstr>
      </vt:variant>
      <vt:variant>
        <vt:i4>1769520</vt:i4>
      </vt:variant>
      <vt:variant>
        <vt:i4>26</vt:i4>
      </vt:variant>
      <vt:variant>
        <vt:i4>0</vt:i4>
      </vt:variant>
      <vt:variant>
        <vt:i4>5</vt:i4>
      </vt:variant>
      <vt:variant>
        <vt:lpwstr/>
      </vt:variant>
      <vt:variant>
        <vt:lpwstr>_Toc382984999</vt:lpwstr>
      </vt:variant>
      <vt:variant>
        <vt:i4>1769520</vt:i4>
      </vt:variant>
      <vt:variant>
        <vt:i4>20</vt:i4>
      </vt:variant>
      <vt:variant>
        <vt:i4>0</vt:i4>
      </vt:variant>
      <vt:variant>
        <vt:i4>5</vt:i4>
      </vt:variant>
      <vt:variant>
        <vt:lpwstr/>
      </vt:variant>
      <vt:variant>
        <vt:lpwstr>_Toc382984998</vt:lpwstr>
      </vt:variant>
      <vt:variant>
        <vt:i4>1769520</vt:i4>
      </vt:variant>
      <vt:variant>
        <vt:i4>14</vt:i4>
      </vt:variant>
      <vt:variant>
        <vt:i4>0</vt:i4>
      </vt:variant>
      <vt:variant>
        <vt:i4>5</vt:i4>
      </vt:variant>
      <vt:variant>
        <vt:lpwstr/>
      </vt:variant>
      <vt:variant>
        <vt:lpwstr>_Toc382984997</vt:lpwstr>
      </vt:variant>
      <vt:variant>
        <vt:i4>1769520</vt:i4>
      </vt:variant>
      <vt:variant>
        <vt:i4>8</vt:i4>
      </vt:variant>
      <vt:variant>
        <vt:i4>0</vt:i4>
      </vt:variant>
      <vt:variant>
        <vt:i4>5</vt:i4>
      </vt:variant>
      <vt:variant>
        <vt:lpwstr/>
      </vt:variant>
      <vt:variant>
        <vt:lpwstr>_Toc382984996</vt:lpwstr>
      </vt:variant>
      <vt:variant>
        <vt:i4>1769520</vt:i4>
      </vt:variant>
      <vt:variant>
        <vt:i4>2</vt:i4>
      </vt:variant>
      <vt:variant>
        <vt:i4>0</vt:i4>
      </vt:variant>
      <vt:variant>
        <vt:i4>5</vt:i4>
      </vt:variant>
      <vt:variant>
        <vt:lpwstr/>
      </vt:variant>
      <vt:variant>
        <vt:lpwstr>_Toc382984995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пословању</dc:title>
  <dc:subject>за период од 01.01.-30.09.2011.</dc:subject>
  <dc:creator>User</dc:creator>
  <cp:lastModifiedBy>Bojan Maricic</cp:lastModifiedBy>
  <cp:revision>11</cp:revision>
  <cp:lastPrinted>2015-04-29T07:25:00Z</cp:lastPrinted>
  <dcterms:created xsi:type="dcterms:W3CDTF">2015-03-20T09:02:00Z</dcterms:created>
  <dcterms:modified xsi:type="dcterms:W3CDTF">2015-04-29T07:25:00Z</dcterms:modified>
</cp:coreProperties>
</file>