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charts/chart12.xml" ContentType="application/vnd.openxmlformats-officedocument.drawingml.chart+xml"/>
  <Override PartName="/word/theme/themeOverride11.xml" ContentType="application/vnd.openxmlformats-officedocument.themeOverride+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noProof/>
          <w:sz w:val="72"/>
          <w:szCs w:val="72"/>
          <w:highlight w:val="yellow"/>
          <w:lang w:val="sr-Cyrl-CS" w:eastAsia="en-US"/>
        </w:rPr>
        <w:id w:val="223569285"/>
        <w:docPartObj>
          <w:docPartGallery w:val="Cover Pages"/>
          <w:docPartUnique/>
        </w:docPartObj>
      </w:sdtPr>
      <w:sdtEndPr>
        <w:rPr>
          <w:rFonts w:asciiTheme="minorHAnsi" w:eastAsiaTheme="minorHAnsi" w:hAnsiTheme="minorHAnsi" w:cstheme="minorBidi"/>
          <w:sz w:val="22"/>
          <w:szCs w:val="22"/>
        </w:rPr>
      </w:sdtEndPr>
      <w:sdtContent>
        <w:p w14:paraId="5F0F5AF8" w14:textId="77777777" w:rsidR="00856492" w:rsidRPr="00BF3CDE" w:rsidRDefault="00856492">
          <w:pPr>
            <w:pStyle w:val="NoSpacing"/>
            <w:rPr>
              <w:rFonts w:asciiTheme="majorHAnsi" w:eastAsiaTheme="majorEastAsia" w:hAnsiTheme="majorHAnsi" w:cstheme="majorBidi"/>
              <w:noProof/>
              <w:sz w:val="72"/>
              <w:szCs w:val="72"/>
              <w:highlight w:val="yellow"/>
              <w:lang w:val="sr-Cyrl-CS"/>
            </w:rPr>
          </w:pPr>
        </w:p>
        <w:p w14:paraId="6B21D7B9" w14:textId="77777777" w:rsidR="00856492" w:rsidRPr="00BF3CDE" w:rsidRDefault="00856492">
          <w:pPr>
            <w:pStyle w:val="NoSpacing"/>
            <w:rPr>
              <w:rFonts w:asciiTheme="majorHAnsi" w:eastAsiaTheme="majorEastAsia" w:hAnsiTheme="majorHAnsi" w:cstheme="majorBidi"/>
              <w:noProof/>
              <w:sz w:val="72"/>
              <w:szCs w:val="72"/>
              <w:highlight w:val="yellow"/>
              <w:lang w:val="sr-Cyrl-CS"/>
            </w:rPr>
          </w:pPr>
        </w:p>
        <w:p w14:paraId="0C5DC92C" w14:textId="77777777" w:rsidR="00856492" w:rsidRPr="00BF3CDE" w:rsidRDefault="00856492">
          <w:pPr>
            <w:pStyle w:val="NoSpacing"/>
            <w:rPr>
              <w:rFonts w:asciiTheme="majorHAnsi" w:eastAsiaTheme="majorEastAsia" w:hAnsiTheme="majorHAnsi" w:cstheme="majorBidi"/>
              <w:noProof/>
              <w:sz w:val="72"/>
              <w:szCs w:val="72"/>
              <w:highlight w:val="yellow"/>
              <w:lang w:val="sr-Cyrl-CS"/>
            </w:rPr>
          </w:pPr>
        </w:p>
        <w:p w14:paraId="04FB654B" w14:textId="77777777" w:rsidR="00856492" w:rsidRPr="00BF3CDE" w:rsidRDefault="00856492">
          <w:pPr>
            <w:pStyle w:val="NoSpacing"/>
            <w:rPr>
              <w:rFonts w:asciiTheme="majorHAnsi" w:eastAsiaTheme="majorEastAsia" w:hAnsiTheme="majorHAnsi" w:cstheme="majorBidi"/>
              <w:noProof/>
              <w:sz w:val="72"/>
              <w:szCs w:val="72"/>
              <w:highlight w:val="yellow"/>
              <w:lang w:val="sr-Cyrl-CS"/>
            </w:rPr>
          </w:pPr>
        </w:p>
        <w:p w14:paraId="3B69AC96" w14:textId="77777777" w:rsidR="00856492" w:rsidRPr="00BF3CDE" w:rsidRDefault="002A45ED">
          <w:pPr>
            <w:pStyle w:val="NoSpacing"/>
            <w:rPr>
              <w:rFonts w:asciiTheme="majorHAnsi" w:eastAsiaTheme="majorEastAsia" w:hAnsiTheme="majorHAnsi" w:cstheme="majorBidi"/>
              <w:noProof/>
              <w:sz w:val="72"/>
              <w:szCs w:val="72"/>
              <w:highlight w:val="yellow"/>
              <w:lang w:val="sr-Cyrl-CS"/>
            </w:rPr>
          </w:pPr>
          <w:r w:rsidRPr="00BF3CDE">
            <w:rPr>
              <w:noProof/>
              <w:highlight w:val="yellow"/>
              <w:lang w:val="sr-Latn-RS" w:eastAsia="sr-Latn-RS"/>
            </w:rPr>
            <mc:AlternateContent>
              <mc:Choice Requires="wps">
                <w:drawing>
                  <wp:anchor distT="0" distB="0" distL="114300" distR="114300" simplePos="0" relativeHeight="251659264" behindDoc="0" locked="0" layoutInCell="0" allowOverlap="1" wp14:anchorId="41DDA018" wp14:editId="6E538632">
                    <wp:simplePos x="0" y="0"/>
                    <wp:positionH relativeFrom="page">
                      <wp:align>center</wp:align>
                    </wp:positionH>
                    <wp:positionV relativeFrom="page">
                      <wp:align>bottom</wp:align>
                    </wp:positionV>
                    <wp:extent cx="7917180" cy="789305"/>
                    <wp:effectExtent l="0" t="0" r="24765" b="28575"/>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7180" cy="789305"/>
                            </a:xfrm>
                            <a:prstGeom prst="rect">
                              <a:avLst/>
                            </a:prstGeom>
                            <a:solidFill>
                              <a:schemeClr val="accent1"/>
                            </a:solidFill>
                            <a:ln w="9525">
                              <a:solidFill>
                                <a:schemeClr val="accent1"/>
                              </a:solidFill>
                              <a:miter lim="800000"/>
                              <a:headEnd/>
                              <a:tailEnd/>
                            </a:ln>
                          </wps:spPr>
                          <wps:txbx>
                            <w:txbxContent>
                              <w:p w14:paraId="25A42E42" w14:textId="77777777" w:rsidR="00B5577F" w:rsidRPr="00856492" w:rsidRDefault="00B5577F" w:rsidP="00856492">
                                <w:pPr>
                                  <w:jc w:val="center"/>
                                  <w:rPr>
                                    <w:b/>
                                    <w:color w:val="FFFFFF" w:themeColor="background1"/>
                                    <w:sz w:val="10"/>
                                    <w:szCs w:val="10"/>
                                  </w:rPr>
                                </w:pPr>
                              </w:p>
                              <w:p w14:paraId="268F5A6B" w14:textId="77777777" w:rsidR="00B5577F" w:rsidRPr="008C2B46" w:rsidRDefault="00B5577F" w:rsidP="00856492">
                                <w:pPr>
                                  <w:jc w:val="center"/>
                                  <w:rPr>
                                    <w:b/>
                                    <w:noProof/>
                                    <w:color w:val="FFFFFF" w:themeColor="background1"/>
                                    <w:lang w:val="sr-Cyrl-RS"/>
                                  </w:rPr>
                                </w:pPr>
                                <w:r w:rsidRPr="008C2B46">
                                  <w:rPr>
                                    <w:b/>
                                    <w:noProof/>
                                    <w:color w:val="FFFFFF" w:themeColor="background1"/>
                                    <w:lang w:val="sr-Cyrl-RS"/>
                                  </w:rPr>
                                  <w:t>Београд, март 201</w:t>
                                </w:r>
                                <w:r>
                                  <w:rPr>
                                    <w:b/>
                                    <w:noProof/>
                                    <w:color w:val="FFFFFF" w:themeColor="background1"/>
                                    <w:lang w:val="sr-Cyrl-RS"/>
                                  </w:rPr>
                                  <w:t>5</w:t>
                                </w:r>
                                <w:r w:rsidRPr="008C2B46">
                                  <w:rPr>
                                    <w:b/>
                                    <w:noProof/>
                                    <w:color w:val="FFFFFF" w:themeColor="background1"/>
                                    <w:lang w:val="sr-Cyrl-RS"/>
                                  </w:rPr>
                                  <w:t>. године</w:t>
                                </w:r>
                              </w:p>
                            </w:txbxContent>
                          </wps:txbx>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 o:spid="_x0000_s1026" style="position:absolute;margin-left:0;margin-top:0;width:623.4pt;height:62.15pt;z-index:25165926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" o:allowincell="f" fillcolor="#4f81bd [3204]" strokecolor="#4f81bd [3204]">
                    <v:textbox>
                      <w:txbxContent>
                        <w:p w14:paraId="25A42E42" w14:textId="77777777" w:rsidR="00B5577F" w:rsidRPr="00856492" w:rsidRDefault="00B5577F" w:rsidP="00856492">
                          <w:pPr>
                            <w:jc w:val="center"/>
                            <w:rPr>
                              <w:b/>
                              <w:color w:val="FFFFFF" w:themeColor="background1"/>
                              <w:sz w:val="10"/>
                              <w:szCs w:val="10"/>
                            </w:rPr>
                          </w:pPr>
                        </w:p>
                        <w:p w14:paraId="268F5A6B" w14:textId="77777777" w:rsidR="00B5577F" w:rsidRPr="008C2B46" w:rsidRDefault="00B5577F" w:rsidP="00856492">
                          <w:pPr>
                            <w:jc w:val="center"/>
                            <w:rPr>
                              <w:b/>
                              <w:noProof/>
                              <w:color w:val="FFFFFF" w:themeColor="background1"/>
                              <w:lang w:val="sr-Cyrl-RS"/>
                            </w:rPr>
                          </w:pPr>
                          <w:r w:rsidRPr="008C2B46">
                            <w:rPr>
                              <w:b/>
                              <w:noProof/>
                              <w:color w:val="FFFFFF" w:themeColor="background1"/>
                              <w:lang w:val="sr-Cyrl-RS"/>
                            </w:rPr>
                            <w:t>Београд, март 201</w:t>
                          </w:r>
                          <w:r>
                            <w:rPr>
                              <w:b/>
                              <w:noProof/>
                              <w:color w:val="FFFFFF" w:themeColor="background1"/>
                              <w:lang w:val="sr-Cyrl-RS"/>
                            </w:rPr>
                            <w:t>5</w:t>
                          </w:r>
                          <w:r w:rsidRPr="008C2B46">
                            <w:rPr>
                              <w:b/>
                              <w:noProof/>
                              <w:color w:val="FFFFFF" w:themeColor="background1"/>
                              <w:lang w:val="sr-Cyrl-RS"/>
                            </w:rPr>
                            <w:t>. године</w:t>
                          </w:r>
                        </w:p>
                      </w:txbxContent>
                    </v:textbox>
                    <w10:wrap anchorx="page" anchory="page"/>
                  </v:rect>
                </w:pict>
              </mc:Fallback>
            </mc:AlternateContent>
          </w:r>
          <w:r w:rsidRPr="00BF3CDE">
            <w:rPr>
              <w:noProof/>
              <w:highlight w:val="yellow"/>
              <w:lang w:val="sr-Latn-RS" w:eastAsia="sr-Latn-RS"/>
            </w:rPr>
            <mc:AlternateContent>
              <mc:Choice Requires="wps">
                <w:drawing>
                  <wp:anchor distT="0" distB="0" distL="114300" distR="114300" simplePos="0" relativeHeight="251662336" behindDoc="0" locked="0" layoutInCell="0" allowOverlap="1" wp14:anchorId="155015F7" wp14:editId="3C676A7D">
                    <wp:simplePos x="0" y="0"/>
                    <wp:positionH relativeFrom="leftMargin">
                      <wp:align>center</wp:align>
                    </wp:positionH>
                    <wp:positionV relativeFrom="page">
                      <wp:align>center</wp:align>
                    </wp:positionV>
                    <wp:extent cx="90805" cy="11210290"/>
                    <wp:effectExtent l="0" t="0" r="23495" b="1270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1029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w15="http://schemas.microsoft.com/office/word/2012/wordml">
                <w:pict>
                  <v:rect w14:anchorId="7E566B16" id="Rectangle 5" o:spid="_x0000_s1026" style="position:absolute;margin-left:0;margin-top:0;width:7.15pt;height:882.7pt;z-index:251662336;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" o:allowincell="f" strokecolor="#4f81bd [3204]">
                    <w10:wrap anchorx="margin" anchory="page"/>
                  </v:rect>
                </w:pict>
              </mc:Fallback>
            </mc:AlternateContent>
          </w:r>
          <w:r w:rsidRPr="00BF3CDE">
            <w:rPr>
              <w:noProof/>
              <w:highlight w:val="yellow"/>
              <w:lang w:val="sr-Latn-RS" w:eastAsia="sr-Latn-RS"/>
            </w:rPr>
            <mc:AlternateContent>
              <mc:Choice Requires="wps">
                <w:drawing>
                  <wp:anchor distT="0" distB="0" distL="114300" distR="114300" simplePos="0" relativeHeight="251661312" behindDoc="0" locked="0" layoutInCell="0" allowOverlap="1" wp14:anchorId="666D1B5E" wp14:editId="02BFDCD0">
                    <wp:simplePos x="0" y="0"/>
                    <wp:positionH relativeFrom="rightMargin">
                      <wp:align>center</wp:align>
                    </wp:positionH>
                    <wp:positionV relativeFrom="page">
                      <wp:align>center</wp:align>
                    </wp:positionV>
                    <wp:extent cx="90805" cy="11210290"/>
                    <wp:effectExtent l="0" t="0" r="23495" b="1270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1029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xmlns:w15="http://schemas.microsoft.com/office/word/2012/wordml">
                <w:pict>
                  <v:rect w14:anchorId="277B1E7E" id="Rectangle 4" o:spid="_x0000_s1026" style="position:absolute;margin-left:0;margin-top:0;width:7.15pt;height:882.7pt;z-index:251661312;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" o:allowincell="f" strokecolor="#4f81bd [3204]">
                    <w10:wrap anchorx="margin" anchory="page"/>
                  </v:rect>
                </w:pict>
              </mc:Fallback>
            </mc:AlternateContent>
          </w:r>
          <w:r w:rsidRPr="00BF3CDE">
            <w:rPr>
              <w:noProof/>
              <w:highlight w:val="yellow"/>
              <w:lang w:val="sr-Latn-RS" w:eastAsia="sr-Latn-RS"/>
            </w:rPr>
            <mc:AlternateContent>
              <mc:Choice Requires="wps">
                <w:drawing>
                  <wp:anchor distT="0" distB="0" distL="114300" distR="114300" simplePos="0" relativeHeight="251660288" behindDoc="0" locked="0" layoutInCell="0" allowOverlap="1" wp14:anchorId="1586CE1D" wp14:editId="6F9DEB01">
                    <wp:simplePos x="0" y="0"/>
                    <wp:positionH relativeFrom="page">
                      <wp:align>center</wp:align>
                    </wp:positionH>
                    <wp:positionV relativeFrom="topMargin">
                      <wp:align>top</wp:align>
                    </wp:positionV>
                    <wp:extent cx="7917180" cy="794385"/>
                    <wp:effectExtent l="0" t="0" r="24765" b="28575"/>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7180" cy="794385"/>
                            </a:xfrm>
                            <a:prstGeom prst="rect">
                              <a:avLst/>
                            </a:prstGeom>
                            <a:solidFill>
                              <a:schemeClr val="accent1"/>
                            </a:solidFill>
                            <a:ln w="9525">
                              <a:solidFill>
                                <a:schemeClr val="accent1"/>
                              </a:solidFill>
                              <a:miter lim="800000"/>
                              <a:headEnd/>
                              <a:tailEnd/>
                            </a:ln>
                          </wps:spPr>
                          <wps:txbx>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6088"/>
                                </w:tblGrid>
                                <w:tr w:rsidR="00B5577F" w14:paraId="5F8C41ED" w14:textId="77777777" w:rsidTr="00856492">
                                  <w:tc>
                                    <w:tcPr>
                                      <w:tcW w:w="2235" w:type="dxa"/>
                                    </w:tcPr>
                                    <w:p w14:paraId="7BA89009" w14:textId="77777777" w:rsidR="00B5577F" w:rsidRPr="00856492" w:rsidRDefault="00B5577F" w:rsidP="00856492">
                                      <w:pPr>
                                        <w:pStyle w:val="NoSpacing"/>
                                        <w:ind w:firstLine="1134"/>
                                        <w:rPr>
                                          <w:noProof/>
                                          <w:color w:val="FFFFFF" w:themeColor="background1"/>
                                          <w:sz w:val="16"/>
                                        </w:rPr>
                                      </w:pPr>
                                    </w:p>
                                    <w:p w14:paraId="0CAA91F3" w14:textId="77777777" w:rsidR="00B5577F" w:rsidRPr="00856492" w:rsidRDefault="00B5577F" w:rsidP="00856492">
                                      <w:pPr>
                                        <w:pStyle w:val="NoSpacing"/>
                                        <w:ind w:firstLine="993"/>
                                        <w:jc w:val="center"/>
                                        <w:rPr>
                                          <w:noProof/>
                                          <w:color w:val="FFFFFF" w:themeColor="background1"/>
                                          <w:sz w:val="18"/>
                                        </w:rPr>
                                      </w:pPr>
                                      <w:r w:rsidRPr="00856492">
                                        <w:rPr>
                                          <w:noProof/>
                                          <w:color w:val="FFFFFF" w:themeColor="background1"/>
                                          <w:sz w:val="18"/>
                                          <w:lang w:val="sr-Latn-RS" w:eastAsia="sr-Latn-RS"/>
                                        </w:rPr>
                                        <w:drawing>
                                          <wp:inline distT="0" distB="0" distL="0" distR="0" wp14:anchorId="2B1DDE45" wp14:editId="33E4D58F">
                                            <wp:extent cx="409575" cy="438150"/>
                                            <wp:effectExtent l="0" t="0" r="9525" b="0"/>
                                            <wp:docPr id="462" name="Picture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9575" cy="438150"/>
                                                    </a:xfrm>
                                                    <a:prstGeom prst="rect">
                                                      <a:avLst/>
                                                    </a:prstGeom>
                                                    <a:noFill/>
                                                    <a:ln>
                                                      <a:noFill/>
                                                    </a:ln>
                                                  </pic:spPr>
                                                </pic:pic>
                                              </a:graphicData>
                                            </a:graphic>
                                          </wp:inline>
                                        </w:drawing>
                                      </w:r>
                                    </w:p>
                                  </w:tc>
                                  <w:tc>
                                    <w:tcPr>
                                      <w:tcW w:w="6088" w:type="dxa"/>
                                    </w:tcPr>
                                    <w:p w14:paraId="06ADC151" w14:textId="77777777" w:rsidR="00B5577F" w:rsidRPr="00856492" w:rsidRDefault="00B5577F" w:rsidP="00856492">
                                      <w:pPr>
                                        <w:pStyle w:val="NoSpacing"/>
                                        <w:rPr>
                                          <w:noProof/>
                                          <w:color w:val="FFFFFF" w:themeColor="background1"/>
                                          <w:sz w:val="16"/>
                                        </w:rPr>
                                      </w:pPr>
                                    </w:p>
                                    <w:p w14:paraId="52DDF014" w14:textId="77777777" w:rsidR="00B5577F" w:rsidRPr="00BE5F5C" w:rsidRDefault="00B5577F" w:rsidP="00856492">
                                      <w:pPr>
                                        <w:pStyle w:val="NoSpacing"/>
                                        <w:rPr>
                                          <w:noProof/>
                                          <w:color w:val="FFFFFF" w:themeColor="background1"/>
                                          <w:sz w:val="2"/>
                                          <w:szCs w:val="2"/>
                                        </w:rPr>
                                      </w:pPr>
                                    </w:p>
                                    <w:p w14:paraId="27501D30" w14:textId="77777777" w:rsidR="00B5577F" w:rsidRPr="00856492" w:rsidRDefault="00B5577F" w:rsidP="00856492">
                                      <w:pPr>
                                        <w:pStyle w:val="NoSpacing"/>
                                        <w:rPr>
                                          <w:noProof/>
                                          <w:color w:val="FFFFFF" w:themeColor="background1"/>
                                          <w:sz w:val="18"/>
                                        </w:rPr>
                                      </w:pPr>
                                      <w:r w:rsidRPr="00856492">
                                        <w:rPr>
                                          <w:noProof/>
                                          <w:color w:val="FFFFFF" w:themeColor="background1"/>
                                          <w:sz w:val="18"/>
                                        </w:rPr>
                                        <w:t>Друштво за реосигурање „Дунав Ре“</w:t>
                                      </w:r>
                                    </w:p>
                                    <w:p w14:paraId="477C7FD2" w14:textId="77777777" w:rsidR="00B5577F" w:rsidRPr="00856492" w:rsidRDefault="00B5577F" w:rsidP="00856492">
                                      <w:pPr>
                                        <w:pStyle w:val="NoSpacing"/>
                                        <w:rPr>
                                          <w:noProof/>
                                          <w:color w:val="FFFFFF" w:themeColor="background1"/>
                                          <w:sz w:val="18"/>
                                        </w:rPr>
                                      </w:pPr>
                                      <w:r w:rsidRPr="00856492">
                                        <w:rPr>
                                          <w:noProof/>
                                          <w:color w:val="FFFFFF" w:themeColor="background1"/>
                                          <w:sz w:val="18"/>
                                        </w:rPr>
                                        <w:t>Кнез Михаилова 6/II, Београд, Србија</w:t>
                                      </w:r>
                                    </w:p>
                                    <w:p w14:paraId="0E407CC6" w14:textId="77777777" w:rsidR="00B5577F" w:rsidRPr="00856492" w:rsidRDefault="00B5577F" w:rsidP="00856492">
                                      <w:pPr>
                                        <w:pStyle w:val="NoSpacing"/>
                                        <w:rPr>
                                          <w:noProof/>
                                          <w:color w:val="FFFFFF" w:themeColor="background1"/>
                                          <w:sz w:val="18"/>
                                        </w:rPr>
                                      </w:pPr>
                                      <w:r w:rsidRPr="00856492">
                                        <w:rPr>
                                          <w:noProof/>
                                          <w:color w:val="FFFFFF" w:themeColor="background1"/>
                                          <w:sz w:val="18"/>
                                        </w:rPr>
                                        <w:t>www.dunavre.rs ; office@dunavre.rs</w:t>
                                      </w:r>
                                    </w:p>
                                    <w:p w14:paraId="5AFF7778" w14:textId="77777777" w:rsidR="00B5577F" w:rsidRPr="00856492" w:rsidRDefault="00B5577F" w:rsidP="00856492">
                                      <w:pPr>
                                        <w:pStyle w:val="NoSpacing"/>
                                        <w:rPr>
                                          <w:color w:val="FFFFFF" w:themeColor="background1"/>
                                          <w:sz w:val="18"/>
                                        </w:rPr>
                                      </w:pPr>
                                    </w:p>
                                    <w:p w14:paraId="159711A2" w14:textId="77777777" w:rsidR="00B5577F" w:rsidRPr="00856492" w:rsidRDefault="00B5577F" w:rsidP="00856492">
                                      <w:pPr>
                                        <w:pStyle w:val="NoSpacing"/>
                                        <w:rPr>
                                          <w:noProof/>
                                          <w:color w:val="FFFFFF" w:themeColor="background1"/>
                                          <w:sz w:val="18"/>
                                        </w:rPr>
                                      </w:pPr>
                                    </w:p>
                                  </w:tc>
                                </w:tr>
                              </w:tbl>
                              <w:p w14:paraId="22CA0547" w14:textId="77777777" w:rsidR="00B5577F" w:rsidRDefault="00B5577F" w:rsidP="00856492">
                                <w:pPr>
                                  <w:pStyle w:val="NoSpacing"/>
                                  <w:ind w:firstLine="1276"/>
                                </w:pPr>
                              </w:p>
                            </w:txbxContent>
                          </wps:txbx>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3" o:spid="_x0000_s1027" style="position:absolute;margin-left:0;margin-top:0;width:623.4pt;height:62.55pt;z-index:251660288;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" o:allowincell="f" fillcolor="#4f81bd [3204]" strokecolor="#4f81bd [3204]">
                    <v:textbox>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6088"/>
                          </w:tblGrid>
                          <w:tr w:rsidR="00B5577F" w14:paraId="5F8C41ED" w14:textId="77777777" w:rsidTr="00856492">
                            <w:tc>
                              <w:tcPr>
                                <w:tcW w:w="2235" w:type="dxa"/>
                              </w:tcPr>
                              <w:p w14:paraId="7BA89009" w14:textId="77777777" w:rsidR="00B5577F" w:rsidRPr="00856492" w:rsidRDefault="00B5577F" w:rsidP="00856492">
                                <w:pPr>
                                  <w:pStyle w:val="NoSpacing"/>
                                  <w:ind w:firstLine="1134"/>
                                  <w:rPr>
                                    <w:noProof/>
                                    <w:color w:val="FFFFFF" w:themeColor="background1"/>
                                    <w:sz w:val="16"/>
                                  </w:rPr>
                                </w:pPr>
                              </w:p>
                              <w:p w14:paraId="0CAA91F3" w14:textId="77777777" w:rsidR="00B5577F" w:rsidRPr="00856492" w:rsidRDefault="00B5577F" w:rsidP="00856492">
                                <w:pPr>
                                  <w:pStyle w:val="NoSpacing"/>
                                  <w:ind w:firstLine="993"/>
                                  <w:jc w:val="center"/>
                                  <w:rPr>
                                    <w:noProof/>
                                    <w:color w:val="FFFFFF" w:themeColor="background1"/>
                                    <w:sz w:val="18"/>
                                  </w:rPr>
                                </w:pPr>
                                <w:r w:rsidRPr="00856492">
                                  <w:rPr>
                                    <w:noProof/>
                                    <w:color w:val="FFFFFF" w:themeColor="background1"/>
                                    <w:sz w:val="18"/>
                                    <w:lang w:val="sr-Latn-RS" w:eastAsia="sr-Latn-RS"/>
                                  </w:rPr>
                                  <w:drawing>
                                    <wp:inline distT="0" distB="0" distL="0" distR="0" wp14:anchorId="2B1DDE45" wp14:editId="33E4D58F">
                                      <wp:extent cx="409575" cy="438150"/>
                                      <wp:effectExtent l="0" t="0" r="9525" b="0"/>
                                      <wp:docPr id="462" name="Picture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9575" cy="438150"/>
                                              </a:xfrm>
                                              <a:prstGeom prst="rect">
                                                <a:avLst/>
                                              </a:prstGeom>
                                              <a:noFill/>
                                              <a:ln>
                                                <a:noFill/>
                                              </a:ln>
                                            </pic:spPr>
                                          </pic:pic>
                                        </a:graphicData>
                                      </a:graphic>
                                    </wp:inline>
                                  </w:drawing>
                                </w:r>
                              </w:p>
                            </w:tc>
                            <w:tc>
                              <w:tcPr>
                                <w:tcW w:w="6088" w:type="dxa"/>
                              </w:tcPr>
                              <w:p w14:paraId="06ADC151" w14:textId="77777777" w:rsidR="00B5577F" w:rsidRPr="00856492" w:rsidRDefault="00B5577F" w:rsidP="00856492">
                                <w:pPr>
                                  <w:pStyle w:val="NoSpacing"/>
                                  <w:rPr>
                                    <w:noProof/>
                                    <w:color w:val="FFFFFF" w:themeColor="background1"/>
                                    <w:sz w:val="16"/>
                                  </w:rPr>
                                </w:pPr>
                              </w:p>
                              <w:p w14:paraId="52DDF014" w14:textId="77777777" w:rsidR="00B5577F" w:rsidRPr="00BE5F5C" w:rsidRDefault="00B5577F" w:rsidP="00856492">
                                <w:pPr>
                                  <w:pStyle w:val="NoSpacing"/>
                                  <w:rPr>
                                    <w:noProof/>
                                    <w:color w:val="FFFFFF" w:themeColor="background1"/>
                                    <w:sz w:val="2"/>
                                    <w:szCs w:val="2"/>
                                  </w:rPr>
                                </w:pPr>
                              </w:p>
                              <w:p w14:paraId="27501D30" w14:textId="77777777" w:rsidR="00B5577F" w:rsidRPr="00856492" w:rsidRDefault="00B5577F" w:rsidP="00856492">
                                <w:pPr>
                                  <w:pStyle w:val="NoSpacing"/>
                                  <w:rPr>
                                    <w:noProof/>
                                    <w:color w:val="FFFFFF" w:themeColor="background1"/>
                                    <w:sz w:val="18"/>
                                  </w:rPr>
                                </w:pPr>
                                <w:r w:rsidRPr="00856492">
                                  <w:rPr>
                                    <w:noProof/>
                                    <w:color w:val="FFFFFF" w:themeColor="background1"/>
                                    <w:sz w:val="18"/>
                                  </w:rPr>
                                  <w:t>Друштво за реосигурање „Дунав Ре“</w:t>
                                </w:r>
                              </w:p>
                              <w:p w14:paraId="477C7FD2" w14:textId="77777777" w:rsidR="00B5577F" w:rsidRPr="00856492" w:rsidRDefault="00B5577F" w:rsidP="00856492">
                                <w:pPr>
                                  <w:pStyle w:val="NoSpacing"/>
                                  <w:rPr>
                                    <w:noProof/>
                                    <w:color w:val="FFFFFF" w:themeColor="background1"/>
                                    <w:sz w:val="18"/>
                                  </w:rPr>
                                </w:pPr>
                                <w:r w:rsidRPr="00856492">
                                  <w:rPr>
                                    <w:noProof/>
                                    <w:color w:val="FFFFFF" w:themeColor="background1"/>
                                    <w:sz w:val="18"/>
                                  </w:rPr>
                                  <w:t>Кнез Михаилова 6/II, Београд, Србија</w:t>
                                </w:r>
                              </w:p>
                              <w:p w14:paraId="0E407CC6" w14:textId="77777777" w:rsidR="00B5577F" w:rsidRPr="00856492" w:rsidRDefault="00B5577F" w:rsidP="00856492">
                                <w:pPr>
                                  <w:pStyle w:val="NoSpacing"/>
                                  <w:rPr>
                                    <w:noProof/>
                                    <w:color w:val="FFFFFF" w:themeColor="background1"/>
                                    <w:sz w:val="18"/>
                                  </w:rPr>
                                </w:pPr>
                                <w:r w:rsidRPr="00856492">
                                  <w:rPr>
                                    <w:noProof/>
                                    <w:color w:val="FFFFFF" w:themeColor="background1"/>
                                    <w:sz w:val="18"/>
                                  </w:rPr>
                                  <w:t>www.dunavre.rs ; office@dunavre.rs</w:t>
                                </w:r>
                              </w:p>
                              <w:p w14:paraId="5AFF7778" w14:textId="77777777" w:rsidR="00B5577F" w:rsidRPr="00856492" w:rsidRDefault="00B5577F" w:rsidP="00856492">
                                <w:pPr>
                                  <w:pStyle w:val="NoSpacing"/>
                                  <w:rPr>
                                    <w:color w:val="FFFFFF" w:themeColor="background1"/>
                                    <w:sz w:val="18"/>
                                  </w:rPr>
                                </w:pPr>
                              </w:p>
                              <w:p w14:paraId="159711A2" w14:textId="77777777" w:rsidR="00B5577F" w:rsidRPr="00856492" w:rsidRDefault="00B5577F" w:rsidP="00856492">
                                <w:pPr>
                                  <w:pStyle w:val="NoSpacing"/>
                                  <w:rPr>
                                    <w:noProof/>
                                    <w:color w:val="FFFFFF" w:themeColor="background1"/>
                                    <w:sz w:val="18"/>
                                  </w:rPr>
                                </w:pPr>
                              </w:p>
                            </w:tc>
                          </w:tr>
                        </w:tbl>
                        <w:p w14:paraId="22CA0547" w14:textId="77777777" w:rsidR="00B5577F" w:rsidRDefault="00B5577F" w:rsidP="00856492">
                          <w:pPr>
                            <w:pStyle w:val="NoSpacing"/>
                            <w:ind w:firstLine="1276"/>
                          </w:pPr>
                        </w:p>
                      </w:txbxContent>
                    </v:textbox>
                    <w10:wrap anchorx="page" anchory="margin"/>
                  </v:rect>
                </w:pict>
              </mc:Fallback>
            </mc:AlternateContent>
          </w:r>
        </w:p>
        <w:sdt>
          <w:sdtPr>
            <w:rPr>
              <w:rFonts w:asciiTheme="majorHAnsi" w:eastAsiaTheme="majorEastAsia" w:hAnsiTheme="majorHAnsi" w:cstheme="majorBidi"/>
              <w:noProof/>
              <w:sz w:val="44"/>
              <w:szCs w:val="72"/>
              <w:lang w:val="sr-Cyrl-CS"/>
            </w:rPr>
            <w:alias w:val="Title"/>
            <w:id w:val="14700071"/>
            <w:dataBinding w:prefixMappings="xmlns:ns0='http://schemas.openxmlformats.org/package/2006/metadata/core-properties' xmlns:ns1='http://purl.org/dc/elements/1.1/'" w:xpath="/ns0:coreProperties[1]/ns1:title[1]" w:storeItemID="{6C3C8BC8-F283-45AE-878A-BAB7291924A1}"/>
            <w:text/>
          </w:sdtPr>
          <w:sdtContent>
            <w:p w14:paraId="600ED520" w14:textId="77777777" w:rsidR="00856492" w:rsidRPr="00BF3CDE" w:rsidRDefault="00D672C5" w:rsidP="00856492">
              <w:pPr>
                <w:pStyle w:val="NoSpacing"/>
                <w:jc w:val="center"/>
                <w:rPr>
                  <w:rFonts w:asciiTheme="majorHAnsi" w:eastAsiaTheme="majorEastAsia" w:hAnsiTheme="majorHAnsi" w:cstheme="majorBidi"/>
                  <w:noProof/>
                  <w:sz w:val="44"/>
                  <w:szCs w:val="72"/>
                  <w:lang w:val="sr-Cyrl-CS"/>
                </w:rPr>
              </w:pPr>
              <w:r w:rsidRPr="00BF3CDE">
                <w:rPr>
                  <w:rFonts w:asciiTheme="majorHAnsi" w:eastAsiaTheme="majorEastAsia" w:hAnsiTheme="majorHAnsi" w:cstheme="majorBidi"/>
                  <w:noProof/>
                  <w:sz w:val="44"/>
                  <w:szCs w:val="72"/>
                  <w:lang w:val="sr-Cyrl-CS"/>
                </w:rPr>
                <w:t>ГОДИШЊИ ИЗВЕШТАЈ О ПОСЛОВАЊУ ЗА 201</w:t>
              </w:r>
              <w:r w:rsidR="0028380C" w:rsidRPr="00BF3CDE">
                <w:rPr>
                  <w:rFonts w:asciiTheme="majorHAnsi" w:eastAsiaTheme="majorEastAsia" w:hAnsiTheme="majorHAnsi" w:cstheme="majorBidi"/>
                  <w:noProof/>
                  <w:sz w:val="44"/>
                  <w:szCs w:val="72"/>
                  <w:lang w:val="sr-Cyrl-CS"/>
                </w:rPr>
                <w:t>4</w:t>
              </w:r>
              <w:r w:rsidRPr="00BF3CDE">
                <w:rPr>
                  <w:rFonts w:asciiTheme="majorHAnsi" w:eastAsiaTheme="majorEastAsia" w:hAnsiTheme="majorHAnsi" w:cstheme="majorBidi"/>
                  <w:noProof/>
                  <w:sz w:val="44"/>
                  <w:szCs w:val="72"/>
                  <w:lang w:val="sr-Cyrl-CS"/>
                </w:rPr>
                <w:t>. ГОДИНУ</w:t>
              </w:r>
            </w:p>
          </w:sdtContent>
        </w:sdt>
        <w:p w14:paraId="34131646" w14:textId="77777777" w:rsidR="00856492" w:rsidRPr="00BF3CDE" w:rsidRDefault="00856492">
          <w:pPr>
            <w:pStyle w:val="NoSpacing"/>
            <w:rPr>
              <w:rFonts w:asciiTheme="majorHAnsi" w:eastAsiaTheme="majorEastAsia" w:hAnsiTheme="majorHAnsi" w:cstheme="majorBidi"/>
              <w:noProof/>
              <w:sz w:val="36"/>
              <w:szCs w:val="36"/>
              <w:highlight w:val="yellow"/>
              <w:lang w:val="sr-Cyrl-CS"/>
            </w:rPr>
          </w:pPr>
        </w:p>
        <w:p w14:paraId="5B4A599D" w14:textId="77777777" w:rsidR="00856492" w:rsidRPr="00BF3CDE" w:rsidRDefault="00856492">
          <w:pPr>
            <w:pStyle w:val="NoSpacing"/>
            <w:rPr>
              <w:rFonts w:asciiTheme="majorHAnsi" w:eastAsiaTheme="majorEastAsia" w:hAnsiTheme="majorHAnsi" w:cstheme="majorBidi"/>
              <w:noProof/>
              <w:sz w:val="36"/>
              <w:szCs w:val="36"/>
              <w:highlight w:val="yellow"/>
              <w:lang w:val="sr-Cyrl-CS"/>
            </w:rPr>
          </w:pPr>
        </w:p>
        <w:p w14:paraId="4E5CC23D" w14:textId="77777777" w:rsidR="00856492" w:rsidRPr="00BF3CDE" w:rsidRDefault="00856492">
          <w:pPr>
            <w:pStyle w:val="NoSpacing"/>
            <w:rPr>
              <w:rFonts w:asciiTheme="majorHAnsi" w:eastAsiaTheme="majorEastAsia" w:hAnsiTheme="majorHAnsi" w:cstheme="majorBidi"/>
              <w:noProof/>
              <w:sz w:val="36"/>
              <w:szCs w:val="36"/>
              <w:highlight w:val="yellow"/>
              <w:lang w:val="sr-Cyrl-CS"/>
            </w:rPr>
          </w:pPr>
        </w:p>
        <w:p w14:paraId="57946EB5" w14:textId="77777777" w:rsidR="00856492" w:rsidRPr="00BF3CDE" w:rsidRDefault="00856492">
          <w:pPr>
            <w:pStyle w:val="NoSpacing"/>
            <w:rPr>
              <w:noProof/>
              <w:highlight w:val="yellow"/>
              <w:lang w:val="sr-Cyrl-CS"/>
            </w:rPr>
          </w:pPr>
        </w:p>
        <w:p w14:paraId="7467F9B5" w14:textId="77777777" w:rsidR="00856492" w:rsidRPr="00BF3CDE" w:rsidRDefault="00856492">
          <w:pPr>
            <w:pStyle w:val="NoSpacing"/>
            <w:rPr>
              <w:noProof/>
              <w:highlight w:val="yellow"/>
              <w:lang w:val="sr-Cyrl-CS"/>
            </w:rPr>
          </w:pPr>
        </w:p>
        <w:p w14:paraId="53E37A6E" w14:textId="77777777" w:rsidR="00856492" w:rsidRPr="00BF3CDE" w:rsidRDefault="00856492">
          <w:pPr>
            <w:rPr>
              <w:noProof/>
              <w:highlight w:val="yellow"/>
              <w:lang w:val="sr-Cyrl-CS"/>
            </w:rPr>
          </w:pPr>
        </w:p>
        <w:p w14:paraId="58DCBA88" w14:textId="77777777" w:rsidR="00856492" w:rsidRPr="00BF3CDE" w:rsidRDefault="00856492">
          <w:pPr>
            <w:rPr>
              <w:noProof/>
              <w:highlight w:val="yellow"/>
              <w:lang w:val="sr-Cyrl-CS"/>
            </w:rPr>
          </w:pPr>
          <w:r w:rsidRPr="00BF3CDE">
            <w:rPr>
              <w:noProof/>
              <w:highlight w:val="yellow"/>
              <w:lang w:val="sr-Cyrl-CS"/>
            </w:rPr>
            <w:br w:type="page"/>
          </w:r>
        </w:p>
      </w:sdtContent>
    </w:sdt>
    <w:bookmarkStart w:id="0" w:name="_Toc309377884" w:displacedByCustomXml="next"/>
    <w:bookmarkStart w:id="1" w:name="_Toc308782741" w:displacedByCustomXml="next"/>
    <w:sdt>
      <w:sdtPr>
        <w:rPr>
          <w:rFonts w:asciiTheme="minorHAnsi" w:eastAsiaTheme="minorHAnsi" w:hAnsiTheme="minorHAnsi" w:cstheme="minorBidi"/>
          <w:b w:val="0"/>
          <w:bCs w:val="0"/>
          <w:i/>
          <w:noProof/>
          <w:color w:val="auto"/>
          <w:sz w:val="22"/>
          <w:szCs w:val="22"/>
          <w:highlight w:val="yellow"/>
          <w:lang w:val="sr-Cyrl-CS" w:eastAsia="en-US"/>
        </w:rPr>
        <w:id w:val="285246010"/>
        <w:docPartObj>
          <w:docPartGallery w:val="Table of Contents"/>
          <w:docPartUnique/>
        </w:docPartObj>
      </w:sdtPr>
      <w:sdtEndPr>
        <w:rPr>
          <w:rFonts w:asciiTheme="majorHAnsi" w:hAnsiTheme="majorHAnsi" w:cs="Tahoma"/>
          <w:b/>
          <w:color w:val="365F91" w:themeColor="accent1" w:themeShade="BF"/>
          <w:sz w:val="20"/>
        </w:rPr>
      </w:sdtEndPr>
      <w:sdtContent>
        <w:p w14:paraId="26ECD4D1" w14:textId="77777777" w:rsidR="007438DB" w:rsidRPr="00BF3CDE" w:rsidRDefault="007438DB" w:rsidP="00801C6B">
          <w:pPr>
            <w:pStyle w:val="TOCHeading"/>
            <w:jc w:val="center"/>
            <w:rPr>
              <w:rFonts w:asciiTheme="minorHAnsi" w:eastAsiaTheme="minorHAnsi" w:hAnsiTheme="minorHAnsi" w:cstheme="minorBidi"/>
              <w:b w:val="0"/>
              <w:bCs w:val="0"/>
              <w:noProof/>
              <w:color w:val="auto"/>
              <w:sz w:val="22"/>
              <w:szCs w:val="22"/>
              <w:highlight w:val="yellow"/>
              <w:lang w:val="sr-Cyrl-CS" w:eastAsia="en-US"/>
            </w:rPr>
          </w:pPr>
        </w:p>
        <w:p w14:paraId="66AD0E7F" w14:textId="77777777" w:rsidR="00801C6B" w:rsidRPr="00BF3CDE" w:rsidRDefault="00801C6B" w:rsidP="00C975B4">
          <w:pPr>
            <w:pStyle w:val="TOCHeading"/>
            <w:spacing w:before="240"/>
            <w:jc w:val="center"/>
            <w:rPr>
              <w:noProof/>
              <w:color w:val="244061" w:themeColor="accent1" w:themeShade="80"/>
              <w:sz w:val="32"/>
              <w:lang w:val="sr-Cyrl-CS"/>
            </w:rPr>
          </w:pPr>
          <w:r w:rsidRPr="00BF3CDE">
            <w:rPr>
              <w:noProof/>
              <w:color w:val="244061" w:themeColor="accent1" w:themeShade="80"/>
              <w:sz w:val="32"/>
              <w:lang w:val="sr-Cyrl-CS"/>
            </w:rPr>
            <w:t>С А Д Р Ж А Ј</w:t>
          </w:r>
        </w:p>
        <w:p w14:paraId="1811FD4C" w14:textId="77777777" w:rsidR="00D20867" w:rsidRDefault="00292256">
          <w:pPr>
            <w:pStyle w:val="TOC1"/>
            <w:rPr>
              <w:rStyle w:val="Hyperlink"/>
              <w:lang w:val="sr-Cyrl-RS"/>
            </w:rPr>
          </w:pPr>
          <w:r w:rsidRPr="00BF3CDE">
            <w:rPr>
              <w:color w:val="C0504D" w:themeColor="accent2"/>
              <w:highlight w:val="yellow"/>
              <w:lang w:val="sr-Cyrl-CS"/>
            </w:rPr>
            <w:fldChar w:fldCharType="begin"/>
          </w:r>
          <w:r w:rsidR="00801C6B" w:rsidRPr="00BF3CDE">
            <w:rPr>
              <w:color w:val="C0504D" w:themeColor="accent2"/>
              <w:highlight w:val="yellow"/>
              <w:lang w:val="sr-Cyrl-CS"/>
            </w:rPr>
            <w:instrText xml:space="preserve"> TOC \o "1-3" \h \z \u </w:instrText>
          </w:r>
          <w:r w:rsidRPr="00BF3CDE">
            <w:rPr>
              <w:color w:val="C0504D" w:themeColor="accent2"/>
              <w:highlight w:val="yellow"/>
              <w:lang w:val="sr-Cyrl-CS"/>
            </w:rPr>
            <w:fldChar w:fldCharType="separate"/>
          </w:r>
          <w:hyperlink w:anchor="_Toc414356796" w:history="1">
            <w:r w:rsidR="00D20867" w:rsidRPr="00BE00A8">
              <w:rPr>
                <w:rStyle w:val="Hyperlink"/>
                <w:lang w:val="sr-Cyrl-CS"/>
              </w:rPr>
              <w:t>1.</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ОПШТЕ ИНФОРМАЦИЈЕ О ДРУШТВУ</w:t>
            </w:r>
            <w:r w:rsidR="00D20867">
              <w:rPr>
                <w:webHidden/>
              </w:rPr>
              <w:tab/>
            </w:r>
            <w:r w:rsidR="00D20867">
              <w:rPr>
                <w:webHidden/>
              </w:rPr>
              <w:fldChar w:fldCharType="begin"/>
            </w:r>
            <w:r w:rsidR="00D20867">
              <w:rPr>
                <w:webHidden/>
              </w:rPr>
              <w:instrText xml:space="preserve"> PAGEREF _Toc414356796 \h </w:instrText>
            </w:r>
            <w:r w:rsidR="00D20867">
              <w:rPr>
                <w:webHidden/>
              </w:rPr>
            </w:r>
            <w:r w:rsidR="00D20867">
              <w:rPr>
                <w:webHidden/>
              </w:rPr>
              <w:fldChar w:fldCharType="separate"/>
            </w:r>
            <w:r w:rsidR="00D35AA2">
              <w:rPr>
                <w:webHidden/>
              </w:rPr>
              <w:t>4</w:t>
            </w:r>
            <w:r w:rsidR="00D20867">
              <w:rPr>
                <w:webHidden/>
              </w:rPr>
              <w:fldChar w:fldCharType="end"/>
            </w:r>
          </w:hyperlink>
        </w:p>
        <w:p w14:paraId="052F1A50" w14:textId="77777777" w:rsidR="00D20867" w:rsidRPr="00D20867" w:rsidRDefault="00D20867" w:rsidP="00D20867">
          <w:pPr>
            <w:pStyle w:val="NoSpacing"/>
            <w:rPr>
              <w:noProof/>
              <w:sz w:val="14"/>
              <w:szCs w:val="10"/>
              <w:lang w:val="sr-Cyrl-RS"/>
            </w:rPr>
          </w:pPr>
        </w:p>
        <w:p w14:paraId="7B113066" w14:textId="77777777" w:rsidR="00D20867" w:rsidRDefault="00B5577F">
          <w:pPr>
            <w:pStyle w:val="TOC1"/>
            <w:rPr>
              <w:rStyle w:val="Hyperlink"/>
              <w:lang w:val="sr-Cyrl-RS"/>
            </w:rPr>
          </w:pPr>
          <w:hyperlink w:anchor="_Toc414356797" w:history="1">
            <w:r w:rsidR="00D20867" w:rsidRPr="00BE00A8">
              <w:rPr>
                <w:rStyle w:val="Hyperlink"/>
                <w:lang w:val="sr-Cyrl-CS"/>
              </w:rPr>
              <w:t>2.</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ТРЖИШНА ПОЗИЦИЈА ДРУШТВА И АКТИВНОСТИ НА ПОЉУ ИСТРАЖИВАЊА И РАЗВОЈА У 2014. ГОДИНИ</w:t>
            </w:r>
            <w:r w:rsidR="00D20867">
              <w:rPr>
                <w:webHidden/>
              </w:rPr>
              <w:tab/>
            </w:r>
            <w:r w:rsidR="00D20867">
              <w:rPr>
                <w:webHidden/>
              </w:rPr>
              <w:fldChar w:fldCharType="begin"/>
            </w:r>
            <w:r w:rsidR="00D20867">
              <w:rPr>
                <w:webHidden/>
              </w:rPr>
              <w:instrText xml:space="preserve"> PAGEREF _Toc414356797 \h </w:instrText>
            </w:r>
            <w:r w:rsidR="00D20867">
              <w:rPr>
                <w:webHidden/>
              </w:rPr>
            </w:r>
            <w:r w:rsidR="00D20867">
              <w:rPr>
                <w:webHidden/>
              </w:rPr>
              <w:fldChar w:fldCharType="separate"/>
            </w:r>
            <w:r w:rsidR="00D35AA2">
              <w:rPr>
                <w:webHidden/>
              </w:rPr>
              <w:t>6</w:t>
            </w:r>
            <w:r w:rsidR="00D20867">
              <w:rPr>
                <w:webHidden/>
              </w:rPr>
              <w:fldChar w:fldCharType="end"/>
            </w:r>
          </w:hyperlink>
        </w:p>
        <w:p w14:paraId="5D7AA1E1" w14:textId="77777777" w:rsidR="00D20867" w:rsidRPr="00D20867" w:rsidRDefault="00D20867" w:rsidP="00D20867">
          <w:pPr>
            <w:pStyle w:val="NoSpacing"/>
            <w:rPr>
              <w:noProof/>
              <w:sz w:val="14"/>
              <w:szCs w:val="10"/>
              <w:lang w:val="sr-Cyrl-RS"/>
            </w:rPr>
          </w:pPr>
        </w:p>
        <w:p w14:paraId="44A11313" w14:textId="77777777" w:rsidR="00D20867" w:rsidRDefault="00B5577F">
          <w:pPr>
            <w:pStyle w:val="TOC1"/>
            <w:rPr>
              <w:rFonts w:asciiTheme="minorHAnsi" w:eastAsiaTheme="minorEastAsia" w:hAnsiTheme="minorHAnsi" w:cstheme="minorBidi"/>
              <w:b w:val="0"/>
              <w:i w:val="0"/>
              <w:color w:val="auto"/>
              <w:sz w:val="22"/>
              <w:lang w:val="sr-Latn-RS" w:eastAsia="sr-Latn-RS"/>
            </w:rPr>
          </w:pPr>
          <w:hyperlink w:anchor="_Toc414356798" w:history="1">
            <w:r w:rsidR="00D20867" w:rsidRPr="00BE00A8">
              <w:rPr>
                <w:rStyle w:val="Hyperlink"/>
                <w:lang w:val="sr-Cyrl-CS"/>
              </w:rPr>
              <w:t>3.</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РЕЗИМЕ ОСТВАРЕНИХ РЕЗУЛТАТА</w:t>
            </w:r>
            <w:r w:rsidR="00D20867">
              <w:rPr>
                <w:webHidden/>
              </w:rPr>
              <w:tab/>
            </w:r>
            <w:r w:rsidR="00D20867">
              <w:rPr>
                <w:webHidden/>
              </w:rPr>
              <w:fldChar w:fldCharType="begin"/>
            </w:r>
            <w:r w:rsidR="00D20867">
              <w:rPr>
                <w:webHidden/>
              </w:rPr>
              <w:instrText xml:space="preserve"> PAGEREF _Toc414356798 \h </w:instrText>
            </w:r>
            <w:r w:rsidR="00D20867">
              <w:rPr>
                <w:webHidden/>
              </w:rPr>
            </w:r>
            <w:r w:rsidR="00D20867">
              <w:rPr>
                <w:webHidden/>
              </w:rPr>
              <w:fldChar w:fldCharType="separate"/>
            </w:r>
            <w:r w:rsidR="00D35AA2">
              <w:rPr>
                <w:webHidden/>
              </w:rPr>
              <w:t>7</w:t>
            </w:r>
            <w:r w:rsidR="00D20867">
              <w:rPr>
                <w:webHidden/>
              </w:rPr>
              <w:fldChar w:fldCharType="end"/>
            </w:r>
          </w:hyperlink>
        </w:p>
        <w:p w14:paraId="72658DAD" w14:textId="77777777" w:rsidR="00D20867" w:rsidRPr="00D20867" w:rsidRDefault="00D20867" w:rsidP="00D20867">
          <w:pPr>
            <w:pStyle w:val="NoSpacing"/>
            <w:rPr>
              <w:rStyle w:val="Hyperlink"/>
              <w:noProof/>
              <w:sz w:val="14"/>
              <w:szCs w:val="10"/>
              <w:lang w:val="sr-Cyrl-RS"/>
            </w:rPr>
          </w:pPr>
        </w:p>
        <w:p w14:paraId="3CF91484" w14:textId="77777777" w:rsidR="00D20867" w:rsidRDefault="00B5577F">
          <w:pPr>
            <w:pStyle w:val="TOC1"/>
            <w:rPr>
              <w:rStyle w:val="Hyperlink"/>
              <w:lang w:val="sr-Cyrl-RS"/>
            </w:rPr>
          </w:pPr>
          <w:hyperlink w:anchor="_Toc414356799" w:history="1">
            <w:r w:rsidR="00D20867" w:rsidRPr="00BE00A8">
              <w:rPr>
                <w:rStyle w:val="Hyperlink"/>
                <w:lang w:val="sr-Cyrl-CS"/>
              </w:rPr>
              <w:t>4.</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ИЗВЕШТАЈ О ПОЛИТИЦИ СПРОВОЂЕЊА САОСИГУРАЊА И РЕОСИГУРАЊА ЗА 2014. ГОДИНУ</w:t>
            </w:r>
            <w:r w:rsidR="00D20867">
              <w:rPr>
                <w:webHidden/>
              </w:rPr>
              <w:tab/>
            </w:r>
            <w:r w:rsidR="00D20867">
              <w:rPr>
                <w:webHidden/>
              </w:rPr>
              <w:fldChar w:fldCharType="begin"/>
            </w:r>
            <w:r w:rsidR="00D20867">
              <w:rPr>
                <w:webHidden/>
              </w:rPr>
              <w:instrText xml:space="preserve"> PAGEREF _Toc414356799 \h </w:instrText>
            </w:r>
            <w:r w:rsidR="00D20867">
              <w:rPr>
                <w:webHidden/>
              </w:rPr>
            </w:r>
            <w:r w:rsidR="00D20867">
              <w:rPr>
                <w:webHidden/>
              </w:rPr>
              <w:fldChar w:fldCharType="separate"/>
            </w:r>
            <w:r w:rsidR="00D35AA2">
              <w:rPr>
                <w:webHidden/>
              </w:rPr>
              <w:t>9</w:t>
            </w:r>
            <w:r w:rsidR="00D20867">
              <w:rPr>
                <w:webHidden/>
              </w:rPr>
              <w:fldChar w:fldCharType="end"/>
            </w:r>
          </w:hyperlink>
        </w:p>
        <w:p w14:paraId="3A94F0BB" w14:textId="77777777" w:rsidR="00D20867" w:rsidRPr="00D20867" w:rsidRDefault="00D20867" w:rsidP="00D20867">
          <w:pPr>
            <w:pStyle w:val="NoSpacing"/>
            <w:rPr>
              <w:noProof/>
              <w:sz w:val="6"/>
              <w:szCs w:val="6"/>
              <w:lang w:val="sr-Cyrl-RS"/>
            </w:rPr>
          </w:pPr>
        </w:p>
        <w:p w14:paraId="7EE41B88" w14:textId="77777777" w:rsidR="00D20867" w:rsidRDefault="00B5577F">
          <w:pPr>
            <w:pStyle w:val="TOC1"/>
            <w:rPr>
              <w:rFonts w:asciiTheme="minorHAnsi" w:eastAsiaTheme="minorEastAsia" w:hAnsiTheme="minorHAnsi" w:cstheme="minorBidi"/>
              <w:b w:val="0"/>
              <w:i w:val="0"/>
              <w:color w:val="auto"/>
              <w:sz w:val="22"/>
              <w:lang w:val="sr-Latn-RS" w:eastAsia="sr-Latn-RS"/>
            </w:rPr>
          </w:pPr>
          <w:hyperlink w:anchor="_Toc414356800" w:history="1">
            <w:r w:rsidR="00D20867" w:rsidRPr="00BE00A8">
              <w:rPr>
                <w:rStyle w:val="Hyperlink"/>
                <w:lang w:val="sr-Cyrl-CS"/>
              </w:rPr>
              <w:t>4.1.</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ЦЕДЕНТИ ДРУШТВА</w:t>
            </w:r>
            <w:r w:rsidR="00D20867">
              <w:rPr>
                <w:webHidden/>
              </w:rPr>
              <w:tab/>
            </w:r>
            <w:r w:rsidR="00D20867">
              <w:rPr>
                <w:webHidden/>
              </w:rPr>
              <w:fldChar w:fldCharType="begin"/>
            </w:r>
            <w:r w:rsidR="00D20867">
              <w:rPr>
                <w:webHidden/>
              </w:rPr>
              <w:instrText xml:space="preserve"> PAGEREF _Toc414356800 \h </w:instrText>
            </w:r>
            <w:r w:rsidR="00D20867">
              <w:rPr>
                <w:webHidden/>
              </w:rPr>
            </w:r>
            <w:r w:rsidR="00D20867">
              <w:rPr>
                <w:webHidden/>
              </w:rPr>
              <w:fldChar w:fldCharType="separate"/>
            </w:r>
            <w:r w:rsidR="00D35AA2">
              <w:rPr>
                <w:webHidden/>
              </w:rPr>
              <w:t>9</w:t>
            </w:r>
            <w:r w:rsidR="00D20867">
              <w:rPr>
                <w:webHidden/>
              </w:rPr>
              <w:fldChar w:fldCharType="end"/>
            </w:r>
          </w:hyperlink>
        </w:p>
        <w:p w14:paraId="10013C4D" w14:textId="77777777" w:rsidR="00D20867" w:rsidRPr="00D20867" w:rsidRDefault="00D20867" w:rsidP="00D20867">
          <w:pPr>
            <w:pStyle w:val="NoSpacing"/>
            <w:rPr>
              <w:rStyle w:val="Hyperlink"/>
              <w:noProof/>
              <w:sz w:val="6"/>
              <w:szCs w:val="6"/>
              <w:lang w:val="sr-Cyrl-RS"/>
            </w:rPr>
          </w:pPr>
        </w:p>
        <w:p w14:paraId="1A730E3F" w14:textId="77777777" w:rsidR="00D20867" w:rsidRDefault="00B5577F">
          <w:pPr>
            <w:pStyle w:val="TOC1"/>
            <w:rPr>
              <w:rFonts w:asciiTheme="minorHAnsi" w:eastAsiaTheme="minorEastAsia" w:hAnsiTheme="minorHAnsi" w:cstheme="minorBidi"/>
              <w:b w:val="0"/>
              <w:i w:val="0"/>
              <w:color w:val="auto"/>
              <w:sz w:val="22"/>
              <w:lang w:val="sr-Latn-RS" w:eastAsia="sr-Latn-RS"/>
            </w:rPr>
          </w:pPr>
          <w:hyperlink w:anchor="_Toc414356801" w:history="1">
            <w:r w:rsidR="00D20867" w:rsidRPr="00BE00A8">
              <w:rPr>
                <w:rStyle w:val="Hyperlink"/>
                <w:lang w:val="sr-Cyrl-CS"/>
              </w:rPr>
              <w:t>4.2.</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МАКСИМАЛНИ САМОПРИДРЖАЈ ДРУШТВА</w:t>
            </w:r>
            <w:r w:rsidR="00D20867">
              <w:rPr>
                <w:webHidden/>
              </w:rPr>
              <w:tab/>
            </w:r>
            <w:r w:rsidR="00D20867">
              <w:rPr>
                <w:webHidden/>
              </w:rPr>
              <w:fldChar w:fldCharType="begin"/>
            </w:r>
            <w:r w:rsidR="00D20867">
              <w:rPr>
                <w:webHidden/>
              </w:rPr>
              <w:instrText xml:space="preserve"> PAGEREF _Toc414356801 \h </w:instrText>
            </w:r>
            <w:r w:rsidR="00D20867">
              <w:rPr>
                <w:webHidden/>
              </w:rPr>
            </w:r>
            <w:r w:rsidR="00D20867">
              <w:rPr>
                <w:webHidden/>
              </w:rPr>
              <w:fldChar w:fldCharType="separate"/>
            </w:r>
            <w:r w:rsidR="00D35AA2">
              <w:rPr>
                <w:webHidden/>
              </w:rPr>
              <w:t>9</w:t>
            </w:r>
            <w:r w:rsidR="00D20867">
              <w:rPr>
                <w:webHidden/>
              </w:rPr>
              <w:fldChar w:fldCharType="end"/>
            </w:r>
          </w:hyperlink>
        </w:p>
        <w:p w14:paraId="4AF64A2C" w14:textId="77777777" w:rsidR="00D20867" w:rsidRPr="00D20867" w:rsidRDefault="00D20867" w:rsidP="00D20867">
          <w:pPr>
            <w:pStyle w:val="NoSpacing"/>
            <w:rPr>
              <w:rStyle w:val="Hyperlink"/>
              <w:noProof/>
              <w:sz w:val="6"/>
              <w:szCs w:val="6"/>
              <w:lang w:val="sr-Cyrl-RS"/>
            </w:rPr>
          </w:pPr>
        </w:p>
        <w:p w14:paraId="6588582B" w14:textId="77777777" w:rsidR="00D20867" w:rsidRDefault="00B5577F">
          <w:pPr>
            <w:pStyle w:val="TOC1"/>
            <w:rPr>
              <w:rFonts w:asciiTheme="minorHAnsi" w:eastAsiaTheme="minorEastAsia" w:hAnsiTheme="minorHAnsi" w:cstheme="minorBidi"/>
              <w:b w:val="0"/>
              <w:i w:val="0"/>
              <w:color w:val="auto"/>
              <w:sz w:val="22"/>
              <w:lang w:val="sr-Latn-RS" w:eastAsia="sr-Latn-RS"/>
            </w:rPr>
          </w:pPr>
          <w:hyperlink w:anchor="_Toc414356802" w:history="1">
            <w:r w:rsidR="00D20867" w:rsidRPr="00BE00A8">
              <w:rPr>
                <w:rStyle w:val="Hyperlink"/>
                <w:lang w:val="sr-Cyrl-CS"/>
              </w:rPr>
              <w:t>4.3.</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УГОВОРИ О РЕОСИГУРАЊУ</w:t>
            </w:r>
            <w:r w:rsidR="00D20867">
              <w:rPr>
                <w:webHidden/>
              </w:rPr>
              <w:tab/>
            </w:r>
            <w:r w:rsidR="00D20867">
              <w:rPr>
                <w:webHidden/>
              </w:rPr>
              <w:fldChar w:fldCharType="begin"/>
            </w:r>
            <w:r w:rsidR="00D20867">
              <w:rPr>
                <w:webHidden/>
              </w:rPr>
              <w:instrText xml:space="preserve"> PAGEREF _Toc414356802 \h </w:instrText>
            </w:r>
            <w:r w:rsidR="00D20867">
              <w:rPr>
                <w:webHidden/>
              </w:rPr>
            </w:r>
            <w:r w:rsidR="00D20867">
              <w:rPr>
                <w:webHidden/>
              </w:rPr>
              <w:fldChar w:fldCharType="separate"/>
            </w:r>
            <w:r w:rsidR="00D35AA2">
              <w:rPr>
                <w:webHidden/>
              </w:rPr>
              <w:t>10</w:t>
            </w:r>
            <w:r w:rsidR="00D20867">
              <w:rPr>
                <w:webHidden/>
              </w:rPr>
              <w:fldChar w:fldCharType="end"/>
            </w:r>
          </w:hyperlink>
        </w:p>
        <w:p w14:paraId="3AAB4FD3" w14:textId="77777777" w:rsidR="00D20867" w:rsidRPr="00D20867" w:rsidRDefault="00D20867" w:rsidP="00D20867">
          <w:pPr>
            <w:pStyle w:val="NoSpacing"/>
            <w:rPr>
              <w:rStyle w:val="Hyperlink"/>
              <w:noProof/>
              <w:sz w:val="6"/>
              <w:szCs w:val="6"/>
              <w:lang w:val="sr-Cyrl-RS"/>
            </w:rPr>
          </w:pPr>
        </w:p>
        <w:p w14:paraId="59222233" w14:textId="77777777" w:rsidR="00D20867" w:rsidRDefault="00B5577F">
          <w:pPr>
            <w:pStyle w:val="TOC1"/>
            <w:rPr>
              <w:rFonts w:asciiTheme="minorHAnsi" w:eastAsiaTheme="minorEastAsia" w:hAnsiTheme="minorHAnsi" w:cstheme="minorBidi"/>
              <w:b w:val="0"/>
              <w:i w:val="0"/>
              <w:color w:val="auto"/>
              <w:sz w:val="22"/>
              <w:lang w:val="sr-Latn-RS" w:eastAsia="sr-Latn-RS"/>
            </w:rPr>
          </w:pPr>
          <w:hyperlink w:anchor="_Toc414356803" w:history="1">
            <w:r w:rsidR="00D20867" w:rsidRPr="00BE00A8">
              <w:rPr>
                <w:rStyle w:val="Hyperlink"/>
                <w:lang w:val="sr-Cyrl-CS"/>
              </w:rPr>
              <w:t>4.4.</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АКТИВНА ПРЕМИЈА ДРУШТВА</w:t>
            </w:r>
            <w:r w:rsidR="00D20867">
              <w:rPr>
                <w:webHidden/>
              </w:rPr>
              <w:tab/>
            </w:r>
            <w:r w:rsidR="00D20867">
              <w:rPr>
                <w:webHidden/>
              </w:rPr>
              <w:fldChar w:fldCharType="begin"/>
            </w:r>
            <w:r w:rsidR="00D20867">
              <w:rPr>
                <w:webHidden/>
              </w:rPr>
              <w:instrText xml:space="preserve"> PAGEREF _Toc414356803 \h </w:instrText>
            </w:r>
            <w:r w:rsidR="00D20867">
              <w:rPr>
                <w:webHidden/>
              </w:rPr>
            </w:r>
            <w:r w:rsidR="00D20867">
              <w:rPr>
                <w:webHidden/>
              </w:rPr>
              <w:fldChar w:fldCharType="separate"/>
            </w:r>
            <w:r w:rsidR="00D35AA2">
              <w:rPr>
                <w:webHidden/>
              </w:rPr>
              <w:t>10</w:t>
            </w:r>
            <w:r w:rsidR="00D20867">
              <w:rPr>
                <w:webHidden/>
              </w:rPr>
              <w:fldChar w:fldCharType="end"/>
            </w:r>
          </w:hyperlink>
        </w:p>
        <w:p w14:paraId="0D86E27C" w14:textId="77777777" w:rsidR="00D20867" w:rsidRPr="00D20867" w:rsidRDefault="00D20867" w:rsidP="00D20867">
          <w:pPr>
            <w:pStyle w:val="NoSpacing"/>
            <w:rPr>
              <w:rStyle w:val="Hyperlink"/>
              <w:noProof/>
              <w:sz w:val="6"/>
              <w:szCs w:val="6"/>
              <w:lang w:val="sr-Cyrl-RS"/>
            </w:rPr>
          </w:pPr>
        </w:p>
        <w:p w14:paraId="0AAB6E5D" w14:textId="77777777" w:rsidR="00D20867" w:rsidRDefault="00B5577F">
          <w:pPr>
            <w:pStyle w:val="TOC1"/>
            <w:rPr>
              <w:rFonts w:asciiTheme="minorHAnsi" w:eastAsiaTheme="minorEastAsia" w:hAnsiTheme="minorHAnsi" w:cstheme="minorBidi"/>
              <w:b w:val="0"/>
              <w:i w:val="0"/>
              <w:color w:val="auto"/>
              <w:sz w:val="22"/>
              <w:lang w:val="sr-Latn-RS" w:eastAsia="sr-Latn-RS"/>
            </w:rPr>
          </w:pPr>
          <w:hyperlink w:anchor="_Toc414356804" w:history="1">
            <w:r w:rsidR="00D20867" w:rsidRPr="00BE00A8">
              <w:rPr>
                <w:rStyle w:val="Hyperlink"/>
                <w:lang w:val="sr-Cyrl-CS"/>
              </w:rPr>
              <w:t>4.5.</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ПРЕМИЈА У САМОПРИДРЖАЈУ ДРУШТВА</w:t>
            </w:r>
            <w:r w:rsidR="00D20867">
              <w:rPr>
                <w:webHidden/>
              </w:rPr>
              <w:tab/>
            </w:r>
            <w:r w:rsidR="00D20867">
              <w:rPr>
                <w:webHidden/>
              </w:rPr>
              <w:fldChar w:fldCharType="begin"/>
            </w:r>
            <w:r w:rsidR="00D20867">
              <w:rPr>
                <w:webHidden/>
              </w:rPr>
              <w:instrText xml:space="preserve"> PAGEREF _Toc414356804 \h </w:instrText>
            </w:r>
            <w:r w:rsidR="00D20867">
              <w:rPr>
                <w:webHidden/>
              </w:rPr>
            </w:r>
            <w:r w:rsidR="00D20867">
              <w:rPr>
                <w:webHidden/>
              </w:rPr>
              <w:fldChar w:fldCharType="separate"/>
            </w:r>
            <w:r w:rsidR="00D35AA2">
              <w:rPr>
                <w:webHidden/>
              </w:rPr>
              <w:t>16</w:t>
            </w:r>
            <w:r w:rsidR="00D20867">
              <w:rPr>
                <w:webHidden/>
              </w:rPr>
              <w:fldChar w:fldCharType="end"/>
            </w:r>
          </w:hyperlink>
        </w:p>
        <w:p w14:paraId="6DB5ABEA" w14:textId="77777777" w:rsidR="00D20867" w:rsidRPr="00D20867" w:rsidRDefault="00D20867" w:rsidP="00D20867">
          <w:pPr>
            <w:pStyle w:val="NoSpacing"/>
            <w:rPr>
              <w:rStyle w:val="Hyperlink"/>
              <w:noProof/>
              <w:sz w:val="6"/>
              <w:szCs w:val="6"/>
              <w:lang w:val="sr-Cyrl-RS"/>
            </w:rPr>
          </w:pPr>
        </w:p>
        <w:p w14:paraId="6D9130CF" w14:textId="77777777" w:rsidR="00D20867" w:rsidRDefault="00B5577F">
          <w:pPr>
            <w:pStyle w:val="TOC1"/>
            <w:rPr>
              <w:rFonts w:asciiTheme="minorHAnsi" w:eastAsiaTheme="minorEastAsia" w:hAnsiTheme="minorHAnsi" w:cstheme="minorBidi"/>
              <w:b w:val="0"/>
              <w:i w:val="0"/>
              <w:color w:val="auto"/>
              <w:sz w:val="22"/>
              <w:lang w:val="sr-Latn-RS" w:eastAsia="sr-Latn-RS"/>
            </w:rPr>
          </w:pPr>
          <w:hyperlink w:anchor="_Toc414356805" w:history="1">
            <w:r w:rsidR="00D20867" w:rsidRPr="00BE00A8">
              <w:rPr>
                <w:rStyle w:val="Hyperlink"/>
                <w:lang w:val="sr-Cyrl-CS"/>
              </w:rPr>
              <w:t>4.6.</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ПРЕМИЈА РЕТРОЦЕСИЈЕ ДРУШТВА</w:t>
            </w:r>
            <w:r w:rsidR="00D20867">
              <w:rPr>
                <w:webHidden/>
              </w:rPr>
              <w:tab/>
            </w:r>
            <w:r w:rsidR="00D20867">
              <w:rPr>
                <w:webHidden/>
              </w:rPr>
              <w:fldChar w:fldCharType="begin"/>
            </w:r>
            <w:r w:rsidR="00D20867">
              <w:rPr>
                <w:webHidden/>
              </w:rPr>
              <w:instrText xml:space="preserve"> PAGEREF _Toc414356805 \h </w:instrText>
            </w:r>
            <w:r w:rsidR="00D20867">
              <w:rPr>
                <w:webHidden/>
              </w:rPr>
            </w:r>
            <w:r w:rsidR="00D20867">
              <w:rPr>
                <w:webHidden/>
              </w:rPr>
              <w:fldChar w:fldCharType="separate"/>
            </w:r>
            <w:r w:rsidR="00D35AA2">
              <w:rPr>
                <w:webHidden/>
              </w:rPr>
              <w:t>20</w:t>
            </w:r>
            <w:r w:rsidR="00D20867">
              <w:rPr>
                <w:webHidden/>
              </w:rPr>
              <w:fldChar w:fldCharType="end"/>
            </w:r>
          </w:hyperlink>
        </w:p>
        <w:p w14:paraId="760A5854" w14:textId="77777777" w:rsidR="00D20867" w:rsidRPr="00D20867" w:rsidRDefault="00D20867" w:rsidP="00D20867">
          <w:pPr>
            <w:pStyle w:val="NoSpacing"/>
            <w:rPr>
              <w:rStyle w:val="Hyperlink"/>
              <w:noProof/>
              <w:sz w:val="6"/>
              <w:szCs w:val="6"/>
              <w:lang w:val="sr-Cyrl-RS"/>
            </w:rPr>
          </w:pPr>
        </w:p>
        <w:p w14:paraId="05EB7459" w14:textId="77777777" w:rsidR="00D20867" w:rsidRDefault="00B5577F">
          <w:pPr>
            <w:pStyle w:val="TOC1"/>
            <w:rPr>
              <w:rFonts w:asciiTheme="minorHAnsi" w:eastAsiaTheme="minorEastAsia" w:hAnsiTheme="minorHAnsi" w:cstheme="minorBidi"/>
              <w:b w:val="0"/>
              <w:i w:val="0"/>
              <w:color w:val="auto"/>
              <w:sz w:val="22"/>
              <w:lang w:val="sr-Latn-RS" w:eastAsia="sr-Latn-RS"/>
            </w:rPr>
          </w:pPr>
          <w:hyperlink w:anchor="_Toc414356806" w:history="1">
            <w:r w:rsidR="00D20867" w:rsidRPr="00BE00A8">
              <w:rPr>
                <w:rStyle w:val="Hyperlink"/>
                <w:lang w:val="sr-Cyrl-CS"/>
              </w:rPr>
              <w:t>4.7.</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ЛИКВИДИРАНЕ ШТЕТЕ ДРУШТВА</w:t>
            </w:r>
            <w:r w:rsidR="00D20867">
              <w:rPr>
                <w:webHidden/>
              </w:rPr>
              <w:tab/>
            </w:r>
            <w:r w:rsidR="00D20867">
              <w:rPr>
                <w:webHidden/>
              </w:rPr>
              <w:fldChar w:fldCharType="begin"/>
            </w:r>
            <w:r w:rsidR="00D20867">
              <w:rPr>
                <w:webHidden/>
              </w:rPr>
              <w:instrText xml:space="preserve"> PAGEREF _Toc414356806 \h </w:instrText>
            </w:r>
            <w:r w:rsidR="00D20867">
              <w:rPr>
                <w:webHidden/>
              </w:rPr>
            </w:r>
            <w:r w:rsidR="00D20867">
              <w:rPr>
                <w:webHidden/>
              </w:rPr>
              <w:fldChar w:fldCharType="separate"/>
            </w:r>
            <w:r w:rsidR="00D35AA2">
              <w:rPr>
                <w:webHidden/>
              </w:rPr>
              <w:t>22</w:t>
            </w:r>
            <w:r w:rsidR="00D20867">
              <w:rPr>
                <w:webHidden/>
              </w:rPr>
              <w:fldChar w:fldCharType="end"/>
            </w:r>
          </w:hyperlink>
        </w:p>
        <w:p w14:paraId="34DB281D" w14:textId="77777777" w:rsidR="00D20867" w:rsidRPr="00D20867" w:rsidRDefault="00D20867" w:rsidP="00D20867">
          <w:pPr>
            <w:pStyle w:val="NoSpacing"/>
            <w:rPr>
              <w:rStyle w:val="Hyperlink"/>
              <w:noProof/>
              <w:sz w:val="6"/>
              <w:szCs w:val="6"/>
              <w:lang w:val="sr-Cyrl-RS"/>
            </w:rPr>
          </w:pPr>
        </w:p>
        <w:p w14:paraId="569EB9B3" w14:textId="77777777" w:rsidR="00D20867" w:rsidRDefault="00B5577F">
          <w:pPr>
            <w:pStyle w:val="TOC1"/>
            <w:rPr>
              <w:rFonts w:asciiTheme="minorHAnsi" w:eastAsiaTheme="minorEastAsia" w:hAnsiTheme="minorHAnsi" w:cstheme="minorBidi"/>
              <w:b w:val="0"/>
              <w:i w:val="0"/>
              <w:color w:val="auto"/>
              <w:sz w:val="22"/>
              <w:lang w:val="sr-Latn-RS" w:eastAsia="sr-Latn-RS"/>
            </w:rPr>
          </w:pPr>
          <w:hyperlink w:anchor="_Toc414356807" w:history="1">
            <w:r w:rsidR="00D20867" w:rsidRPr="00BE00A8">
              <w:rPr>
                <w:rStyle w:val="Hyperlink"/>
                <w:lang w:val="sr-Cyrl-CS"/>
              </w:rPr>
              <w:t>4.8.</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ЛИКВИДИРАНЕ ШТЕТЕ У САМОПРИДРЖАЈУ ДРУШТВА</w:t>
            </w:r>
            <w:r w:rsidR="00D20867">
              <w:rPr>
                <w:webHidden/>
              </w:rPr>
              <w:tab/>
            </w:r>
            <w:r w:rsidR="00D20867">
              <w:rPr>
                <w:webHidden/>
              </w:rPr>
              <w:fldChar w:fldCharType="begin"/>
            </w:r>
            <w:r w:rsidR="00D20867">
              <w:rPr>
                <w:webHidden/>
              </w:rPr>
              <w:instrText xml:space="preserve"> PAGEREF _Toc414356807 \h </w:instrText>
            </w:r>
            <w:r w:rsidR="00D20867">
              <w:rPr>
                <w:webHidden/>
              </w:rPr>
            </w:r>
            <w:r w:rsidR="00D20867">
              <w:rPr>
                <w:webHidden/>
              </w:rPr>
              <w:fldChar w:fldCharType="separate"/>
            </w:r>
            <w:r w:rsidR="00D35AA2">
              <w:rPr>
                <w:webHidden/>
              </w:rPr>
              <w:t>23</w:t>
            </w:r>
            <w:r w:rsidR="00D20867">
              <w:rPr>
                <w:webHidden/>
              </w:rPr>
              <w:fldChar w:fldCharType="end"/>
            </w:r>
          </w:hyperlink>
        </w:p>
        <w:p w14:paraId="2246E7B7" w14:textId="77777777" w:rsidR="00D20867" w:rsidRPr="00D20867" w:rsidRDefault="00D20867" w:rsidP="00D20867">
          <w:pPr>
            <w:pStyle w:val="NoSpacing"/>
            <w:rPr>
              <w:rStyle w:val="Hyperlink"/>
              <w:noProof/>
              <w:sz w:val="6"/>
              <w:szCs w:val="6"/>
              <w:lang w:val="sr-Cyrl-RS"/>
            </w:rPr>
          </w:pPr>
        </w:p>
        <w:p w14:paraId="1534093C" w14:textId="77777777" w:rsidR="00D20867" w:rsidRDefault="00B5577F">
          <w:pPr>
            <w:pStyle w:val="TOC1"/>
            <w:rPr>
              <w:rFonts w:asciiTheme="minorHAnsi" w:eastAsiaTheme="minorEastAsia" w:hAnsiTheme="minorHAnsi" w:cstheme="minorBidi"/>
              <w:b w:val="0"/>
              <w:i w:val="0"/>
              <w:color w:val="auto"/>
              <w:sz w:val="22"/>
              <w:lang w:val="sr-Latn-RS" w:eastAsia="sr-Latn-RS"/>
            </w:rPr>
          </w:pPr>
          <w:hyperlink w:anchor="_Toc414356808" w:history="1">
            <w:r w:rsidR="00D20867" w:rsidRPr="00BE00A8">
              <w:rPr>
                <w:rStyle w:val="Hyperlink"/>
                <w:lang w:val="sr-Cyrl-CS"/>
              </w:rPr>
              <w:t>4.9.</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ЛИКВИДИРАНЕ ШТЕТЕ РЕТРОЦЕСИЈЕ ДРУШТВА</w:t>
            </w:r>
            <w:r w:rsidR="00D20867">
              <w:rPr>
                <w:webHidden/>
              </w:rPr>
              <w:tab/>
            </w:r>
            <w:r w:rsidR="00D20867">
              <w:rPr>
                <w:webHidden/>
              </w:rPr>
              <w:fldChar w:fldCharType="begin"/>
            </w:r>
            <w:r w:rsidR="00D20867">
              <w:rPr>
                <w:webHidden/>
              </w:rPr>
              <w:instrText xml:space="preserve"> PAGEREF _Toc414356808 \h </w:instrText>
            </w:r>
            <w:r w:rsidR="00D20867">
              <w:rPr>
                <w:webHidden/>
              </w:rPr>
            </w:r>
            <w:r w:rsidR="00D20867">
              <w:rPr>
                <w:webHidden/>
              </w:rPr>
              <w:fldChar w:fldCharType="separate"/>
            </w:r>
            <w:r w:rsidR="00D35AA2">
              <w:rPr>
                <w:webHidden/>
              </w:rPr>
              <w:t>23</w:t>
            </w:r>
            <w:r w:rsidR="00D20867">
              <w:rPr>
                <w:webHidden/>
              </w:rPr>
              <w:fldChar w:fldCharType="end"/>
            </w:r>
          </w:hyperlink>
        </w:p>
        <w:p w14:paraId="08530DA7" w14:textId="77777777" w:rsidR="00D20867" w:rsidRPr="00D20867" w:rsidRDefault="00D20867" w:rsidP="00D20867">
          <w:pPr>
            <w:pStyle w:val="NoSpacing"/>
            <w:rPr>
              <w:rStyle w:val="Hyperlink"/>
              <w:noProof/>
              <w:sz w:val="6"/>
              <w:szCs w:val="6"/>
              <w:lang w:val="sr-Cyrl-RS"/>
            </w:rPr>
          </w:pPr>
        </w:p>
        <w:p w14:paraId="753F84C0" w14:textId="77777777" w:rsidR="00D20867" w:rsidRDefault="00B5577F">
          <w:pPr>
            <w:pStyle w:val="TOC1"/>
            <w:rPr>
              <w:rFonts w:asciiTheme="minorHAnsi" w:eastAsiaTheme="minorEastAsia" w:hAnsiTheme="minorHAnsi" w:cstheme="minorBidi"/>
              <w:b w:val="0"/>
              <w:i w:val="0"/>
              <w:color w:val="auto"/>
              <w:sz w:val="22"/>
              <w:lang w:val="sr-Latn-RS" w:eastAsia="sr-Latn-RS"/>
            </w:rPr>
          </w:pPr>
          <w:hyperlink w:anchor="_Toc414356809" w:history="1">
            <w:r w:rsidR="00D20867" w:rsidRPr="00BE00A8">
              <w:rPr>
                <w:rStyle w:val="Hyperlink"/>
                <w:lang w:val="sr-Cyrl-CS"/>
              </w:rPr>
              <w:t>4.10. РЕЗЕРВИСАНЕ ШТЕТЕ ДРУШТВА</w:t>
            </w:r>
            <w:r w:rsidR="00D20867">
              <w:rPr>
                <w:webHidden/>
              </w:rPr>
              <w:tab/>
            </w:r>
            <w:r w:rsidR="00D20867">
              <w:rPr>
                <w:webHidden/>
              </w:rPr>
              <w:fldChar w:fldCharType="begin"/>
            </w:r>
            <w:r w:rsidR="00D20867">
              <w:rPr>
                <w:webHidden/>
              </w:rPr>
              <w:instrText xml:space="preserve"> PAGEREF _Toc414356809 \h </w:instrText>
            </w:r>
            <w:r w:rsidR="00D20867">
              <w:rPr>
                <w:webHidden/>
              </w:rPr>
            </w:r>
            <w:r w:rsidR="00D20867">
              <w:rPr>
                <w:webHidden/>
              </w:rPr>
              <w:fldChar w:fldCharType="separate"/>
            </w:r>
            <w:r w:rsidR="00D35AA2">
              <w:rPr>
                <w:webHidden/>
              </w:rPr>
              <w:t>24</w:t>
            </w:r>
            <w:r w:rsidR="00D20867">
              <w:rPr>
                <w:webHidden/>
              </w:rPr>
              <w:fldChar w:fldCharType="end"/>
            </w:r>
          </w:hyperlink>
        </w:p>
        <w:p w14:paraId="20D4A5B9" w14:textId="77777777" w:rsidR="00D20867" w:rsidRPr="00D20867" w:rsidRDefault="00D20867" w:rsidP="00D20867">
          <w:pPr>
            <w:pStyle w:val="NoSpacing"/>
            <w:rPr>
              <w:rStyle w:val="Hyperlink"/>
              <w:noProof/>
              <w:sz w:val="6"/>
              <w:szCs w:val="6"/>
              <w:lang w:val="sr-Cyrl-RS"/>
            </w:rPr>
          </w:pPr>
        </w:p>
        <w:p w14:paraId="18E67A4F" w14:textId="77777777" w:rsidR="00D20867" w:rsidRDefault="00B5577F">
          <w:pPr>
            <w:pStyle w:val="TOC1"/>
            <w:rPr>
              <w:rFonts w:asciiTheme="minorHAnsi" w:eastAsiaTheme="minorEastAsia" w:hAnsiTheme="minorHAnsi" w:cstheme="minorBidi"/>
              <w:b w:val="0"/>
              <w:i w:val="0"/>
              <w:color w:val="auto"/>
              <w:sz w:val="22"/>
              <w:lang w:val="sr-Latn-RS" w:eastAsia="sr-Latn-RS"/>
            </w:rPr>
          </w:pPr>
          <w:hyperlink w:anchor="_Toc414356810" w:history="1">
            <w:r w:rsidR="00D20867" w:rsidRPr="00BE00A8">
              <w:rPr>
                <w:rStyle w:val="Hyperlink"/>
                <w:lang w:val="sr-Cyrl-CS"/>
              </w:rPr>
              <w:t>4.11. РЕЗЕРВИСАНЕ ШТЕТЕ У САМОПРИДРЖАЈУ ДРУШТВА</w:t>
            </w:r>
            <w:r w:rsidR="00D20867">
              <w:rPr>
                <w:webHidden/>
              </w:rPr>
              <w:tab/>
            </w:r>
            <w:r w:rsidR="00D20867">
              <w:rPr>
                <w:webHidden/>
              </w:rPr>
              <w:fldChar w:fldCharType="begin"/>
            </w:r>
            <w:r w:rsidR="00D20867">
              <w:rPr>
                <w:webHidden/>
              </w:rPr>
              <w:instrText xml:space="preserve"> PAGEREF _Toc414356810 \h </w:instrText>
            </w:r>
            <w:r w:rsidR="00D20867">
              <w:rPr>
                <w:webHidden/>
              </w:rPr>
            </w:r>
            <w:r w:rsidR="00D20867">
              <w:rPr>
                <w:webHidden/>
              </w:rPr>
              <w:fldChar w:fldCharType="separate"/>
            </w:r>
            <w:r w:rsidR="00D35AA2">
              <w:rPr>
                <w:webHidden/>
              </w:rPr>
              <w:t>24</w:t>
            </w:r>
            <w:r w:rsidR="00D20867">
              <w:rPr>
                <w:webHidden/>
              </w:rPr>
              <w:fldChar w:fldCharType="end"/>
            </w:r>
          </w:hyperlink>
        </w:p>
        <w:p w14:paraId="5CEEE2D8" w14:textId="77777777" w:rsidR="00D20867" w:rsidRPr="00D20867" w:rsidRDefault="00D20867" w:rsidP="00D20867">
          <w:pPr>
            <w:pStyle w:val="NoSpacing"/>
            <w:rPr>
              <w:rStyle w:val="Hyperlink"/>
              <w:noProof/>
              <w:sz w:val="6"/>
              <w:szCs w:val="6"/>
              <w:lang w:val="sr-Cyrl-RS"/>
            </w:rPr>
          </w:pPr>
        </w:p>
        <w:p w14:paraId="53815082" w14:textId="77777777" w:rsidR="00D20867" w:rsidRDefault="00B5577F">
          <w:pPr>
            <w:pStyle w:val="TOC1"/>
            <w:rPr>
              <w:rFonts w:asciiTheme="minorHAnsi" w:eastAsiaTheme="minorEastAsia" w:hAnsiTheme="minorHAnsi" w:cstheme="minorBidi"/>
              <w:b w:val="0"/>
              <w:i w:val="0"/>
              <w:color w:val="auto"/>
              <w:sz w:val="22"/>
              <w:lang w:val="sr-Latn-RS" w:eastAsia="sr-Latn-RS"/>
            </w:rPr>
          </w:pPr>
          <w:hyperlink w:anchor="_Toc414356811" w:history="1">
            <w:r w:rsidR="00D20867" w:rsidRPr="00BE00A8">
              <w:rPr>
                <w:rStyle w:val="Hyperlink"/>
                <w:lang w:val="sr-Cyrl-CS"/>
              </w:rPr>
              <w:t>4.12. РЕЗЕРВИСАНЕ ШТЕТЕ РЕТРОЦЕСИЈЕ ДРУШТВА</w:t>
            </w:r>
            <w:r w:rsidR="00D20867">
              <w:rPr>
                <w:webHidden/>
              </w:rPr>
              <w:tab/>
            </w:r>
            <w:r w:rsidR="00D20867">
              <w:rPr>
                <w:webHidden/>
              </w:rPr>
              <w:fldChar w:fldCharType="begin"/>
            </w:r>
            <w:r w:rsidR="00D20867">
              <w:rPr>
                <w:webHidden/>
              </w:rPr>
              <w:instrText xml:space="preserve"> PAGEREF _Toc414356811 \h </w:instrText>
            </w:r>
            <w:r w:rsidR="00D20867">
              <w:rPr>
                <w:webHidden/>
              </w:rPr>
            </w:r>
            <w:r w:rsidR="00D20867">
              <w:rPr>
                <w:webHidden/>
              </w:rPr>
              <w:fldChar w:fldCharType="separate"/>
            </w:r>
            <w:r w:rsidR="00D35AA2">
              <w:rPr>
                <w:webHidden/>
              </w:rPr>
              <w:t>25</w:t>
            </w:r>
            <w:r w:rsidR="00D20867">
              <w:rPr>
                <w:webHidden/>
              </w:rPr>
              <w:fldChar w:fldCharType="end"/>
            </w:r>
          </w:hyperlink>
        </w:p>
        <w:p w14:paraId="22FA757A" w14:textId="77777777" w:rsidR="00D20867" w:rsidRPr="00D20867" w:rsidRDefault="00D20867" w:rsidP="00D20867">
          <w:pPr>
            <w:pStyle w:val="NoSpacing"/>
            <w:rPr>
              <w:rStyle w:val="Hyperlink"/>
              <w:noProof/>
              <w:sz w:val="6"/>
              <w:szCs w:val="6"/>
              <w:lang w:val="sr-Cyrl-RS"/>
            </w:rPr>
          </w:pPr>
        </w:p>
        <w:p w14:paraId="7D799286" w14:textId="77777777" w:rsidR="00D20867" w:rsidRDefault="00B5577F">
          <w:pPr>
            <w:pStyle w:val="TOC1"/>
            <w:rPr>
              <w:rFonts w:asciiTheme="minorHAnsi" w:eastAsiaTheme="minorEastAsia" w:hAnsiTheme="minorHAnsi" w:cstheme="minorBidi"/>
              <w:b w:val="0"/>
              <w:i w:val="0"/>
              <w:color w:val="auto"/>
              <w:sz w:val="22"/>
              <w:lang w:val="sr-Latn-RS" w:eastAsia="sr-Latn-RS"/>
            </w:rPr>
          </w:pPr>
          <w:hyperlink w:anchor="_Toc414356812" w:history="1">
            <w:r w:rsidR="00D20867" w:rsidRPr="00BE00A8">
              <w:rPr>
                <w:rStyle w:val="Hyperlink"/>
                <w:lang w:val="sr-Cyrl-CS"/>
              </w:rPr>
              <w:t>4.13. НАСТАЛЕ НЕПРИЈАВЉЕНЕ ШТЕТЕ (ИБНР)</w:t>
            </w:r>
            <w:r w:rsidR="00D20867">
              <w:rPr>
                <w:webHidden/>
              </w:rPr>
              <w:tab/>
            </w:r>
            <w:r w:rsidR="00D20867">
              <w:rPr>
                <w:webHidden/>
              </w:rPr>
              <w:fldChar w:fldCharType="begin"/>
            </w:r>
            <w:r w:rsidR="00D20867">
              <w:rPr>
                <w:webHidden/>
              </w:rPr>
              <w:instrText xml:space="preserve"> PAGEREF _Toc414356812 \h </w:instrText>
            </w:r>
            <w:r w:rsidR="00D20867">
              <w:rPr>
                <w:webHidden/>
              </w:rPr>
            </w:r>
            <w:r w:rsidR="00D20867">
              <w:rPr>
                <w:webHidden/>
              </w:rPr>
              <w:fldChar w:fldCharType="separate"/>
            </w:r>
            <w:r w:rsidR="00D35AA2">
              <w:rPr>
                <w:webHidden/>
              </w:rPr>
              <w:t>26</w:t>
            </w:r>
            <w:r w:rsidR="00D20867">
              <w:rPr>
                <w:webHidden/>
              </w:rPr>
              <w:fldChar w:fldCharType="end"/>
            </w:r>
          </w:hyperlink>
        </w:p>
        <w:p w14:paraId="3BF70A47" w14:textId="77777777" w:rsidR="00D20867" w:rsidRPr="00D20867" w:rsidRDefault="00D20867" w:rsidP="00D20867">
          <w:pPr>
            <w:pStyle w:val="NoSpacing"/>
            <w:rPr>
              <w:rStyle w:val="Hyperlink"/>
              <w:noProof/>
              <w:sz w:val="6"/>
              <w:szCs w:val="6"/>
              <w:lang w:val="sr-Cyrl-RS"/>
            </w:rPr>
          </w:pPr>
        </w:p>
        <w:p w14:paraId="0F521957" w14:textId="77777777" w:rsidR="00D20867" w:rsidRDefault="00B5577F">
          <w:pPr>
            <w:pStyle w:val="TOC1"/>
            <w:rPr>
              <w:rFonts w:asciiTheme="minorHAnsi" w:eastAsiaTheme="minorEastAsia" w:hAnsiTheme="minorHAnsi" w:cstheme="minorBidi"/>
              <w:b w:val="0"/>
              <w:i w:val="0"/>
              <w:color w:val="auto"/>
              <w:sz w:val="22"/>
              <w:lang w:val="sr-Latn-RS" w:eastAsia="sr-Latn-RS"/>
            </w:rPr>
          </w:pPr>
          <w:hyperlink w:anchor="_Toc414356813" w:history="1">
            <w:r w:rsidR="00D20867" w:rsidRPr="00BE00A8">
              <w:rPr>
                <w:rStyle w:val="Hyperlink"/>
                <w:lang w:val="sr-Cyrl-CS"/>
              </w:rPr>
              <w:t>4.14. МЕРОДАВНИ ТЕХНИЧКИ РЕЗУЛТАТ (МТР)</w:t>
            </w:r>
            <w:r w:rsidR="00D20867">
              <w:rPr>
                <w:webHidden/>
              </w:rPr>
              <w:tab/>
            </w:r>
            <w:r w:rsidR="00D20867">
              <w:rPr>
                <w:webHidden/>
              </w:rPr>
              <w:fldChar w:fldCharType="begin"/>
            </w:r>
            <w:r w:rsidR="00D20867">
              <w:rPr>
                <w:webHidden/>
              </w:rPr>
              <w:instrText xml:space="preserve"> PAGEREF _Toc414356813 \h </w:instrText>
            </w:r>
            <w:r w:rsidR="00D20867">
              <w:rPr>
                <w:webHidden/>
              </w:rPr>
            </w:r>
            <w:r w:rsidR="00D20867">
              <w:rPr>
                <w:webHidden/>
              </w:rPr>
              <w:fldChar w:fldCharType="separate"/>
            </w:r>
            <w:r w:rsidR="00D35AA2">
              <w:rPr>
                <w:webHidden/>
              </w:rPr>
              <w:t>26</w:t>
            </w:r>
            <w:r w:rsidR="00D20867">
              <w:rPr>
                <w:webHidden/>
              </w:rPr>
              <w:fldChar w:fldCharType="end"/>
            </w:r>
          </w:hyperlink>
        </w:p>
        <w:p w14:paraId="5BA2E663" w14:textId="77777777" w:rsidR="00D20867" w:rsidRPr="00D20867" w:rsidRDefault="00D20867" w:rsidP="00D20867">
          <w:pPr>
            <w:pStyle w:val="NoSpacing"/>
            <w:rPr>
              <w:rStyle w:val="Hyperlink"/>
              <w:noProof/>
              <w:sz w:val="6"/>
              <w:szCs w:val="6"/>
              <w:lang w:val="sr-Cyrl-RS"/>
            </w:rPr>
          </w:pPr>
        </w:p>
        <w:p w14:paraId="136D3E42" w14:textId="77777777" w:rsidR="00D20867" w:rsidRDefault="00B5577F">
          <w:pPr>
            <w:pStyle w:val="TOC1"/>
            <w:rPr>
              <w:rFonts w:asciiTheme="minorHAnsi" w:eastAsiaTheme="minorEastAsia" w:hAnsiTheme="minorHAnsi" w:cstheme="minorBidi"/>
              <w:b w:val="0"/>
              <w:i w:val="0"/>
              <w:color w:val="auto"/>
              <w:sz w:val="22"/>
              <w:lang w:val="sr-Latn-RS" w:eastAsia="sr-Latn-RS"/>
            </w:rPr>
          </w:pPr>
          <w:hyperlink w:anchor="_Toc414356814" w:history="1">
            <w:r w:rsidR="00D20867" w:rsidRPr="00BE00A8">
              <w:rPr>
                <w:rStyle w:val="Hyperlink"/>
                <w:lang w:val="sr-Cyrl-CS"/>
              </w:rPr>
              <w:t>4.15.Резиме политике спровођења саосигурања и реосигурања за 2014.</w:t>
            </w:r>
            <w:r w:rsidR="00D20867">
              <w:rPr>
                <w:webHidden/>
              </w:rPr>
              <w:tab/>
            </w:r>
            <w:r w:rsidR="00D20867">
              <w:rPr>
                <w:webHidden/>
              </w:rPr>
              <w:fldChar w:fldCharType="begin"/>
            </w:r>
            <w:r w:rsidR="00D20867">
              <w:rPr>
                <w:webHidden/>
              </w:rPr>
              <w:instrText xml:space="preserve"> PAGEREF _Toc414356814 \h </w:instrText>
            </w:r>
            <w:r w:rsidR="00D20867">
              <w:rPr>
                <w:webHidden/>
              </w:rPr>
            </w:r>
            <w:r w:rsidR="00D20867">
              <w:rPr>
                <w:webHidden/>
              </w:rPr>
              <w:fldChar w:fldCharType="separate"/>
            </w:r>
            <w:r w:rsidR="00D35AA2">
              <w:rPr>
                <w:webHidden/>
              </w:rPr>
              <w:t>31</w:t>
            </w:r>
            <w:r w:rsidR="00D20867">
              <w:rPr>
                <w:webHidden/>
              </w:rPr>
              <w:fldChar w:fldCharType="end"/>
            </w:r>
          </w:hyperlink>
        </w:p>
        <w:p w14:paraId="60FA18BB" w14:textId="77777777" w:rsidR="00D20867" w:rsidRPr="00D20867" w:rsidRDefault="00D20867" w:rsidP="00D20867">
          <w:pPr>
            <w:pStyle w:val="NoSpacing"/>
            <w:rPr>
              <w:rStyle w:val="Hyperlink"/>
              <w:noProof/>
              <w:sz w:val="10"/>
              <w:szCs w:val="10"/>
              <w:lang w:val="sr-Cyrl-RS"/>
            </w:rPr>
          </w:pPr>
        </w:p>
        <w:p w14:paraId="7593A4F5" w14:textId="77777777" w:rsidR="00D20867" w:rsidRDefault="00B5577F">
          <w:pPr>
            <w:pStyle w:val="TOC1"/>
            <w:rPr>
              <w:rStyle w:val="Hyperlink"/>
              <w:lang w:val="sr-Cyrl-RS"/>
            </w:rPr>
          </w:pPr>
          <w:hyperlink w:anchor="_Toc414356815" w:history="1">
            <w:r w:rsidR="00D20867" w:rsidRPr="00BE00A8">
              <w:rPr>
                <w:rStyle w:val="Hyperlink"/>
                <w:lang w:val="sr-Cyrl-CS"/>
              </w:rPr>
              <w:t>5.</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ФИНАНСИЈСКО ПОСЛОВАЊЕ ДРУШТВА У 2014. ГОДИНИ</w:t>
            </w:r>
            <w:r w:rsidR="00D20867">
              <w:rPr>
                <w:webHidden/>
              </w:rPr>
              <w:tab/>
            </w:r>
            <w:r w:rsidR="00D20867">
              <w:rPr>
                <w:webHidden/>
              </w:rPr>
              <w:fldChar w:fldCharType="begin"/>
            </w:r>
            <w:r w:rsidR="00D20867">
              <w:rPr>
                <w:webHidden/>
              </w:rPr>
              <w:instrText xml:space="preserve"> PAGEREF _Toc414356815 \h </w:instrText>
            </w:r>
            <w:r w:rsidR="00D20867">
              <w:rPr>
                <w:webHidden/>
              </w:rPr>
            </w:r>
            <w:r w:rsidR="00D20867">
              <w:rPr>
                <w:webHidden/>
              </w:rPr>
              <w:fldChar w:fldCharType="separate"/>
            </w:r>
            <w:r w:rsidR="00D35AA2">
              <w:rPr>
                <w:webHidden/>
              </w:rPr>
              <w:t>32</w:t>
            </w:r>
            <w:r w:rsidR="00D20867">
              <w:rPr>
                <w:webHidden/>
              </w:rPr>
              <w:fldChar w:fldCharType="end"/>
            </w:r>
          </w:hyperlink>
        </w:p>
        <w:p w14:paraId="3C2C41D7" w14:textId="77777777" w:rsidR="00D20867" w:rsidRPr="00D20867" w:rsidRDefault="00D20867" w:rsidP="00D20867">
          <w:pPr>
            <w:pStyle w:val="NoSpacing"/>
            <w:rPr>
              <w:noProof/>
              <w:sz w:val="6"/>
              <w:szCs w:val="6"/>
              <w:lang w:val="sr-Cyrl-RS"/>
            </w:rPr>
          </w:pPr>
        </w:p>
        <w:p w14:paraId="08E6B23F" w14:textId="77777777" w:rsidR="00D20867" w:rsidRDefault="00B5577F">
          <w:pPr>
            <w:pStyle w:val="TOC1"/>
            <w:rPr>
              <w:rFonts w:asciiTheme="minorHAnsi" w:eastAsiaTheme="minorEastAsia" w:hAnsiTheme="minorHAnsi" w:cstheme="minorBidi"/>
              <w:b w:val="0"/>
              <w:i w:val="0"/>
              <w:color w:val="auto"/>
              <w:sz w:val="22"/>
              <w:lang w:val="sr-Latn-RS" w:eastAsia="sr-Latn-RS"/>
            </w:rPr>
          </w:pPr>
          <w:hyperlink w:anchor="_Toc414356816" w:history="1">
            <w:r w:rsidR="00D20867" w:rsidRPr="00BE00A8">
              <w:rPr>
                <w:rStyle w:val="Hyperlink"/>
                <w:lang w:val="sr-Cyrl-CS"/>
              </w:rPr>
              <w:t>5.1.</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УКУПНА АКТИВА НА ДАН 31.12.2014.</w:t>
            </w:r>
            <w:r w:rsidR="00D20867">
              <w:rPr>
                <w:webHidden/>
              </w:rPr>
              <w:tab/>
            </w:r>
            <w:r w:rsidR="00D20867">
              <w:rPr>
                <w:webHidden/>
              </w:rPr>
              <w:fldChar w:fldCharType="begin"/>
            </w:r>
            <w:r w:rsidR="00D20867">
              <w:rPr>
                <w:webHidden/>
              </w:rPr>
              <w:instrText xml:space="preserve"> PAGEREF _Toc414356816 \h </w:instrText>
            </w:r>
            <w:r w:rsidR="00D20867">
              <w:rPr>
                <w:webHidden/>
              </w:rPr>
            </w:r>
            <w:r w:rsidR="00D20867">
              <w:rPr>
                <w:webHidden/>
              </w:rPr>
              <w:fldChar w:fldCharType="separate"/>
            </w:r>
            <w:r w:rsidR="00D35AA2">
              <w:rPr>
                <w:webHidden/>
              </w:rPr>
              <w:t>32</w:t>
            </w:r>
            <w:r w:rsidR="00D20867">
              <w:rPr>
                <w:webHidden/>
              </w:rPr>
              <w:fldChar w:fldCharType="end"/>
            </w:r>
          </w:hyperlink>
        </w:p>
        <w:p w14:paraId="1550C5E6" w14:textId="77777777" w:rsidR="00D20867" w:rsidRDefault="00B5577F">
          <w:pPr>
            <w:pStyle w:val="TOC1"/>
            <w:tabs>
              <w:tab w:val="left" w:pos="720"/>
            </w:tabs>
            <w:rPr>
              <w:rFonts w:asciiTheme="minorHAnsi" w:eastAsiaTheme="minorEastAsia" w:hAnsiTheme="minorHAnsi" w:cstheme="minorBidi"/>
              <w:b w:val="0"/>
              <w:i w:val="0"/>
              <w:color w:val="auto"/>
              <w:sz w:val="22"/>
              <w:lang w:val="sr-Latn-RS" w:eastAsia="sr-Latn-RS"/>
            </w:rPr>
          </w:pPr>
          <w:hyperlink w:anchor="_Toc414356817" w:history="1">
            <w:r w:rsidR="00D20867" w:rsidRPr="00BE00A8">
              <w:rPr>
                <w:rStyle w:val="Hyperlink"/>
                <w:lang w:val="sr-Cyrl-CS"/>
              </w:rPr>
              <w:t>5.1.1.</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Потраживања и исправка вредности потраживања</w:t>
            </w:r>
            <w:r w:rsidR="00D20867">
              <w:rPr>
                <w:webHidden/>
              </w:rPr>
              <w:tab/>
            </w:r>
            <w:r w:rsidR="00D20867">
              <w:rPr>
                <w:webHidden/>
              </w:rPr>
              <w:fldChar w:fldCharType="begin"/>
            </w:r>
            <w:r w:rsidR="00D20867">
              <w:rPr>
                <w:webHidden/>
              </w:rPr>
              <w:instrText xml:space="preserve"> PAGEREF _Toc414356817 \h </w:instrText>
            </w:r>
            <w:r w:rsidR="00D20867">
              <w:rPr>
                <w:webHidden/>
              </w:rPr>
            </w:r>
            <w:r w:rsidR="00D20867">
              <w:rPr>
                <w:webHidden/>
              </w:rPr>
              <w:fldChar w:fldCharType="separate"/>
            </w:r>
            <w:r w:rsidR="00D35AA2">
              <w:rPr>
                <w:webHidden/>
              </w:rPr>
              <w:t>34</w:t>
            </w:r>
            <w:r w:rsidR="00D20867">
              <w:rPr>
                <w:webHidden/>
              </w:rPr>
              <w:fldChar w:fldCharType="end"/>
            </w:r>
          </w:hyperlink>
        </w:p>
        <w:p w14:paraId="56C4C612" w14:textId="77777777" w:rsidR="00D20867" w:rsidRPr="00D20867" w:rsidRDefault="00D20867" w:rsidP="00D20867">
          <w:pPr>
            <w:pStyle w:val="NoSpacing"/>
            <w:rPr>
              <w:rStyle w:val="Hyperlink"/>
              <w:noProof/>
              <w:sz w:val="6"/>
              <w:szCs w:val="6"/>
              <w:lang w:val="sr-Cyrl-RS"/>
            </w:rPr>
          </w:pPr>
        </w:p>
        <w:p w14:paraId="55EF7F3F" w14:textId="77777777" w:rsidR="00D20867" w:rsidRDefault="00B5577F">
          <w:pPr>
            <w:pStyle w:val="TOC1"/>
            <w:rPr>
              <w:rFonts w:asciiTheme="minorHAnsi" w:eastAsiaTheme="minorEastAsia" w:hAnsiTheme="minorHAnsi" w:cstheme="minorBidi"/>
              <w:b w:val="0"/>
              <w:i w:val="0"/>
              <w:color w:val="auto"/>
              <w:sz w:val="22"/>
              <w:lang w:val="sr-Latn-RS" w:eastAsia="sr-Latn-RS"/>
            </w:rPr>
          </w:pPr>
          <w:hyperlink w:anchor="_Toc414356818" w:history="1">
            <w:r w:rsidR="00D20867" w:rsidRPr="00BE00A8">
              <w:rPr>
                <w:rStyle w:val="Hyperlink"/>
                <w:lang w:val="sr-Cyrl-CS"/>
              </w:rPr>
              <w:t>5.2.</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УКУПНА ПАСИВА НА ДАН 31.12.2014.</w:t>
            </w:r>
            <w:r w:rsidR="00D20867">
              <w:rPr>
                <w:webHidden/>
              </w:rPr>
              <w:tab/>
            </w:r>
            <w:r w:rsidR="00D20867">
              <w:rPr>
                <w:webHidden/>
              </w:rPr>
              <w:fldChar w:fldCharType="begin"/>
            </w:r>
            <w:r w:rsidR="00D20867">
              <w:rPr>
                <w:webHidden/>
              </w:rPr>
              <w:instrText xml:space="preserve"> PAGEREF _Toc414356818 \h </w:instrText>
            </w:r>
            <w:r w:rsidR="00D20867">
              <w:rPr>
                <w:webHidden/>
              </w:rPr>
            </w:r>
            <w:r w:rsidR="00D20867">
              <w:rPr>
                <w:webHidden/>
              </w:rPr>
              <w:fldChar w:fldCharType="separate"/>
            </w:r>
            <w:r w:rsidR="00D35AA2">
              <w:rPr>
                <w:webHidden/>
              </w:rPr>
              <w:t>36</w:t>
            </w:r>
            <w:r w:rsidR="00D20867">
              <w:rPr>
                <w:webHidden/>
              </w:rPr>
              <w:fldChar w:fldCharType="end"/>
            </w:r>
          </w:hyperlink>
        </w:p>
        <w:p w14:paraId="5FF18481" w14:textId="77777777" w:rsidR="00D20867" w:rsidRDefault="00B5577F">
          <w:pPr>
            <w:pStyle w:val="TOC1"/>
            <w:tabs>
              <w:tab w:val="left" w:pos="720"/>
            </w:tabs>
            <w:rPr>
              <w:rFonts w:asciiTheme="minorHAnsi" w:eastAsiaTheme="minorEastAsia" w:hAnsiTheme="minorHAnsi" w:cstheme="minorBidi"/>
              <w:b w:val="0"/>
              <w:i w:val="0"/>
              <w:color w:val="auto"/>
              <w:sz w:val="22"/>
              <w:lang w:val="sr-Latn-RS" w:eastAsia="sr-Latn-RS"/>
            </w:rPr>
          </w:pPr>
          <w:hyperlink w:anchor="_Toc414356819" w:history="1">
            <w:r w:rsidR="00D20867" w:rsidRPr="00BE00A8">
              <w:rPr>
                <w:rStyle w:val="Hyperlink"/>
                <w:lang w:val="sr-Cyrl-CS"/>
              </w:rPr>
              <w:t>5.2.1.</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Капитал, резерве, дугорочна резервисања</w:t>
            </w:r>
            <w:r w:rsidR="00D20867" w:rsidRPr="00D20867">
              <w:t xml:space="preserve"> </w:t>
            </w:r>
            <w:r w:rsidR="00D20867" w:rsidRPr="00D20867">
              <w:rPr>
                <w:rStyle w:val="Hyperlink"/>
                <w:lang w:val="sr-Cyrl-CS"/>
              </w:rPr>
              <w:t>и дугорочне обавезе</w:t>
            </w:r>
            <w:r w:rsidR="00D20867">
              <w:rPr>
                <w:webHidden/>
              </w:rPr>
              <w:tab/>
            </w:r>
            <w:r w:rsidR="00D20867">
              <w:rPr>
                <w:webHidden/>
              </w:rPr>
              <w:fldChar w:fldCharType="begin"/>
            </w:r>
            <w:r w:rsidR="00D20867">
              <w:rPr>
                <w:webHidden/>
              </w:rPr>
              <w:instrText xml:space="preserve"> PAGEREF _Toc414356819 \h </w:instrText>
            </w:r>
            <w:r w:rsidR="00D20867">
              <w:rPr>
                <w:webHidden/>
              </w:rPr>
            </w:r>
            <w:r w:rsidR="00D20867">
              <w:rPr>
                <w:webHidden/>
              </w:rPr>
              <w:fldChar w:fldCharType="separate"/>
            </w:r>
            <w:r w:rsidR="00D35AA2">
              <w:rPr>
                <w:webHidden/>
              </w:rPr>
              <w:t>37</w:t>
            </w:r>
            <w:r w:rsidR="00D20867">
              <w:rPr>
                <w:webHidden/>
              </w:rPr>
              <w:fldChar w:fldCharType="end"/>
            </w:r>
          </w:hyperlink>
        </w:p>
        <w:p w14:paraId="4F7522ED" w14:textId="77777777" w:rsidR="00D20867" w:rsidRDefault="00B5577F">
          <w:pPr>
            <w:pStyle w:val="TOC1"/>
            <w:tabs>
              <w:tab w:val="left" w:pos="720"/>
            </w:tabs>
            <w:rPr>
              <w:rFonts w:asciiTheme="minorHAnsi" w:eastAsiaTheme="minorEastAsia" w:hAnsiTheme="minorHAnsi" w:cstheme="minorBidi"/>
              <w:b w:val="0"/>
              <w:i w:val="0"/>
              <w:color w:val="auto"/>
              <w:sz w:val="22"/>
              <w:lang w:val="sr-Latn-RS" w:eastAsia="sr-Latn-RS"/>
            </w:rPr>
          </w:pPr>
          <w:hyperlink w:anchor="_Toc414356821" w:history="1">
            <w:r w:rsidR="00D20867" w:rsidRPr="00BE00A8">
              <w:rPr>
                <w:rStyle w:val="Hyperlink"/>
                <w:lang w:val="sr-Cyrl-CS"/>
              </w:rPr>
              <w:t>5.2.2.</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Краткорочне обавезе</w:t>
            </w:r>
            <w:r w:rsidR="00D20867">
              <w:rPr>
                <w:webHidden/>
              </w:rPr>
              <w:tab/>
            </w:r>
            <w:r w:rsidR="00D20867">
              <w:rPr>
                <w:webHidden/>
              </w:rPr>
              <w:fldChar w:fldCharType="begin"/>
            </w:r>
            <w:r w:rsidR="00D20867">
              <w:rPr>
                <w:webHidden/>
              </w:rPr>
              <w:instrText xml:space="preserve"> PAGEREF _Toc414356821 \h </w:instrText>
            </w:r>
            <w:r w:rsidR="00D20867">
              <w:rPr>
                <w:webHidden/>
              </w:rPr>
            </w:r>
            <w:r w:rsidR="00D20867">
              <w:rPr>
                <w:webHidden/>
              </w:rPr>
              <w:fldChar w:fldCharType="separate"/>
            </w:r>
            <w:r w:rsidR="00D35AA2">
              <w:rPr>
                <w:webHidden/>
              </w:rPr>
              <w:t>38</w:t>
            </w:r>
            <w:r w:rsidR="00D20867">
              <w:rPr>
                <w:webHidden/>
              </w:rPr>
              <w:fldChar w:fldCharType="end"/>
            </w:r>
          </w:hyperlink>
        </w:p>
        <w:p w14:paraId="5BC9C4AC" w14:textId="77777777" w:rsidR="00D20867" w:rsidRDefault="00B5577F">
          <w:pPr>
            <w:pStyle w:val="TOC1"/>
            <w:tabs>
              <w:tab w:val="left" w:pos="720"/>
            </w:tabs>
            <w:rPr>
              <w:rStyle w:val="Hyperlink"/>
              <w:lang w:val="sr-Cyrl-RS"/>
            </w:rPr>
          </w:pPr>
          <w:hyperlink w:anchor="_Toc414356822" w:history="1">
            <w:r w:rsidR="00D20867" w:rsidRPr="00BE00A8">
              <w:rPr>
                <w:rStyle w:val="Hyperlink"/>
                <w:lang w:val="sr-Cyrl-CS"/>
              </w:rPr>
              <w:t>5.2.3.</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Преносна премија и резервисане штете</w:t>
            </w:r>
            <w:r w:rsidR="00D20867">
              <w:rPr>
                <w:webHidden/>
              </w:rPr>
              <w:tab/>
            </w:r>
            <w:r w:rsidR="00D20867">
              <w:rPr>
                <w:webHidden/>
              </w:rPr>
              <w:fldChar w:fldCharType="begin"/>
            </w:r>
            <w:r w:rsidR="00D20867">
              <w:rPr>
                <w:webHidden/>
              </w:rPr>
              <w:instrText xml:space="preserve"> PAGEREF _Toc414356822 \h </w:instrText>
            </w:r>
            <w:r w:rsidR="00D20867">
              <w:rPr>
                <w:webHidden/>
              </w:rPr>
            </w:r>
            <w:r w:rsidR="00D20867">
              <w:rPr>
                <w:webHidden/>
              </w:rPr>
              <w:fldChar w:fldCharType="separate"/>
            </w:r>
            <w:r w:rsidR="00D35AA2">
              <w:rPr>
                <w:webHidden/>
              </w:rPr>
              <w:t>39</w:t>
            </w:r>
            <w:r w:rsidR="00D20867">
              <w:rPr>
                <w:webHidden/>
              </w:rPr>
              <w:fldChar w:fldCharType="end"/>
            </w:r>
          </w:hyperlink>
        </w:p>
        <w:p w14:paraId="668AEDDF" w14:textId="77777777" w:rsidR="00D20867" w:rsidRDefault="00D20867" w:rsidP="00D20867">
          <w:pPr>
            <w:rPr>
              <w:noProof/>
              <w:lang w:val="sr-Cyrl-RS"/>
            </w:rPr>
          </w:pPr>
        </w:p>
        <w:p w14:paraId="7AD479B9" w14:textId="77777777" w:rsidR="00D20867" w:rsidRDefault="00D20867" w:rsidP="00D20867">
          <w:pPr>
            <w:rPr>
              <w:noProof/>
              <w:lang w:val="sr-Cyrl-RS"/>
            </w:rPr>
          </w:pPr>
        </w:p>
        <w:p w14:paraId="444E95C2" w14:textId="77777777" w:rsidR="00D20867" w:rsidRPr="00D20867" w:rsidRDefault="00D20867" w:rsidP="00D20867">
          <w:pPr>
            <w:rPr>
              <w:noProof/>
              <w:lang w:val="sr-Cyrl-RS"/>
            </w:rPr>
          </w:pPr>
        </w:p>
        <w:p w14:paraId="15D40E84" w14:textId="77777777" w:rsidR="00D20867" w:rsidRDefault="00B5577F">
          <w:pPr>
            <w:pStyle w:val="TOC1"/>
            <w:rPr>
              <w:rStyle w:val="Hyperlink"/>
              <w:lang w:val="sr-Cyrl-RS"/>
            </w:rPr>
          </w:pPr>
          <w:hyperlink w:anchor="_Toc414356823" w:history="1">
            <w:r w:rsidR="00D20867" w:rsidRPr="00BE00A8">
              <w:rPr>
                <w:rStyle w:val="Hyperlink"/>
                <w:lang w:val="sr-Cyrl-CS"/>
              </w:rPr>
              <w:t>5.3.</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ГАРАНТНЕ И ТЕХНИЧКЕ РЕЗЕРВЕ</w:t>
            </w:r>
            <w:r w:rsidR="00D20867">
              <w:rPr>
                <w:webHidden/>
              </w:rPr>
              <w:tab/>
            </w:r>
            <w:r w:rsidR="00D20867">
              <w:rPr>
                <w:webHidden/>
              </w:rPr>
              <w:fldChar w:fldCharType="begin"/>
            </w:r>
            <w:r w:rsidR="00D20867">
              <w:rPr>
                <w:webHidden/>
              </w:rPr>
              <w:instrText xml:space="preserve"> PAGEREF _Toc414356823 \h </w:instrText>
            </w:r>
            <w:r w:rsidR="00D20867">
              <w:rPr>
                <w:webHidden/>
              </w:rPr>
            </w:r>
            <w:r w:rsidR="00D20867">
              <w:rPr>
                <w:webHidden/>
              </w:rPr>
              <w:fldChar w:fldCharType="separate"/>
            </w:r>
            <w:r w:rsidR="00D35AA2">
              <w:rPr>
                <w:webHidden/>
              </w:rPr>
              <w:t>41</w:t>
            </w:r>
            <w:r w:rsidR="00D20867">
              <w:rPr>
                <w:webHidden/>
              </w:rPr>
              <w:fldChar w:fldCharType="end"/>
            </w:r>
          </w:hyperlink>
        </w:p>
        <w:p w14:paraId="033DAC08" w14:textId="77777777" w:rsidR="00D20867" w:rsidRPr="00D20867" w:rsidRDefault="00D20867" w:rsidP="00D20867">
          <w:pPr>
            <w:pStyle w:val="NoSpacing"/>
            <w:rPr>
              <w:noProof/>
              <w:sz w:val="10"/>
              <w:szCs w:val="10"/>
              <w:lang w:val="sr-Cyrl-RS"/>
            </w:rPr>
          </w:pPr>
        </w:p>
        <w:p w14:paraId="6FFD6CB8" w14:textId="77777777" w:rsidR="00D20867" w:rsidRDefault="00B5577F">
          <w:pPr>
            <w:pStyle w:val="TOC1"/>
            <w:tabs>
              <w:tab w:val="left" w:pos="720"/>
            </w:tabs>
            <w:rPr>
              <w:rStyle w:val="Hyperlink"/>
              <w:lang w:val="sr-Cyrl-RS"/>
            </w:rPr>
          </w:pPr>
          <w:hyperlink w:anchor="_Toc414356824" w:history="1">
            <w:r w:rsidR="00D20867" w:rsidRPr="00BE00A8">
              <w:rPr>
                <w:rStyle w:val="Hyperlink"/>
                <w:lang w:val="sr-Cyrl-CS"/>
              </w:rPr>
              <w:t>5.3.1.</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Гарантне резерве</w:t>
            </w:r>
            <w:r w:rsidR="00D20867">
              <w:rPr>
                <w:webHidden/>
              </w:rPr>
              <w:tab/>
            </w:r>
            <w:r w:rsidR="00D20867">
              <w:rPr>
                <w:webHidden/>
              </w:rPr>
              <w:fldChar w:fldCharType="begin"/>
            </w:r>
            <w:r w:rsidR="00D20867">
              <w:rPr>
                <w:webHidden/>
              </w:rPr>
              <w:instrText xml:space="preserve"> PAGEREF _Toc414356824 \h </w:instrText>
            </w:r>
            <w:r w:rsidR="00D20867">
              <w:rPr>
                <w:webHidden/>
              </w:rPr>
            </w:r>
            <w:r w:rsidR="00D20867">
              <w:rPr>
                <w:webHidden/>
              </w:rPr>
              <w:fldChar w:fldCharType="separate"/>
            </w:r>
            <w:r w:rsidR="00D35AA2">
              <w:rPr>
                <w:webHidden/>
              </w:rPr>
              <w:t>41</w:t>
            </w:r>
            <w:r w:rsidR="00D20867">
              <w:rPr>
                <w:webHidden/>
              </w:rPr>
              <w:fldChar w:fldCharType="end"/>
            </w:r>
          </w:hyperlink>
        </w:p>
        <w:p w14:paraId="6840C96D" w14:textId="77777777" w:rsidR="00D20867" w:rsidRPr="00D20867" w:rsidRDefault="00D20867" w:rsidP="00D20867">
          <w:pPr>
            <w:pStyle w:val="NoSpacing"/>
            <w:rPr>
              <w:noProof/>
              <w:sz w:val="10"/>
              <w:szCs w:val="10"/>
              <w:lang w:val="sr-Cyrl-RS"/>
            </w:rPr>
          </w:pPr>
        </w:p>
        <w:p w14:paraId="187C51D0" w14:textId="77777777" w:rsidR="00D20867" w:rsidRDefault="00B5577F">
          <w:pPr>
            <w:pStyle w:val="TOC1"/>
            <w:tabs>
              <w:tab w:val="left" w:pos="720"/>
            </w:tabs>
            <w:rPr>
              <w:rStyle w:val="Hyperlink"/>
              <w:lang w:val="sr-Cyrl-RS"/>
            </w:rPr>
          </w:pPr>
          <w:hyperlink w:anchor="_Toc414356825" w:history="1">
            <w:r w:rsidR="00D20867" w:rsidRPr="00BE00A8">
              <w:rPr>
                <w:rStyle w:val="Hyperlink"/>
                <w:lang w:val="sr-Cyrl-CS"/>
              </w:rPr>
              <w:t>5.3.2.</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Техничке резерве</w:t>
            </w:r>
            <w:r w:rsidR="00D20867">
              <w:rPr>
                <w:webHidden/>
              </w:rPr>
              <w:tab/>
            </w:r>
            <w:r w:rsidR="00D20867">
              <w:rPr>
                <w:webHidden/>
              </w:rPr>
              <w:fldChar w:fldCharType="begin"/>
            </w:r>
            <w:r w:rsidR="00D20867">
              <w:rPr>
                <w:webHidden/>
              </w:rPr>
              <w:instrText xml:space="preserve"> PAGEREF _Toc414356825 \h </w:instrText>
            </w:r>
            <w:r w:rsidR="00D20867">
              <w:rPr>
                <w:webHidden/>
              </w:rPr>
            </w:r>
            <w:r w:rsidR="00D20867">
              <w:rPr>
                <w:webHidden/>
              </w:rPr>
              <w:fldChar w:fldCharType="separate"/>
            </w:r>
            <w:r w:rsidR="00D35AA2">
              <w:rPr>
                <w:webHidden/>
              </w:rPr>
              <w:t>42</w:t>
            </w:r>
            <w:r w:rsidR="00D20867">
              <w:rPr>
                <w:webHidden/>
              </w:rPr>
              <w:fldChar w:fldCharType="end"/>
            </w:r>
          </w:hyperlink>
        </w:p>
        <w:p w14:paraId="745B4BA9" w14:textId="77777777" w:rsidR="00D20867" w:rsidRPr="00D20867" w:rsidRDefault="00D20867" w:rsidP="00D20867">
          <w:pPr>
            <w:pStyle w:val="NoSpacing"/>
            <w:rPr>
              <w:noProof/>
              <w:sz w:val="14"/>
              <w:szCs w:val="14"/>
              <w:lang w:val="sr-Cyrl-RS"/>
            </w:rPr>
          </w:pPr>
        </w:p>
        <w:p w14:paraId="6D728DF3" w14:textId="77777777" w:rsidR="00D20867" w:rsidRDefault="00B5577F">
          <w:pPr>
            <w:pStyle w:val="TOC1"/>
            <w:rPr>
              <w:rStyle w:val="Hyperlink"/>
              <w:lang w:val="sr-Cyrl-RS"/>
            </w:rPr>
          </w:pPr>
          <w:hyperlink w:anchor="_Toc414356826" w:history="1">
            <w:r w:rsidR="00D20867" w:rsidRPr="00BE00A8">
              <w:rPr>
                <w:rStyle w:val="Hyperlink"/>
                <w:lang w:val="sr-Cyrl-CS"/>
              </w:rPr>
              <w:t>5.4.</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ИНВЕСТИЦИОНА ПОЛИТИКА</w:t>
            </w:r>
            <w:r w:rsidR="00D20867">
              <w:rPr>
                <w:webHidden/>
              </w:rPr>
              <w:tab/>
            </w:r>
            <w:r w:rsidR="00D20867">
              <w:rPr>
                <w:webHidden/>
              </w:rPr>
              <w:fldChar w:fldCharType="begin"/>
            </w:r>
            <w:r w:rsidR="00D20867">
              <w:rPr>
                <w:webHidden/>
              </w:rPr>
              <w:instrText xml:space="preserve"> PAGEREF _Toc414356826 \h </w:instrText>
            </w:r>
            <w:r w:rsidR="00D20867">
              <w:rPr>
                <w:webHidden/>
              </w:rPr>
            </w:r>
            <w:r w:rsidR="00D20867">
              <w:rPr>
                <w:webHidden/>
              </w:rPr>
              <w:fldChar w:fldCharType="separate"/>
            </w:r>
            <w:r w:rsidR="00D35AA2">
              <w:rPr>
                <w:webHidden/>
              </w:rPr>
              <w:t>43</w:t>
            </w:r>
            <w:r w:rsidR="00D20867">
              <w:rPr>
                <w:webHidden/>
              </w:rPr>
              <w:fldChar w:fldCharType="end"/>
            </w:r>
          </w:hyperlink>
        </w:p>
        <w:p w14:paraId="5EBC9158" w14:textId="77777777" w:rsidR="00D20867" w:rsidRPr="00D20867" w:rsidRDefault="00D20867" w:rsidP="00D20867">
          <w:pPr>
            <w:pStyle w:val="NoSpacing"/>
            <w:rPr>
              <w:noProof/>
              <w:sz w:val="10"/>
              <w:szCs w:val="10"/>
              <w:lang w:val="sr-Cyrl-RS"/>
            </w:rPr>
          </w:pPr>
        </w:p>
        <w:p w14:paraId="0320D6BB" w14:textId="77777777" w:rsidR="00D20867" w:rsidRDefault="00B5577F">
          <w:pPr>
            <w:pStyle w:val="TOC1"/>
            <w:tabs>
              <w:tab w:val="left" w:pos="720"/>
            </w:tabs>
            <w:rPr>
              <w:rStyle w:val="Hyperlink"/>
              <w:lang w:val="sr-Cyrl-RS"/>
            </w:rPr>
          </w:pPr>
          <w:hyperlink w:anchor="_Toc414356827" w:history="1">
            <w:r w:rsidR="00D20867" w:rsidRPr="00BE00A8">
              <w:rPr>
                <w:rStyle w:val="Hyperlink"/>
                <w:lang w:val="sr-Cyrl-CS"/>
              </w:rPr>
              <w:t>5.4.1.</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Дешавања на финансијском тржишту</w:t>
            </w:r>
            <w:r w:rsidR="00D20867">
              <w:rPr>
                <w:webHidden/>
              </w:rPr>
              <w:tab/>
            </w:r>
            <w:r w:rsidR="00D20867">
              <w:rPr>
                <w:webHidden/>
              </w:rPr>
              <w:fldChar w:fldCharType="begin"/>
            </w:r>
            <w:r w:rsidR="00D20867">
              <w:rPr>
                <w:webHidden/>
              </w:rPr>
              <w:instrText xml:space="preserve"> PAGEREF _Toc414356827 \h </w:instrText>
            </w:r>
            <w:r w:rsidR="00D20867">
              <w:rPr>
                <w:webHidden/>
              </w:rPr>
            </w:r>
            <w:r w:rsidR="00D20867">
              <w:rPr>
                <w:webHidden/>
              </w:rPr>
              <w:fldChar w:fldCharType="separate"/>
            </w:r>
            <w:r w:rsidR="00D35AA2">
              <w:rPr>
                <w:webHidden/>
              </w:rPr>
              <w:t>43</w:t>
            </w:r>
            <w:r w:rsidR="00D20867">
              <w:rPr>
                <w:webHidden/>
              </w:rPr>
              <w:fldChar w:fldCharType="end"/>
            </w:r>
          </w:hyperlink>
        </w:p>
        <w:p w14:paraId="1DDA7DC8" w14:textId="77777777" w:rsidR="00D20867" w:rsidRPr="00D20867" w:rsidRDefault="00D20867" w:rsidP="00D20867">
          <w:pPr>
            <w:pStyle w:val="NoSpacing"/>
            <w:rPr>
              <w:noProof/>
              <w:sz w:val="10"/>
              <w:szCs w:val="10"/>
              <w:lang w:val="sr-Cyrl-RS"/>
            </w:rPr>
          </w:pPr>
        </w:p>
        <w:p w14:paraId="62181DD3" w14:textId="77777777" w:rsidR="00D20867" w:rsidRDefault="00B5577F">
          <w:pPr>
            <w:pStyle w:val="TOC1"/>
            <w:tabs>
              <w:tab w:val="left" w:pos="720"/>
            </w:tabs>
            <w:rPr>
              <w:rStyle w:val="Hyperlink"/>
              <w:lang w:val="sr-Cyrl-RS"/>
            </w:rPr>
          </w:pPr>
          <w:hyperlink w:anchor="_Toc414356828" w:history="1">
            <w:r w:rsidR="00D20867" w:rsidRPr="00BE00A8">
              <w:rPr>
                <w:rStyle w:val="Hyperlink"/>
                <w:lang w:val="sr-Cyrl-CS"/>
              </w:rPr>
              <w:t>5.4.2.</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Остварени приходи од инвестирања</w:t>
            </w:r>
            <w:r w:rsidR="00D20867">
              <w:rPr>
                <w:webHidden/>
              </w:rPr>
              <w:tab/>
            </w:r>
            <w:r w:rsidR="00D20867">
              <w:rPr>
                <w:webHidden/>
              </w:rPr>
              <w:fldChar w:fldCharType="begin"/>
            </w:r>
            <w:r w:rsidR="00D20867">
              <w:rPr>
                <w:webHidden/>
              </w:rPr>
              <w:instrText xml:space="preserve"> PAGEREF _Toc414356828 \h </w:instrText>
            </w:r>
            <w:r w:rsidR="00D20867">
              <w:rPr>
                <w:webHidden/>
              </w:rPr>
            </w:r>
            <w:r w:rsidR="00D20867">
              <w:rPr>
                <w:webHidden/>
              </w:rPr>
              <w:fldChar w:fldCharType="separate"/>
            </w:r>
            <w:r w:rsidR="00D35AA2">
              <w:rPr>
                <w:webHidden/>
              </w:rPr>
              <w:t>47</w:t>
            </w:r>
            <w:r w:rsidR="00D20867">
              <w:rPr>
                <w:webHidden/>
              </w:rPr>
              <w:fldChar w:fldCharType="end"/>
            </w:r>
          </w:hyperlink>
        </w:p>
        <w:p w14:paraId="523D1306" w14:textId="77777777" w:rsidR="00D20867" w:rsidRPr="00D20867" w:rsidRDefault="00D20867" w:rsidP="00D20867">
          <w:pPr>
            <w:pStyle w:val="NoSpacing"/>
            <w:rPr>
              <w:noProof/>
              <w:sz w:val="10"/>
              <w:szCs w:val="10"/>
              <w:lang w:val="sr-Cyrl-RS"/>
            </w:rPr>
          </w:pPr>
        </w:p>
        <w:p w14:paraId="0C0FB230" w14:textId="77777777" w:rsidR="00D20867" w:rsidRDefault="00B5577F">
          <w:pPr>
            <w:pStyle w:val="TOC1"/>
            <w:tabs>
              <w:tab w:val="left" w:pos="720"/>
            </w:tabs>
            <w:rPr>
              <w:rStyle w:val="Hyperlink"/>
              <w:lang w:val="sr-Cyrl-RS"/>
            </w:rPr>
          </w:pPr>
          <w:hyperlink w:anchor="_Toc414356829" w:history="1">
            <w:r w:rsidR="00D20867" w:rsidRPr="00BE00A8">
              <w:rPr>
                <w:rStyle w:val="Hyperlink"/>
                <w:lang w:val="sr-Cyrl-CS"/>
              </w:rPr>
              <w:t>5.4.3.</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Остварени расходи од инвестирања</w:t>
            </w:r>
            <w:r w:rsidR="00D20867">
              <w:rPr>
                <w:webHidden/>
              </w:rPr>
              <w:tab/>
            </w:r>
            <w:r w:rsidR="00D20867">
              <w:rPr>
                <w:webHidden/>
              </w:rPr>
              <w:fldChar w:fldCharType="begin"/>
            </w:r>
            <w:r w:rsidR="00D20867">
              <w:rPr>
                <w:webHidden/>
              </w:rPr>
              <w:instrText xml:space="preserve"> PAGEREF _Toc414356829 \h </w:instrText>
            </w:r>
            <w:r w:rsidR="00D20867">
              <w:rPr>
                <w:webHidden/>
              </w:rPr>
            </w:r>
            <w:r w:rsidR="00D20867">
              <w:rPr>
                <w:webHidden/>
              </w:rPr>
              <w:fldChar w:fldCharType="separate"/>
            </w:r>
            <w:r w:rsidR="00D35AA2">
              <w:rPr>
                <w:webHidden/>
              </w:rPr>
              <w:t>48</w:t>
            </w:r>
            <w:r w:rsidR="00D20867">
              <w:rPr>
                <w:webHidden/>
              </w:rPr>
              <w:fldChar w:fldCharType="end"/>
            </w:r>
          </w:hyperlink>
        </w:p>
        <w:p w14:paraId="51338938" w14:textId="77777777" w:rsidR="00D20867" w:rsidRPr="00D20867" w:rsidRDefault="00D20867" w:rsidP="00D20867">
          <w:pPr>
            <w:pStyle w:val="NoSpacing"/>
            <w:rPr>
              <w:noProof/>
              <w:sz w:val="14"/>
              <w:szCs w:val="14"/>
              <w:lang w:val="sr-Cyrl-RS"/>
            </w:rPr>
          </w:pPr>
        </w:p>
        <w:p w14:paraId="41240282" w14:textId="77777777" w:rsidR="00D20867" w:rsidRDefault="00B5577F">
          <w:pPr>
            <w:pStyle w:val="TOC1"/>
            <w:rPr>
              <w:rStyle w:val="Hyperlink"/>
              <w:lang w:val="sr-Cyrl-RS"/>
            </w:rPr>
          </w:pPr>
          <w:hyperlink w:anchor="_Toc414356830" w:history="1">
            <w:r w:rsidR="00D20867" w:rsidRPr="00BE00A8">
              <w:rPr>
                <w:rStyle w:val="Hyperlink"/>
                <w:lang w:val="sr-Cyrl-CS"/>
              </w:rPr>
              <w:t>5.5.</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ОСТВАРЕНИ РЕЗУЛТАТИ У ПЕРИОДУ 01.01. - 31.12.2014.</w:t>
            </w:r>
            <w:r w:rsidR="00D20867">
              <w:rPr>
                <w:webHidden/>
              </w:rPr>
              <w:tab/>
            </w:r>
            <w:r w:rsidR="00D20867">
              <w:rPr>
                <w:webHidden/>
              </w:rPr>
              <w:fldChar w:fldCharType="begin"/>
            </w:r>
            <w:r w:rsidR="00D20867">
              <w:rPr>
                <w:webHidden/>
              </w:rPr>
              <w:instrText xml:space="preserve"> PAGEREF _Toc414356830 \h </w:instrText>
            </w:r>
            <w:r w:rsidR="00D20867">
              <w:rPr>
                <w:webHidden/>
              </w:rPr>
            </w:r>
            <w:r w:rsidR="00D20867">
              <w:rPr>
                <w:webHidden/>
              </w:rPr>
              <w:fldChar w:fldCharType="separate"/>
            </w:r>
            <w:r w:rsidR="00D35AA2">
              <w:rPr>
                <w:webHidden/>
              </w:rPr>
              <w:t>49</w:t>
            </w:r>
            <w:r w:rsidR="00D20867">
              <w:rPr>
                <w:webHidden/>
              </w:rPr>
              <w:fldChar w:fldCharType="end"/>
            </w:r>
          </w:hyperlink>
        </w:p>
        <w:p w14:paraId="1D8114EA" w14:textId="77777777" w:rsidR="00D20867" w:rsidRPr="00D20867" w:rsidRDefault="00D20867" w:rsidP="00D20867">
          <w:pPr>
            <w:pStyle w:val="NoSpacing"/>
            <w:rPr>
              <w:noProof/>
              <w:sz w:val="10"/>
              <w:szCs w:val="10"/>
              <w:lang w:val="sr-Cyrl-RS"/>
            </w:rPr>
          </w:pPr>
        </w:p>
        <w:p w14:paraId="7C0C06C2" w14:textId="77777777" w:rsidR="00D20867" w:rsidRDefault="00B5577F">
          <w:pPr>
            <w:pStyle w:val="TOC1"/>
            <w:tabs>
              <w:tab w:val="left" w:pos="960"/>
            </w:tabs>
            <w:rPr>
              <w:rStyle w:val="Hyperlink"/>
              <w:lang w:val="sr-Cyrl-RS"/>
            </w:rPr>
          </w:pPr>
          <w:hyperlink w:anchor="_Toc414356831" w:history="1">
            <w:r w:rsidR="00D20867" w:rsidRPr="00BE00A8">
              <w:rPr>
                <w:rStyle w:val="Hyperlink"/>
                <w:lang w:val="sr-Cyrl-CS"/>
              </w:rPr>
              <w:t>5.5.1.1.</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Трошкови спровођења реосигурарња ТСР</w:t>
            </w:r>
            <w:r w:rsidR="00D20867">
              <w:rPr>
                <w:webHidden/>
              </w:rPr>
              <w:tab/>
            </w:r>
            <w:r w:rsidR="00D20867">
              <w:rPr>
                <w:webHidden/>
              </w:rPr>
              <w:fldChar w:fldCharType="begin"/>
            </w:r>
            <w:r w:rsidR="00D20867">
              <w:rPr>
                <w:webHidden/>
              </w:rPr>
              <w:instrText xml:space="preserve"> PAGEREF _Toc414356831 \h </w:instrText>
            </w:r>
            <w:r w:rsidR="00D20867">
              <w:rPr>
                <w:webHidden/>
              </w:rPr>
            </w:r>
            <w:r w:rsidR="00D20867">
              <w:rPr>
                <w:webHidden/>
              </w:rPr>
              <w:fldChar w:fldCharType="separate"/>
            </w:r>
            <w:r w:rsidR="00D35AA2">
              <w:rPr>
                <w:webHidden/>
              </w:rPr>
              <w:t>52</w:t>
            </w:r>
            <w:r w:rsidR="00D20867">
              <w:rPr>
                <w:webHidden/>
              </w:rPr>
              <w:fldChar w:fldCharType="end"/>
            </w:r>
          </w:hyperlink>
        </w:p>
        <w:p w14:paraId="746C31B1" w14:textId="77777777" w:rsidR="00D20867" w:rsidRPr="00D20867" w:rsidRDefault="00D20867" w:rsidP="00D20867">
          <w:pPr>
            <w:pStyle w:val="NoSpacing"/>
            <w:rPr>
              <w:noProof/>
              <w:sz w:val="10"/>
              <w:szCs w:val="10"/>
              <w:lang w:val="sr-Cyrl-RS"/>
            </w:rPr>
          </w:pPr>
        </w:p>
        <w:p w14:paraId="75BB3ED2" w14:textId="77777777" w:rsidR="00D20867" w:rsidRDefault="00B5577F">
          <w:pPr>
            <w:pStyle w:val="TOC1"/>
            <w:tabs>
              <w:tab w:val="left" w:pos="960"/>
            </w:tabs>
            <w:rPr>
              <w:rStyle w:val="Hyperlink"/>
              <w:lang w:val="sr-Cyrl-RS"/>
            </w:rPr>
          </w:pPr>
          <w:hyperlink w:anchor="_Toc414356832" w:history="1">
            <w:r w:rsidR="00D20867" w:rsidRPr="00BE00A8">
              <w:rPr>
                <w:rStyle w:val="Hyperlink"/>
                <w:lang w:val="sr-Cyrl-CS"/>
              </w:rPr>
              <w:t>5.5.1.2.</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Трошкови  извиђаја ликвидације и процене штета</w:t>
            </w:r>
            <w:r w:rsidR="00D20867">
              <w:rPr>
                <w:webHidden/>
              </w:rPr>
              <w:tab/>
            </w:r>
            <w:r w:rsidR="00D20867">
              <w:rPr>
                <w:webHidden/>
              </w:rPr>
              <w:fldChar w:fldCharType="begin"/>
            </w:r>
            <w:r w:rsidR="00D20867">
              <w:rPr>
                <w:webHidden/>
              </w:rPr>
              <w:instrText xml:space="preserve"> PAGEREF _Toc414356832 \h </w:instrText>
            </w:r>
            <w:r w:rsidR="00D20867">
              <w:rPr>
                <w:webHidden/>
              </w:rPr>
            </w:r>
            <w:r w:rsidR="00D20867">
              <w:rPr>
                <w:webHidden/>
              </w:rPr>
              <w:fldChar w:fldCharType="separate"/>
            </w:r>
            <w:r w:rsidR="00D35AA2">
              <w:rPr>
                <w:webHidden/>
              </w:rPr>
              <w:t>54</w:t>
            </w:r>
            <w:r w:rsidR="00D20867">
              <w:rPr>
                <w:webHidden/>
              </w:rPr>
              <w:fldChar w:fldCharType="end"/>
            </w:r>
          </w:hyperlink>
        </w:p>
        <w:p w14:paraId="2B65F14E" w14:textId="77777777" w:rsidR="00D20867" w:rsidRPr="00D20867" w:rsidRDefault="00D20867" w:rsidP="00D20867">
          <w:pPr>
            <w:pStyle w:val="NoSpacing"/>
            <w:rPr>
              <w:noProof/>
              <w:sz w:val="10"/>
              <w:szCs w:val="10"/>
              <w:lang w:val="sr-Cyrl-RS"/>
            </w:rPr>
          </w:pPr>
        </w:p>
        <w:p w14:paraId="00E71049" w14:textId="77777777" w:rsidR="00D20867" w:rsidRDefault="00B5577F">
          <w:pPr>
            <w:pStyle w:val="TOC1"/>
            <w:tabs>
              <w:tab w:val="left" w:pos="960"/>
            </w:tabs>
            <w:rPr>
              <w:rStyle w:val="Hyperlink"/>
              <w:lang w:val="sr-Cyrl-RS"/>
            </w:rPr>
          </w:pPr>
          <w:hyperlink w:anchor="_Toc414356833" w:history="1">
            <w:r w:rsidR="00D20867" w:rsidRPr="00BE00A8">
              <w:rPr>
                <w:rStyle w:val="Hyperlink"/>
                <w:lang w:val="sr-Cyrl-CS"/>
              </w:rPr>
              <w:t>5.5.1.3.</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Трошкови  депоновања и улагања</w:t>
            </w:r>
            <w:r w:rsidR="00D20867">
              <w:rPr>
                <w:webHidden/>
              </w:rPr>
              <w:tab/>
            </w:r>
            <w:r w:rsidR="00D20867">
              <w:rPr>
                <w:webHidden/>
              </w:rPr>
              <w:fldChar w:fldCharType="begin"/>
            </w:r>
            <w:r w:rsidR="00D20867">
              <w:rPr>
                <w:webHidden/>
              </w:rPr>
              <w:instrText xml:space="preserve"> PAGEREF _Toc414356833 \h </w:instrText>
            </w:r>
            <w:r w:rsidR="00D20867">
              <w:rPr>
                <w:webHidden/>
              </w:rPr>
            </w:r>
            <w:r w:rsidR="00D20867">
              <w:rPr>
                <w:webHidden/>
              </w:rPr>
              <w:fldChar w:fldCharType="separate"/>
            </w:r>
            <w:r w:rsidR="00D35AA2">
              <w:rPr>
                <w:webHidden/>
              </w:rPr>
              <w:t>54</w:t>
            </w:r>
            <w:r w:rsidR="00D20867">
              <w:rPr>
                <w:webHidden/>
              </w:rPr>
              <w:fldChar w:fldCharType="end"/>
            </w:r>
          </w:hyperlink>
        </w:p>
        <w:p w14:paraId="3B6876EB" w14:textId="77777777" w:rsidR="00D20867" w:rsidRPr="00D20867" w:rsidRDefault="00D20867" w:rsidP="00D20867">
          <w:pPr>
            <w:pStyle w:val="NoSpacing"/>
            <w:rPr>
              <w:noProof/>
              <w:sz w:val="18"/>
              <w:szCs w:val="14"/>
              <w:lang w:val="sr-Cyrl-RS"/>
            </w:rPr>
          </w:pPr>
        </w:p>
        <w:p w14:paraId="31A6EA44" w14:textId="77777777" w:rsidR="00D20867" w:rsidRDefault="00B5577F">
          <w:pPr>
            <w:pStyle w:val="TOC1"/>
            <w:rPr>
              <w:rStyle w:val="Hyperlink"/>
              <w:lang w:val="sr-Cyrl-RS"/>
            </w:rPr>
          </w:pPr>
          <w:hyperlink w:anchor="_Toc414356834" w:history="1">
            <w:r w:rsidR="00D20867" w:rsidRPr="00BE00A8">
              <w:rPr>
                <w:rStyle w:val="Hyperlink"/>
                <w:lang w:val="sr-Cyrl-CS"/>
              </w:rPr>
              <w:t>6.</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ТРАНСАКЦИЈЕ СА ПОВЕЗАНИМ ПРАВНИМ ЛИЦИМА</w:t>
            </w:r>
            <w:r w:rsidR="00D20867">
              <w:rPr>
                <w:webHidden/>
              </w:rPr>
              <w:tab/>
            </w:r>
            <w:r w:rsidR="00D20867">
              <w:rPr>
                <w:webHidden/>
              </w:rPr>
              <w:fldChar w:fldCharType="begin"/>
            </w:r>
            <w:r w:rsidR="00D20867">
              <w:rPr>
                <w:webHidden/>
              </w:rPr>
              <w:instrText xml:space="preserve"> PAGEREF _Toc414356834 \h </w:instrText>
            </w:r>
            <w:r w:rsidR="00D20867">
              <w:rPr>
                <w:webHidden/>
              </w:rPr>
            </w:r>
            <w:r w:rsidR="00D20867">
              <w:rPr>
                <w:webHidden/>
              </w:rPr>
              <w:fldChar w:fldCharType="separate"/>
            </w:r>
            <w:r w:rsidR="00D35AA2">
              <w:rPr>
                <w:webHidden/>
              </w:rPr>
              <w:t>54</w:t>
            </w:r>
            <w:r w:rsidR="00D20867">
              <w:rPr>
                <w:webHidden/>
              </w:rPr>
              <w:fldChar w:fldCharType="end"/>
            </w:r>
          </w:hyperlink>
        </w:p>
        <w:p w14:paraId="6B761049" w14:textId="77777777" w:rsidR="00D20867" w:rsidRPr="00D20867" w:rsidRDefault="00D20867" w:rsidP="00D20867">
          <w:pPr>
            <w:pStyle w:val="NoSpacing"/>
            <w:rPr>
              <w:rStyle w:val="Hyperlink"/>
              <w:noProof/>
              <w:sz w:val="18"/>
              <w:szCs w:val="10"/>
              <w:lang w:val="sr-Cyrl-RS"/>
            </w:rPr>
          </w:pPr>
        </w:p>
        <w:p w14:paraId="2B5BBBB4" w14:textId="77777777" w:rsidR="00D20867" w:rsidRDefault="00B5577F">
          <w:pPr>
            <w:pStyle w:val="TOC1"/>
            <w:rPr>
              <w:rFonts w:asciiTheme="minorHAnsi" w:eastAsiaTheme="minorEastAsia" w:hAnsiTheme="minorHAnsi" w:cstheme="minorBidi"/>
              <w:b w:val="0"/>
              <w:i w:val="0"/>
              <w:color w:val="auto"/>
              <w:sz w:val="22"/>
              <w:lang w:val="sr-Latn-RS" w:eastAsia="sr-Latn-RS"/>
            </w:rPr>
          </w:pPr>
          <w:hyperlink w:anchor="_Toc414356835" w:history="1">
            <w:r w:rsidR="00D20867" w:rsidRPr="00BE00A8">
              <w:rPr>
                <w:rStyle w:val="Hyperlink"/>
                <w:lang w:val="sr-Cyrl-CS"/>
              </w:rPr>
              <w:t>7.</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ОЦЕНА РИЗИКА</w:t>
            </w:r>
            <w:r w:rsidR="00D20867">
              <w:rPr>
                <w:webHidden/>
              </w:rPr>
              <w:tab/>
            </w:r>
            <w:r w:rsidR="00D20867">
              <w:rPr>
                <w:webHidden/>
              </w:rPr>
              <w:fldChar w:fldCharType="begin"/>
            </w:r>
            <w:r w:rsidR="00D20867">
              <w:rPr>
                <w:webHidden/>
              </w:rPr>
              <w:instrText xml:space="preserve"> PAGEREF _Toc414356835 \h </w:instrText>
            </w:r>
            <w:r w:rsidR="00D20867">
              <w:rPr>
                <w:webHidden/>
              </w:rPr>
            </w:r>
            <w:r w:rsidR="00D20867">
              <w:rPr>
                <w:webHidden/>
              </w:rPr>
              <w:fldChar w:fldCharType="separate"/>
            </w:r>
            <w:r w:rsidR="00D35AA2">
              <w:rPr>
                <w:webHidden/>
              </w:rPr>
              <w:t>56</w:t>
            </w:r>
            <w:r w:rsidR="00D20867">
              <w:rPr>
                <w:webHidden/>
              </w:rPr>
              <w:fldChar w:fldCharType="end"/>
            </w:r>
          </w:hyperlink>
        </w:p>
        <w:p w14:paraId="793CB38A" w14:textId="77777777" w:rsidR="00D20867" w:rsidRPr="00D20867" w:rsidRDefault="00D20867" w:rsidP="00D20867">
          <w:pPr>
            <w:pStyle w:val="NoSpacing"/>
            <w:rPr>
              <w:rStyle w:val="Hyperlink"/>
              <w:noProof/>
              <w:sz w:val="18"/>
              <w:szCs w:val="10"/>
              <w:lang w:val="sr-Cyrl-RS"/>
            </w:rPr>
          </w:pPr>
        </w:p>
        <w:p w14:paraId="28C0BC74" w14:textId="77777777" w:rsidR="00D20867" w:rsidRDefault="00B5577F">
          <w:pPr>
            <w:pStyle w:val="TOC1"/>
            <w:rPr>
              <w:rFonts w:asciiTheme="minorHAnsi" w:eastAsiaTheme="minorEastAsia" w:hAnsiTheme="minorHAnsi" w:cstheme="minorBidi"/>
              <w:b w:val="0"/>
              <w:i w:val="0"/>
              <w:color w:val="auto"/>
              <w:sz w:val="22"/>
              <w:lang w:val="sr-Latn-RS" w:eastAsia="sr-Latn-RS"/>
            </w:rPr>
          </w:pPr>
          <w:hyperlink w:anchor="_Toc414356836" w:history="1">
            <w:r w:rsidR="00D20867" w:rsidRPr="00BE00A8">
              <w:rPr>
                <w:rStyle w:val="Hyperlink"/>
                <w:lang w:val="sr-Cyrl-CS"/>
              </w:rPr>
              <w:t>8.</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ВАЖНИЈИ ПОСЛОВНИ ДОГАЂАЈИ КОЈИ СУ НАСТУПИЛИ НАКОН ПРОТЕКА ПОСЛОВНЕ 2014. ГОДИНЕ</w:t>
            </w:r>
            <w:r w:rsidR="00D20867">
              <w:rPr>
                <w:webHidden/>
              </w:rPr>
              <w:tab/>
            </w:r>
            <w:r w:rsidR="00D20867">
              <w:rPr>
                <w:webHidden/>
              </w:rPr>
              <w:fldChar w:fldCharType="begin"/>
            </w:r>
            <w:r w:rsidR="00D20867">
              <w:rPr>
                <w:webHidden/>
              </w:rPr>
              <w:instrText xml:space="preserve"> PAGEREF _Toc414356836 \h </w:instrText>
            </w:r>
            <w:r w:rsidR="00D20867">
              <w:rPr>
                <w:webHidden/>
              </w:rPr>
            </w:r>
            <w:r w:rsidR="00D20867">
              <w:rPr>
                <w:webHidden/>
              </w:rPr>
              <w:fldChar w:fldCharType="separate"/>
            </w:r>
            <w:r w:rsidR="00D35AA2">
              <w:rPr>
                <w:webHidden/>
              </w:rPr>
              <w:t>58</w:t>
            </w:r>
            <w:r w:rsidR="00D20867">
              <w:rPr>
                <w:webHidden/>
              </w:rPr>
              <w:fldChar w:fldCharType="end"/>
            </w:r>
          </w:hyperlink>
        </w:p>
        <w:p w14:paraId="050A89C8" w14:textId="77777777" w:rsidR="00D20867" w:rsidRPr="00D20867" w:rsidRDefault="00D20867" w:rsidP="00D20867">
          <w:pPr>
            <w:pStyle w:val="NoSpacing"/>
            <w:rPr>
              <w:rStyle w:val="Hyperlink"/>
              <w:noProof/>
              <w:sz w:val="18"/>
              <w:szCs w:val="10"/>
              <w:lang w:val="sr-Cyrl-RS"/>
            </w:rPr>
          </w:pPr>
        </w:p>
        <w:p w14:paraId="005476C1" w14:textId="77777777" w:rsidR="00D20867" w:rsidRDefault="00B5577F">
          <w:pPr>
            <w:pStyle w:val="TOC1"/>
            <w:rPr>
              <w:rFonts w:asciiTheme="minorHAnsi" w:eastAsiaTheme="minorEastAsia" w:hAnsiTheme="minorHAnsi" w:cstheme="minorBidi"/>
              <w:b w:val="0"/>
              <w:i w:val="0"/>
              <w:color w:val="auto"/>
              <w:sz w:val="22"/>
              <w:lang w:val="sr-Latn-RS" w:eastAsia="sr-Latn-RS"/>
            </w:rPr>
          </w:pPr>
          <w:hyperlink w:anchor="_Toc414356837" w:history="1">
            <w:r w:rsidR="00D20867" w:rsidRPr="00BE00A8">
              <w:rPr>
                <w:rStyle w:val="Hyperlink"/>
                <w:lang w:val="sr-Cyrl-CS"/>
              </w:rPr>
              <w:t>9.</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ОЧЕКИВАНИ РАЗВОЈ, ПЛАН И ПОСЛОВНА ПОЛИТИКА КОМПАНИЈЕ У НАРЕДНОМ ПЕРИОДУ И ГЛАВНИ РИЗИЦИ И ПРЕТЊЕ КОЈИМА ЈЕ ПОСЛОВАЊЕ КОМПАНИЈЕ ИЗЛОЖЕНО</w:t>
            </w:r>
            <w:r w:rsidR="00D20867">
              <w:rPr>
                <w:webHidden/>
              </w:rPr>
              <w:tab/>
            </w:r>
            <w:r w:rsidR="00D20867">
              <w:rPr>
                <w:webHidden/>
              </w:rPr>
              <w:fldChar w:fldCharType="begin"/>
            </w:r>
            <w:r w:rsidR="00D20867">
              <w:rPr>
                <w:webHidden/>
              </w:rPr>
              <w:instrText xml:space="preserve"> PAGEREF _Toc414356837 \h </w:instrText>
            </w:r>
            <w:r w:rsidR="00D20867">
              <w:rPr>
                <w:webHidden/>
              </w:rPr>
            </w:r>
            <w:r w:rsidR="00D20867">
              <w:rPr>
                <w:webHidden/>
              </w:rPr>
              <w:fldChar w:fldCharType="separate"/>
            </w:r>
            <w:r w:rsidR="00D35AA2">
              <w:rPr>
                <w:webHidden/>
              </w:rPr>
              <w:t>59</w:t>
            </w:r>
            <w:r w:rsidR="00D20867">
              <w:rPr>
                <w:webHidden/>
              </w:rPr>
              <w:fldChar w:fldCharType="end"/>
            </w:r>
          </w:hyperlink>
        </w:p>
        <w:p w14:paraId="435C8D53" w14:textId="77777777" w:rsidR="00D20867" w:rsidRPr="00D20867" w:rsidRDefault="00D20867">
          <w:pPr>
            <w:pStyle w:val="TOC1"/>
            <w:rPr>
              <w:rStyle w:val="Hyperlink"/>
              <w:sz w:val="18"/>
              <w:szCs w:val="10"/>
              <w:lang w:val="sr-Cyrl-RS"/>
            </w:rPr>
          </w:pPr>
        </w:p>
        <w:p w14:paraId="50A6805F" w14:textId="77777777" w:rsidR="00D20867" w:rsidRDefault="00B5577F">
          <w:pPr>
            <w:pStyle w:val="TOC1"/>
            <w:rPr>
              <w:rFonts w:asciiTheme="minorHAnsi" w:eastAsiaTheme="minorEastAsia" w:hAnsiTheme="minorHAnsi" w:cstheme="minorBidi"/>
              <w:b w:val="0"/>
              <w:i w:val="0"/>
              <w:color w:val="auto"/>
              <w:sz w:val="22"/>
              <w:lang w:val="sr-Latn-RS" w:eastAsia="sr-Latn-RS"/>
            </w:rPr>
          </w:pPr>
          <w:hyperlink w:anchor="_Toc414356838" w:history="1">
            <w:r w:rsidR="00D20867" w:rsidRPr="00BE00A8">
              <w:rPr>
                <w:rStyle w:val="Hyperlink"/>
                <w:lang w:val="sr-Cyrl-CS"/>
              </w:rPr>
              <w:t>10.</w:t>
            </w:r>
            <w:r w:rsidR="00D20867">
              <w:rPr>
                <w:rFonts w:asciiTheme="minorHAnsi" w:eastAsiaTheme="minorEastAsia" w:hAnsiTheme="minorHAnsi" w:cstheme="minorBidi"/>
                <w:b w:val="0"/>
                <w:i w:val="0"/>
                <w:color w:val="auto"/>
                <w:sz w:val="22"/>
                <w:lang w:val="sr-Latn-RS" w:eastAsia="sr-Latn-RS"/>
              </w:rPr>
              <w:tab/>
            </w:r>
            <w:r w:rsidR="00D20867" w:rsidRPr="00BE00A8">
              <w:rPr>
                <w:rStyle w:val="Hyperlink"/>
                <w:lang w:val="sr-Cyrl-CS"/>
              </w:rPr>
              <w:t>ЗАКЉУЧАК</w:t>
            </w:r>
            <w:r w:rsidR="00D20867">
              <w:rPr>
                <w:webHidden/>
              </w:rPr>
              <w:tab/>
            </w:r>
            <w:r w:rsidR="00D20867">
              <w:rPr>
                <w:webHidden/>
              </w:rPr>
              <w:fldChar w:fldCharType="begin"/>
            </w:r>
            <w:r w:rsidR="00D20867">
              <w:rPr>
                <w:webHidden/>
              </w:rPr>
              <w:instrText xml:space="preserve"> PAGEREF _Toc414356838 \h </w:instrText>
            </w:r>
            <w:r w:rsidR="00D20867">
              <w:rPr>
                <w:webHidden/>
              </w:rPr>
            </w:r>
            <w:r w:rsidR="00D20867">
              <w:rPr>
                <w:webHidden/>
              </w:rPr>
              <w:fldChar w:fldCharType="separate"/>
            </w:r>
            <w:r w:rsidR="00D35AA2">
              <w:rPr>
                <w:webHidden/>
              </w:rPr>
              <w:t>60</w:t>
            </w:r>
            <w:r w:rsidR="00D20867">
              <w:rPr>
                <w:webHidden/>
              </w:rPr>
              <w:fldChar w:fldCharType="end"/>
            </w:r>
          </w:hyperlink>
        </w:p>
        <w:p w14:paraId="1E978EDC" w14:textId="77777777" w:rsidR="008E537C" w:rsidRPr="00BF3CDE" w:rsidRDefault="00292256" w:rsidP="007438DB">
          <w:pPr>
            <w:pStyle w:val="TOC1"/>
            <w:rPr>
              <w:highlight w:val="yellow"/>
              <w:lang w:val="sr-Cyrl-CS"/>
            </w:rPr>
          </w:pPr>
          <w:r w:rsidRPr="00BF3CDE">
            <w:rPr>
              <w:bCs/>
              <w:color w:val="C0504D" w:themeColor="accent2"/>
              <w:sz w:val="22"/>
              <w:highlight w:val="yellow"/>
              <w:lang w:val="sr-Cyrl-CS"/>
            </w:rPr>
            <w:fldChar w:fldCharType="end"/>
          </w:r>
        </w:p>
      </w:sdtContent>
    </w:sdt>
    <w:p w14:paraId="3750594D" w14:textId="77777777" w:rsidR="0090550B" w:rsidRPr="00BF3CDE" w:rsidRDefault="0090550B" w:rsidP="0090550B">
      <w:pPr>
        <w:pStyle w:val="Heading1"/>
        <w:numPr>
          <w:ilvl w:val="0"/>
          <w:numId w:val="0"/>
        </w:numPr>
        <w:jc w:val="left"/>
        <w:rPr>
          <w:rFonts w:asciiTheme="majorHAnsi" w:hAnsiTheme="majorHAnsi" w:cs="Tahoma"/>
          <w:noProof/>
          <w:color w:val="4F81BD"/>
          <w:sz w:val="24"/>
          <w:szCs w:val="18"/>
          <w:highlight w:val="yellow"/>
          <w:lang w:val="sr-Cyrl-CS"/>
        </w:rPr>
      </w:pPr>
    </w:p>
    <w:p w14:paraId="207EAE79" w14:textId="77777777" w:rsidR="0090550B" w:rsidRDefault="0090550B" w:rsidP="0090550B">
      <w:pPr>
        <w:rPr>
          <w:noProof/>
          <w:highlight w:val="yellow"/>
          <w:lang w:val="sr-Cyrl-CS" w:eastAsia="ar-SA"/>
        </w:rPr>
      </w:pPr>
    </w:p>
    <w:p w14:paraId="36F82715" w14:textId="77777777" w:rsidR="00D20867" w:rsidRDefault="00D20867" w:rsidP="0090550B">
      <w:pPr>
        <w:rPr>
          <w:noProof/>
          <w:highlight w:val="yellow"/>
          <w:lang w:val="sr-Cyrl-CS" w:eastAsia="ar-SA"/>
        </w:rPr>
      </w:pPr>
    </w:p>
    <w:p w14:paraId="69002346" w14:textId="77777777" w:rsidR="00D20867" w:rsidRDefault="00D20867" w:rsidP="0090550B">
      <w:pPr>
        <w:rPr>
          <w:noProof/>
          <w:highlight w:val="yellow"/>
          <w:lang w:val="sr-Cyrl-CS" w:eastAsia="ar-SA"/>
        </w:rPr>
      </w:pPr>
    </w:p>
    <w:p w14:paraId="45561BAE" w14:textId="77777777" w:rsidR="00D20867" w:rsidRPr="00BF3CDE" w:rsidRDefault="00D20867" w:rsidP="0090550B">
      <w:pPr>
        <w:rPr>
          <w:noProof/>
          <w:highlight w:val="yellow"/>
          <w:lang w:val="sr-Cyrl-CS" w:eastAsia="ar-SA"/>
        </w:rPr>
      </w:pPr>
    </w:p>
    <w:p w14:paraId="1370C798" w14:textId="77777777" w:rsidR="000648E0" w:rsidRPr="00BF3CDE" w:rsidRDefault="000648E0" w:rsidP="0090550B">
      <w:pPr>
        <w:rPr>
          <w:noProof/>
          <w:highlight w:val="yellow"/>
          <w:lang w:val="sr-Cyrl-CS" w:eastAsia="ar-SA"/>
        </w:rPr>
      </w:pPr>
    </w:p>
    <w:p w14:paraId="68A5BC7A" w14:textId="77777777" w:rsidR="00C975B4" w:rsidRPr="00BF3CDE" w:rsidRDefault="00C975B4" w:rsidP="0090550B">
      <w:pPr>
        <w:rPr>
          <w:noProof/>
          <w:highlight w:val="yellow"/>
          <w:lang w:val="sr-Cyrl-CS" w:eastAsia="ar-SA"/>
        </w:rPr>
      </w:pPr>
    </w:p>
    <w:p w14:paraId="393C7F3E" w14:textId="77777777" w:rsidR="005353CD" w:rsidRPr="00BF3CDE" w:rsidRDefault="005353CD" w:rsidP="005353CD">
      <w:pPr>
        <w:pStyle w:val="Heading1"/>
        <w:numPr>
          <w:ilvl w:val="0"/>
          <w:numId w:val="2"/>
        </w:numPr>
        <w:tabs>
          <w:tab w:val="clear" w:pos="432"/>
        </w:tabs>
        <w:ind w:left="0" w:firstLine="0"/>
        <w:rPr>
          <w:rFonts w:asciiTheme="majorHAnsi" w:hAnsiTheme="majorHAnsi" w:cs="Tahoma"/>
          <w:noProof/>
          <w:color w:val="4F81BD"/>
          <w:sz w:val="24"/>
          <w:szCs w:val="18"/>
          <w:lang w:val="sr-Cyrl-CS"/>
        </w:rPr>
      </w:pPr>
      <w:bookmarkStart w:id="2" w:name="_Toc414356796"/>
      <w:r w:rsidRPr="00BF3CDE">
        <w:rPr>
          <w:rFonts w:asciiTheme="majorHAnsi" w:hAnsiTheme="majorHAnsi" w:cs="Tahoma"/>
          <w:noProof/>
          <w:color w:val="4F81BD"/>
          <w:sz w:val="24"/>
          <w:szCs w:val="18"/>
          <w:lang w:val="sr-Cyrl-CS"/>
        </w:rPr>
        <w:lastRenderedPageBreak/>
        <w:t>ОПШТЕ ИНФОРМАЦИЈЕ О ДРУШТВУ</w:t>
      </w:r>
      <w:bookmarkEnd w:id="1"/>
      <w:bookmarkEnd w:id="0"/>
      <w:bookmarkEnd w:id="2"/>
    </w:p>
    <w:p w14:paraId="60EA4F14" w14:textId="77777777" w:rsidR="00B93789" w:rsidRPr="00BF3CDE" w:rsidRDefault="00B93789" w:rsidP="00B93789">
      <w:pPr>
        <w:rPr>
          <w:noProof/>
          <w:highlight w:val="yellow"/>
          <w:lang w:val="sr-Cyrl-CS" w:eastAsia="ar-SA"/>
        </w:rPr>
      </w:pPr>
    </w:p>
    <w:p w14:paraId="17E89F24" w14:textId="77777777" w:rsidR="00B93789" w:rsidRPr="00BF3CDE" w:rsidRDefault="00B93789" w:rsidP="00B93789">
      <w:pPr>
        <w:spacing w:after="100"/>
        <w:ind w:firstLine="567"/>
        <w:jc w:val="both"/>
        <w:rPr>
          <w:rFonts w:cs="Tahoma"/>
          <w:noProof/>
          <w:sz w:val="20"/>
          <w:szCs w:val="20"/>
          <w:lang w:val="sr-Cyrl-CS"/>
        </w:rPr>
      </w:pPr>
      <w:r w:rsidRPr="00BF3CDE">
        <w:rPr>
          <w:rFonts w:cs="Tahoma"/>
          <w:noProof/>
          <w:sz w:val="20"/>
          <w:szCs w:val="20"/>
          <w:lang w:val="sr-Cyrl-CS"/>
        </w:rPr>
        <w:t>Акционарско друштво за реосигурање „Дунав Ре“ (у даљем тексту Друштво) регистровано је у Агенцији за регистрацију привредних субјеката под бројем 43206 дана 22.07.2005. године као акционарско друштво за послове реосигурања.</w:t>
      </w:r>
    </w:p>
    <w:p w14:paraId="522DD8A2" w14:textId="77777777" w:rsidR="00B93789" w:rsidRPr="00BF3CDE" w:rsidRDefault="00B93789" w:rsidP="00B93789">
      <w:pPr>
        <w:spacing w:after="100"/>
        <w:ind w:firstLine="567"/>
        <w:jc w:val="both"/>
        <w:rPr>
          <w:rFonts w:cs="Tahoma"/>
          <w:noProof/>
          <w:sz w:val="20"/>
          <w:szCs w:val="20"/>
          <w:lang w:val="sr-Cyrl-CS"/>
        </w:rPr>
      </w:pPr>
      <w:r w:rsidRPr="00BF3CDE">
        <w:rPr>
          <w:rFonts w:cs="Tahoma"/>
          <w:noProof/>
          <w:sz w:val="20"/>
          <w:szCs w:val="20"/>
          <w:lang w:val="sr-Cyrl-CS"/>
        </w:rPr>
        <w:t>Друштво је основано 01.07.1977. године под називом Заједница реосигурања «Дунав Ре».</w:t>
      </w:r>
    </w:p>
    <w:p w14:paraId="43DC8D4D" w14:textId="77777777" w:rsidR="00B93789" w:rsidRPr="00BF3CDE" w:rsidRDefault="00B93789" w:rsidP="00B93789">
      <w:pPr>
        <w:spacing w:after="100"/>
        <w:ind w:firstLine="567"/>
        <w:jc w:val="both"/>
        <w:rPr>
          <w:rFonts w:cs="Tahoma"/>
          <w:noProof/>
          <w:sz w:val="20"/>
          <w:szCs w:val="20"/>
          <w:lang w:val="sr-Cyrl-CS"/>
        </w:rPr>
      </w:pPr>
      <w:r w:rsidRPr="00BF3CDE">
        <w:rPr>
          <w:rFonts w:cs="Tahoma"/>
          <w:noProof/>
          <w:sz w:val="20"/>
          <w:szCs w:val="20"/>
          <w:lang w:val="sr-Cyrl-CS"/>
        </w:rPr>
        <w:t xml:space="preserve">Првог октобра 1990. године извршена је трансформација у деоничко друштво. </w:t>
      </w:r>
    </w:p>
    <w:p w14:paraId="7F25A3A0" w14:textId="77777777" w:rsidR="00B93789" w:rsidRPr="00BF3CDE" w:rsidRDefault="00B93789" w:rsidP="00B93789">
      <w:pPr>
        <w:spacing w:after="100"/>
        <w:ind w:firstLine="567"/>
        <w:jc w:val="both"/>
        <w:rPr>
          <w:rFonts w:cs="Tahoma"/>
          <w:noProof/>
          <w:sz w:val="20"/>
          <w:szCs w:val="20"/>
          <w:lang w:val="sr-Cyrl-CS"/>
        </w:rPr>
      </w:pPr>
      <w:r w:rsidRPr="00BF3CDE">
        <w:rPr>
          <w:rFonts w:cs="Tahoma"/>
          <w:noProof/>
          <w:sz w:val="20"/>
          <w:szCs w:val="20"/>
          <w:lang w:val="sr-Cyrl-CS"/>
        </w:rPr>
        <w:t>На основу Рeшeња Савeзнoг министарства за финансијe o издавању дoзвoлe за рад бр. 4/1-11-004/97 oд 15.05.1997. гoдинe Друштво јe за oбављањe пoслoва из навeдeнoг рeшeња рeгистрoвано кoд Приврeднoг суда у Бeoграду пoд брoјeм IV-Фи-6153/97 oд 20.06.1997, пoд матичним брoјeм 07046901, штo јe уписанo кoд Рeпубличкoг завoда за статистику Рeпубликe Србијe  Обавeштeњeм o разврставању прeма класификацији дeлатнoсти – извoд из рeгистра брoј: 052-89 oд 29.01.1998. гoдинe.</w:t>
      </w:r>
    </w:p>
    <w:p w14:paraId="62033D77" w14:textId="77777777" w:rsidR="00B93789" w:rsidRPr="00BF3CDE" w:rsidRDefault="00B93789" w:rsidP="00B93789">
      <w:pPr>
        <w:spacing w:after="100"/>
        <w:ind w:firstLine="567"/>
        <w:jc w:val="both"/>
        <w:rPr>
          <w:rFonts w:cs="Tahoma"/>
          <w:noProof/>
          <w:sz w:val="20"/>
          <w:szCs w:val="20"/>
          <w:lang w:val="sr-Cyrl-CS"/>
        </w:rPr>
      </w:pPr>
      <w:r w:rsidRPr="00BF3CDE">
        <w:rPr>
          <w:rFonts w:cs="Tahoma"/>
          <w:noProof/>
          <w:sz w:val="20"/>
          <w:szCs w:val="20"/>
          <w:lang w:val="sr-Cyrl-CS"/>
        </w:rPr>
        <w:t>Шифра делатности је 6520.</w:t>
      </w:r>
    </w:p>
    <w:p w14:paraId="3159E050" w14:textId="77777777" w:rsidR="00B93789" w:rsidRPr="00BF3CDE" w:rsidRDefault="00B93789" w:rsidP="00B93789">
      <w:pPr>
        <w:spacing w:after="100"/>
        <w:ind w:firstLine="567"/>
        <w:jc w:val="both"/>
        <w:rPr>
          <w:rFonts w:cs="Tahoma"/>
          <w:noProof/>
          <w:sz w:val="20"/>
          <w:szCs w:val="20"/>
          <w:lang w:val="sr-Cyrl-CS"/>
        </w:rPr>
      </w:pPr>
      <w:r w:rsidRPr="00BF3CDE">
        <w:rPr>
          <w:rFonts w:cs="Tahoma"/>
          <w:noProof/>
          <w:sz w:val="20"/>
          <w:szCs w:val="20"/>
          <w:lang w:val="sr-Cyrl-CS"/>
        </w:rPr>
        <w:t>Порески идентификациони број је 100001327.</w:t>
      </w:r>
    </w:p>
    <w:p w14:paraId="5FFF2DFC" w14:textId="77777777" w:rsidR="00B93789" w:rsidRPr="00BF3CDE" w:rsidRDefault="00B93789" w:rsidP="00B93789">
      <w:pPr>
        <w:spacing w:after="100"/>
        <w:ind w:firstLine="567"/>
        <w:jc w:val="both"/>
        <w:rPr>
          <w:rFonts w:cs="Tahoma"/>
          <w:noProof/>
          <w:sz w:val="20"/>
          <w:szCs w:val="20"/>
          <w:lang w:val="sr-Cyrl-CS"/>
        </w:rPr>
      </w:pPr>
      <w:r w:rsidRPr="00BF3CDE">
        <w:rPr>
          <w:rFonts w:cs="Tahoma"/>
          <w:noProof/>
          <w:sz w:val="20"/>
          <w:szCs w:val="20"/>
          <w:lang w:val="sr-Cyrl-CS"/>
        </w:rPr>
        <w:t xml:space="preserve">Лице овлашћено за заступање је директор </w:t>
      </w:r>
      <w:r w:rsidR="00C031DE" w:rsidRPr="00BF3CDE">
        <w:rPr>
          <w:rFonts w:cs="Tahoma"/>
          <w:noProof/>
          <w:sz w:val="20"/>
          <w:szCs w:val="20"/>
          <w:lang w:val="sr-Cyrl-CS"/>
        </w:rPr>
        <w:t>Зорана Пејчић</w:t>
      </w:r>
      <w:r w:rsidRPr="00BF3CDE">
        <w:rPr>
          <w:rFonts w:cs="Tahoma"/>
          <w:noProof/>
          <w:sz w:val="20"/>
          <w:szCs w:val="20"/>
          <w:lang w:val="sr-Cyrl-CS"/>
        </w:rPr>
        <w:t>.</w:t>
      </w:r>
    </w:p>
    <w:p w14:paraId="5B93FCFA" w14:textId="77777777" w:rsidR="00B93789" w:rsidRPr="00BF3CDE" w:rsidRDefault="00B93789" w:rsidP="00B93789">
      <w:pPr>
        <w:spacing w:after="100"/>
        <w:ind w:firstLine="567"/>
        <w:jc w:val="both"/>
        <w:rPr>
          <w:rFonts w:cs="Tahoma"/>
          <w:noProof/>
          <w:sz w:val="20"/>
          <w:szCs w:val="20"/>
          <w:lang w:val="sr-Cyrl-CS"/>
        </w:rPr>
      </w:pPr>
      <w:r w:rsidRPr="00BF3CDE">
        <w:rPr>
          <w:rFonts w:cs="Tahoma"/>
          <w:noProof/>
          <w:sz w:val="20"/>
          <w:szCs w:val="20"/>
          <w:lang w:val="sr-Cyrl-CS"/>
        </w:rPr>
        <w:t>У току 2005. године извршено је усклађивања Статута Друштва са Законом о осигурању, тако да је дошло до промене у регистрацији назива Друштва у „Дунав Ре“ а.д.о.</w:t>
      </w:r>
    </w:p>
    <w:p w14:paraId="575CFA41" w14:textId="77777777" w:rsidR="00B93789" w:rsidRPr="00BF3CDE" w:rsidRDefault="00B93789" w:rsidP="00B93789">
      <w:pPr>
        <w:spacing w:after="100"/>
        <w:ind w:firstLine="567"/>
        <w:jc w:val="both"/>
        <w:rPr>
          <w:rFonts w:cs="Tahoma"/>
          <w:noProof/>
          <w:sz w:val="20"/>
          <w:szCs w:val="20"/>
          <w:lang w:val="sr-Cyrl-CS"/>
        </w:rPr>
      </w:pPr>
      <w:r w:rsidRPr="00BF3CDE">
        <w:rPr>
          <w:rFonts w:cs="Tahoma"/>
          <w:noProof/>
          <w:sz w:val="20"/>
          <w:szCs w:val="20"/>
          <w:lang w:val="sr-Cyrl-CS"/>
        </w:rPr>
        <w:t>Друштво је дана 28.06.2012. године усвојило измене и допуне Статута, чиме је исти усаглашен са новим Законом о привредним друштвима.</w:t>
      </w:r>
    </w:p>
    <w:p w14:paraId="24F97DFC" w14:textId="77777777" w:rsidR="008D5297" w:rsidRPr="00BF3CDE" w:rsidRDefault="00F9302D" w:rsidP="008F0541">
      <w:pPr>
        <w:spacing w:after="100"/>
        <w:ind w:firstLine="567"/>
        <w:jc w:val="both"/>
        <w:rPr>
          <w:rFonts w:cs="Tahoma"/>
          <w:noProof/>
          <w:sz w:val="20"/>
          <w:szCs w:val="20"/>
          <w:lang w:val="sr-Cyrl-CS"/>
        </w:rPr>
      </w:pPr>
      <w:r w:rsidRPr="00BF3CDE">
        <w:rPr>
          <w:rFonts w:cs="Tahoma"/>
          <w:noProof/>
          <w:sz w:val="20"/>
          <w:szCs w:val="20"/>
          <w:lang w:val="sr-Cyrl-CS"/>
        </w:rPr>
        <w:t>Унутра</w:t>
      </w:r>
      <w:r w:rsidR="00F555FA" w:rsidRPr="00BF3CDE">
        <w:rPr>
          <w:rFonts w:cs="Tahoma"/>
          <w:noProof/>
          <w:sz w:val="20"/>
          <w:szCs w:val="20"/>
          <w:lang w:val="sr-Cyrl-CS"/>
        </w:rPr>
        <w:t xml:space="preserve">шња организација </w:t>
      </w:r>
      <w:r w:rsidR="008D5297" w:rsidRPr="00BF3CDE">
        <w:rPr>
          <w:rFonts w:cs="Tahoma"/>
          <w:noProof/>
          <w:sz w:val="20"/>
          <w:szCs w:val="20"/>
          <w:lang w:val="sr-Cyrl-CS"/>
        </w:rPr>
        <w:t xml:space="preserve">и управљање </w:t>
      </w:r>
      <w:r w:rsidR="00F555FA" w:rsidRPr="00BF3CDE">
        <w:rPr>
          <w:rFonts w:cs="Tahoma"/>
          <w:noProof/>
          <w:sz w:val="20"/>
          <w:szCs w:val="20"/>
          <w:lang w:val="sr-Cyrl-CS"/>
        </w:rPr>
        <w:t xml:space="preserve">уређени су </w:t>
      </w:r>
      <w:r w:rsidR="008D5297" w:rsidRPr="00BF3CDE">
        <w:rPr>
          <w:rFonts w:cs="Tahoma"/>
          <w:noProof/>
          <w:sz w:val="20"/>
          <w:szCs w:val="20"/>
          <w:lang w:val="sr-Cyrl-CS"/>
        </w:rPr>
        <w:t>Статутом Друштва</w:t>
      </w:r>
      <w:r w:rsidR="00F555FA" w:rsidRPr="00BF3CDE">
        <w:rPr>
          <w:rFonts w:cs="Tahoma"/>
          <w:noProof/>
          <w:sz w:val="20"/>
          <w:szCs w:val="20"/>
          <w:lang w:val="sr-Cyrl-CS"/>
        </w:rPr>
        <w:t xml:space="preserve"> и другим општима актима</w:t>
      </w:r>
      <w:r w:rsidR="008D5297" w:rsidRPr="00BF3CDE">
        <w:rPr>
          <w:rFonts w:cs="Tahoma"/>
          <w:noProof/>
          <w:sz w:val="20"/>
          <w:szCs w:val="20"/>
          <w:lang w:val="sr-Cyrl-CS"/>
        </w:rPr>
        <w:t>.</w:t>
      </w:r>
    </w:p>
    <w:p w14:paraId="1262F561" w14:textId="77777777" w:rsidR="008D5297" w:rsidRPr="00BF3CDE" w:rsidRDefault="008D5297" w:rsidP="002A45ED">
      <w:pPr>
        <w:spacing w:afterLines="50" w:after="120"/>
        <w:ind w:firstLine="567"/>
        <w:rPr>
          <w:rFonts w:cs="Tahoma"/>
          <w:noProof/>
          <w:sz w:val="20"/>
          <w:szCs w:val="20"/>
          <w:lang w:val="sr-Cyrl-CS"/>
        </w:rPr>
      </w:pPr>
      <w:r w:rsidRPr="00BF3CDE">
        <w:rPr>
          <w:rFonts w:cs="Tahoma"/>
          <w:noProof/>
          <w:sz w:val="20"/>
          <w:szCs w:val="20"/>
          <w:lang w:val="sr-Cyrl-CS"/>
        </w:rPr>
        <w:t>Органи</w:t>
      </w:r>
      <w:r w:rsidR="00B93789" w:rsidRPr="00BF3CDE">
        <w:rPr>
          <w:rFonts w:cs="Tahoma"/>
          <w:noProof/>
          <w:sz w:val="20"/>
          <w:szCs w:val="20"/>
          <w:lang w:val="sr-Cyrl-CS"/>
        </w:rPr>
        <w:t xml:space="preserve"> управе</w:t>
      </w:r>
      <w:r w:rsidRPr="00BF3CDE">
        <w:rPr>
          <w:rFonts w:cs="Tahoma"/>
          <w:noProof/>
          <w:sz w:val="20"/>
          <w:szCs w:val="20"/>
          <w:lang w:val="sr-Cyrl-CS"/>
        </w:rPr>
        <w:t xml:space="preserve"> Друштва су: </w:t>
      </w:r>
    </w:p>
    <w:p w14:paraId="796C52FE" w14:textId="77777777" w:rsidR="008D5297" w:rsidRPr="00BF3CDE" w:rsidRDefault="008D5297" w:rsidP="00430E71">
      <w:pPr>
        <w:numPr>
          <w:ilvl w:val="0"/>
          <w:numId w:val="3"/>
        </w:numPr>
        <w:spacing w:after="100" w:afterAutospacing="1" w:line="240" w:lineRule="auto"/>
        <w:rPr>
          <w:rFonts w:cs="Tahoma"/>
          <w:noProof/>
          <w:sz w:val="20"/>
          <w:szCs w:val="20"/>
          <w:lang w:val="sr-Cyrl-CS"/>
        </w:rPr>
      </w:pPr>
      <w:r w:rsidRPr="00BF3CDE">
        <w:rPr>
          <w:rFonts w:cs="Tahoma"/>
          <w:noProof/>
          <w:sz w:val="20"/>
          <w:szCs w:val="20"/>
          <w:lang w:val="sr-Cyrl-CS"/>
        </w:rPr>
        <w:t xml:space="preserve">Скупштина, </w:t>
      </w:r>
    </w:p>
    <w:p w14:paraId="4BB8C26C" w14:textId="77777777" w:rsidR="008D5297" w:rsidRPr="00BF3CDE" w:rsidRDefault="00B93789" w:rsidP="00430E71">
      <w:pPr>
        <w:numPr>
          <w:ilvl w:val="0"/>
          <w:numId w:val="3"/>
        </w:numPr>
        <w:spacing w:after="100" w:afterAutospacing="1" w:line="240" w:lineRule="auto"/>
        <w:rPr>
          <w:rFonts w:cs="Tahoma"/>
          <w:noProof/>
          <w:sz w:val="20"/>
          <w:szCs w:val="20"/>
          <w:lang w:val="sr-Cyrl-CS"/>
        </w:rPr>
      </w:pPr>
      <w:r w:rsidRPr="00BF3CDE">
        <w:rPr>
          <w:rFonts w:cs="Tahoma"/>
          <w:noProof/>
          <w:sz w:val="20"/>
          <w:szCs w:val="20"/>
          <w:lang w:val="sr-Cyrl-CS"/>
        </w:rPr>
        <w:t xml:space="preserve">Надзорни </w:t>
      </w:r>
      <w:r w:rsidR="008D5297" w:rsidRPr="00BF3CDE">
        <w:rPr>
          <w:rFonts w:cs="Tahoma"/>
          <w:noProof/>
          <w:sz w:val="20"/>
          <w:szCs w:val="20"/>
          <w:lang w:val="sr-Cyrl-CS"/>
        </w:rPr>
        <w:t xml:space="preserve">одбор, </w:t>
      </w:r>
    </w:p>
    <w:p w14:paraId="0A0795A9" w14:textId="77777777" w:rsidR="008D5297" w:rsidRPr="00BF3CDE" w:rsidRDefault="008D5297" w:rsidP="00430E71">
      <w:pPr>
        <w:numPr>
          <w:ilvl w:val="0"/>
          <w:numId w:val="3"/>
        </w:numPr>
        <w:spacing w:after="100" w:afterAutospacing="1" w:line="240" w:lineRule="auto"/>
        <w:rPr>
          <w:rFonts w:cs="Tahoma"/>
          <w:noProof/>
          <w:sz w:val="20"/>
          <w:szCs w:val="20"/>
          <w:lang w:val="sr-Cyrl-CS"/>
        </w:rPr>
      </w:pPr>
      <w:r w:rsidRPr="00BF3CDE">
        <w:rPr>
          <w:rFonts w:cs="Tahoma"/>
          <w:noProof/>
          <w:sz w:val="20"/>
          <w:szCs w:val="20"/>
          <w:lang w:val="sr-Cyrl-CS"/>
        </w:rPr>
        <w:t xml:space="preserve">Извршни одбор, </w:t>
      </w:r>
    </w:p>
    <w:p w14:paraId="60052180" w14:textId="77777777" w:rsidR="002A54DA" w:rsidRPr="00BF3CDE" w:rsidRDefault="00D27ABB" w:rsidP="002A54DA">
      <w:pPr>
        <w:spacing w:after="100" w:afterAutospacing="1" w:line="240" w:lineRule="auto"/>
        <w:rPr>
          <w:rStyle w:val="IntenseEmphasis"/>
          <w:noProof/>
          <w:lang w:val="sr-Cyrl-CS"/>
        </w:rPr>
      </w:pPr>
      <w:r w:rsidRPr="00BF3CDE">
        <w:rPr>
          <w:rStyle w:val="IntenseEmphasis"/>
          <w:noProof/>
          <w:lang w:val="sr-Cyrl-CS"/>
        </w:rPr>
        <w:t xml:space="preserve">Чланови </w:t>
      </w:r>
      <w:r w:rsidR="00794AEC" w:rsidRPr="00BF3CDE">
        <w:rPr>
          <w:rStyle w:val="IntenseEmphasis"/>
          <w:noProof/>
          <w:lang w:val="sr-Cyrl-CS"/>
        </w:rPr>
        <w:t>н</w:t>
      </w:r>
      <w:r w:rsidR="00B93789" w:rsidRPr="00BF3CDE">
        <w:rPr>
          <w:rStyle w:val="IntenseEmphasis"/>
          <w:noProof/>
          <w:lang w:val="sr-Cyrl-CS"/>
        </w:rPr>
        <w:t xml:space="preserve">адзорног </w:t>
      </w:r>
      <w:r w:rsidR="002A54DA" w:rsidRPr="00BF3CDE">
        <w:rPr>
          <w:rStyle w:val="IntenseEmphasis"/>
          <w:noProof/>
          <w:lang w:val="sr-Cyrl-CS"/>
        </w:rPr>
        <w:t xml:space="preserve"> одбора</w:t>
      </w:r>
    </w:p>
    <w:p w14:paraId="3FE312AD" w14:textId="77777777" w:rsidR="002A54DA" w:rsidRPr="00BF3CDE" w:rsidRDefault="0028380C" w:rsidP="00430E71">
      <w:pPr>
        <w:numPr>
          <w:ilvl w:val="0"/>
          <w:numId w:val="4"/>
        </w:numPr>
        <w:spacing w:after="0" w:line="240" w:lineRule="auto"/>
        <w:jc w:val="both"/>
        <w:rPr>
          <w:rFonts w:cs="Tahoma"/>
          <w:noProof/>
          <w:sz w:val="20"/>
          <w:szCs w:val="20"/>
          <w:lang w:val="sr-Cyrl-CS"/>
        </w:rPr>
      </w:pPr>
      <w:r w:rsidRPr="00BF3CDE">
        <w:rPr>
          <w:rFonts w:cs="Tahoma"/>
          <w:noProof/>
          <w:sz w:val="20"/>
          <w:szCs w:val="20"/>
          <w:lang w:val="sr-Cyrl-CS"/>
        </w:rPr>
        <w:t>Данијела Неде</w:t>
      </w:r>
      <w:r w:rsidR="006C0D6C" w:rsidRPr="00BF3CDE">
        <w:rPr>
          <w:rFonts w:cs="Tahoma"/>
          <w:noProof/>
          <w:sz w:val="20"/>
          <w:szCs w:val="20"/>
          <w:lang w:val="sr-Cyrl-CS"/>
        </w:rPr>
        <w:t>љ</w:t>
      </w:r>
      <w:r w:rsidRPr="00BF3CDE">
        <w:rPr>
          <w:rFonts w:cs="Tahoma"/>
          <w:noProof/>
          <w:sz w:val="20"/>
          <w:szCs w:val="20"/>
          <w:lang w:val="sr-Cyrl-CS"/>
        </w:rPr>
        <w:t>ковић</w:t>
      </w:r>
      <w:r w:rsidR="008C2B46" w:rsidRPr="00BF3CDE">
        <w:rPr>
          <w:rFonts w:cs="Tahoma"/>
          <w:noProof/>
          <w:sz w:val="20"/>
          <w:szCs w:val="20"/>
          <w:lang w:val="sr-Cyrl-CS"/>
        </w:rPr>
        <w:t xml:space="preserve"> (Компанија Дунав осигурање), </w:t>
      </w:r>
      <w:r w:rsidRPr="00BF3CDE">
        <w:rPr>
          <w:rFonts w:cs="Tahoma"/>
          <w:noProof/>
          <w:sz w:val="20"/>
          <w:szCs w:val="20"/>
          <w:lang w:val="sr-Cyrl-CS"/>
        </w:rPr>
        <w:t>председник</w:t>
      </w:r>
    </w:p>
    <w:p w14:paraId="05505543" w14:textId="77777777" w:rsidR="002A54DA" w:rsidRPr="00BF3CDE" w:rsidRDefault="0028380C" w:rsidP="00430E71">
      <w:pPr>
        <w:numPr>
          <w:ilvl w:val="0"/>
          <w:numId w:val="4"/>
        </w:numPr>
        <w:spacing w:after="0" w:line="240" w:lineRule="auto"/>
        <w:jc w:val="both"/>
        <w:rPr>
          <w:rFonts w:cs="Tahoma"/>
          <w:noProof/>
          <w:sz w:val="20"/>
          <w:szCs w:val="20"/>
          <w:lang w:val="sr-Cyrl-CS"/>
        </w:rPr>
      </w:pPr>
      <w:r w:rsidRPr="00BF3CDE">
        <w:rPr>
          <w:rFonts w:cs="Tahoma"/>
          <w:noProof/>
          <w:sz w:val="20"/>
          <w:szCs w:val="20"/>
          <w:lang w:val="sr-Cyrl-CS"/>
        </w:rPr>
        <w:t>Гордана Милићевић</w:t>
      </w:r>
      <w:r w:rsidR="008C2B46" w:rsidRPr="00BF3CDE">
        <w:rPr>
          <w:rFonts w:cs="Tahoma"/>
          <w:noProof/>
          <w:sz w:val="20"/>
          <w:szCs w:val="20"/>
          <w:lang w:val="sr-Cyrl-CS"/>
        </w:rPr>
        <w:t xml:space="preserve"> (Сава осигурање), члан</w:t>
      </w:r>
      <w:r w:rsidR="002A54DA" w:rsidRPr="00BF3CDE">
        <w:rPr>
          <w:rFonts w:cs="Tahoma"/>
          <w:noProof/>
          <w:sz w:val="20"/>
          <w:szCs w:val="20"/>
          <w:lang w:val="sr-Cyrl-CS"/>
        </w:rPr>
        <w:t>.</w:t>
      </w:r>
    </w:p>
    <w:p w14:paraId="75E399B8" w14:textId="77777777" w:rsidR="0028380C" w:rsidRPr="00BF3CDE" w:rsidRDefault="0028380C" w:rsidP="0028380C">
      <w:pPr>
        <w:numPr>
          <w:ilvl w:val="0"/>
          <w:numId w:val="4"/>
        </w:numPr>
        <w:spacing w:after="0" w:line="240" w:lineRule="auto"/>
        <w:jc w:val="both"/>
        <w:rPr>
          <w:rFonts w:cs="Tahoma"/>
          <w:noProof/>
          <w:sz w:val="20"/>
          <w:szCs w:val="20"/>
          <w:lang w:val="sr-Cyrl-CS"/>
        </w:rPr>
      </w:pPr>
      <w:r w:rsidRPr="00BF3CDE">
        <w:rPr>
          <w:rFonts w:cs="Tahoma"/>
          <w:noProof/>
          <w:sz w:val="20"/>
          <w:szCs w:val="20"/>
          <w:lang w:val="sr-Cyrl-CS"/>
        </w:rPr>
        <w:t>Драган Милошевић (Компанија Дунав осигурање), члан</w:t>
      </w:r>
    </w:p>
    <w:p w14:paraId="378D1265" w14:textId="77777777" w:rsidR="0028380C" w:rsidRPr="00BF3CDE" w:rsidRDefault="0028380C" w:rsidP="001C373D">
      <w:pPr>
        <w:spacing w:after="0" w:line="240" w:lineRule="auto"/>
        <w:ind w:left="1440"/>
        <w:jc w:val="both"/>
        <w:rPr>
          <w:rFonts w:cs="Tahoma"/>
          <w:noProof/>
          <w:sz w:val="20"/>
          <w:szCs w:val="20"/>
          <w:lang w:val="sr-Cyrl-CS"/>
        </w:rPr>
      </w:pPr>
    </w:p>
    <w:p w14:paraId="3A076B8F" w14:textId="77777777" w:rsidR="008F0541" w:rsidRPr="00BF3CDE" w:rsidRDefault="008F0541" w:rsidP="008F0541">
      <w:pPr>
        <w:spacing w:after="0" w:line="240" w:lineRule="auto"/>
        <w:ind w:left="1080"/>
        <w:jc w:val="both"/>
        <w:rPr>
          <w:rStyle w:val="IntenseEmphasis"/>
          <w:rFonts w:cs="Tahoma"/>
          <w:b w:val="0"/>
          <w:bCs w:val="0"/>
          <w:i w:val="0"/>
          <w:iCs w:val="0"/>
          <w:noProof/>
          <w:color w:val="auto"/>
          <w:sz w:val="6"/>
          <w:szCs w:val="6"/>
          <w:highlight w:val="yellow"/>
          <w:lang w:val="sr-Cyrl-CS"/>
        </w:rPr>
      </w:pPr>
    </w:p>
    <w:p w14:paraId="49B60FA3" w14:textId="77777777" w:rsidR="00003262" w:rsidRPr="00BF3CDE" w:rsidRDefault="00003262" w:rsidP="008F0541">
      <w:pPr>
        <w:spacing w:after="100" w:afterAutospacing="1" w:line="240" w:lineRule="auto"/>
        <w:rPr>
          <w:rStyle w:val="IntenseEmphasis"/>
          <w:noProof/>
          <w:lang w:val="sr-Cyrl-CS"/>
        </w:rPr>
      </w:pPr>
      <w:r w:rsidRPr="00BF3CDE">
        <w:rPr>
          <w:rStyle w:val="IntenseEmphasis"/>
          <w:noProof/>
          <w:lang w:val="sr-Cyrl-CS"/>
        </w:rPr>
        <w:t xml:space="preserve">Чланови </w:t>
      </w:r>
      <w:r w:rsidR="00B93789" w:rsidRPr="00BF3CDE">
        <w:rPr>
          <w:rStyle w:val="IntenseEmphasis"/>
          <w:noProof/>
          <w:lang w:val="sr-Cyrl-CS"/>
        </w:rPr>
        <w:t xml:space="preserve">извршног </w:t>
      </w:r>
      <w:r w:rsidRPr="00BF3CDE">
        <w:rPr>
          <w:rStyle w:val="IntenseEmphasis"/>
          <w:noProof/>
          <w:lang w:val="sr-Cyrl-CS"/>
        </w:rPr>
        <w:t xml:space="preserve"> одбора</w:t>
      </w:r>
    </w:p>
    <w:p w14:paraId="6882AD04" w14:textId="77777777" w:rsidR="00B93789" w:rsidRPr="00BF3CDE" w:rsidRDefault="0028380C" w:rsidP="00430E71">
      <w:pPr>
        <w:numPr>
          <w:ilvl w:val="0"/>
          <w:numId w:val="4"/>
        </w:numPr>
        <w:spacing w:after="0" w:line="240" w:lineRule="auto"/>
        <w:jc w:val="both"/>
        <w:rPr>
          <w:rFonts w:cs="Tahoma"/>
          <w:noProof/>
          <w:sz w:val="20"/>
          <w:szCs w:val="20"/>
          <w:lang w:val="sr-Cyrl-CS"/>
        </w:rPr>
      </w:pPr>
      <w:r w:rsidRPr="00BF3CDE">
        <w:rPr>
          <w:rFonts w:cs="Tahoma"/>
          <w:noProof/>
          <w:sz w:val="20"/>
          <w:szCs w:val="20"/>
          <w:lang w:val="sr-Cyrl-CS"/>
        </w:rPr>
        <w:t>Зорана Пејчић</w:t>
      </w:r>
    </w:p>
    <w:p w14:paraId="78345342" w14:textId="77777777" w:rsidR="00003262" w:rsidRPr="00BF3CDE" w:rsidRDefault="00B93789" w:rsidP="00430E71">
      <w:pPr>
        <w:numPr>
          <w:ilvl w:val="0"/>
          <w:numId w:val="4"/>
        </w:numPr>
        <w:spacing w:after="0" w:line="240" w:lineRule="auto"/>
        <w:jc w:val="both"/>
        <w:rPr>
          <w:rFonts w:cs="Tahoma"/>
          <w:noProof/>
          <w:sz w:val="20"/>
          <w:szCs w:val="20"/>
          <w:lang w:val="sr-Cyrl-CS"/>
        </w:rPr>
      </w:pPr>
      <w:r w:rsidRPr="00BF3CDE">
        <w:rPr>
          <w:rFonts w:cs="Tahoma"/>
          <w:noProof/>
          <w:sz w:val="20"/>
          <w:szCs w:val="20"/>
          <w:lang w:val="sr-Cyrl-CS"/>
        </w:rPr>
        <w:t xml:space="preserve">др </w:t>
      </w:r>
      <w:r w:rsidR="0028380C" w:rsidRPr="00BF3CDE">
        <w:rPr>
          <w:rFonts w:cs="Tahoma"/>
          <w:noProof/>
          <w:sz w:val="20"/>
          <w:szCs w:val="20"/>
          <w:lang w:val="sr-Cyrl-CS"/>
        </w:rPr>
        <w:t>Аца Алексић</w:t>
      </w:r>
      <w:r w:rsidR="00003262" w:rsidRPr="00BF3CDE">
        <w:rPr>
          <w:rFonts w:cs="Tahoma"/>
          <w:noProof/>
          <w:sz w:val="20"/>
          <w:szCs w:val="20"/>
          <w:lang w:val="sr-Cyrl-CS"/>
        </w:rPr>
        <w:t xml:space="preserve"> </w:t>
      </w:r>
    </w:p>
    <w:p w14:paraId="0A6AFEE5" w14:textId="77777777" w:rsidR="00A57879" w:rsidRPr="00BF3CDE" w:rsidRDefault="00B93789" w:rsidP="00430E71">
      <w:pPr>
        <w:numPr>
          <w:ilvl w:val="0"/>
          <w:numId w:val="4"/>
        </w:numPr>
        <w:spacing w:after="0" w:line="240" w:lineRule="auto"/>
        <w:jc w:val="both"/>
        <w:rPr>
          <w:rFonts w:cs="Tahoma"/>
          <w:noProof/>
          <w:sz w:val="20"/>
          <w:szCs w:val="20"/>
          <w:lang w:val="sr-Cyrl-CS"/>
        </w:rPr>
      </w:pPr>
      <w:r w:rsidRPr="00BF3CDE">
        <w:rPr>
          <w:rFonts w:cs="Tahoma"/>
          <w:noProof/>
          <w:sz w:val="20"/>
          <w:szCs w:val="20"/>
          <w:lang w:val="sr-Cyrl-CS"/>
        </w:rPr>
        <w:t>Бојан Маричић</w:t>
      </w:r>
    </w:p>
    <w:p w14:paraId="45C14AAB" w14:textId="77777777" w:rsidR="00A57879" w:rsidRPr="00BF3CDE" w:rsidRDefault="00A57879" w:rsidP="00430E71">
      <w:pPr>
        <w:numPr>
          <w:ilvl w:val="0"/>
          <w:numId w:val="4"/>
        </w:numPr>
        <w:spacing w:after="0" w:line="240" w:lineRule="auto"/>
        <w:jc w:val="both"/>
        <w:rPr>
          <w:rFonts w:cs="Tahoma"/>
          <w:noProof/>
          <w:sz w:val="20"/>
          <w:szCs w:val="20"/>
          <w:lang w:val="sr-Cyrl-CS"/>
        </w:rPr>
      </w:pPr>
      <w:r w:rsidRPr="00BF3CDE">
        <w:rPr>
          <w:rFonts w:cs="Tahoma"/>
          <w:noProof/>
          <w:sz w:val="20"/>
          <w:szCs w:val="20"/>
          <w:lang w:val="sr-Cyrl-CS"/>
        </w:rPr>
        <w:t>Лепосава Поповић</w:t>
      </w:r>
    </w:p>
    <w:p w14:paraId="235A53CC" w14:textId="77777777" w:rsidR="00003262" w:rsidRPr="00BF3CDE" w:rsidRDefault="00A57879" w:rsidP="00430E71">
      <w:pPr>
        <w:numPr>
          <w:ilvl w:val="0"/>
          <w:numId w:val="4"/>
        </w:numPr>
        <w:spacing w:after="0" w:line="240" w:lineRule="auto"/>
        <w:jc w:val="both"/>
        <w:rPr>
          <w:rFonts w:cs="Tahoma"/>
          <w:noProof/>
          <w:sz w:val="20"/>
          <w:szCs w:val="20"/>
          <w:lang w:val="sr-Cyrl-CS"/>
        </w:rPr>
      </w:pPr>
      <w:r w:rsidRPr="00BF3CDE">
        <w:rPr>
          <w:rFonts w:cs="Tahoma"/>
          <w:noProof/>
          <w:sz w:val="20"/>
          <w:szCs w:val="20"/>
          <w:lang w:val="sr-Cyrl-CS"/>
        </w:rPr>
        <w:t>Весна Катић</w:t>
      </w:r>
      <w:r w:rsidR="00003262" w:rsidRPr="00BF3CDE">
        <w:rPr>
          <w:rFonts w:cs="Tahoma"/>
          <w:noProof/>
          <w:sz w:val="20"/>
          <w:szCs w:val="20"/>
          <w:lang w:val="sr-Cyrl-CS"/>
        </w:rPr>
        <w:t xml:space="preserve"> </w:t>
      </w:r>
    </w:p>
    <w:p w14:paraId="5B4D6C22" w14:textId="77777777" w:rsidR="00003262" w:rsidRPr="00BF3CDE" w:rsidRDefault="00003262" w:rsidP="00B93789">
      <w:pPr>
        <w:spacing w:after="0" w:line="240" w:lineRule="auto"/>
        <w:ind w:left="1440"/>
        <w:jc w:val="both"/>
        <w:rPr>
          <w:rFonts w:cs="Tahoma"/>
          <w:noProof/>
          <w:sz w:val="20"/>
          <w:szCs w:val="20"/>
          <w:highlight w:val="yellow"/>
          <w:lang w:val="sr-Cyrl-CS"/>
        </w:rPr>
      </w:pPr>
    </w:p>
    <w:p w14:paraId="443A48F1" w14:textId="77777777" w:rsidR="004011EE" w:rsidRPr="00BF3CDE" w:rsidRDefault="004011EE" w:rsidP="00B93789">
      <w:pPr>
        <w:spacing w:after="0" w:line="240" w:lineRule="auto"/>
        <w:ind w:left="1440"/>
        <w:jc w:val="both"/>
        <w:rPr>
          <w:rFonts w:cs="Tahoma"/>
          <w:noProof/>
          <w:sz w:val="20"/>
          <w:szCs w:val="20"/>
          <w:highlight w:val="yellow"/>
          <w:lang w:val="sr-Cyrl-CS"/>
        </w:rPr>
      </w:pPr>
    </w:p>
    <w:p w14:paraId="0B0D114F" w14:textId="77777777" w:rsidR="00794AEC" w:rsidRPr="00BF3CDE" w:rsidRDefault="00794AEC" w:rsidP="00D27ABB">
      <w:pPr>
        <w:spacing w:before="120" w:after="100" w:afterAutospacing="1"/>
        <w:ind w:firstLine="567"/>
        <w:rPr>
          <w:noProof/>
          <w:sz w:val="20"/>
          <w:szCs w:val="20"/>
          <w:lang w:val="sr-Cyrl-CS"/>
        </w:rPr>
      </w:pPr>
      <w:r w:rsidRPr="00BF3CDE">
        <w:rPr>
          <w:noProof/>
          <w:sz w:val="20"/>
          <w:szCs w:val="20"/>
          <w:lang w:val="sr-Cyrl-CS"/>
        </w:rPr>
        <w:lastRenderedPageBreak/>
        <w:t>Надзорни одбор је на основу чл.</w:t>
      </w:r>
      <w:r w:rsidR="008C2B46" w:rsidRPr="00BF3CDE">
        <w:rPr>
          <w:noProof/>
          <w:sz w:val="20"/>
          <w:szCs w:val="20"/>
          <w:lang w:val="sr-Cyrl-CS"/>
        </w:rPr>
        <w:t xml:space="preserve"> </w:t>
      </w:r>
      <w:r w:rsidRPr="00BF3CDE">
        <w:rPr>
          <w:noProof/>
          <w:sz w:val="20"/>
          <w:szCs w:val="20"/>
          <w:lang w:val="sr-Cyrl-CS"/>
        </w:rPr>
        <w:t xml:space="preserve">44-а Статута Друштва формирало Комисију за ревизију. </w:t>
      </w:r>
    </w:p>
    <w:p w14:paraId="0F5DA951" w14:textId="77777777" w:rsidR="00794AEC" w:rsidRPr="00BF3CDE" w:rsidRDefault="00794AEC" w:rsidP="00794AEC">
      <w:pPr>
        <w:spacing w:after="100" w:afterAutospacing="1" w:line="240" w:lineRule="auto"/>
        <w:rPr>
          <w:rStyle w:val="IntenseEmphasis"/>
          <w:noProof/>
          <w:lang w:val="sr-Cyrl-CS"/>
        </w:rPr>
      </w:pPr>
      <w:r w:rsidRPr="00BF3CDE">
        <w:rPr>
          <w:rStyle w:val="IntenseEmphasis"/>
          <w:noProof/>
          <w:lang w:val="sr-Cyrl-CS"/>
        </w:rPr>
        <w:t>Чланови комисије за ревизију</w:t>
      </w:r>
    </w:p>
    <w:p w14:paraId="173542F3" w14:textId="77777777" w:rsidR="00794AEC" w:rsidRPr="00BF3CDE" w:rsidRDefault="00F91B66" w:rsidP="00430E71">
      <w:pPr>
        <w:numPr>
          <w:ilvl w:val="0"/>
          <w:numId w:val="4"/>
        </w:numPr>
        <w:spacing w:after="0" w:line="240" w:lineRule="auto"/>
        <w:jc w:val="both"/>
        <w:rPr>
          <w:rFonts w:cs="Tahoma"/>
          <w:noProof/>
          <w:sz w:val="20"/>
          <w:szCs w:val="20"/>
          <w:lang w:val="sr-Cyrl-CS"/>
        </w:rPr>
      </w:pPr>
      <w:r w:rsidRPr="00BF3CDE">
        <w:rPr>
          <w:rFonts w:cs="Tahoma"/>
          <w:noProof/>
          <w:sz w:val="20"/>
          <w:szCs w:val="20"/>
          <w:lang w:val="sr-Cyrl-CS"/>
        </w:rPr>
        <w:t xml:space="preserve">Радица Рубежић </w:t>
      </w:r>
      <w:r w:rsidR="00794AEC" w:rsidRPr="00BF3CDE">
        <w:rPr>
          <w:rFonts w:cs="Tahoma"/>
          <w:noProof/>
          <w:sz w:val="20"/>
          <w:szCs w:val="20"/>
          <w:lang w:val="sr-Cyrl-CS"/>
        </w:rPr>
        <w:t xml:space="preserve">(Компанија Дунав осигурање), </w:t>
      </w:r>
      <w:r w:rsidRPr="00BF3CDE">
        <w:rPr>
          <w:rFonts w:cs="Tahoma"/>
          <w:noProof/>
          <w:sz w:val="20"/>
          <w:szCs w:val="20"/>
          <w:lang w:val="sr-Cyrl-CS"/>
        </w:rPr>
        <w:t>члан</w:t>
      </w:r>
      <w:r w:rsidR="00794AEC" w:rsidRPr="00BF3CDE">
        <w:rPr>
          <w:rFonts w:cs="Tahoma"/>
          <w:noProof/>
          <w:sz w:val="20"/>
          <w:szCs w:val="20"/>
          <w:lang w:val="sr-Cyrl-CS"/>
        </w:rPr>
        <w:t>,</w:t>
      </w:r>
    </w:p>
    <w:p w14:paraId="7156126E" w14:textId="77777777" w:rsidR="00794AEC" w:rsidRPr="00BF3CDE" w:rsidRDefault="00F91B66" w:rsidP="00F91B66">
      <w:pPr>
        <w:numPr>
          <w:ilvl w:val="0"/>
          <w:numId w:val="4"/>
        </w:numPr>
        <w:spacing w:after="0" w:line="240" w:lineRule="auto"/>
        <w:jc w:val="both"/>
        <w:rPr>
          <w:rFonts w:cs="Tahoma"/>
          <w:noProof/>
          <w:sz w:val="20"/>
          <w:szCs w:val="20"/>
          <w:lang w:val="sr-Cyrl-CS"/>
        </w:rPr>
      </w:pPr>
      <w:r w:rsidRPr="00BF3CDE">
        <w:rPr>
          <w:rFonts w:cs="Tahoma"/>
          <w:noProof/>
          <w:sz w:val="20"/>
          <w:szCs w:val="20"/>
          <w:lang w:val="sr-Cyrl-CS"/>
        </w:rPr>
        <w:t xml:space="preserve">Гаврило Аџић </w:t>
      </w:r>
      <w:r w:rsidR="00794AEC" w:rsidRPr="00BF3CDE">
        <w:rPr>
          <w:rFonts w:cs="Tahoma"/>
          <w:noProof/>
          <w:sz w:val="20"/>
          <w:szCs w:val="20"/>
          <w:lang w:val="sr-Cyrl-CS"/>
        </w:rPr>
        <w:t>(Компанија Дунав осигурање), члан и</w:t>
      </w:r>
    </w:p>
    <w:p w14:paraId="0E0E01F8" w14:textId="77777777" w:rsidR="00794AEC" w:rsidRPr="00BF3CDE" w:rsidRDefault="00794AEC" w:rsidP="00430E71">
      <w:pPr>
        <w:numPr>
          <w:ilvl w:val="0"/>
          <w:numId w:val="4"/>
        </w:numPr>
        <w:spacing w:after="0" w:line="240" w:lineRule="auto"/>
        <w:jc w:val="both"/>
        <w:rPr>
          <w:rFonts w:cs="Tahoma"/>
          <w:noProof/>
          <w:sz w:val="20"/>
          <w:szCs w:val="20"/>
          <w:lang w:val="sr-Cyrl-CS"/>
        </w:rPr>
      </w:pPr>
      <w:r w:rsidRPr="00BF3CDE">
        <w:rPr>
          <w:rFonts w:cs="Tahoma"/>
          <w:noProof/>
          <w:sz w:val="20"/>
          <w:szCs w:val="20"/>
          <w:lang w:val="sr-Cyrl-CS"/>
        </w:rPr>
        <w:t>Дамјан Шаговновић (Сава осигурање), члан.</w:t>
      </w:r>
    </w:p>
    <w:p w14:paraId="4A6E523F" w14:textId="77777777" w:rsidR="00C608F9" w:rsidRPr="00BF3CDE" w:rsidRDefault="00794AEC" w:rsidP="00D27ABB">
      <w:pPr>
        <w:spacing w:before="120" w:after="100" w:afterAutospacing="1"/>
        <w:ind w:firstLine="567"/>
        <w:rPr>
          <w:noProof/>
          <w:sz w:val="20"/>
          <w:szCs w:val="20"/>
          <w:lang w:val="sr-Cyrl-CS"/>
        </w:rPr>
      </w:pPr>
      <w:r w:rsidRPr="00BF3CDE">
        <w:rPr>
          <w:noProof/>
          <w:sz w:val="20"/>
          <w:szCs w:val="20"/>
          <w:lang w:val="sr-Cyrl-CS"/>
        </w:rPr>
        <w:t xml:space="preserve">Ревизију финансијских извештаја врши </w:t>
      </w:r>
      <w:r w:rsidR="008F0541" w:rsidRPr="00BF3CDE">
        <w:rPr>
          <w:noProof/>
          <w:sz w:val="20"/>
          <w:szCs w:val="20"/>
          <w:lang w:val="sr-Cyrl-CS"/>
        </w:rPr>
        <w:t xml:space="preserve">Ревизорска кућа: </w:t>
      </w:r>
      <w:r w:rsidR="001C373D" w:rsidRPr="00BF3CDE">
        <w:rPr>
          <w:i/>
          <w:noProof/>
          <w:sz w:val="20"/>
          <w:szCs w:val="20"/>
          <w:lang w:val="sr-Cyrl-CS"/>
        </w:rPr>
        <w:t>КПМГ д.о.о</w:t>
      </w:r>
      <w:r w:rsidR="008F0541" w:rsidRPr="00BF3CDE">
        <w:rPr>
          <w:noProof/>
          <w:sz w:val="20"/>
          <w:szCs w:val="20"/>
          <w:lang w:val="sr-Cyrl-CS"/>
        </w:rPr>
        <w:t>, Београд</w:t>
      </w:r>
    </w:p>
    <w:p w14:paraId="05561BD9" w14:textId="77777777" w:rsidR="004539A2" w:rsidRPr="00BF3CDE" w:rsidRDefault="004539A2" w:rsidP="004539A2">
      <w:pPr>
        <w:spacing w:after="100" w:afterAutospacing="1" w:line="240" w:lineRule="auto"/>
        <w:rPr>
          <w:rStyle w:val="IntenseEmphasis"/>
          <w:noProof/>
          <w:lang w:val="sr-Cyrl-CS"/>
        </w:rPr>
      </w:pPr>
      <w:r w:rsidRPr="00BF3CDE">
        <w:rPr>
          <w:rStyle w:val="IntenseEmphasis"/>
          <w:noProof/>
          <w:lang w:val="sr-Cyrl-CS"/>
        </w:rPr>
        <w:t>Акционари</w:t>
      </w:r>
    </w:p>
    <w:p w14:paraId="537708F5" w14:textId="77777777" w:rsidR="008C2B46" w:rsidRPr="00BF3CDE" w:rsidRDefault="00A12FD6" w:rsidP="008C2B46">
      <w:pPr>
        <w:spacing w:after="100"/>
        <w:ind w:firstLine="567"/>
        <w:jc w:val="both"/>
        <w:rPr>
          <w:noProof/>
          <w:sz w:val="20"/>
          <w:szCs w:val="20"/>
          <w:lang w:val="sr-Cyrl-CS"/>
        </w:rPr>
      </w:pPr>
      <w:r w:rsidRPr="00BF3CDE">
        <w:rPr>
          <w:noProof/>
          <w:sz w:val="20"/>
          <w:szCs w:val="20"/>
          <w:lang w:val="sr-Cyrl-CS"/>
        </w:rPr>
        <w:t xml:space="preserve">Већински власник друштва је Компанија Дунав осигурање са 92,65% учешћа у укупном акцијском капиталу и 88,41% у </w:t>
      </w:r>
      <w:r w:rsidR="008C2B46" w:rsidRPr="00BF3CDE">
        <w:rPr>
          <w:noProof/>
          <w:sz w:val="20"/>
          <w:szCs w:val="20"/>
          <w:lang w:val="sr-Cyrl-CS"/>
        </w:rPr>
        <w:t>укупном основном капиталу. Друштво није вршило откуп сопствених акција.</w:t>
      </w:r>
    </w:p>
    <w:p w14:paraId="189F7087" w14:textId="77777777" w:rsidR="00A12FD6" w:rsidRPr="00BF3CDE" w:rsidRDefault="00A12FD6" w:rsidP="00A12FD6">
      <w:pPr>
        <w:spacing w:after="60"/>
        <w:jc w:val="center"/>
        <w:rPr>
          <w:rStyle w:val="IntenseEmphasis"/>
          <w:bCs w:val="0"/>
          <w:noProof/>
          <w:sz w:val="18"/>
          <w:lang w:val="sr-Cyrl-CS"/>
        </w:rPr>
      </w:pPr>
      <w:r w:rsidRPr="00BF3CDE">
        <w:rPr>
          <w:rStyle w:val="IntenseEmphasis"/>
          <w:bCs w:val="0"/>
          <w:noProof/>
          <w:sz w:val="18"/>
          <w:lang w:val="sr-Cyrl-CS"/>
        </w:rPr>
        <w:t>Редослед првих 10 акционара по броју акција на дан 31.12.201</w:t>
      </w:r>
      <w:r w:rsidR="00C031DE" w:rsidRPr="00BF3CDE">
        <w:rPr>
          <w:rStyle w:val="IntenseEmphasis"/>
          <w:bCs w:val="0"/>
          <w:noProof/>
          <w:sz w:val="18"/>
          <w:lang w:val="sr-Cyrl-CS"/>
        </w:rPr>
        <w:t>4</w:t>
      </w:r>
      <w:r w:rsidRPr="00BF3CDE">
        <w:rPr>
          <w:rStyle w:val="IntenseEmphasis"/>
          <w:bCs w:val="0"/>
          <w:noProof/>
          <w:sz w:val="18"/>
          <w:lang w:val="sr-Cyrl-CS"/>
        </w:rPr>
        <w:t>. године</w:t>
      </w:r>
    </w:p>
    <w:tbl>
      <w:tblPr>
        <w:tblW w:w="9193" w:type="dxa"/>
        <w:tblInd w:w="93" w:type="dxa"/>
        <w:tblLook w:val="04A0" w:firstRow="1" w:lastRow="0" w:firstColumn="1" w:lastColumn="0" w:noHBand="0" w:noVBand="1"/>
      </w:tblPr>
      <w:tblGrid>
        <w:gridCol w:w="706"/>
        <w:gridCol w:w="4770"/>
        <w:gridCol w:w="957"/>
        <w:gridCol w:w="1165"/>
        <w:gridCol w:w="1595"/>
      </w:tblGrid>
      <w:tr w:rsidR="001B7810" w:rsidRPr="00BF3CDE" w14:paraId="1E146E16" w14:textId="77777777" w:rsidTr="009B1CE0">
        <w:trPr>
          <w:trHeight w:val="850"/>
        </w:trPr>
        <w:tc>
          <w:tcPr>
            <w:tcW w:w="706" w:type="dxa"/>
            <w:tcBorders>
              <w:top w:val="nil"/>
              <w:left w:val="nil"/>
              <w:bottom w:val="single" w:sz="4" w:space="0" w:color="632423" w:themeColor="accent2" w:themeShade="80"/>
              <w:right w:val="nil"/>
            </w:tcBorders>
            <w:shd w:val="clear" w:color="auto" w:fill="auto"/>
            <w:vAlign w:val="center"/>
            <w:hideMark/>
          </w:tcPr>
          <w:p w14:paraId="37ACB67F" w14:textId="77777777" w:rsidR="001B7810" w:rsidRPr="00BF3CDE" w:rsidRDefault="001B7810" w:rsidP="00EA7779">
            <w:pPr>
              <w:spacing w:after="0" w:line="240" w:lineRule="auto"/>
              <w:jc w:val="center"/>
              <w:rPr>
                <w:rFonts w:ascii="Verdana" w:eastAsia="Times New Roman" w:hAnsi="Verdana" w:cs="Times New Roman"/>
                <w:b/>
                <w:bCs/>
                <w:noProof/>
                <w:color w:val="000000"/>
                <w:sz w:val="20"/>
                <w:szCs w:val="20"/>
                <w:lang w:val="sr-Cyrl-CS" w:eastAsia="sr-Latn-RS"/>
              </w:rPr>
            </w:pPr>
          </w:p>
        </w:tc>
        <w:tc>
          <w:tcPr>
            <w:tcW w:w="4772" w:type="dxa"/>
            <w:tcBorders>
              <w:top w:val="nil"/>
              <w:left w:val="nil"/>
              <w:bottom w:val="single" w:sz="4" w:space="0" w:color="632423" w:themeColor="accent2" w:themeShade="80"/>
              <w:right w:val="nil"/>
            </w:tcBorders>
            <w:shd w:val="clear" w:color="auto" w:fill="auto"/>
            <w:vAlign w:val="center"/>
            <w:hideMark/>
          </w:tcPr>
          <w:p w14:paraId="77E1FC9A" w14:textId="77777777" w:rsidR="001B7810" w:rsidRPr="00BF3CDE" w:rsidRDefault="001B7810" w:rsidP="00EA7779">
            <w:pPr>
              <w:spacing w:after="0" w:line="240" w:lineRule="auto"/>
              <w:jc w:val="center"/>
              <w:rPr>
                <w:rFonts w:ascii="Verdana" w:eastAsia="Times New Roman" w:hAnsi="Verdana" w:cs="Times New Roman"/>
                <w:b/>
                <w:bCs/>
                <w:noProof/>
                <w:color w:val="000000"/>
                <w:sz w:val="18"/>
                <w:szCs w:val="18"/>
                <w:lang w:val="sr-Cyrl-CS" w:eastAsia="sr-Latn-RS"/>
              </w:rPr>
            </w:pPr>
            <w:r w:rsidRPr="00BF3CDE">
              <w:rPr>
                <w:rFonts w:ascii="Verdana" w:eastAsia="Times New Roman" w:hAnsi="Verdana" w:cs="Times New Roman"/>
                <w:b/>
                <w:bCs/>
                <w:noProof/>
                <w:color w:val="000000"/>
                <w:sz w:val="18"/>
                <w:szCs w:val="18"/>
                <w:lang w:val="sr-Cyrl-CS" w:eastAsia="sr-Latn-RS"/>
              </w:rPr>
              <w:t>АКЦИОНАРИ</w:t>
            </w:r>
          </w:p>
        </w:tc>
        <w:tc>
          <w:tcPr>
            <w:tcW w:w="957" w:type="dxa"/>
            <w:tcBorders>
              <w:top w:val="nil"/>
              <w:left w:val="nil"/>
              <w:bottom w:val="single" w:sz="4" w:space="0" w:color="632423" w:themeColor="accent2" w:themeShade="80"/>
              <w:right w:val="nil"/>
            </w:tcBorders>
            <w:shd w:val="clear" w:color="auto" w:fill="auto"/>
            <w:vAlign w:val="center"/>
            <w:hideMark/>
          </w:tcPr>
          <w:p w14:paraId="33A49150" w14:textId="77777777" w:rsidR="001B7810" w:rsidRPr="00BF3CDE" w:rsidRDefault="001B7810" w:rsidP="00EA7779">
            <w:pPr>
              <w:spacing w:after="0" w:line="240" w:lineRule="auto"/>
              <w:jc w:val="center"/>
              <w:rPr>
                <w:rFonts w:ascii="Verdana" w:eastAsia="Times New Roman" w:hAnsi="Verdana" w:cs="Times New Roman"/>
                <w:b/>
                <w:bCs/>
                <w:noProof/>
                <w:color w:val="000000"/>
                <w:sz w:val="18"/>
                <w:szCs w:val="18"/>
                <w:lang w:val="sr-Cyrl-CS" w:eastAsia="sr-Latn-RS"/>
              </w:rPr>
            </w:pPr>
            <w:r w:rsidRPr="00BF3CDE">
              <w:rPr>
                <w:rFonts w:ascii="Verdana" w:eastAsia="Times New Roman" w:hAnsi="Verdana" w:cs="Times New Roman"/>
                <w:b/>
                <w:bCs/>
                <w:noProof/>
                <w:color w:val="000000"/>
                <w:sz w:val="18"/>
                <w:szCs w:val="18"/>
                <w:lang w:val="sr-Cyrl-CS" w:eastAsia="sr-Latn-RS"/>
              </w:rPr>
              <w:t>Број акција</w:t>
            </w:r>
          </w:p>
        </w:tc>
        <w:tc>
          <w:tcPr>
            <w:tcW w:w="1162" w:type="dxa"/>
            <w:tcBorders>
              <w:top w:val="nil"/>
              <w:left w:val="nil"/>
              <w:bottom w:val="single" w:sz="4" w:space="0" w:color="632423" w:themeColor="accent2" w:themeShade="80"/>
              <w:right w:val="nil"/>
            </w:tcBorders>
            <w:shd w:val="clear" w:color="auto" w:fill="auto"/>
            <w:vAlign w:val="center"/>
            <w:hideMark/>
          </w:tcPr>
          <w:p w14:paraId="4B677D28" w14:textId="77777777" w:rsidR="001B7810" w:rsidRPr="00BF3CDE" w:rsidRDefault="001B7810" w:rsidP="00EA7779">
            <w:pPr>
              <w:spacing w:after="0" w:line="240" w:lineRule="auto"/>
              <w:jc w:val="center"/>
              <w:rPr>
                <w:rFonts w:ascii="Verdana" w:eastAsia="Times New Roman" w:hAnsi="Verdana" w:cs="Times New Roman"/>
                <w:b/>
                <w:bCs/>
                <w:noProof/>
                <w:color w:val="000000"/>
                <w:sz w:val="18"/>
                <w:szCs w:val="18"/>
                <w:lang w:val="sr-Cyrl-CS" w:eastAsia="sr-Latn-RS"/>
              </w:rPr>
            </w:pPr>
            <w:r w:rsidRPr="00BF3CDE">
              <w:rPr>
                <w:rFonts w:ascii="Verdana" w:eastAsia="Times New Roman" w:hAnsi="Verdana" w:cs="Times New Roman"/>
                <w:b/>
                <w:bCs/>
                <w:noProof/>
                <w:color w:val="000000"/>
                <w:sz w:val="18"/>
                <w:szCs w:val="18"/>
                <w:lang w:val="sr-Cyrl-CS" w:eastAsia="sr-Latn-RS"/>
              </w:rPr>
              <w:t>Укупна вредност у 000 РСД</w:t>
            </w:r>
          </w:p>
        </w:tc>
        <w:tc>
          <w:tcPr>
            <w:tcW w:w="1596" w:type="dxa"/>
            <w:tcBorders>
              <w:top w:val="nil"/>
              <w:left w:val="nil"/>
              <w:bottom w:val="single" w:sz="4" w:space="0" w:color="632423" w:themeColor="accent2" w:themeShade="80"/>
              <w:right w:val="nil"/>
            </w:tcBorders>
            <w:shd w:val="clear" w:color="auto" w:fill="auto"/>
            <w:vAlign w:val="center"/>
            <w:hideMark/>
          </w:tcPr>
          <w:p w14:paraId="5C39523A" w14:textId="77777777" w:rsidR="001B7810" w:rsidRPr="00BF3CDE" w:rsidRDefault="001B7810" w:rsidP="00EA7779">
            <w:pPr>
              <w:spacing w:after="0" w:line="240" w:lineRule="auto"/>
              <w:jc w:val="center"/>
              <w:rPr>
                <w:rFonts w:ascii="Verdana" w:eastAsia="Times New Roman" w:hAnsi="Verdana" w:cs="Times New Roman"/>
                <w:b/>
                <w:bCs/>
                <w:noProof/>
                <w:color w:val="000000"/>
                <w:sz w:val="18"/>
                <w:szCs w:val="18"/>
                <w:lang w:val="sr-Cyrl-CS" w:eastAsia="sr-Latn-RS"/>
              </w:rPr>
            </w:pPr>
            <w:r w:rsidRPr="00BF3CDE">
              <w:rPr>
                <w:rFonts w:ascii="Verdana" w:eastAsia="Times New Roman" w:hAnsi="Verdana" w:cs="Times New Roman"/>
                <w:b/>
                <w:bCs/>
                <w:noProof/>
                <w:color w:val="000000"/>
                <w:sz w:val="18"/>
                <w:szCs w:val="18"/>
                <w:lang w:val="sr-Cyrl-CS" w:eastAsia="sr-Latn-RS"/>
              </w:rPr>
              <w:t>% учешћа у акцијском капиталу</w:t>
            </w:r>
          </w:p>
        </w:tc>
      </w:tr>
      <w:tr w:rsidR="009B1CE0" w:rsidRPr="00BF3CDE" w14:paraId="7515D70B" w14:textId="77777777" w:rsidTr="009B1CE0">
        <w:trPr>
          <w:trHeight w:val="283"/>
        </w:trPr>
        <w:tc>
          <w:tcPr>
            <w:tcW w:w="706" w:type="dxa"/>
            <w:tcBorders>
              <w:top w:val="single" w:sz="4" w:space="0" w:color="632423" w:themeColor="accent2" w:themeShade="80"/>
              <w:left w:val="nil"/>
              <w:bottom w:val="nil"/>
              <w:right w:val="nil"/>
            </w:tcBorders>
            <w:shd w:val="clear" w:color="000000" w:fill="D8E6F3"/>
            <w:noWrap/>
            <w:vAlign w:val="center"/>
            <w:hideMark/>
          </w:tcPr>
          <w:p w14:paraId="10D014DE" w14:textId="77777777" w:rsidR="009B1CE0" w:rsidRPr="00BF3CDE" w:rsidRDefault="009B1CE0" w:rsidP="00EA7779">
            <w:pPr>
              <w:pStyle w:val="NoSpacing"/>
              <w:jc w:val="center"/>
              <w:rPr>
                <w:noProof/>
                <w:sz w:val="20"/>
                <w:lang w:val="sr-Cyrl-CS"/>
              </w:rPr>
            </w:pPr>
            <w:r w:rsidRPr="00BF3CDE">
              <w:rPr>
                <w:noProof/>
                <w:sz w:val="20"/>
                <w:lang w:val="sr-Cyrl-CS"/>
              </w:rPr>
              <w:t>1</w:t>
            </w:r>
          </w:p>
        </w:tc>
        <w:tc>
          <w:tcPr>
            <w:tcW w:w="4772" w:type="dxa"/>
            <w:tcBorders>
              <w:top w:val="single" w:sz="4" w:space="0" w:color="632423" w:themeColor="accent2" w:themeShade="80"/>
              <w:left w:val="nil"/>
              <w:bottom w:val="nil"/>
              <w:right w:val="nil"/>
            </w:tcBorders>
            <w:shd w:val="clear" w:color="000000" w:fill="D8E6F3"/>
            <w:noWrap/>
            <w:vAlign w:val="center"/>
            <w:hideMark/>
          </w:tcPr>
          <w:p w14:paraId="19BD3815" w14:textId="44E082CD" w:rsidR="009B1CE0" w:rsidRPr="00BF3CDE" w:rsidRDefault="009B1CE0" w:rsidP="00EA7779">
            <w:pPr>
              <w:pStyle w:val="NoSpacing"/>
              <w:rPr>
                <w:noProof/>
                <w:sz w:val="20"/>
                <w:lang w:val="sr-Cyrl-CS"/>
              </w:rPr>
            </w:pPr>
            <w:r w:rsidRPr="0023028E">
              <w:rPr>
                <w:noProof/>
                <w:sz w:val="20"/>
                <w:lang w:val="sr-Cyrl-CS"/>
              </w:rPr>
              <w:t>Компанија Дунав осигурање Београд</w:t>
            </w:r>
          </w:p>
        </w:tc>
        <w:tc>
          <w:tcPr>
            <w:tcW w:w="957" w:type="dxa"/>
            <w:tcBorders>
              <w:top w:val="single" w:sz="4" w:space="0" w:color="632423" w:themeColor="accent2" w:themeShade="80"/>
              <w:left w:val="nil"/>
              <w:bottom w:val="nil"/>
              <w:right w:val="nil"/>
            </w:tcBorders>
            <w:shd w:val="clear" w:color="000000" w:fill="D8E6F3"/>
            <w:noWrap/>
            <w:vAlign w:val="center"/>
            <w:hideMark/>
          </w:tcPr>
          <w:p w14:paraId="0B1D3049" w14:textId="7406C7AA" w:rsidR="009B1CE0" w:rsidRPr="00BF3CDE" w:rsidRDefault="009B1CE0" w:rsidP="00EA7779">
            <w:pPr>
              <w:pStyle w:val="NoSpacing"/>
              <w:jc w:val="right"/>
              <w:rPr>
                <w:noProof/>
                <w:sz w:val="20"/>
                <w:lang w:val="sr-Cyrl-CS"/>
              </w:rPr>
            </w:pPr>
            <w:r w:rsidRPr="0023028E">
              <w:rPr>
                <w:noProof/>
                <w:sz w:val="20"/>
                <w:lang w:val="sr-Cyrl-CS"/>
              </w:rPr>
              <w:t>75,126</w:t>
            </w:r>
          </w:p>
        </w:tc>
        <w:tc>
          <w:tcPr>
            <w:tcW w:w="1162" w:type="dxa"/>
            <w:tcBorders>
              <w:top w:val="single" w:sz="4" w:space="0" w:color="632423" w:themeColor="accent2" w:themeShade="80"/>
              <w:left w:val="nil"/>
              <w:bottom w:val="nil"/>
              <w:right w:val="nil"/>
            </w:tcBorders>
            <w:shd w:val="clear" w:color="000000" w:fill="D8E6F3"/>
            <w:vAlign w:val="center"/>
            <w:hideMark/>
          </w:tcPr>
          <w:p w14:paraId="79D20BE6" w14:textId="4326B2C1" w:rsidR="009B1CE0" w:rsidRPr="00BF3CDE" w:rsidRDefault="009B1CE0" w:rsidP="00EA7779">
            <w:pPr>
              <w:pStyle w:val="NoSpacing"/>
              <w:jc w:val="right"/>
              <w:rPr>
                <w:noProof/>
                <w:sz w:val="20"/>
                <w:lang w:val="sr-Cyrl-CS"/>
              </w:rPr>
            </w:pPr>
            <w:r w:rsidRPr="0023028E">
              <w:rPr>
                <w:noProof/>
                <w:sz w:val="20"/>
                <w:lang w:val="sr-Cyrl-CS"/>
              </w:rPr>
              <w:t>676,134</w:t>
            </w:r>
          </w:p>
        </w:tc>
        <w:tc>
          <w:tcPr>
            <w:tcW w:w="1596" w:type="dxa"/>
            <w:tcBorders>
              <w:top w:val="single" w:sz="4" w:space="0" w:color="632423" w:themeColor="accent2" w:themeShade="80"/>
              <w:left w:val="nil"/>
              <w:bottom w:val="nil"/>
              <w:right w:val="nil"/>
            </w:tcBorders>
            <w:shd w:val="clear" w:color="000000" w:fill="D8E6F3"/>
            <w:noWrap/>
            <w:vAlign w:val="center"/>
            <w:hideMark/>
          </w:tcPr>
          <w:p w14:paraId="0A1F7D48" w14:textId="3EA46277" w:rsidR="009B1CE0" w:rsidRPr="00BF3CDE" w:rsidRDefault="009B1CE0" w:rsidP="00EA7779">
            <w:pPr>
              <w:pStyle w:val="NoSpacing"/>
              <w:jc w:val="center"/>
              <w:rPr>
                <w:noProof/>
                <w:sz w:val="20"/>
                <w:lang w:val="sr-Cyrl-CS"/>
              </w:rPr>
            </w:pPr>
            <w:r w:rsidRPr="0023028E">
              <w:rPr>
                <w:noProof/>
                <w:sz w:val="20"/>
                <w:lang w:val="sr-Cyrl-CS"/>
              </w:rPr>
              <w:t>92,65%</w:t>
            </w:r>
          </w:p>
        </w:tc>
      </w:tr>
      <w:tr w:rsidR="009B1CE0" w:rsidRPr="00BF3CDE" w14:paraId="5CE9BCAD" w14:textId="77777777" w:rsidTr="009B1CE0">
        <w:trPr>
          <w:trHeight w:val="283"/>
        </w:trPr>
        <w:tc>
          <w:tcPr>
            <w:tcW w:w="706" w:type="dxa"/>
            <w:tcBorders>
              <w:top w:val="nil"/>
              <w:left w:val="nil"/>
              <w:bottom w:val="nil"/>
              <w:right w:val="nil"/>
            </w:tcBorders>
            <w:shd w:val="clear" w:color="auto" w:fill="auto"/>
            <w:noWrap/>
            <w:vAlign w:val="center"/>
            <w:hideMark/>
          </w:tcPr>
          <w:p w14:paraId="61E7C16C" w14:textId="77777777" w:rsidR="009B1CE0" w:rsidRPr="00BF3CDE" w:rsidRDefault="009B1CE0" w:rsidP="00EA7779">
            <w:pPr>
              <w:pStyle w:val="NoSpacing"/>
              <w:jc w:val="center"/>
              <w:rPr>
                <w:noProof/>
                <w:sz w:val="20"/>
                <w:lang w:val="sr-Cyrl-CS"/>
              </w:rPr>
            </w:pPr>
            <w:r w:rsidRPr="00BF3CDE">
              <w:rPr>
                <w:noProof/>
                <w:sz w:val="20"/>
                <w:lang w:val="sr-Cyrl-CS"/>
              </w:rPr>
              <w:t>2</w:t>
            </w:r>
          </w:p>
        </w:tc>
        <w:tc>
          <w:tcPr>
            <w:tcW w:w="4772" w:type="dxa"/>
            <w:tcBorders>
              <w:top w:val="nil"/>
              <w:left w:val="nil"/>
              <w:bottom w:val="nil"/>
              <w:right w:val="nil"/>
            </w:tcBorders>
            <w:shd w:val="clear" w:color="auto" w:fill="auto"/>
            <w:noWrap/>
            <w:vAlign w:val="center"/>
            <w:hideMark/>
          </w:tcPr>
          <w:p w14:paraId="12F432F7" w14:textId="43624C97" w:rsidR="009B1CE0" w:rsidRPr="00BF3CDE" w:rsidRDefault="009B1CE0" w:rsidP="00EA7779">
            <w:pPr>
              <w:pStyle w:val="NoSpacing"/>
              <w:rPr>
                <w:noProof/>
                <w:sz w:val="20"/>
                <w:lang w:val="sr-Cyrl-CS"/>
              </w:rPr>
            </w:pPr>
            <w:r w:rsidRPr="0023028E">
              <w:rPr>
                <w:noProof/>
                <w:sz w:val="20"/>
                <w:lang w:val="sr-Cyrl-CS"/>
              </w:rPr>
              <w:t>Сава осигурање  Београд</w:t>
            </w:r>
          </w:p>
        </w:tc>
        <w:tc>
          <w:tcPr>
            <w:tcW w:w="957" w:type="dxa"/>
            <w:tcBorders>
              <w:top w:val="nil"/>
              <w:left w:val="nil"/>
              <w:bottom w:val="nil"/>
              <w:right w:val="nil"/>
            </w:tcBorders>
            <w:shd w:val="clear" w:color="auto" w:fill="auto"/>
            <w:noWrap/>
            <w:vAlign w:val="center"/>
            <w:hideMark/>
          </w:tcPr>
          <w:p w14:paraId="3D53E255" w14:textId="2D212322" w:rsidR="009B1CE0" w:rsidRPr="00BF3CDE" w:rsidRDefault="009B1CE0" w:rsidP="00EA7779">
            <w:pPr>
              <w:pStyle w:val="NoSpacing"/>
              <w:jc w:val="right"/>
              <w:rPr>
                <w:noProof/>
                <w:sz w:val="20"/>
                <w:lang w:val="sr-Cyrl-CS"/>
              </w:rPr>
            </w:pPr>
            <w:r w:rsidRPr="0023028E">
              <w:rPr>
                <w:noProof/>
                <w:sz w:val="20"/>
                <w:lang w:val="sr-Cyrl-CS"/>
              </w:rPr>
              <w:t>2,731</w:t>
            </w:r>
          </w:p>
        </w:tc>
        <w:tc>
          <w:tcPr>
            <w:tcW w:w="1162" w:type="dxa"/>
            <w:tcBorders>
              <w:top w:val="nil"/>
              <w:left w:val="nil"/>
              <w:bottom w:val="nil"/>
              <w:right w:val="nil"/>
            </w:tcBorders>
            <w:shd w:val="clear" w:color="auto" w:fill="auto"/>
            <w:vAlign w:val="center"/>
            <w:hideMark/>
          </w:tcPr>
          <w:p w14:paraId="561E9DFC" w14:textId="6B4DA6DE" w:rsidR="009B1CE0" w:rsidRPr="00BF3CDE" w:rsidRDefault="009B1CE0" w:rsidP="00EA7779">
            <w:pPr>
              <w:pStyle w:val="NoSpacing"/>
              <w:jc w:val="right"/>
              <w:rPr>
                <w:noProof/>
                <w:sz w:val="20"/>
                <w:lang w:val="sr-Cyrl-CS"/>
              </w:rPr>
            </w:pPr>
            <w:r w:rsidRPr="0023028E">
              <w:rPr>
                <w:noProof/>
                <w:sz w:val="20"/>
                <w:lang w:val="sr-Cyrl-CS"/>
              </w:rPr>
              <w:t>24,579</w:t>
            </w:r>
          </w:p>
        </w:tc>
        <w:tc>
          <w:tcPr>
            <w:tcW w:w="1596" w:type="dxa"/>
            <w:tcBorders>
              <w:top w:val="nil"/>
              <w:left w:val="nil"/>
              <w:bottom w:val="nil"/>
              <w:right w:val="nil"/>
            </w:tcBorders>
            <w:shd w:val="clear" w:color="auto" w:fill="auto"/>
            <w:noWrap/>
            <w:vAlign w:val="center"/>
            <w:hideMark/>
          </w:tcPr>
          <w:p w14:paraId="6F9FB4D8" w14:textId="1D07727C" w:rsidR="009B1CE0" w:rsidRPr="00BF3CDE" w:rsidRDefault="009B1CE0" w:rsidP="00EA7779">
            <w:pPr>
              <w:pStyle w:val="NoSpacing"/>
              <w:jc w:val="center"/>
              <w:rPr>
                <w:noProof/>
                <w:sz w:val="20"/>
                <w:lang w:val="sr-Cyrl-CS"/>
              </w:rPr>
            </w:pPr>
            <w:r w:rsidRPr="0023028E">
              <w:rPr>
                <w:noProof/>
                <w:sz w:val="20"/>
                <w:lang w:val="sr-Cyrl-CS"/>
              </w:rPr>
              <w:t>3.37%</w:t>
            </w:r>
          </w:p>
        </w:tc>
      </w:tr>
      <w:tr w:rsidR="009B1CE0" w:rsidRPr="00BF3CDE" w14:paraId="358B79E4" w14:textId="77777777" w:rsidTr="009B1CE0">
        <w:trPr>
          <w:trHeight w:val="283"/>
        </w:trPr>
        <w:tc>
          <w:tcPr>
            <w:tcW w:w="706" w:type="dxa"/>
            <w:tcBorders>
              <w:top w:val="nil"/>
              <w:left w:val="nil"/>
              <w:bottom w:val="nil"/>
              <w:right w:val="nil"/>
            </w:tcBorders>
            <w:shd w:val="clear" w:color="000000" w:fill="D8E6F3"/>
            <w:noWrap/>
            <w:vAlign w:val="center"/>
            <w:hideMark/>
          </w:tcPr>
          <w:p w14:paraId="0DF81C95" w14:textId="77777777" w:rsidR="009B1CE0" w:rsidRPr="00BF3CDE" w:rsidRDefault="009B1CE0" w:rsidP="00EA7779">
            <w:pPr>
              <w:pStyle w:val="NoSpacing"/>
              <w:jc w:val="center"/>
              <w:rPr>
                <w:noProof/>
                <w:sz w:val="20"/>
                <w:lang w:val="sr-Cyrl-CS"/>
              </w:rPr>
            </w:pPr>
            <w:r w:rsidRPr="00BF3CDE">
              <w:rPr>
                <w:noProof/>
                <w:sz w:val="20"/>
                <w:lang w:val="sr-Cyrl-CS"/>
              </w:rPr>
              <w:t>3</w:t>
            </w:r>
          </w:p>
        </w:tc>
        <w:tc>
          <w:tcPr>
            <w:tcW w:w="4772" w:type="dxa"/>
            <w:tcBorders>
              <w:top w:val="nil"/>
              <w:left w:val="nil"/>
              <w:bottom w:val="nil"/>
              <w:right w:val="nil"/>
            </w:tcBorders>
            <w:shd w:val="clear" w:color="000000" w:fill="D8E6F3"/>
            <w:noWrap/>
            <w:vAlign w:val="center"/>
            <w:hideMark/>
          </w:tcPr>
          <w:p w14:paraId="026D2A8B" w14:textId="41BFBED0" w:rsidR="009B1CE0" w:rsidRPr="00BF3CDE" w:rsidRDefault="009B1CE0" w:rsidP="00EA7779">
            <w:pPr>
              <w:pStyle w:val="NoSpacing"/>
              <w:rPr>
                <w:noProof/>
                <w:sz w:val="20"/>
                <w:lang w:val="sr-Cyrl-CS"/>
              </w:rPr>
            </w:pPr>
            <w:r w:rsidRPr="0023028E">
              <w:rPr>
                <w:noProof/>
                <w:sz w:val="20"/>
                <w:lang w:val="sr-Cyrl-CS"/>
              </w:rPr>
              <w:t>UniCredit банка Словенија</w:t>
            </w:r>
          </w:p>
        </w:tc>
        <w:tc>
          <w:tcPr>
            <w:tcW w:w="957" w:type="dxa"/>
            <w:tcBorders>
              <w:top w:val="nil"/>
              <w:left w:val="nil"/>
              <w:bottom w:val="nil"/>
              <w:right w:val="nil"/>
            </w:tcBorders>
            <w:shd w:val="clear" w:color="000000" w:fill="D8E6F3"/>
            <w:noWrap/>
            <w:vAlign w:val="center"/>
            <w:hideMark/>
          </w:tcPr>
          <w:p w14:paraId="3105C2A1" w14:textId="7407FB24" w:rsidR="009B1CE0" w:rsidRPr="00BF3CDE" w:rsidRDefault="009B1CE0" w:rsidP="00EA7779">
            <w:pPr>
              <w:pStyle w:val="NoSpacing"/>
              <w:jc w:val="right"/>
              <w:rPr>
                <w:noProof/>
                <w:sz w:val="20"/>
                <w:lang w:val="sr-Cyrl-CS"/>
              </w:rPr>
            </w:pPr>
            <w:r w:rsidRPr="0023028E">
              <w:rPr>
                <w:noProof/>
                <w:sz w:val="20"/>
                <w:lang w:val="sr-Cyrl-CS"/>
              </w:rPr>
              <w:t>910</w:t>
            </w:r>
          </w:p>
        </w:tc>
        <w:tc>
          <w:tcPr>
            <w:tcW w:w="1162" w:type="dxa"/>
            <w:tcBorders>
              <w:top w:val="nil"/>
              <w:left w:val="nil"/>
              <w:bottom w:val="nil"/>
              <w:right w:val="nil"/>
            </w:tcBorders>
            <w:shd w:val="clear" w:color="000000" w:fill="D8E6F3"/>
            <w:vAlign w:val="center"/>
            <w:hideMark/>
          </w:tcPr>
          <w:p w14:paraId="450873CE" w14:textId="713A7C27" w:rsidR="009B1CE0" w:rsidRPr="00BF3CDE" w:rsidRDefault="009B1CE0" w:rsidP="00EA7779">
            <w:pPr>
              <w:pStyle w:val="NoSpacing"/>
              <w:jc w:val="right"/>
              <w:rPr>
                <w:noProof/>
                <w:sz w:val="20"/>
                <w:lang w:val="sr-Cyrl-CS"/>
              </w:rPr>
            </w:pPr>
            <w:r w:rsidRPr="0023028E">
              <w:rPr>
                <w:noProof/>
                <w:sz w:val="20"/>
                <w:lang w:val="sr-Cyrl-CS"/>
              </w:rPr>
              <w:t>8,190</w:t>
            </w:r>
          </w:p>
        </w:tc>
        <w:tc>
          <w:tcPr>
            <w:tcW w:w="1596" w:type="dxa"/>
            <w:tcBorders>
              <w:top w:val="nil"/>
              <w:left w:val="nil"/>
              <w:bottom w:val="nil"/>
              <w:right w:val="nil"/>
            </w:tcBorders>
            <w:shd w:val="clear" w:color="000000" w:fill="D8E6F3"/>
            <w:noWrap/>
            <w:vAlign w:val="center"/>
            <w:hideMark/>
          </w:tcPr>
          <w:p w14:paraId="704F8418" w14:textId="6BB9C98B" w:rsidR="009B1CE0" w:rsidRPr="00BF3CDE" w:rsidRDefault="009B1CE0" w:rsidP="00EA7779">
            <w:pPr>
              <w:pStyle w:val="NoSpacing"/>
              <w:jc w:val="center"/>
              <w:rPr>
                <w:noProof/>
                <w:sz w:val="20"/>
                <w:lang w:val="sr-Cyrl-CS"/>
              </w:rPr>
            </w:pPr>
            <w:r w:rsidRPr="0023028E">
              <w:rPr>
                <w:noProof/>
                <w:sz w:val="20"/>
                <w:lang w:val="sr-Cyrl-CS"/>
              </w:rPr>
              <w:t>1.12%</w:t>
            </w:r>
          </w:p>
        </w:tc>
      </w:tr>
      <w:tr w:rsidR="009B1CE0" w:rsidRPr="00BF3CDE" w14:paraId="395F26F8" w14:textId="77777777" w:rsidTr="009B1CE0">
        <w:trPr>
          <w:trHeight w:val="283"/>
        </w:trPr>
        <w:tc>
          <w:tcPr>
            <w:tcW w:w="706" w:type="dxa"/>
            <w:tcBorders>
              <w:top w:val="nil"/>
              <w:left w:val="nil"/>
              <w:bottom w:val="nil"/>
              <w:right w:val="nil"/>
            </w:tcBorders>
            <w:shd w:val="clear" w:color="auto" w:fill="auto"/>
            <w:noWrap/>
            <w:vAlign w:val="center"/>
            <w:hideMark/>
          </w:tcPr>
          <w:p w14:paraId="42CFEC54" w14:textId="77777777" w:rsidR="009B1CE0" w:rsidRPr="00BF3CDE" w:rsidRDefault="009B1CE0" w:rsidP="00EA7779">
            <w:pPr>
              <w:pStyle w:val="NoSpacing"/>
              <w:jc w:val="center"/>
              <w:rPr>
                <w:noProof/>
                <w:sz w:val="20"/>
                <w:lang w:val="sr-Cyrl-CS"/>
              </w:rPr>
            </w:pPr>
            <w:r w:rsidRPr="00BF3CDE">
              <w:rPr>
                <w:noProof/>
                <w:sz w:val="20"/>
                <w:lang w:val="sr-Cyrl-CS"/>
              </w:rPr>
              <w:t>4</w:t>
            </w:r>
          </w:p>
        </w:tc>
        <w:tc>
          <w:tcPr>
            <w:tcW w:w="4772" w:type="dxa"/>
            <w:tcBorders>
              <w:top w:val="nil"/>
              <w:left w:val="nil"/>
              <w:bottom w:val="nil"/>
              <w:right w:val="nil"/>
            </w:tcBorders>
            <w:shd w:val="clear" w:color="auto" w:fill="auto"/>
            <w:noWrap/>
            <w:vAlign w:val="center"/>
            <w:hideMark/>
          </w:tcPr>
          <w:p w14:paraId="3DAA3DD0" w14:textId="5175D08E" w:rsidR="009B1CE0" w:rsidRPr="00BF3CDE" w:rsidRDefault="009B1CE0" w:rsidP="00EA7779">
            <w:pPr>
              <w:pStyle w:val="NoSpacing"/>
              <w:rPr>
                <w:noProof/>
                <w:sz w:val="20"/>
                <w:lang w:val="sr-Cyrl-CS"/>
              </w:rPr>
            </w:pPr>
            <w:r w:rsidRPr="0023028E">
              <w:rPr>
                <w:noProof/>
                <w:sz w:val="20"/>
                <w:lang w:val="sr-Cyrl-CS"/>
              </w:rPr>
              <w:t>Ловћен осигурање Подгорица</w:t>
            </w:r>
          </w:p>
        </w:tc>
        <w:tc>
          <w:tcPr>
            <w:tcW w:w="957" w:type="dxa"/>
            <w:tcBorders>
              <w:top w:val="nil"/>
              <w:left w:val="nil"/>
              <w:bottom w:val="nil"/>
              <w:right w:val="nil"/>
            </w:tcBorders>
            <w:shd w:val="clear" w:color="auto" w:fill="auto"/>
            <w:noWrap/>
            <w:vAlign w:val="center"/>
            <w:hideMark/>
          </w:tcPr>
          <w:p w14:paraId="47123299" w14:textId="2FCEC98E" w:rsidR="009B1CE0" w:rsidRPr="00BF3CDE" w:rsidRDefault="009B1CE0" w:rsidP="00EA7779">
            <w:pPr>
              <w:pStyle w:val="NoSpacing"/>
              <w:jc w:val="right"/>
              <w:rPr>
                <w:noProof/>
                <w:sz w:val="20"/>
                <w:lang w:val="sr-Cyrl-CS"/>
              </w:rPr>
            </w:pPr>
            <w:r w:rsidRPr="0023028E">
              <w:rPr>
                <w:noProof/>
                <w:sz w:val="20"/>
                <w:lang w:val="sr-Cyrl-CS"/>
              </w:rPr>
              <w:t>631</w:t>
            </w:r>
          </w:p>
        </w:tc>
        <w:tc>
          <w:tcPr>
            <w:tcW w:w="1162" w:type="dxa"/>
            <w:tcBorders>
              <w:top w:val="nil"/>
              <w:left w:val="nil"/>
              <w:bottom w:val="nil"/>
              <w:right w:val="nil"/>
            </w:tcBorders>
            <w:shd w:val="clear" w:color="auto" w:fill="auto"/>
            <w:vAlign w:val="center"/>
            <w:hideMark/>
          </w:tcPr>
          <w:p w14:paraId="202BEFDA" w14:textId="2B170AA1" w:rsidR="009B1CE0" w:rsidRPr="00BF3CDE" w:rsidRDefault="009B1CE0" w:rsidP="00EA7779">
            <w:pPr>
              <w:pStyle w:val="NoSpacing"/>
              <w:jc w:val="right"/>
              <w:rPr>
                <w:noProof/>
                <w:sz w:val="20"/>
                <w:lang w:val="sr-Cyrl-CS"/>
              </w:rPr>
            </w:pPr>
            <w:r w:rsidRPr="0023028E">
              <w:rPr>
                <w:noProof/>
                <w:sz w:val="20"/>
                <w:lang w:val="sr-Cyrl-CS"/>
              </w:rPr>
              <w:t>5,679</w:t>
            </w:r>
          </w:p>
        </w:tc>
        <w:tc>
          <w:tcPr>
            <w:tcW w:w="1596" w:type="dxa"/>
            <w:tcBorders>
              <w:top w:val="nil"/>
              <w:left w:val="nil"/>
              <w:bottom w:val="nil"/>
              <w:right w:val="nil"/>
            </w:tcBorders>
            <w:shd w:val="clear" w:color="auto" w:fill="auto"/>
            <w:noWrap/>
            <w:vAlign w:val="center"/>
            <w:hideMark/>
          </w:tcPr>
          <w:p w14:paraId="509D309F" w14:textId="2DFF8540" w:rsidR="009B1CE0" w:rsidRPr="00BF3CDE" w:rsidRDefault="009B1CE0" w:rsidP="00EA7779">
            <w:pPr>
              <w:pStyle w:val="NoSpacing"/>
              <w:jc w:val="center"/>
              <w:rPr>
                <w:noProof/>
                <w:sz w:val="20"/>
                <w:lang w:val="sr-Cyrl-CS"/>
              </w:rPr>
            </w:pPr>
            <w:r w:rsidRPr="0023028E">
              <w:rPr>
                <w:noProof/>
                <w:sz w:val="20"/>
                <w:lang w:val="sr-Cyrl-CS"/>
              </w:rPr>
              <w:t>0.78%</w:t>
            </w:r>
          </w:p>
        </w:tc>
      </w:tr>
      <w:tr w:rsidR="009B1CE0" w:rsidRPr="00BF3CDE" w14:paraId="404DDF98" w14:textId="77777777" w:rsidTr="009B1CE0">
        <w:trPr>
          <w:trHeight w:val="283"/>
        </w:trPr>
        <w:tc>
          <w:tcPr>
            <w:tcW w:w="706" w:type="dxa"/>
            <w:tcBorders>
              <w:top w:val="nil"/>
              <w:left w:val="nil"/>
              <w:bottom w:val="nil"/>
              <w:right w:val="nil"/>
            </w:tcBorders>
            <w:shd w:val="clear" w:color="000000" w:fill="D8E6F3"/>
            <w:noWrap/>
            <w:vAlign w:val="center"/>
            <w:hideMark/>
          </w:tcPr>
          <w:p w14:paraId="1266BE74" w14:textId="77777777" w:rsidR="009B1CE0" w:rsidRPr="00BF3CDE" w:rsidRDefault="009B1CE0" w:rsidP="00EA7779">
            <w:pPr>
              <w:pStyle w:val="NoSpacing"/>
              <w:jc w:val="center"/>
              <w:rPr>
                <w:noProof/>
                <w:sz w:val="20"/>
                <w:lang w:val="sr-Cyrl-CS"/>
              </w:rPr>
            </w:pPr>
            <w:r w:rsidRPr="00BF3CDE">
              <w:rPr>
                <w:noProof/>
                <w:sz w:val="20"/>
                <w:lang w:val="sr-Cyrl-CS"/>
              </w:rPr>
              <w:t>5</w:t>
            </w:r>
          </w:p>
        </w:tc>
        <w:tc>
          <w:tcPr>
            <w:tcW w:w="4772" w:type="dxa"/>
            <w:tcBorders>
              <w:top w:val="nil"/>
              <w:left w:val="nil"/>
              <w:bottom w:val="nil"/>
              <w:right w:val="nil"/>
            </w:tcBorders>
            <w:shd w:val="clear" w:color="000000" w:fill="D8E6F3"/>
            <w:noWrap/>
            <w:vAlign w:val="center"/>
            <w:hideMark/>
          </w:tcPr>
          <w:p w14:paraId="0AA53120" w14:textId="3FB86ACA" w:rsidR="009B1CE0" w:rsidRPr="00BF3CDE" w:rsidRDefault="009B1CE0" w:rsidP="00EA7779">
            <w:pPr>
              <w:pStyle w:val="NoSpacing"/>
              <w:rPr>
                <w:noProof/>
                <w:sz w:val="20"/>
                <w:lang w:val="sr-Cyrl-CS"/>
              </w:rPr>
            </w:pPr>
            <w:r w:rsidRPr="0023028E">
              <w:rPr>
                <w:noProof/>
                <w:sz w:val="20"/>
                <w:lang w:val="sr-Cyrl-CS"/>
              </w:rPr>
              <w:t>Банка интеса –кастоди</w:t>
            </w:r>
          </w:p>
        </w:tc>
        <w:tc>
          <w:tcPr>
            <w:tcW w:w="957" w:type="dxa"/>
            <w:tcBorders>
              <w:top w:val="nil"/>
              <w:left w:val="nil"/>
              <w:bottom w:val="nil"/>
              <w:right w:val="nil"/>
            </w:tcBorders>
            <w:shd w:val="clear" w:color="000000" w:fill="D8E6F3"/>
            <w:noWrap/>
            <w:vAlign w:val="center"/>
            <w:hideMark/>
          </w:tcPr>
          <w:p w14:paraId="7E5A48F3" w14:textId="20E59DA1" w:rsidR="009B1CE0" w:rsidRPr="00BF3CDE" w:rsidRDefault="009B1CE0" w:rsidP="00EA7779">
            <w:pPr>
              <w:pStyle w:val="NoSpacing"/>
              <w:jc w:val="right"/>
              <w:rPr>
                <w:noProof/>
                <w:sz w:val="20"/>
                <w:lang w:val="sr-Cyrl-CS"/>
              </w:rPr>
            </w:pPr>
            <w:r w:rsidRPr="0023028E">
              <w:rPr>
                <w:noProof/>
                <w:sz w:val="20"/>
                <w:lang w:val="sr-Cyrl-CS"/>
              </w:rPr>
              <w:t>513</w:t>
            </w:r>
          </w:p>
        </w:tc>
        <w:tc>
          <w:tcPr>
            <w:tcW w:w="1162" w:type="dxa"/>
            <w:tcBorders>
              <w:top w:val="nil"/>
              <w:left w:val="nil"/>
              <w:bottom w:val="nil"/>
              <w:right w:val="nil"/>
            </w:tcBorders>
            <w:shd w:val="clear" w:color="000000" w:fill="D8E6F3"/>
            <w:vAlign w:val="center"/>
            <w:hideMark/>
          </w:tcPr>
          <w:p w14:paraId="68AD988C" w14:textId="23DCDF97" w:rsidR="009B1CE0" w:rsidRPr="00BF3CDE" w:rsidRDefault="009B1CE0" w:rsidP="00EA7779">
            <w:pPr>
              <w:pStyle w:val="NoSpacing"/>
              <w:jc w:val="right"/>
              <w:rPr>
                <w:noProof/>
                <w:sz w:val="20"/>
                <w:lang w:val="sr-Cyrl-CS"/>
              </w:rPr>
            </w:pPr>
            <w:r w:rsidRPr="0023028E">
              <w:rPr>
                <w:noProof/>
                <w:sz w:val="20"/>
                <w:lang w:val="sr-Cyrl-CS"/>
              </w:rPr>
              <w:t>4,617</w:t>
            </w:r>
          </w:p>
        </w:tc>
        <w:tc>
          <w:tcPr>
            <w:tcW w:w="1596" w:type="dxa"/>
            <w:tcBorders>
              <w:top w:val="nil"/>
              <w:left w:val="nil"/>
              <w:bottom w:val="nil"/>
              <w:right w:val="nil"/>
            </w:tcBorders>
            <w:shd w:val="clear" w:color="000000" w:fill="D8E6F3"/>
            <w:noWrap/>
            <w:vAlign w:val="center"/>
            <w:hideMark/>
          </w:tcPr>
          <w:p w14:paraId="66C21FE1" w14:textId="6B7A5CE0" w:rsidR="009B1CE0" w:rsidRPr="00BF3CDE" w:rsidRDefault="009B1CE0" w:rsidP="00EA7779">
            <w:pPr>
              <w:pStyle w:val="NoSpacing"/>
              <w:jc w:val="center"/>
              <w:rPr>
                <w:noProof/>
                <w:sz w:val="20"/>
                <w:lang w:val="sr-Cyrl-CS"/>
              </w:rPr>
            </w:pPr>
            <w:r w:rsidRPr="0023028E">
              <w:rPr>
                <w:noProof/>
                <w:sz w:val="20"/>
                <w:lang w:val="sr-Cyrl-CS"/>
              </w:rPr>
              <w:t>0.63%</w:t>
            </w:r>
          </w:p>
        </w:tc>
      </w:tr>
      <w:tr w:rsidR="009B1CE0" w:rsidRPr="00BF3CDE" w14:paraId="3DF92138" w14:textId="77777777" w:rsidTr="009B1CE0">
        <w:trPr>
          <w:trHeight w:val="283"/>
        </w:trPr>
        <w:tc>
          <w:tcPr>
            <w:tcW w:w="706" w:type="dxa"/>
            <w:tcBorders>
              <w:top w:val="nil"/>
              <w:left w:val="nil"/>
              <w:bottom w:val="nil"/>
              <w:right w:val="nil"/>
            </w:tcBorders>
            <w:shd w:val="clear" w:color="auto" w:fill="auto"/>
            <w:noWrap/>
            <w:vAlign w:val="center"/>
            <w:hideMark/>
          </w:tcPr>
          <w:p w14:paraId="0687906E" w14:textId="77777777" w:rsidR="009B1CE0" w:rsidRPr="00BF3CDE" w:rsidRDefault="009B1CE0" w:rsidP="00EA7779">
            <w:pPr>
              <w:pStyle w:val="NoSpacing"/>
              <w:jc w:val="center"/>
              <w:rPr>
                <w:noProof/>
                <w:sz w:val="20"/>
                <w:lang w:val="sr-Cyrl-CS"/>
              </w:rPr>
            </w:pPr>
            <w:r w:rsidRPr="00BF3CDE">
              <w:rPr>
                <w:noProof/>
                <w:sz w:val="20"/>
                <w:lang w:val="sr-Cyrl-CS"/>
              </w:rPr>
              <w:t>6</w:t>
            </w:r>
          </w:p>
        </w:tc>
        <w:tc>
          <w:tcPr>
            <w:tcW w:w="4772" w:type="dxa"/>
            <w:tcBorders>
              <w:top w:val="nil"/>
              <w:left w:val="nil"/>
              <w:bottom w:val="nil"/>
              <w:right w:val="nil"/>
            </w:tcBorders>
            <w:shd w:val="clear" w:color="auto" w:fill="auto"/>
            <w:noWrap/>
            <w:vAlign w:val="center"/>
            <w:hideMark/>
          </w:tcPr>
          <w:p w14:paraId="19BC8702" w14:textId="6EE98743" w:rsidR="009B1CE0" w:rsidRPr="00BF3CDE" w:rsidRDefault="009B1CE0" w:rsidP="00EA7779">
            <w:pPr>
              <w:pStyle w:val="NoSpacing"/>
              <w:rPr>
                <w:noProof/>
                <w:sz w:val="20"/>
                <w:lang w:val="sr-Cyrl-CS"/>
              </w:rPr>
            </w:pPr>
            <w:r w:rsidRPr="0023028E">
              <w:rPr>
                <w:noProof/>
                <w:sz w:val="20"/>
                <w:lang w:val="sr-Cyrl-CS"/>
              </w:rPr>
              <w:t>Војвођанска банка –кастоди</w:t>
            </w:r>
          </w:p>
        </w:tc>
        <w:tc>
          <w:tcPr>
            <w:tcW w:w="957" w:type="dxa"/>
            <w:tcBorders>
              <w:top w:val="nil"/>
              <w:left w:val="nil"/>
              <w:bottom w:val="nil"/>
              <w:right w:val="nil"/>
            </w:tcBorders>
            <w:shd w:val="clear" w:color="auto" w:fill="auto"/>
            <w:noWrap/>
            <w:vAlign w:val="center"/>
            <w:hideMark/>
          </w:tcPr>
          <w:p w14:paraId="7094104B" w14:textId="0FF70F67" w:rsidR="009B1CE0" w:rsidRPr="00BF3CDE" w:rsidRDefault="009B1CE0" w:rsidP="00EA7779">
            <w:pPr>
              <w:pStyle w:val="NoSpacing"/>
              <w:jc w:val="right"/>
              <w:rPr>
                <w:noProof/>
                <w:sz w:val="20"/>
                <w:lang w:val="sr-Cyrl-CS"/>
              </w:rPr>
            </w:pPr>
            <w:r w:rsidRPr="0023028E">
              <w:rPr>
                <w:noProof/>
                <w:sz w:val="20"/>
                <w:lang w:val="sr-Cyrl-CS"/>
              </w:rPr>
              <w:t>36</w:t>
            </w:r>
            <w:r w:rsidRPr="0023028E">
              <w:rPr>
                <w:noProof/>
                <w:sz w:val="20"/>
                <w:lang w:val="sr-Latn-RS"/>
              </w:rPr>
              <w:t>5</w:t>
            </w:r>
          </w:p>
        </w:tc>
        <w:tc>
          <w:tcPr>
            <w:tcW w:w="1162" w:type="dxa"/>
            <w:tcBorders>
              <w:top w:val="nil"/>
              <w:left w:val="nil"/>
              <w:bottom w:val="nil"/>
              <w:right w:val="nil"/>
            </w:tcBorders>
            <w:shd w:val="clear" w:color="auto" w:fill="auto"/>
            <w:vAlign w:val="center"/>
            <w:hideMark/>
          </w:tcPr>
          <w:p w14:paraId="7B4212C4" w14:textId="141691DA" w:rsidR="009B1CE0" w:rsidRPr="00BF3CDE" w:rsidRDefault="009B1CE0" w:rsidP="00EA7779">
            <w:pPr>
              <w:pStyle w:val="NoSpacing"/>
              <w:jc w:val="right"/>
              <w:rPr>
                <w:noProof/>
                <w:sz w:val="20"/>
                <w:lang w:val="sr-Cyrl-CS"/>
              </w:rPr>
            </w:pPr>
            <w:r w:rsidRPr="0023028E">
              <w:rPr>
                <w:noProof/>
                <w:sz w:val="20"/>
                <w:lang w:val="sr-Cyrl-CS"/>
              </w:rPr>
              <w:t>3,285</w:t>
            </w:r>
          </w:p>
        </w:tc>
        <w:tc>
          <w:tcPr>
            <w:tcW w:w="1596" w:type="dxa"/>
            <w:tcBorders>
              <w:top w:val="nil"/>
              <w:left w:val="nil"/>
              <w:bottom w:val="nil"/>
              <w:right w:val="nil"/>
            </w:tcBorders>
            <w:shd w:val="clear" w:color="auto" w:fill="auto"/>
            <w:noWrap/>
            <w:vAlign w:val="center"/>
            <w:hideMark/>
          </w:tcPr>
          <w:p w14:paraId="30D6DD6B" w14:textId="40E60AD9" w:rsidR="009B1CE0" w:rsidRPr="00BF3CDE" w:rsidRDefault="009B1CE0" w:rsidP="00EA7779">
            <w:pPr>
              <w:pStyle w:val="NoSpacing"/>
              <w:jc w:val="center"/>
              <w:rPr>
                <w:noProof/>
                <w:sz w:val="20"/>
                <w:lang w:val="sr-Cyrl-CS"/>
              </w:rPr>
            </w:pPr>
            <w:r w:rsidRPr="0023028E">
              <w:rPr>
                <w:noProof/>
                <w:sz w:val="20"/>
                <w:lang w:val="sr-Cyrl-CS"/>
              </w:rPr>
              <w:t>0.45%</w:t>
            </w:r>
          </w:p>
        </w:tc>
      </w:tr>
      <w:tr w:rsidR="009B1CE0" w:rsidRPr="00BF3CDE" w14:paraId="1AE3F745" w14:textId="77777777" w:rsidTr="009B1CE0">
        <w:trPr>
          <w:trHeight w:val="283"/>
        </w:trPr>
        <w:tc>
          <w:tcPr>
            <w:tcW w:w="706" w:type="dxa"/>
            <w:tcBorders>
              <w:top w:val="nil"/>
              <w:left w:val="nil"/>
              <w:bottom w:val="nil"/>
              <w:right w:val="nil"/>
            </w:tcBorders>
            <w:shd w:val="clear" w:color="000000" w:fill="D8E6F3"/>
            <w:noWrap/>
            <w:vAlign w:val="center"/>
            <w:hideMark/>
          </w:tcPr>
          <w:p w14:paraId="197C48E6" w14:textId="77777777" w:rsidR="009B1CE0" w:rsidRPr="00BF3CDE" w:rsidRDefault="009B1CE0" w:rsidP="00EA7779">
            <w:pPr>
              <w:pStyle w:val="NoSpacing"/>
              <w:jc w:val="center"/>
              <w:rPr>
                <w:noProof/>
                <w:sz w:val="20"/>
                <w:lang w:val="sr-Cyrl-CS"/>
              </w:rPr>
            </w:pPr>
            <w:r w:rsidRPr="00BF3CDE">
              <w:rPr>
                <w:noProof/>
                <w:sz w:val="20"/>
                <w:lang w:val="sr-Cyrl-CS"/>
              </w:rPr>
              <w:t>7</w:t>
            </w:r>
          </w:p>
        </w:tc>
        <w:tc>
          <w:tcPr>
            <w:tcW w:w="4772" w:type="dxa"/>
            <w:tcBorders>
              <w:top w:val="nil"/>
              <w:left w:val="nil"/>
              <w:bottom w:val="nil"/>
              <w:right w:val="nil"/>
            </w:tcBorders>
            <w:shd w:val="clear" w:color="000000" w:fill="D8E6F3"/>
            <w:noWrap/>
            <w:vAlign w:val="center"/>
            <w:hideMark/>
          </w:tcPr>
          <w:p w14:paraId="50055414" w14:textId="755F261F" w:rsidR="009B1CE0" w:rsidRPr="00BF3CDE" w:rsidRDefault="009B1CE0" w:rsidP="00EA7779">
            <w:pPr>
              <w:pStyle w:val="NoSpacing"/>
              <w:rPr>
                <w:noProof/>
                <w:sz w:val="20"/>
                <w:lang w:val="sr-Cyrl-CS"/>
              </w:rPr>
            </w:pPr>
            <w:r w:rsidRPr="0023028E">
              <w:rPr>
                <w:noProof/>
                <w:sz w:val="20"/>
                <w:lang w:val="sr-Cyrl-CS"/>
              </w:rPr>
              <w:t>АМС осигурање а.д.о</w:t>
            </w:r>
          </w:p>
        </w:tc>
        <w:tc>
          <w:tcPr>
            <w:tcW w:w="957" w:type="dxa"/>
            <w:tcBorders>
              <w:top w:val="nil"/>
              <w:left w:val="nil"/>
              <w:bottom w:val="nil"/>
              <w:right w:val="nil"/>
            </w:tcBorders>
            <w:shd w:val="clear" w:color="000000" w:fill="D8E6F3"/>
            <w:noWrap/>
            <w:vAlign w:val="center"/>
            <w:hideMark/>
          </w:tcPr>
          <w:p w14:paraId="777769C4" w14:textId="5E4663BA" w:rsidR="009B1CE0" w:rsidRPr="00BF3CDE" w:rsidRDefault="009B1CE0" w:rsidP="00EA7779">
            <w:pPr>
              <w:pStyle w:val="NoSpacing"/>
              <w:jc w:val="right"/>
              <w:rPr>
                <w:noProof/>
                <w:sz w:val="20"/>
                <w:lang w:val="sr-Cyrl-CS"/>
              </w:rPr>
            </w:pPr>
            <w:r w:rsidRPr="0023028E">
              <w:rPr>
                <w:noProof/>
                <w:sz w:val="20"/>
                <w:lang w:val="sr-Cyrl-CS"/>
              </w:rPr>
              <w:t>353</w:t>
            </w:r>
          </w:p>
        </w:tc>
        <w:tc>
          <w:tcPr>
            <w:tcW w:w="1162" w:type="dxa"/>
            <w:tcBorders>
              <w:top w:val="nil"/>
              <w:left w:val="nil"/>
              <w:bottom w:val="nil"/>
              <w:right w:val="nil"/>
            </w:tcBorders>
            <w:shd w:val="clear" w:color="000000" w:fill="D8E6F3"/>
            <w:vAlign w:val="center"/>
            <w:hideMark/>
          </w:tcPr>
          <w:p w14:paraId="3B2170A0" w14:textId="4D6CC923" w:rsidR="009B1CE0" w:rsidRPr="00BF3CDE" w:rsidRDefault="009B1CE0" w:rsidP="00EA7779">
            <w:pPr>
              <w:pStyle w:val="NoSpacing"/>
              <w:jc w:val="right"/>
              <w:rPr>
                <w:noProof/>
                <w:sz w:val="20"/>
                <w:lang w:val="sr-Cyrl-CS"/>
              </w:rPr>
            </w:pPr>
            <w:r w:rsidRPr="0023028E">
              <w:rPr>
                <w:noProof/>
                <w:sz w:val="20"/>
                <w:lang w:val="sr-Cyrl-CS"/>
              </w:rPr>
              <w:t>3,177</w:t>
            </w:r>
          </w:p>
        </w:tc>
        <w:tc>
          <w:tcPr>
            <w:tcW w:w="1596" w:type="dxa"/>
            <w:tcBorders>
              <w:top w:val="nil"/>
              <w:left w:val="nil"/>
              <w:bottom w:val="nil"/>
              <w:right w:val="nil"/>
            </w:tcBorders>
            <w:shd w:val="clear" w:color="000000" w:fill="D8E6F3"/>
            <w:noWrap/>
            <w:vAlign w:val="center"/>
            <w:hideMark/>
          </w:tcPr>
          <w:p w14:paraId="0CEA7DAC" w14:textId="616D1323" w:rsidR="009B1CE0" w:rsidRPr="00BF3CDE" w:rsidRDefault="009B1CE0" w:rsidP="00EA7779">
            <w:pPr>
              <w:pStyle w:val="NoSpacing"/>
              <w:jc w:val="center"/>
              <w:rPr>
                <w:noProof/>
                <w:sz w:val="20"/>
                <w:lang w:val="sr-Cyrl-CS"/>
              </w:rPr>
            </w:pPr>
            <w:r w:rsidRPr="0023028E">
              <w:rPr>
                <w:noProof/>
                <w:sz w:val="20"/>
                <w:lang w:val="sr-Cyrl-CS"/>
              </w:rPr>
              <w:t>0.44%</w:t>
            </w:r>
          </w:p>
        </w:tc>
      </w:tr>
      <w:tr w:rsidR="009B1CE0" w:rsidRPr="00BF3CDE" w14:paraId="31473BDF" w14:textId="77777777" w:rsidTr="009B1CE0">
        <w:trPr>
          <w:trHeight w:val="283"/>
        </w:trPr>
        <w:tc>
          <w:tcPr>
            <w:tcW w:w="706" w:type="dxa"/>
            <w:tcBorders>
              <w:top w:val="nil"/>
              <w:left w:val="nil"/>
              <w:bottom w:val="nil"/>
              <w:right w:val="nil"/>
            </w:tcBorders>
            <w:shd w:val="clear" w:color="auto" w:fill="auto"/>
            <w:noWrap/>
            <w:vAlign w:val="center"/>
            <w:hideMark/>
          </w:tcPr>
          <w:p w14:paraId="3691C5FE" w14:textId="77777777" w:rsidR="009B1CE0" w:rsidRPr="00BF3CDE" w:rsidRDefault="009B1CE0" w:rsidP="00EA7779">
            <w:pPr>
              <w:pStyle w:val="NoSpacing"/>
              <w:jc w:val="center"/>
              <w:rPr>
                <w:noProof/>
                <w:sz w:val="20"/>
                <w:lang w:val="sr-Cyrl-CS"/>
              </w:rPr>
            </w:pPr>
            <w:r w:rsidRPr="00BF3CDE">
              <w:rPr>
                <w:noProof/>
                <w:sz w:val="20"/>
                <w:lang w:val="sr-Cyrl-CS"/>
              </w:rPr>
              <w:t>8</w:t>
            </w:r>
          </w:p>
        </w:tc>
        <w:tc>
          <w:tcPr>
            <w:tcW w:w="4772" w:type="dxa"/>
            <w:tcBorders>
              <w:top w:val="nil"/>
              <w:left w:val="nil"/>
              <w:bottom w:val="nil"/>
              <w:right w:val="nil"/>
            </w:tcBorders>
            <w:shd w:val="clear" w:color="auto" w:fill="auto"/>
            <w:noWrap/>
            <w:vAlign w:val="center"/>
            <w:hideMark/>
          </w:tcPr>
          <w:p w14:paraId="11657665" w14:textId="3084143C" w:rsidR="009B1CE0" w:rsidRPr="00BF3CDE" w:rsidRDefault="009B1CE0" w:rsidP="00EA7779">
            <w:pPr>
              <w:pStyle w:val="NoSpacing"/>
              <w:rPr>
                <w:noProof/>
                <w:sz w:val="20"/>
                <w:lang w:val="sr-Cyrl-CS"/>
              </w:rPr>
            </w:pPr>
            <w:r w:rsidRPr="0023028E">
              <w:rPr>
                <w:noProof/>
                <w:sz w:val="20"/>
                <w:lang w:val="sr-Cyrl-CS"/>
              </w:rPr>
              <w:t>Swiss osiguranje Подгорица</w:t>
            </w:r>
          </w:p>
        </w:tc>
        <w:tc>
          <w:tcPr>
            <w:tcW w:w="957" w:type="dxa"/>
            <w:tcBorders>
              <w:top w:val="nil"/>
              <w:left w:val="nil"/>
              <w:bottom w:val="nil"/>
              <w:right w:val="nil"/>
            </w:tcBorders>
            <w:shd w:val="clear" w:color="auto" w:fill="auto"/>
            <w:noWrap/>
            <w:vAlign w:val="center"/>
            <w:hideMark/>
          </w:tcPr>
          <w:p w14:paraId="7C7BC15A" w14:textId="56091890" w:rsidR="009B1CE0" w:rsidRPr="00BF3CDE" w:rsidRDefault="009B1CE0" w:rsidP="00EA7779">
            <w:pPr>
              <w:pStyle w:val="NoSpacing"/>
              <w:jc w:val="right"/>
              <w:rPr>
                <w:noProof/>
                <w:sz w:val="20"/>
                <w:lang w:val="sr-Cyrl-CS"/>
              </w:rPr>
            </w:pPr>
            <w:r w:rsidRPr="0023028E">
              <w:rPr>
                <w:noProof/>
                <w:sz w:val="20"/>
                <w:lang w:val="sr-Cyrl-CS"/>
              </w:rPr>
              <w:t>192</w:t>
            </w:r>
          </w:p>
        </w:tc>
        <w:tc>
          <w:tcPr>
            <w:tcW w:w="1162" w:type="dxa"/>
            <w:tcBorders>
              <w:top w:val="nil"/>
              <w:left w:val="nil"/>
              <w:bottom w:val="nil"/>
              <w:right w:val="nil"/>
            </w:tcBorders>
            <w:shd w:val="clear" w:color="auto" w:fill="auto"/>
            <w:vAlign w:val="center"/>
            <w:hideMark/>
          </w:tcPr>
          <w:p w14:paraId="32B59088" w14:textId="36003331" w:rsidR="009B1CE0" w:rsidRPr="00BF3CDE" w:rsidRDefault="009B1CE0" w:rsidP="00EA7779">
            <w:pPr>
              <w:pStyle w:val="NoSpacing"/>
              <w:jc w:val="right"/>
              <w:rPr>
                <w:noProof/>
                <w:sz w:val="20"/>
                <w:lang w:val="sr-Cyrl-CS"/>
              </w:rPr>
            </w:pPr>
            <w:r w:rsidRPr="0023028E">
              <w:rPr>
                <w:noProof/>
                <w:sz w:val="20"/>
                <w:lang w:val="sr-Cyrl-CS"/>
              </w:rPr>
              <w:t>1,728</w:t>
            </w:r>
          </w:p>
        </w:tc>
        <w:tc>
          <w:tcPr>
            <w:tcW w:w="1596" w:type="dxa"/>
            <w:tcBorders>
              <w:top w:val="nil"/>
              <w:left w:val="nil"/>
              <w:bottom w:val="nil"/>
              <w:right w:val="nil"/>
            </w:tcBorders>
            <w:shd w:val="clear" w:color="auto" w:fill="auto"/>
            <w:noWrap/>
            <w:vAlign w:val="center"/>
            <w:hideMark/>
          </w:tcPr>
          <w:p w14:paraId="7A768E8A" w14:textId="40B8A156" w:rsidR="009B1CE0" w:rsidRPr="00BF3CDE" w:rsidRDefault="009B1CE0" w:rsidP="00EA7779">
            <w:pPr>
              <w:pStyle w:val="NoSpacing"/>
              <w:jc w:val="center"/>
              <w:rPr>
                <w:noProof/>
                <w:sz w:val="20"/>
                <w:lang w:val="sr-Cyrl-CS"/>
              </w:rPr>
            </w:pPr>
            <w:r w:rsidRPr="0023028E">
              <w:rPr>
                <w:noProof/>
                <w:sz w:val="20"/>
                <w:lang w:val="sr-Cyrl-CS"/>
              </w:rPr>
              <w:t>0.24%</w:t>
            </w:r>
          </w:p>
        </w:tc>
      </w:tr>
      <w:tr w:rsidR="009B1CE0" w:rsidRPr="00BF3CDE" w14:paraId="28A04901" w14:textId="77777777" w:rsidTr="009B1CE0">
        <w:trPr>
          <w:trHeight w:val="283"/>
        </w:trPr>
        <w:tc>
          <w:tcPr>
            <w:tcW w:w="706" w:type="dxa"/>
            <w:tcBorders>
              <w:top w:val="nil"/>
              <w:left w:val="nil"/>
              <w:bottom w:val="nil"/>
              <w:right w:val="nil"/>
            </w:tcBorders>
            <w:shd w:val="clear" w:color="000000" w:fill="D8E6F3"/>
            <w:noWrap/>
            <w:vAlign w:val="center"/>
            <w:hideMark/>
          </w:tcPr>
          <w:p w14:paraId="14D097AE" w14:textId="77777777" w:rsidR="009B1CE0" w:rsidRPr="00BF3CDE" w:rsidRDefault="009B1CE0" w:rsidP="00EA7779">
            <w:pPr>
              <w:pStyle w:val="NoSpacing"/>
              <w:jc w:val="center"/>
              <w:rPr>
                <w:noProof/>
                <w:sz w:val="20"/>
                <w:lang w:val="sr-Cyrl-CS"/>
              </w:rPr>
            </w:pPr>
            <w:r w:rsidRPr="00BF3CDE">
              <w:rPr>
                <w:noProof/>
                <w:sz w:val="20"/>
                <w:lang w:val="sr-Cyrl-CS"/>
              </w:rPr>
              <w:t>9</w:t>
            </w:r>
          </w:p>
        </w:tc>
        <w:tc>
          <w:tcPr>
            <w:tcW w:w="4772" w:type="dxa"/>
            <w:tcBorders>
              <w:top w:val="nil"/>
              <w:left w:val="nil"/>
              <w:bottom w:val="nil"/>
              <w:right w:val="nil"/>
            </w:tcBorders>
            <w:shd w:val="clear" w:color="000000" w:fill="D8E6F3"/>
            <w:noWrap/>
            <w:vAlign w:val="center"/>
            <w:hideMark/>
          </w:tcPr>
          <w:p w14:paraId="2157B47F" w14:textId="06124579" w:rsidR="009B1CE0" w:rsidRPr="00BF3CDE" w:rsidRDefault="009B1CE0" w:rsidP="00EA7779">
            <w:pPr>
              <w:pStyle w:val="NoSpacing"/>
              <w:rPr>
                <w:noProof/>
                <w:sz w:val="20"/>
                <w:lang w:val="sr-Cyrl-CS"/>
              </w:rPr>
            </w:pPr>
            <w:r w:rsidRPr="0023028E">
              <w:rPr>
                <w:noProof/>
                <w:sz w:val="20"/>
                <w:lang w:val="sr-Cyrl-RS"/>
              </w:rPr>
              <w:t>Ерсте банка- кастоди</w:t>
            </w:r>
          </w:p>
        </w:tc>
        <w:tc>
          <w:tcPr>
            <w:tcW w:w="957" w:type="dxa"/>
            <w:tcBorders>
              <w:top w:val="nil"/>
              <w:left w:val="nil"/>
              <w:bottom w:val="nil"/>
              <w:right w:val="nil"/>
            </w:tcBorders>
            <w:shd w:val="clear" w:color="000000" w:fill="D8E6F3"/>
            <w:noWrap/>
            <w:vAlign w:val="center"/>
            <w:hideMark/>
          </w:tcPr>
          <w:p w14:paraId="3CB42E26" w14:textId="05FFF5A6" w:rsidR="009B1CE0" w:rsidRPr="00BF3CDE" w:rsidRDefault="009B1CE0" w:rsidP="00EA7779">
            <w:pPr>
              <w:pStyle w:val="NoSpacing"/>
              <w:jc w:val="right"/>
              <w:rPr>
                <w:noProof/>
                <w:sz w:val="20"/>
                <w:lang w:val="sr-Cyrl-CS"/>
              </w:rPr>
            </w:pPr>
            <w:r w:rsidRPr="0023028E">
              <w:rPr>
                <w:noProof/>
                <w:sz w:val="20"/>
                <w:lang w:val="sr-Cyrl-CS"/>
              </w:rPr>
              <w:t>121</w:t>
            </w:r>
          </w:p>
        </w:tc>
        <w:tc>
          <w:tcPr>
            <w:tcW w:w="1162" w:type="dxa"/>
            <w:tcBorders>
              <w:top w:val="nil"/>
              <w:left w:val="nil"/>
              <w:bottom w:val="nil"/>
              <w:right w:val="nil"/>
            </w:tcBorders>
            <w:shd w:val="clear" w:color="000000" w:fill="D8E6F3"/>
            <w:vAlign w:val="center"/>
            <w:hideMark/>
          </w:tcPr>
          <w:p w14:paraId="675B429E" w14:textId="477F87BE" w:rsidR="009B1CE0" w:rsidRPr="00BF3CDE" w:rsidRDefault="009B1CE0" w:rsidP="00EA7779">
            <w:pPr>
              <w:pStyle w:val="NoSpacing"/>
              <w:jc w:val="right"/>
              <w:rPr>
                <w:noProof/>
                <w:sz w:val="20"/>
                <w:lang w:val="sr-Cyrl-CS"/>
              </w:rPr>
            </w:pPr>
            <w:r w:rsidRPr="0023028E">
              <w:rPr>
                <w:noProof/>
                <w:sz w:val="20"/>
                <w:lang w:val="sr-Cyrl-CS"/>
              </w:rPr>
              <w:t>1,089</w:t>
            </w:r>
          </w:p>
        </w:tc>
        <w:tc>
          <w:tcPr>
            <w:tcW w:w="1596" w:type="dxa"/>
            <w:tcBorders>
              <w:top w:val="nil"/>
              <w:left w:val="nil"/>
              <w:bottom w:val="nil"/>
              <w:right w:val="nil"/>
            </w:tcBorders>
            <w:shd w:val="clear" w:color="000000" w:fill="D8E6F3"/>
            <w:noWrap/>
            <w:vAlign w:val="center"/>
            <w:hideMark/>
          </w:tcPr>
          <w:p w14:paraId="331786EF" w14:textId="028764D6" w:rsidR="009B1CE0" w:rsidRPr="00BF3CDE" w:rsidRDefault="009B1CE0" w:rsidP="00EA7779">
            <w:pPr>
              <w:pStyle w:val="NoSpacing"/>
              <w:jc w:val="center"/>
              <w:rPr>
                <w:noProof/>
                <w:sz w:val="20"/>
                <w:lang w:val="sr-Cyrl-CS"/>
              </w:rPr>
            </w:pPr>
            <w:r w:rsidRPr="0023028E">
              <w:rPr>
                <w:noProof/>
                <w:sz w:val="20"/>
                <w:lang w:val="sr-Cyrl-CS"/>
              </w:rPr>
              <w:t>0.15%</w:t>
            </w:r>
          </w:p>
        </w:tc>
      </w:tr>
      <w:tr w:rsidR="009B1CE0" w:rsidRPr="00BF3CDE" w14:paraId="77E6F090" w14:textId="77777777" w:rsidTr="009B1CE0">
        <w:trPr>
          <w:trHeight w:val="283"/>
        </w:trPr>
        <w:tc>
          <w:tcPr>
            <w:tcW w:w="706" w:type="dxa"/>
            <w:tcBorders>
              <w:top w:val="nil"/>
              <w:left w:val="nil"/>
              <w:bottom w:val="single" w:sz="4" w:space="0" w:color="632423" w:themeColor="accent2" w:themeShade="80"/>
              <w:right w:val="nil"/>
            </w:tcBorders>
            <w:shd w:val="clear" w:color="auto" w:fill="auto"/>
            <w:noWrap/>
            <w:vAlign w:val="center"/>
            <w:hideMark/>
          </w:tcPr>
          <w:p w14:paraId="281D7E76" w14:textId="77777777" w:rsidR="009B1CE0" w:rsidRPr="00BF3CDE" w:rsidRDefault="009B1CE0" w:rsidP="00EA7779">
            <w:pPr>
              <w:pStyle w:val="NoSpacing"/>
              <w:jc w:val="center"/>
              <w:rPr>
                <w:noProof/>
                <w:sz w:val="20"/>
                <w:lang w:val="sr-Cyrl-CS"/>
              </w:rPr>
            </w:pPr>
            <w:r w:rsidRPr="00BF3CDE">
              <w:rPr>
                <w:noProof/>
                <w:sz w:val="20"/>
                <w:lang w:val="sr-Cyrl-CS"/>
              </w:rPr>
              <w:t>10</w:t>
            </w:r>
          </w:p>
        </w:tc>
        <w:tc>
          <w:tcPr>
            <w:tcW w:w="4772" w:type="dxa"/>
            <w:tcBorders>
              <w:top w:val="nil"/>
              <w:left w:val="nil"/>
              <w:bottom w:val="single" w:sz="4" w:space="0" w:color="632423" w:themeColor="accent2" w:themeShade="80"/>
              <w:right w:val="nil"/>
            </w:tcBorders>
            <w:shd w:val="clear" w:color="auto" w:fill="auto"/>
            <w:noWrap/>
            <w:vAlign w:val="center"/>
            <w:hideMark/>
          </w:tcPr>
          <w:p w14:paraId="0E893935" w14:textId="1F340CEF" w:rsidR="009B1CE0" w:rsidRPr="00BF3CDE" w:rsidRDefault="009B1CE0" w:rsidP="00EA7779">
            <w:pPr>
              <w:pStyle w:val="NoSpacing"/>
              <w:rPr>
                <w:noProof/>
                <w:sz w:val="20"/>
                <w:lang w:val="sr-Cyrl-CS"/>
              </w:rPr>
            </w:pPr>
            <w:r w:rsidRPr="0023028E">
              <w:rPr>
                <w:noProof/>
                <w:sz w:val="20"/>
                <w:lang w:val="sr-Cyrl-CS"/>
              </w:rPr>
              <w:t>EPG Investments d.o.o</w:t>
            </w:r>
          </w:p>
        </w:tc>
        <w:tc>
          <w:tcPr>
            <w:tcW w:w="957" w:type="dxa"/>
            <w:tcBorders>
              <w:top w:val="nil"/>
              <w:left w:val="nil"/>
              <w:bottom w:val="single" w:sz="4" w:space="0" w:color="632423" w:themeColor="accent2" w:themeShade="80"/>
              <w:right w:val="nil"/>
            </w:tcBorders>
            <w:shd w:val="clear" w:color="auto" w:fill="auto"/>
            <w:noWrap/>
            <w:vAlign w:val="center"/>
            <w:hideMark/>
          </w:tcPr>
          <w:p w14:paraId="41644C8B" w14:textId="2AE0E03B" w:rsidR="009B1CE0" w:rsidRPr="00BF3CDE" w:rsidRDefault="009B1CE0" w:rsidP="00EA7779">
            <w:pPr>
              <w:pStyle w:val="NoSpacing"/>
              <w:jc w:val="right"/>
              <w:rPr>
                <w:noProof/>
                <w:sz w:val="20"/>
                <w:lang w:val="sr-Cyrl-CS"/>
              </w:rPr>
            </w:pPr>
            <w:r w:rsidRPr="0023028E">
              <w:rPr>
                <w:noProof/>
                <w:sz w:val="20"/>
                <w:lang w:val="sr-Cyrl-CS"/>
              </w:rPr>
              <w:t>50</w:t>
            </w:r>
          </w:p>
        </w:tc>
        <w:tc>
          <w:tcPr>
            <w:tcW w:w="1162" w:type="dxa"/>
            <w:tcBorders>
              <w:top w:val="nil"/>
              <w:left w:val="nil"/>
              <w:bottom w:val="single" w:sz="4" w:space="0" w:color="632423" w:themeColor="accent2" w:themeShade="80"/>
              <w:right w:val="nil"/>
            </w:tcBorders>
            <w:shd w:val="clear" w:color="auto" w:fill="auto"/>
            <w:vAlign w:val="center"/>
            <w:hideMark/>
          </w:tcPr>
          <w:p w14:paraId="3FD9435E" w14:textId="1006F2C8" w:rsidR="009B1CE0" w:rsidRPr="00BF3CDE" w:rsidRDefault="009B1CE0" w:rsidP="00EA7779">
            <w:pPr>
              <w:pStyle w:val="NoSpacing"/>
              <w:jc w:val="right"/>
              <w:rPr>
                <w:noProof/>
                <w:sz w:val="20"/>
                <w:lang w:val="sr-Cyrl-CS"/>
              </w:rPr>
            </w:pPr>
            <w:r w:rsidRPr="0023028E">
              <w:rPr>
                <w:noProof/>
                <w:sz w:val="20"/>
                <w:lang w:val="sr-Cyrl-CS"/>
              </w:rPr>
              <w:t>450</w:t>
            </w:r>
          </w:p>
        </w:tc>
        <w:tc>
          <w:tcPr>
            <w:tcW w:w="1596" w:type="dxa"/>
            <w:tcBorders>
              <w:top w:val="nil"/>
              <w:left w:val="nil"/>
              <w:bottom w:val="single" w:sz="4" w:space="0" w:color="632423" w:themeColor="accent2" w:themeShade="80"/>
              <w:right w:val="nil"/>
            </w:tcBorders>
            <w:shd w:val="clear" w:color="auto" w:fill="auto"/>
            <w:noWrap/>
            <w:vAlign w:val="center"/>
            <w:hideMark/>
          </w:tcPr>
          <w:p w14:paraId="0CFA42F2" w14:textId="759C90BC" w:rsidR="009B1CE0" w:rsidRPr="00BF3CDE" w:rsidRDefault="009B1CE0" w:rsidP="00EA7779">
            <w:pPr>
              <w:pStyle w:val="NoSpacing"/>
              <w:jc w:val="center"/>
              <w:rPr>
                <w:noProof/>
                <w:sz w:val="20"/>
                <w:lang w:val="sr-Cyrl-CS"/>
              </w:rPr>
            </w:pPr>
            <w:r w:rsidRPr="0023028E">
              <w:rPr>
                <w:noProof/>
                <w:sz w:val="20"/>
                <w:lang w:val="sr-Cyrl-CS"/>
              </w:rPr>
              <w:t>0.06%</w:t>
            </w:r>
          </w:p>
        </w:tc>
      </w:tr>
    </w:tbl>
    <w:p w14:paraId="71A7BC6B" w14:textId="77777777" w:rsidR="00A12FD6" w:rsidRPr="00BF3CDE" w:rsidRDefault="00A12FD6" w:rsidP="00F11E3C">
      <w:pPr>
        <w:spacing w:after="100"/>
        <w:ind w:firstLine="567"/>
        <w:rPr>
          <w:noProof/>
          <w:sz w:val="10"/>
          <w:szCs w:val="10"/>
          <w:highlight w:val="yellow"/>
          <w:lang w:val="sr-Cyrl-CS"/>
        </w:rPr>
      </w:pPr>
    </w:p>
    <w:p w14:paraId="4AF45BAB" w14:textId="77777777" w:rsidR="004539A2" w:rsidRPr="00BF3CDE" w:rsidRDefault="004539A2" w:rsidP="004539A2">
      <w:pPr>
        <w:spacing w:after="100" w:afterAutospacing="1" w:line="240" w:lineRule="auto"/>
        <w:rPr>
          <w:rStyle w:val="IntenseEmphasis"/>
          <w:noProof/>
          <w:lang w:val="sr-Cyrl-CS"/>
        </w:rPr>
      </w:pPr>
      <w:r w:rsidRPr="00BF3CDE">
        <w:rPr>
          <w:rStyle w:val="IntenseEmphasis"/>
          <w:noProof/>
          <w:lang w:val="sr-Cyrl-CS"/>
        </w:rPr>
        <w:t>Запослени</w:t>
      </w:r>
    </w:p>
    <w:p w14:paraId="1B6D8045" w14:textId="77777777" w:rsidR="00EE19E9" w:rsidRPr="00BF3CDE" w:rsidRDefault="00F11E3C" w:rsidP="00F11E3C">
      <w:pPr>
        <w:spacing w:after="100"/>
        <w:ind w:firstLine="567"/>
        <w:rPr>
          <w:noProof/>
          <w:sz w:val="20"/>
          <w:szCs w:val="20"/>
          <w:lang w:val="sr-Cyrl-CS"/>
        </w:rPr>
      </w:pPr>
      <w:r w:rsidRPr="00BF3CDE">
        <w:rPr>
          <w:noProof/>
          <w:sz w:val="20"/>
          <w:szCs w:val="20"/>
          <w:lang w:val="sr-Cyrl-CS"/>
        </w:rPr>
        <w:t>На дан 31.12.201</w:t>
      </w:r>
      <w:r w:rsidR="001C373D" w:rsidRPr="00BF3CDE">
        <w:rPr>
          <w:noProof/>
          <w:sz w:val="20"/>
          <w:szCs w:val="20"/>
          <w:lang w:val="sr-Cyrl-CS"/>
        </w:rPr>
        <w:t>4</w:t>
      </w:r>
      <w:r w:rsidRPr="00BF3CDE">
        <w:rPr>
          <w:noProof/>
          <w:sz w:val="20"/>
          <w:szCs w:val="20"/>
          <w:lang w:val="sr-Cyrl-CS"/>
        </w:rPr>
        <w:t>. године у Друштву је било 3</w:t>
      </w:r>
      <w:r w:rsidR="001C373D" w:rsidRPr="00BF3CDE">
        <w:rPr>
          <w:noProof/>
          <w:sz w:val="20"/>
          <w:szCs w:val="20"/>
          <w:lang w:val="sr-Cyrl-CS"/>
        </w:rPr>
        <w:t>2</w:t>
      </w:r>
      <w:r w:rsidRPr="00BF3CDE">
        <w:rPr>
          <w:noProof/>
          <w:sz w:val="20"/>
          <w:szCs w:val="20"/>
          <w:lang w:val="sr-Cyrl-CS"/>
        </w:rPr>
        <w:t xml:space="preserve"> запослених.</w:t>
      </w:r>
    </w:p>
    <w:p w14:paraId="52DEA60A" w14:textId="77777777" w:rsidR="00716C32" w:rsidRPr="00BF3CDE" w:rsidRDefault="00716C32" w:rsidP="00F11E3C">
      <w:pPr>
        <w:spacing w:after="100"/>
        <w:ind w:firstLine="567"/>
        <w:rPr>
          <w:noProof/>
          <w:sz w:val="10"/>
          <w:szCs w:val="10"/>
          <w:lang w:val="sr-Cyrl-CS"/>
        </w:rPr>
      </w:pPr>
    </w:p>
    <w:p w14:paraId="4294B8B5" w14:textId="77777777" w:rsidR="00F11E3C" w:rsidRPr="00BF3CDE" w:rsidRDefault="00F11E3C" w:rsidP="00F11E3C">
      <w:pPr>
        <w:spacing w:after="100"/>
        <w:jc w:val="center"/>
        <w:rPr>
          <w:rStyle w:val="IntenseEmphasis"/>
          <w:noProof/>
          <w:sz w:val="18"/>
          <w:lang w:val="sr-Cyrl-CS"/>
        </w:rPr>
      </w:pPr>
      <w:r w:rsidRPr="00BF3CDE">
        <w:rPr>
          <w:rStyle w:val="IntenseEmphasis"/>
          <w:noProof/>
          <w:sz w:val="18"/>
          <w:lang w:val="sr-Cyrl-CS"/>
        </w:rPr>
        <w:t>Квалификациона структура запослених на дан 31.12.201</w:t>
      </w:r>
      <w:r w:rsidR="001C373D" w:rsidRPr="00BF3CDE">
        <w:rPr>
          <w:rStyle w:val="IntenseEmphasis"/>
          <w:noProof/>
          <w:sz w:val="18"/>
          <w:lang w:val="sr-Cyrl-CS"/>
        </w:rPr>
        <w:t>4</w:t>
      </w:r>
      <w:r w:rsidRPr="00BF3CDE">
        <w:rPr>
          <w:rStyle w:val="IntenseEmphasis"/>
          <w:noProof/>
          <w:sz w:val="18"/>
          <w:lang w:val="sr-Cyrl-CS"/>
        </w:rPr>
        <w:t>. и 31.12.201</w:t>
      </w:r>
      <w:r w:rsidR="001C373D" w:rsidRPr="00BF3CDE">
        <w:rPr>
          <w:rStyle w:val="IntenseEmphasis"/>
          <w:noProof/>
          <w:sz w:val="18"/>
          <w:lang w:val="sr-Cyrl-CS"/>
        </w:rPr>
        <w:t>3</w:t>
      </w:r>
      <w:r w:rsidRPr="00BF3CDE">
        <w:rPr>
          <w:rStyle w:val="IntenseEmphasis"/>
          <w:noProof/>
          <w:sz w:val="18"/>
          <w:lang w:val="sr-Cyrl-CS"/>
        </w:rPr>
        <w:t>. године</w:t>
      </w:r>
    </w:p>
    <w:tbl>
      <w:tblPr>
        <w:tblStyle w:val="MediumList1-Accent11"/>
        <w:tblW w:w="4275" w:type="pct"/>
        <w:jc w:val="center"/>
        <w:tblLook w:val="0460" w:firstRow="1" w:lastRow="1" w:firstColumn="0" w:lastColumn="0" w:noHBand="0" w:noVBand="1"/>
      </w:tblPr>
      <w:tblGrid>
        <w:gridCol w:w="4062"/>
        <w:gridCol w:w="1944"/>
        <w:gridCol w:w="1934"/>
      </w:tblGrid>
      <w:tr w:rsidR="00A12FD6" w:rsidRPr="00BF3CDE" w14:paraId="71361799" w14:textId="77777777" w:rsidTr="004011EE">
        <w:trPr>
          <w:cnfStyle w:val="100000000000" w:firstRow="1" w:lastRow="0" w:firstColumn="0" w:lastColumn="0" w:oddVBand="0" w:evenVBand="0" w:oddHBand="0" w:evenHBand="0" w:firstRowFirstColumn="0" w:firstRowLastColumn="0" w:lastRowFirstColumn="0" w:lastRowLastColumn="0"/>
          <w:trHeight w:val="170"/>
          <w:jc w:val="center"/>
        </w:trPr>
        <w:tc>
          <w:tcPr>
            <w:tcW w:w="2558" w:type="pct"/>
            <w:vMerge w:val="restart"/>
            <w:tcBorders>
              <w:top w:val="single" w:sz="8" w:space="0" w:color="4F81BD" w:themeColor="accent1"/>
              <w:bottom w:val="nil"/>
            </w:tcBorders>
            <w:shd w:val="clear" w:color="auto" w:fill="auto"/>
            <w:vAlign w:val="center"/>
          </w:tcPr>
          <w:p w14:paraId="5E7EC0E2" w14:textId="77777777" w:rsidR="00F11E3C" w:rsidRPr="00BF3CDE" w:rsidRDefault="00F11E3C" w:rsidP="00EA7779">
            <w:pPr>
              <w:pStyle w:val="NoSpacing"/>
              <w:jc w:val="center"/>
              <w:rPr>
                <w:rFonts w:asciiTheme="minorHAnsi" w:hAnsiTheme="minorHAnsi"/>
                <w:b/>
                <w:bCs/>
                <w:noProof/>
                <w:lang w:val="sr-Cyrl-CS"/>
              </w:rPr>
            </w:pPr>
            <w:r w:rsidRPr="00BF3CDE">
              <w:rPr>
                <w:rFonts w:asciiTheme="minorHAnsi" w:hAnsiTheme="minorHAnsi"/>
                <w:b/>
                <w:noProof/>
                <w:lang w:val="sr-Cyrl-CS"/>
              </w:rPr>
              <w:t>Степен стручне спреме</w:t>
            </w:r>
          </w:p>
        </w:tc>
        <w:tc>
          <w:tcPr>
            <w:tcW w:w="2442" w:type="pct"/>
            <w:gridSpan w:val="2"/>
            <w:tcBorders>
              <w:top w:val="single" w:sz="8" w:space="0" w:color="4F81BD" w:themeColor="accent1"/>
              <w:bottom w:val="nil"/>
            </w:tcBorders>
            <w:shd w:val="clear" w:color="auto" w:fill="auto"/>
            <w:vAlign w:val="center"/>
          </w:tcPr>
          <w:p w14:paraId="3FBA82BB" w14:textId="77777777" w:rsidR="00F11E3C" w:rsidRPr="00BF3CDE" w:rsidRDefault="00F11E3C" w:rsidP="00EA7779">
            <w:pPr>
              <w:pStyle w:val="NoSpacing"/>
              <w:jc w:val="center"/>
              <w:rPr>
                <w:rFonts w:asciiTheme="minorHAnsi" w:hAnsiTheme="minorHAnsi"/>
                <w:b/>
                <w:bCs/>
                <w:noProof/>
                <w:lang w:val="sr-Cyrl-CS"/>
              </w:rPr>
            </w:pPr>
            <w:r w:rsidRPr="00BF3CDE">
              <w:rPr>
                <w:rFonts w:asciiTheme="minorHAnsi" w:hAnsiTheme="minorHAnsi"/>
                <w:b/>
                <w:noProof/>
                <w:lang w:val="sr-Cyrl-CS"/>
              </w:rPr>
              <w:t>Број запослених</w:t>
            </w:r>
          </w:p>
        </w:tc>
      </w:tr>
      <w:tr w:rsidR="00A12FD6" w:rsidRPr="00BF3CDE" w14:paraId="2BAC078A" w14:textId="77777777" w:rsidTr="004011EE">
        <w:trPr>
          <w:cnfStyle w:val="000000100000" w:firstRow="0" w:lastRow="0" w:firstColumn="0" w:lastColumn="0" w:oddVBand="0" w:evenVBand="0" w:oddHBand="1" w:evenHBand="0" w:firstRowFirstColumn="0" w:firstRowLastColumn="0" w:lastRowFirstColumn="0" w:lastRowLastColumn="0"/>
          <w:trHeight w:val="170"/>
          <w:jc w:val="center"/>
        </w:trPr>
        <w:tc>
          <w:tcPr>
            <w:tcW w:w="2558" w:type="pct"/>
            <w:vMerge/>
            <w:tcBorders>
              <w:top w:val="nil"/>
              <w:bottom w:val="single" w:sz="8" w:space="0" w:color="4F81BD" w:themeColor="accent1"/>
            </w:tcBorders>
            <w:shd w:val="clear" w:color="auto" w:fill="auto"/>
            <w:vAlign w:val="center"/>
          </w:tcPr>
          <w:p w14:paraId="4334365A" w14:textId="77777777" w:rsidR="00F11E3C" w:rsidRPr="00BF3CDE" w:rsidRDefault="00F11E3C" w:rsidP="00EA7779">
            <w:pPr>
              <w:pStyle w:val="NoSpacing"/>
              <w:jc w:val="center"/>
              <w:rPr>
                <w:rFonts w:asciiTheme="minorHAnsi" w:hAnsiTheme="minorHAnsi"/>
                <w:b/>
                <w:bCs/>
                <w:noProof/>
                <w:lang w:val="sr-Cyrl-CS"/>
              </w:rPr>
            </w:pPr>
          </w:p>
        </w:tc>
        <w:tc>
          <w:tcPr>
            <w:tcW w:w="1224" w:type="pct"/>
            <w:tcBorders>
              <w:top w:val="nil"/>
              <w:bottom w:val="single" w:sz="8" w:space="0" w:color="4F81BD" w:themeColor="accent1"/>
            </w:tcBorders>
            <w:shd w:val="clear" w:color="auto" w:fill="auto"/>
            <w:vAlign w:val="center"/>
          </w:tcPr>
          <w:p w14:paraId="4515F895" w14:textId="77777777" w:rsidR="00F11E3C" w:rsidRPr="00BF3CDE" w:rsidRDefault="00F11E3C" w:rsidP="001C373D">
            <w:pPr>
              <w:pStyle w:val="NoSpacing"/>
              <w:jc w:val="center"/>
              <w:rPr>
                <w:rFonts w:asciiTheme="minorHAnsi" w:hAnsiTheme="minorHAnsi"/>
                <w:b/>
                <w:noProof/>
                <w:lang w:val="sr-Cyrl-CS"/>
              </w:rPr>
            </w:pPr>
            <w:r w:rsidRPr="00BF3CDE">
              <w:rPr>
                <w:rFonts w:asciiTheme="minorHAnsi" w:hAnsiTheme="minorHAnsi"/>
                <w:b/>
                <w:noProof/>
                <w:lang w:val="sr-Cyrl-CS"/>
              </w:rPr>
              <w:t>31.12.201</w:t>
            </w:r>
            <w:r w:rsidR="001C373D" w:rsidRPr="00BF3CDE">
              <w:rPr>
                <w:rFonts w:asciiTheme="minorHAnsi" w:hAnsiTheme="minorHAnsi"/>
                <w:b/>
                <w:noProof/>
                <w:lang w:val="sr-Cyrl-CS"/>
              </w:rPr>
              <w:t>4</w:t>
            </w:r>
          </w:p>
        </w:tc>
        <w:tc>
          <w:tcPr>
            <w:tcW w:w="1218" w:type="pct"/>
            <w:tcBorders>
              <w:top w:val="nil"/>
              <w:bottom w:val="single" w:sz="8" w:space="0" w:color="4F81BD" w:themeColor="accent1"/>
            </w:tcBorders>
            <w:shd w:val="clear" w:color="auto" w:fill="auto"/>
            <w:vAlign w:val="center"/>
          </w:tcPr>
          <w:p w14:paraId="76EE3674" w14:textId="77777777" w:rsidR="00F11E3C" w:rsidRPr="00BF3CDE" w:rsidRDefault="00F11E3C" w:rsidP="001C373D">
            <w:pPr>
              <w:pStyle w:val="NoSpacing"/>
              <w:jc w:val="center"/>
              <w:rPr>
                <w:rFonts w:asciiTheme="minorHAnsi" w:hAnsiTheme="minorHAnsi"/>
                <w:b/>
                <w:noProof/>
                <w:lang w:val="sr-Cyrl-CS"/>
              </w:rPr>
            </w:pPr>
            <w:r w:rsidRPr="00BF3CDE">
              <w:rPr>
                <w:rFonts w:asciiTheme="minorHAnsi" w:hAnsiTheme="minorHAnsi"/>
                <w:b/>
                <w:bCs/>
                <w:noProof/>
                <w:lang w:val="sr-Cyrl-CS"/>
              </w:rPr>
              <w:t>31.12.201</w:t>
            </w:r>
            <w:r w:rsidR="001C373D" w:rsidRPr="00BF3CDE">
              <w:rPr>
                <w:rFonts w:asciiTheme="minorHAnsi" w:hAnsiTheme="minorHAnsi"/>
                <w:b/>
                <w:bCs/>
                <w:noProof/>
                <w:lang w:val="sr-Cyrl-CS"/>
              </w:rPr>
              <w:t>3</w:t>
            </w:r>
          </w:p>
        </w:tc>
      </w:tr>
      <w:tr w:rsidR="00EA7779" w:rsidRPr="00BF3CDE" w14:paraId="72811DC7" w14:textId="77777777" w:rsidTr="004011EE">
        <w:trPr>
          <w:trHeight w:val="283"/>
          <w:jc w:val="center"/>
        </w:trPr>
        <w:tc>
          <w:tcPr>
            <w:tcW w:w="2558" w:type="pct"/>
            <w:tcBorders>
              <w:top w:val="single" w:sz="8" w:space="0" w:color="4F81BD" w:themeColor="accent1"/>
            </w:tcBorders>
            <w:shd w:val="clear" w:color="auto" w:fill="DBE5F1" w:themeFill="accent1" w:themeFillTint="33"/>
            <w:vAlign w:val="center"/>
          </w:tcPr>
          <w:p w14:paraId="01A9F54E" w14:textId="77777777" w:rsidR="00EA7779" w:rsidRPr="00BF3CDE" w:rsidRDefault="00EA7779" w:rsidP="00EA7779">
            <w:pPr>
              <w:pStyle w:val="NoSpacing"/>
              <w:rPr>
                <w:rFonts w:asciiTheme="minorHAnsi" w:hAnsiTheme="minorHAnsi"/>
                <w:noProof/>
                <w:lang w:val="sr-Cyrl-CS"/>
              </w:rPr>
            </w:pPr>
            <w:r w:rsidRPr="00BF3CDE">
              <w:rPr>
                <w:rFonts w:asciiTheme="minorHAnsi" w:hAnsiTheme="minorHAnsi"/>
                <w:noProof/>
                <w:lang w:val="sr-Cyrl-CS"/>
              </w:rPr>
              <w:t>Висока стручна спрема</w:t>
            </w:r>
          </w:p>
        </w:tc>
        <w:tc>
          <w:tcPr>
            <w:tcW w:w="1224" w:type="pct"/>
            <w:tcBorders>
              <w:top w:val="single" w:sz="8" w:space="0" w:color="4F81BD" w:themeColor="accent1"/>
            </w:tcBorders>
            <w:shd w:val="clear" w:color="auto" w:fill="DBE5F1" w:themeFill="accent1" w:themeFillTint="33"/>
            <w:vAlign w:val="center"/>
          </w:tcPr>
          <w:p w14:paraId="70345F57" w14:textId="77777777" w:rsidR="00EA7779" w:rsidRPr="00BF3CDE" w:rsidRDefault="00EA7779" w:rsidP="00AE0E16">
            <w:pPr>
              <w:pStyle w:val="NoSpacing"/>
              <w:jc w:val="center"/>
              <w:rPr>
                <w:rFonts w:asciiTheme="minorHAnsi" w:hAnsiTheme="minorHAnsi"/>
                <w:noProof/>
                <w:lang w:val="sr-Cyrl-CS"/>
              </w:rPr>
            </w:pPr>
            <w:r w:rsidRPr="00BF3CDE">
              <w:rPr>
                <w:rFonts w:asciiTheme="minorHAnsi" w:hAnsiTheme="minorHAnsi"/>
                <w:noProof/>
                <w:lang w:val="sr-Cyrl-CS"/>
              </w:rPr>
              <w:t>2</w:t>
            </w:r>
            <w:r w:rsidR="00AE0E16" w:rsidRPr="00BF3CDE">
              <w:rPr>
                <w:rFonts w:asciiTheme="minorHAnsi" w:hAnsiTheme="minorHAnsi"/>
                <w:noProof/>
                <w:lang w:val="sr-Cyrl-CS"/>
              </w:rPr>
              <w:t>4</w:t>
            </w:r>
          </w:p>
        </w:tc>
        <w:tc>
          <w:tcPr>
            <w:tcW w:w="1218" w:type="pct"/>
            <w:tcBorders>
              <w:top w:val="single" w:sz="8" w:space="0" w:color="4F81BD" w:themeColor="accent1"/>
            </w:tcBorders>
            <w:shd w:val="clear" w:color="auto" w:fill="DBE5F1" w:themeFill="accent1" w:themeFillTint="33"/>
            <w:vAlign w:val="center"/>
          </w:tcPr>
          <w:p w14:paraId="243A7AAE" w14:textId="77777777" w:rsidR="00EA7779" w:rsidRPr="00BF3CDE" w:rsidRDefault="00EA7779" w:rsidP="00EA7779">
            <w:pPr>
              <w:pStyle w:val="NoSpacing"/>
              <w:jc w:val="center"/>
              <w:rPr>
                <w:rFonts w:asciiTheme="minorHAnsi" w:hAnsiTheme="minorHAnsi"/>
                <w:noProof/>
                <w:lang w:val="sr-Cyrl-CS"/>
              </w:rPr>
            </w:pPr>
            <w:r w:rsidRPr="00BF3CDE">
              <w:rPr>
                <w:rFonts w:asciiTheme="minorHAnsi" w:hAnsiTheme="minorHAnsi"/>
                <w:noProof/>
                <w:lang w:val="sr-Cyrl-CS"/>
              </w:rPr>
              <w:t>23</w:t>
            </w:r>
          </w:p>
        </w:tc>
      </w:tr>
      <w:tr w:rsidR="00EA7779" w:rsidRPr="00BF3CDE" w14:paraId="19EE4F43" w14:textId="77777777" w:rsidTr="004011EE">
        <w:trPr>
          <w:cnfStyle w:val="000000100000" w:firstRow="0" w:lastRow="0" w:firstColumn="0" w:lastColumn="0" w:oddVBand="0" w:evenVBand="0" w:oddHBand="1" w:evenHBand="0" w:firstRowFirstColumn="0" w:firstRowLastColumn="0" w:lastRowFirstColumn="0" w:lastRowLastColumn="0"/>
          <w:trHeight w:val="283"/>
          <w:jc w:val="center"/>
        </w:trPr>
        <w:tc>
          <w:tcPr>
            <w:tcW w:w="2558" w:type="pct"/>
            <w:shd w:val="clear" w:color="auto" w:fill="auto"/>
            <w:vAlign w:val="center"/>
          </w:tcPr>
          <w:p w14:paraId="5E6060D0" w14:textId="77777777" w:rsidR="00EA7779" w:rsidRPr="00BF3CDE" w:rsidRDefault="00EA7779" w:rsidP="00EA7779">
            <w:pPr>
              <w:pStyle w:val="NoSpacing"/>
              <w:rPr>
                <w:rFonts w:asciiTheme="minorHAnsi" w:hAnsiTheme="minorHAnsi"/>
                <w:noProof/>
                <w:lang w:val="sr-Cyrl-CS"/>
              </w:rPr>
            </w:pPr>
            <w:r w:rsidRPr="00BF3CDE">
              <w:rPr>
                <w:rFonts w:asciiTheme="minorHAnsi" w:hAnsiTheme="minorHAnsi"/>
                <w:noProof/>
                <w:lang w:val="sr-Cyrl-CS"/>
              </w:rPr>
              <w:t>Виша стручна спрема</w:t>
            </w:r>
          </w:p>
        </w:tc>
        <w:tc>
          <w:tcPr>
            <w:tcW w:w="1224" w:type="pct"/>
            <w:shd w:val="clear" w:color="auto" w:fill="auto"/>
            <w:vAlign w:val="center"/>
          </w:tcPr>
          <w:p w14:paraId="326EFFC7" w14:textId="77777777" w:rsidR="00EA7779" w:rsidRPr="00BF3CDE" w:rsidRDefault="00EA7779" w:rsidP="00EA7779">
            <w:pPr>
              <w:pStyle w:val="NoSpacing"/>
              <w:jc w:val="center"/>
              <w:rPr>
                <w:rFonts w:asciiTheme="minorHAnsi" w:hAnsiTheme="minorHAnsi"/>
                <w:noProof/>
                <w:lang w:val="sr-Cyrl-CS"/>
              </w:rPr>
            </w:pPr>
            <w:r w:rsidRPr="00BF3CDE">
              <w:rPr>
                <w:rFonts w:asciiTheme="minorHAnsi" w:hAnsiTheme="minorHAnsi"/>
                <w:noProof/>
                <w:lang w:val="sr-Cyrl-CS"/>
              </w:rPr>
              <w:t>3</w:t>
            </w:r>
          </w:p>
        </w:tc>
        <w:tc>
          <w:tcPr>
            <w:tcW w:w="1218" w:type="pct"/>
            <w:shd w:val="clear" w:color="auto" w:fill="auto"/>
            <w:vAlign w:val="center"/>
          </w:tcPr>
          <w:p w14:paraId="67574491" w14:textId="77777777" w:rsidR="00EA7779" w:rsidRPr="00BF3CDE" w:rsidRDefault="00EA7779" w:rsidP="00EA7779">
            <w:pPr>
              <w:pStyle w:val="NoSpacing"/>
              <w:jc w:val="center"/>
              <w:rPr>
                <w:rFonts w:asciiTheme="minorHAnsi" w:hAnsiTheme="minorHAnsi"/>
                <w:noProof/>
                <w:lang w:val="sr-Cyrl-CS"/>
              </w:rPr>
            </w:pPr>
            <w:r w:rsidRPr="00BF3CDE">
              <w:rPr>
                <w:rFonts w:asciiTheme="minorHAnsi" w:hAnsiTheme="minorHAnsi"/>
                <w:noProof/>
                <w:lang w:val="sr-Cyrl-CS"/>
              </w:rPr>
              <w:t>3</w:t>
            </w:r>
          </w:p>
        </w:tc>
      </w:tr>
      <w:tr w:rsidR="00EA7779" w:rsidRPr="00BF3CDE" w14:paraId="321655AD" w14:textId="77777777" w:rsidTr="004011EE">
        <w:trPr>
          <w:trHeight w:val="283"/>
          <w:jc w:val="center"/>
        </w:trPr>
        <w:tc>
          <w:tcPr>
            <w:tcW w:w="2558" w:type="pct"/>
            <w:tcBorders>
              <w:bottom w:val="single" w:sz="8" w:space="0" w:color="4F81BD" w:themeColor="accent1"/>
            </w:tcBorders>
            <w:shd w:val="clear" w:color="auto" w:fill="DBE5F1" w:themeFill="accent1" w:themeFillTint="33"/>
            <w:vAlign w:val="center"/>
          </w:tcPr>
          <w:p w14:paraId="666375FC" w14:textId="77777777" w:rsidR="00EA7779" w:rsidRPr="00BF3CDE" w:rsidRDefault="00EA7779" w:rsidP="00EA7779">
            <w:pPr>
              <w:pStyle w:val="NoSpacing"/>
              <w:rPr>
                <w:rFonts w:asciiTheme="minorHAnsi" w:hAnsiTheme="minorHAnsi"/>
                <w:noProof/>
                <w:lang w:val="sr-Cyrl-CS"/>
              </w:rPr>
            </w:pPr>
            <w:r w:rsidRPr="00BF3CDE">
              <w:rPr>
                <w:rFonts w:asciiTheme="minorHAnsi" w:hAnsiTheme="minorHAnsi"/>
                <w:noProof/>
                <w:lang w:val="sr-Cyrl-CS"/>
              </w:rPr>
              <w:t>Средња стручна спрема</w:t>
            </w:r>
          </w:p>
        </w:tc>
        <w:tc>
          <w:tcPr>
            <w:tcW w:w="1224" w:type="pct"/>
            <w:tcBorders>
              <w:bottom w:val="single" w:sz="8" w:space="0" w:color="4F81BD" w:themeColor="accent1"/>
            </w:tcBorders>
            <w:shd w:val="clear" w:color="auto" w:fill="DBE5F1" w:themeFill="accent1" w:themeFillTint="33"/>
            <w:vAlign w:val="center"/>
          </w:tcPr>
          <w:p w14:paraId="10B22AAD" w14:textId="77777777" w:rsidR="00EA7779" w:rsidRPr="00BF3CDE" w:rsidRDefault="00AE0E16" w:rsidP="00EA7779">
            <w:pPr>
              <w:pStyle w:val="NoSpacing"/>
              <w:jc w:val="center"/>
              <w:rPr>
                <w:rFonts w:asciiTheme="minorHAnsi" w:hAnsiTheme="minorHAnsi"/>
                <w:noProof/>
                <w:lang w:val="sr-Cyrl-CS"/>
              </w:rPr>
            </w:pPr>
            <w:r w:rsidRPr="00BF3CDE">
              <w:rPr>
                <w:rFonts w:asciiTheme="minorHAnsi" w:hAnsiTheme="minorHAnsi"/>
                <w:noProof/>
                <w:lang w:val="sr-Cyrl-CS"/>
              </w:rPr>
              <w:t>5</w:t>
            </w:r>
          </w:p>
        </w:tc>
        <w:tc>
          <w:tcPr>
            <w:tcW w:w="1218" w:type="pct"/>
            <w:tcBorders>
              <w:bottom w:val="single" w:sz="8" w:space="0" w:color="4F81BD" w:themeColor="accent1"/>
            </w:tcBorders>
            <w:shd w:val="clear" w:color="auto" w:fill="DBE5F1" w:themeFill="accent1" w:themeFillTint="33"/>
            <w:vAlign w:val="center"/>
          </w:tcPr>
          <w:p w14:paraId="1E1BF86E" w14:textId="77777777" w:rsidR="00EA7779" w:rsidRPr="00BF3CDE" w:rsidRDefault="00EA7779" w:rsidP="00EA7779">
            <w:pPr>
              <w:pStyle w:val="NoSpacing"/>
              <w:jc w:val="center"/>
              <w:rPr>
                <w:rFonts w:asciiTheme="minorHAnsi" w:hAnsiTheme="minorHAnsi"/>
                <w:noProof/>
                <w:lang w:val="sr-Cyrl-CS"/>
              </w:rPr>
            </w:pPr>
            <w:r w:rsidRPr="00BF3CDE">
              <w:rPr>
                <w:rFonts w:asciiTheme="minorHAnsi" w:hAnsiTheme="minorHAnsi"/>
                <w:noProof/>
                <w:lang w:val="sr-Cyrl-CS"/>
              </w:rPr>
              <w:t>5</w:t>
            </w:r>
          </w:p>
        </w:tc>
      </w:tr>
      <w:tr w:rsidR="00A12FD6" w:rsidRPr="00BF3CDE" w14:paraId="0CA28966" w14:textId="77777777" w:rsidTr="0057338D">
        <w:trPr>
          <w:cnfStyle w:val="000000100000" w:firstRow="0" w:lastRow="0" w:firstColumn="0" w:lastColumn="0" w:oddVBand="0" w:evenVBand="0" w:oddHBand="1" w:evenHBand="0" w:firstRowFirstColumn="0" w:firstRowLastColumn="0" w:lastRowFirstColumn="0" w:lastRowLastColumn="0"/>
          <w:trHeight w:val="397"/>
          <w:jc w:val="center"/>
        </w:trPr>
        <w:tc>
          <w:tcPr>
            <w:tcW w:w="2558" w:type="pct"/>
            <w:tcBorders>
              <w:top w:val="single" w:sz="8" w:space="0" w:color="4F81BD" w:themeColor="accent1"/>
              <w:bottom w:val="single" w:sz="8" w:space="0" w:color="4F81BD" w:themeColor="accent1"/>
            </w:tcBorders>
            <w:shd w:val="clear" w:color="auto" w:fill="auto"/>
            <w:vAlign w:val="center"/>
          </w:tcPr>
          <w:p w14:paraId="1DE18CCA" w14:textId="77777777" w:rsidR="00F11E3C" w:rsidRPr="00BF3CDE" w:rsidRDefault="00F11E3C" w:rsidP="00EA7779">
            <w:pPr>
              <w:pStyle w:val="NoSpacing"/>
              <w:jc w:val="center"/>
              <w:rPr>
                <w:rFonts w:asciiTheme="minorHAnsi" w:hAnsiTheme="minorHAnsi"/>
                <w:b/>
                <w:noProof/>
                <w:lang w:val="sr-Cyrl-CS"/>
              </w:rPr>
            </w:pPr>
            <w:r w:rsidRPr="00BF3CDE">
              <w:rPr>
                <w:rFonts w:asciiTheme="minorHAnsi" w:hAnsiTheme="minorHAnsi"/>
                <w:b/>
                <w:noProof/>
                <w:lang w:val="sr-Cyrl-CS"/>
              </w:rPr>
              <w:t>Укупно</w:t>
            </w:r>
          </w:p>
        </w:tc>
        <w:tc>
          <w:tcPr>
            <w:tcW w:w="1224" w:type="pct"/>
            <w:tcBorders>
              <w:top w:val="single" w:sz="8" w:space="0" w:color="4F81BD" w:themeColor="accent1"/>
              <w:bottom w:val="single" w:sz="8" w:space="0" w:color="4F81BD" w:themeColor="accent1"/>
            </w:tcBorders>
            <w:shd w:val="clear" w:color="auto" w:fill="auto"/>
            <w:vAlign w:val="center"/>
          </w:tcPr>
          <w:p w14:paraId="70E2EB09" w14:textId="77777777" w:rsidR="00F11E3C" w:rsidRPr="00BF3CDE" w:rsidRDefault="00A57879" w:rsidP="00AE0E16">
            <w:pPr>
              <w:pStyle w:val="NoSpacing"/>
              <w:jc w:val="center"/>
              <w:rPr>
                <w:rFonts w:asciiTheme="minorHAnsi" w:hAnsiTheme="minorHAnsi"/>
                <w:b/>
                <w:noProof/>
                <w:lang w:val="sr-Cyrl-CS"/>
              </w:rPr>
            </w:pPr>
            <w:r w:rsidRPr="00BF3CDE">
              <w:rPr>
                <w:rFonts w:asciiTheme="minorHAnsi" w:hAnsiTheme="minorHAnsi"/>
                <w:b/>
                <w:noProof/>
                <w:lang w:val="sr-Cyrl-CS"/>
              </w:rPr>
              <w:t>3</w:t>
            </w:r>
            <w:r w:rsidR="00AE0E16" w:rsidRPr="00BF3CDE">
              <w:rPr>
                <w:rFonts w:asciiTheme="minorHAnsi" w:hAnsiTheme="minorHAnsi"/>
                <w:b/>
                <w:noProof/>
                <w:lang w:val="sr-Cyrl-CS"/>
              </w:rPr>
              <w:t>2</w:t>
            </w:r>
          </w:p>
        </w:tc>
        <w:tc>
          <w:tcPr>
            <w:tcW w:w="1218" w:type="pct"/>
            <w:tcBorders>
              <w:top w:val="single" w:sz="8" w:space="0" w:color="4F81BD" w:themeColor="accent1"/>
              <w:bottom w:val="single" w:sz="8" w:space="0" w:color="4F81BD" w:themeColor="accent1"/>
            </w:tcBorders>
            <w:shd w:val="clear" w:color="auto" w:fill="auto"/>
            <w:vAlign w:val="center"/>
          </w:tcPr>
          <w:p w14:paraId="4C5FA750" w14:textId="77777777" w:rsidR="00F11E3C" w:rsidRPr="00BF3CDE" w:rsidRDefault="00F11E3C" w:rsidP="00EA7779">
            <w:pPr>
              <w:pStyle w:val="NoSpacing"/>
              <w:jc w:val="center"/>
              <w:rPr>
                <w:rFonts w:asciiTheme="minorHAnsi" w:hAnsiTheme="minorHAnsi"/>
                <w:b/>
                <w:noProof/>
                <w:lang w:val="sr-Cyrl-CS"/>
              </w:rPr>
            </w:pPr>
            <w:r w:rsidRPr="00BF3CDE">
              <w:rPr>
                <w:rFonts w:asciiTheme="minorHAnsi" w:hAnsiTheme="minorHAnsi"/>
                <w:b/>
                <w:noProof/>
                <w:lang w:val="sr-Cyrl-CS"/>
              </w:rPr>
              <w:t>3</w:t>
            </w:r>
            <w:r w:rsidR="00EA7779" w:rsidRPr="00BF3CDE">
              <w:rPr>
                <w:rFonts w:asciiTheme="minorHAnsi" w:hAnsiTheme="minorHAnsi"/>
                <w:b/>
                <w:noProof/>
                <w:lang w:val="sr-Cyrl-CS"/>
              </w:rPr>
              <w:t>1</w:t>
            </w:r>
          </w:p>
        </w:tc>
      </w:tr>
      <w:tr w:rsidR="00A12FD6" w:rsidRPr="00BF3CDE" w14:paraId="42786E30" w14:textId="77777777" w:rsidTr="0057338D">
        <w:trPr>
          <w:cnfStyle w:val="010000000000" w:firstRow="0" w:lastRow="1" w:firstColumn="0" w:lastColumn="0" w:oddVBand="0" w:evenVBand="0" w:oddHBand="0" w:evenHBand="0" w:firstRowFirstColumn="0" w:firstRowLastColumn="0" w:lastRowFirstColumn="0" w:lastRowLastColumn="0"/>
          <w:trHeight w:val="397"/>
          <w:jc w:val="center"/>
        </w:trPr>
        <w:tc>
          <w:tcPr>
            <w:tcW w:w="2558" w:type="pct"/>
            <w:vAlign w:val="center"/>
          </w:tcPr>
          <w:p w14:paraId="527DBFA8" w14:textId="77777777" w:rsidR="00F11E3C" w:rsidRPr="00BF3CDE" w:rsidRDefault="00F11E3C" w:rsidP="00EA7779">
            <w:pPr>
              <w:pStyle w:val="NoSpacing"/>
              <w:jc w:val="center"/>
              <w:rPr>
                <w:rFonts w:asciiTheme="minorHAnsi" w:hAnsiTheme="minorHAnsi"/>
                <w:noProof/>
                <w:lang w:val="sr-Cyrl-CS"/>
              </w:rPr>
            </w:pPr>
            <w:r w:rsidRPr="00BF3CDE">
              <w:rPr>
                <w:rFonts w:asciiTheme="minorHAnsi" w:hAnsiTheme="minorHAnsi"/>
                <w:noProof/>
                <w:lang w:val="sr-Cyrl-CS"/>
              </w:rPr>
              <w:t>Просечан број запослених</w:t>
            </w:r>
          </w:p>
        </w:tc>
        <w:tc>
          <w:tcPr>
            <w:tcW w:w="1224" w:type="pct"/>
            <w:vAlign w:val="center"/>
          </w:tcPr>
          <w:p w14:paraId="3D2E7350" w14:textId="77777777" w:rsidR="00F11E3C" w:rsidRPr="00BF3CDE" w:rsidRDefault="00A57879" w:rsidP="00EA7779">
            <w:pPr>
              <w:pStyle w:val="NoSpacing"/>
              <w:jc w:val="center"/>
              <w:rPr>
                <w:rFonts w:asciiTheme="minorHAnsi" w:hAnsiTheme="minorHAnsi"/>
                <w:noProof/>
                <w:lang w:val="sr-Cyrl-CS"/>
              </w:rPr>
            </w:pPr>
            <w:r w:rsidRPr="00BF3CDE">
              <w:rPr>
                <w:rFonts w:asciiTheme="minorHAnsi" w:hAnsiTheme="minorHAnsi"/>
                <w:noProof/>
                <w:lang w:val="sr-Cyrl-CS"/>
              </w:rPr>
              <w:t>3</w:t>
            </w:r>
            <w:r w:rsidR="00EA7779" w:rsidRPr="00BF3CDE">
              <w:rPr>
                <w:rFonts w:asciiTheme="minorHAnsi" w:hAnsiTheme="minorHAnsi"/>
                <w:noProof/>
                <w:lang w:val="sr-Cyrl-CS"/>
              </w:rPr>
              <w:t>1</w:t>
            </w:r>
          </w:p>
        </w:tc>
        <w:tc>
          <w:tcPr>
            <w:tcW w:w="1218" w:type="pct"/>
            <w:vAlign w:val="center"/>
          </w:tcPr>
          <w:p w14:paraId="3A0A9164" w14:textId="77777777" w:rsidR="00F11E3C" w:rsidRPr="00BF3CDE" w:rsidRDefault="00F11E3C" w:rsidP="00EA7779">
            <w:pPr>
              <w:pStyle w:val="NoSpacing"/>
              <w:jc w:val="center"/>
              <w:rPr>
                <w:rFonts w:asciiTheme="minorHAnsi" w:hAnsiTheme="minorHAnsi"/>
                <w:noProof/>
                <w:lang w:val="sr-Cyrl-CS"/>
              </w:rPr>
            </w:pPr>
            <w:r w:rsidRPr="00BF3CDE">
              <w:rPr>
                <w:rFonts w:asciiTheme="minorHAnsi" w:hAnsiTheme="minorHAnsi"/>
                <w:noProof/>
                <w:lang w:val="sr-Cyrl-CS"/>
              </w:rPr>
              <w:t>3</w:t>
            </w:r>
            <w:r w:rsidR="00EA7779" w:rsidRPr="00BF3CDE">
              <w:rPr>
                <w:rFonts w:asciiTheme="minorHAnsi" w:hAnsiTheme="minorHAnsi"/>
                <w:noProof/>
                <w:lang w:val="sr-Cyrl-CS"/>
              </w:rPr>
              <w:t>2</w:t>
            </w:r>
          </w:p>
        </w:tc>
      </w:tr>
    </w:tbl>
    <w:p w14:paraId="2127FE82" w14:textId="77777777" w:rsidR="00F11E3C" w:rsidRPr="00BF3CDE" w:rsidRDefault="00F11E3C" w:rsidP="00A12FD6">
      <w:pPr>
        <w:spacing w:after="100"/>
        <w:ind w:firstLine="567"/>
        <w:jc w:val="both"/>
        <w:rPr>
          <w:noProof/>
          <w:sz w:val="10"/>
          <w:szCs w:val="10"/>
          <w:highlight w:val="yellow"/>
          <w:lang w:val="sr-Cyrl-CS"/>
        </w:rPr>
      </w:pPr>
    </w:p>
    <w:p w14:paraId="165B7741" w14:textId="77777777" w:rsidR="004011EE" w:rsidRPr="00BF3CDE" w:rsidRDefault="004011EE" w:rsidP="00EA7779">
      <w:pPr>
        <w:spacing w:after="100" w:afterAutospacing="1" w:line="240" w:lineRule="auto"/>
        <w:rPr>
          <w:rStyle w:val="IntenseEmphasis"/>
          <w:noProof/>
          <w:lang w:val="sr-Cyrl-CS"/>
        </w:rPr>
      </w:pPr>
    </w:p>
    <w:p w14:paraId="4DFAAAAA" w14:textId="77777777" w:rsidR="004011EE" w:rsidRPr="00BF3CDE" w:rsidRDefault="004011EE" w:rsidP="00EA7779">
      <w:pPr>
        <w:spacing w:after="100" w:afterAutospacing="1" w:line="240" w:lineRule="auto"/>
        <w:rPr>
          <w:rStyle w:val="IntenseEmphasis"/>
          <w:noProof/>
          <w:lang w:val="sr-Cyrl-CS"/>
        </w:rPr>
      </w:pPr>
    </w:p>
    <w:p w14:paraId="2472227D" w14:textId="77777777" w:rsidR="004011EE" w:rsidRPr="00BF3CDE" w:rsidRDefault="004011EE" w:rsidP="00EA7779">
      <w:pPr>
        <w:spacing w:after="100" w:afterAutospacing="1" w:line="240" w:lineRule="auto"/>
        <w:rPr>
          <w:rStyle w:val="IntenseEmphasis"/>
          <w:noProof/>
          <w:lang w:val="sr-Cyrl-CS"/>
        </w:rPr>
      </w:pPr>
    </w:p>
    <w:p w14:paraId="49A1CA02" w14:textId="77777777" w:rsidR="00EA7779" w:rsidRPr="00BF3CDE" w:rsidRDefault="00EA7779" w:rsidP="00EA7779">
      <w:pPr>
        <w:spacing w:after="100" w:afterAutospacing="1" w:line="240" w:lineRule="auto"/>
        <w:rPr>
          <w:rStyle w:val="IntenseEmphasis"/>
          <w:noProof/>
          <w:lang w:val="sr-Cyrl-CS"/>
        </w:rPr>
      </w:pPr>
      <w:r w:rsidRPr="00BF3CDE">
        <w:rPr>
          <w:rStyle w:val="IntenseEmphasis"/>
          <w:noProof/>
          <w:lang w:val="sr-Cyrl-CS"/>
        </w:rPr>
        <w:lastRenderedPageBreak/>
        <w:t>Организациона структура</w:t>
      </w:r>
    </w:p>
    <w:p w14:paraId="5ECF9C32" w14:textId="77777777" w:rsidR="00EA7779" w:rsidRPr="00BF3CDE" w:rsidRDefault="00EA7779" w:rsidP="00EA7779">
      <w:pPr>
        <w:jc w:val="center"/>
        <w:rPr>
          <w:rStyle w:val="IntenseEmphasis"/>
          <w:rFonts w:asciiTheme="majorHAnsi" w:hAnsiTheme="majorHAnsi"/>
          <w:noProof/>
          <w:lang w:val="sr-Cyrl-CS"/>
        </w:rPr>
      </w:pPr>
      <w:r w:rsidRPr="00BF3CDE">
        <w:rPr>
          <w:rStyle w:val="IntenseEmphasis"/>
          <w:rFonts w:asciiTheme="majorHAnsi" w:hAnsiTheme="majorHAnsi"/>
          <w:noProof/>
          <w:lang w:val="sr-Cyrl-CS"/>
        </w:rPr>
        <w:t>Организациона структура Друштва на дан 31.12.201</w:t>
      </w:r>
      <w:r w:rsidR="0046210A" w:rsidRPr="00BF3CDE">
        <w:rPr>
          <w:rStyle w:val="IntenseEmphasis"/>
          <w:rFonts w:asciiTheme="majorHAnsi" w:hAnsiTheme="majorHAnsi"/>
          <w:noProof/>
          <w:lang w:val="sr-Cyrl-CS"/>
        </w:rPr>
        <w:t>4</w:t>
      </w:r>
      <w:r w:rsidRPr="00BF3CDE">
        <w:rPr>
          <w:rStyle w:val="IntenseEmphasis"/>
          <w:rFonts w:asciiTheme="majorHAnsi" w:hAnsiTheme="majorHAnsi"/>
          <w:noProof/>
          <w:lang w:val="sr-Cyrl-CS"/>
        </w:rPr>
        <w:t>. године</w:t>
      </w:r>
    </w:p>
    <w:p w14:paraId="5DA81276" w14:textId="77777777" w:rsidR="00EA7779" w:rsidRPr="00BF3CDE" w:rsidRDefault="00EA7779" w:rsidP="00EA7779">
      <w:pPr>
        <w:jc w:val="center"/>
        <w:rPr>
          <w:rFonts w:cs="Tahoma"/>
          <w:noProof/>
          <w:lang w:val="sr-Cyrl-CS"/>
        </w:rPr>
      </w:pPr>
      <w:r w:rsidRPr="00BF3CDE">
        <w:rPr>
          <w:rFonts w:cs="Tahoma"/>
          <w:noProof/>
          <w:lang w:val="sr-Latn-RS" w:eastAsia="sr-Latn-RS"/>
        </w:rPr>
        <w:drawing>
          <wp:inline distT="0" distB="0" distL="0" distR="0" wp14:anchorId="184D6640" wp14:editId="6C58537A">
            <wp:extent cx="5829300" cy="3912992"/>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34056" cy="3916185"/>
                    </a:xfrm>
                    <a:prstGeom prst="rect">
                      <a:avLst/>
                    </a:prstGeom>
                    <a:noFill/>
                  </pic:spPr>
                </pic:pic>
              </a:graphicData>
            </a:graphic>
          </wp:inline>
        </w:drawing>
      </w:r>
    </w:p>
    <w:p w14:paraId="13D93314" w14:textId="77777777" w:rsidR="00EA7779" w:rsidRPr="00BF3CDE" w:rsidRDefault="00EA7779" w:rsidP="00EA7779">
      <w:pPr>
        <w:pStyle w:val="NoSpacing"/>
        <w:rPr>
          <w:noProof/>
          <w:highlight w:val="yellow"/>
          <w:lang w:val="sr-Cyrl-CS"/>
        </w:rPr>
      </w:pPr>
    </w:p>
    <w:p w14:paraId="0E89438F" w14:textId="77777777" w:rsidR="00232C7A" w:rsidRPr="00BF3CDE" w:rsidRDefault="00232C7A" w:rsidP="00CA531C">
      <w:pPr>
        <w:pStyle w:val="Heading1"/>
        <w:numPr>
          <w:ilvl w:val="0"/>
          <w:numId w:val="2"/>
        </w:numPr>
        <w:rPr>
          <w:rFonts w:asciiTheme="majorHAnsi" w:hAnsiTheme="majorHAnsi" w:cs="Tahoma"/>
          <w:noProof/>
          <w:color w:val="4F81BD"/>
          <w:sz w:val="24"/>
          <w:szCs w:val="18"/>
          <w:lang w:val="sr-Cyrl-CS"/>
        </w:rPr>
      </w:pPr>
      <w:bookmarkStart w:id="3" w:name="_Toc414356797"/>
      <w:r w:rsidRPr="00BF3CDE">
        <w:rPr>
          <w:rFonts w:asciiTheme="majorHAnsi" w:hAnsiTheme="majorHAnsi" w:cs="Tahoma"/>
          <w:noProof/>
          <w:color w:val="4F81BD"/>
          <w:sz w:val="24"/>
          <w:szCs w:val="18"/>
          <w:lang w:val="sr-Cyrl-CS"/>
        </w:rPr>
        <w:t xml:space="preserve">ТРЖИШНА ПОЗИЦИЈА ДРУШТВА </w:t>
      </w:r>
      <w:r w:rsidR="00CA531C" w:rsidRPr="00BF3CDE">
        <w:rPr>
          <w:rFonts w:asciiTheme="majorHAnsi" w:hAnsiTheme="majorHAnsi" w:cs="Tahoma"/>
          <w:noProof/>
          <w:color w:val="4F81BD"/>
          <w:sz w:val="24"/>
          <w:szCs w:val="18"/>
          <w:lang w:val="sr-Cyrl-CS"/>
        </w:rPr>
        <w:t xml:space="preserve">И АКТИВНОСТИ НА ПОЉУ ИСТРАЖИВАЊА И РАЗВОЈА </w:t>
      </w:r>
      <w:r w:rsidRPr="00BF3CDE">
        <w:rPr>
          <w:rFonts w:asciiTheme="majorHAnsi" w:hAnsiTheme="majorHAnsi" w:cs="Tahoma"/>
          <w:noProof/>
          <w:color w:val="4F81BD"/>
          <w:sz w:val="24"/>
          <w:szCs w:val="18"/>
          <w:lang w:val="sr-Cyrl-CS"/>
        </w:rPr>
        <w:t>У 201</w:t>
      </w:r>
      <w:r w:rsidR="004011EE" w:rsidRPr="00BF3CDE">
        <w:rPr>
          <w:rFonts w:asciiTheme="majorHAnsi" w:hAnsiTheme="majorHAnsi" w:cs="Tahoma"/>
          <w:noProof/>
          <w:color w:val="4F81BD"/>
          <w:sz w:val="24"/>
          <w:szCs w:val="18"/>
          <w:lang w:val="sr-Cyrl-CS"/>
        </w:rPr>
        <w:t>4</w:t>
      </w:r>
      <w:r w:rsidRPr="00BF3CDE">
        <w:rPr>
          <w:rFonts w:asciiTheme="majorHAnsi" w:hAnsiTheme="majorHAnsi" w:cs="Tahoma"/>
          <w:noProof/>
          <w:color w:val="4F81BD"/>
          <w:sz w:val="24"/>
          <w:szCs w:val="18"/>
          <w:lang w:val="sr-Cyrl-CS"/>
        </w:rPr>
        <w:t>. ГОДИНИ</w:t>
      </w:r>
      <w:bookmarkEnd w:id="3"/>
      <w:r w:rsidRPr="00BF3CDE">
        <w:rPr>
          <w:rFonts w:asciiTheme="majorHAnsi" w:hAnsiTheme="majorHAnsi" w:cs="Tahoma"/>
          <w:noProof/>
          <w:color w:val="4F81BD"/>
          <w:sz w:val="24"/>
          <w:szCs w:val="18"/>
          <w:lang w:val="sr-Cyrl-CS"/>
        </w:rPr>
        <w:t xml:space="preserve"> </w:t>
      </w:r>
    </w:p>
    <w:p w14:paraId="42F18EC1" w14:textId="77777777" w:rsidR="00232C7A" w:rsidRPr="00BF3CDE" w:rsidRDefault="00232C7A" w:rsidP="00232C7A">
      <w:pPr>
        <w:pStyle w:val="NoSpacing"/>
        <w:ind w:firstLine="284"/>
        <w:jc w:val="both"/>
        <w:rPr>
          <w:rFonts w:cs="Tahoma"/>
          <w:noProof/>
          <w:sz w:val="20"/>
          <w:szCs w:val="18"/>
          <w:highlight w:val="yellow"/>
          <w:lang w:val="sr-Cyrl-CS"/>
        </w:rPr>
      </w:pPr>
    </w:p>
    <w:p w14:paraId="47FE58BB" w14:textId="77777777" w:rsidR="007D05A5" w:rsidRPr="00BF3CDE" w:rsidRDefault="007D05A5" w:rsidP="007D05A5">
      <w:pPr>
        <w:spacing w:before="240" w:after="240"/>
        <w:rPr>
          <w:rStyle w:val="IntenseEmphasis"/>
          <w:rFonts w:ascii="Verdana" w:hAnsi="Verdana"/>
          <w:noProof/>
          <w:sz w:val="20"/>
          <w:lang w:val="sr-Cyrl-CS"/>
        </w:rPr>
      </w:pPr>
      <w:r w:rsidRPr="00BF3CDE">
        <w:rPr>
          <w:rStyle w:val="IntenseEmphasis"/>
          <w:rFonts w:ascii="Verdana" w:hAnsi="Verdana"/>
          <w:noProof/>
          <w:sz w:val="20"/>
          <w:lang w:val="sr-Cyrl-CS"/>
        </w:rPr>
        <w:t xml:space="preserve">Стање на тржишту осигурања </w:t>
      </w:r>
      <w:r w:rsidR="00EA7779" w:rsidRPr="00BF3CDE">
        <w:rPr>
          <w:rStyle w:val="IntenseEmphasis"/>
          <w:rFonts w:ascii="Verdana" w:hAnsi="Verdana"/>
          <w:noProof/>
          <w:sz w:val="20"/>
          <w:lang w:val="sr-Cyrl-CS"/>
        </w:rPr>
        <w:t xml:space="preserve">и реосигурања </w:t>
      </w:r>
      <w:r w:rsidRPr="00BF3CDE">
        <w:rPr>
          <w:rStyle w:val="IntenseEmphasis"/>
          <w:rFonts w:ascii="Verdana" w:hAnsi="Verdana"/>
          <w:noProof/>
          <w:sz w:val="20"/>
          <w:lang w:val="sr-Cyrl-CS"/>
        </w:rPr>
        <w:t>у Србији</w:t>
      </w:r>
    </w:p>
    <w:p w14:paraId="039ED6E1" w14:textId="77777777" w:rsidR="007D05A5" w:rsidRPr="00BF3CDE" w:rsidRDefault="007D05A5" w:rsidP="007D05A5">
      <w:pPr>
        <w:spacing w:before="200"/>
        <w:ind w:firstLine="284"/>
        <w:jc w:val="both"/>
        <w:rPr>
          <w:rFonts w:ascii="Verdana" w:eastAsia="Calibri" w:hAnsi="Verdana"/>
          <w:noProof/>
          <w:sz w:val="20"/>
          <w:lang w:val="sr-Cyrl-CS"/>
        </w:rPr>
      </w:pPr>
      <w:r w:rsidRPr="00BF3CDE">
        <w:rPr>
          <w:rFonts w:ascii="Verdana" w:eastAsia="Calibri" w:hAnsi="Verdana"/>
          <w:noProof/>
          <w:sz w:val="20"/>
          <w:lang w:val="sr-Cyrl-CS"/>
        </w:rPr>
        <w:t>На тржишту Србије током 201</w:t>
      </w:r>
      <w:r w:rsidR="004011EE" w:rsidRPr="00BF3CDE">
        <w:rPr>
          <w:rFonts w:ascii="Verdana" w:eastAsia="Calibri" w:hAnsi="Verdana"/>
          <w:noProof/>
          <w:sz w:val="20"/>
          <w:lang w:val="sr-Cyrl-CS"/>
        </w:rPr>
        <w:t>4</w:t>
      </w:r>
      <w:r w:rsidRPr="00BF3CDE">
        <w:rPr>
          <w:rFonts w:ascii="Verdana" w:eastAsia="Calibri" w:hAnsi="Verdana"/>
          <w:noProof/>
          <w:sz w:val="20"/>
          <w:lang w:val="sr-Cyrl-CS"/>
        </w:rPr>
        <w:t>. године послује 2</w:t>
      </w:r>
      <w:r w:rsidR="0012597D" w:rsidRPr="00BF3CDE">
        <w:rPr>
          <w:rFonts w:ascii="Verdana" w:eastAsia="Calibri" w:hAnsi="Verdana"/>
          <w:noProof/>
          <w:sz w:val="20"/>
          <w:lang w:val="sr-Cyrl-CS"/>
        </w:rPr>
        <w:t>3</w:t>
      </w:r>
      <w:r w:rsidRPr="00BF3CDE">
        <w:rPr>
          <w:rFonts w:ascii="Verdana" w:eastAsia="Calibri" w:hAnsi="Verdana"/>
          <w:noProof/>
          <w:sz w:val="20"/>
          <w:lang w:val="sr-Cyrl-CS"/>
        </w:rPr>
        <w:t xml:space="preserve"> друштава за осигурање и 4 друштва која се баве пословима реосигурања.</w:t>
      </w:r>
    </w:p>
    <w:p w14:paraId="7FA61A26" w14:textId="77777777" w:rsidR="007D05A5" w:rsidRPr="00BF3CDE" w:rsidRDefault="007D05A5" w:rsidP="007D05A5">
      <w:pPr>
        <w:spacing w:before="200"/>
        <w:ind w:firstLine="284"/>
        <w:jc w:val="both"/>
        <w:rPr>
          <w:rFonts w:ascii="Verdana" w:eastAsia="Calibri" w:hAnsi="Verdana"/>
          <w:noProof/>
          <w:sz w:val="20"/>
          <w:lang w:val="sr-Cyrl-CS"/>
        </w:rPr>
      </w:pPr>
      <w:r w:rsidRPr="00BF3CDE">
        <w:rPr>
          <w:rFonts w:ascii="Verdana" w:eastAsia="Calibri" w:hAnsi="Verdana"/>
          <w:noProof/>
          <w:sz w:val="20"/>
          <w:lang w:val="sr-Cyrl-CS"/>
        </w:rPr>
        <w:t>Посматрано према власничкој структури капитала 18 друштава за осигурање и 3 друштва за реосигурање је у већинском страном власништву.</w:t>
      </w:r>
    </w:p>
    <w:p w14:paraId="22462EA6" w14:textId="77777777" w:rsidR="007D05A5" w:rsidRPr="00BF3CDE" w:rsidRDefault="007D05A5" w:rsidP="007D05A5">
      <w:pPr>
        <w:spacing w:before="200"/>
        <w:ind w:firstLine="288"/>
        <w:jc w:val="both"/>
        <w:rPr>
          <w:rFonts w:ascii="Verdana" w:eastAsia="Calibri" w:hAnsi="Verdana"/>
          <w:noProof/>
          <w:sz w:val="20"/>
          <w:lang w:val="sr-Cyrl-CS"/>
        </w:rPr>
      </w:pPr>
      <w:r w:rsidRPr="00BF3CDE">
        <w:rPr>
          <w:rFonts w:ascii="Verdana" w:eastAsia="Calibri" w:hAnsi="Verdana"/>
          <w:noProof/>
          <w:sz w:val="20"/>
          <w:lang w:val="sr-Cyrl-CS"/>
        </w:rPr>
        <w:t>Друштва за реосигурање су:</w:t>
      </w:r>
    </w:p>
    <w:p w14:paraId="7978601B" w14:textId="77777777" w:rsidR="007D05A5" w:rsidRPr="00BF3CDE" w:rsidRDefault="007D05A5" w:rsidP="00655CD0">
      <w:pPr>
        <w:pStyle w:val="ListParagraph"/>
        <w:numPr>
          <w:ilvl w:val="0"/>
          <w:numId w:val="8"/>
        </w:numPr>
        <w:spacing w:before="200"/>
        <w:jc w:val="both"/>
        <w:rPr>
          <w:rFonts w:ascii="Verdana" w:eastAsia="Calibri" w:hAnsi="Verdana"/>
          <w:noProof/>
          <w:sz w:val="20"/>
          <w:lang w:val="sr-Cyrl-CS"/>
        </w:rPr>
      </w:pPr>
      <w:r w:rsidRPr="00BF3CDE">
        <w:rPr>
          <w:rFonts w:ascii="Verdana" w:eastAsia="Calibri" w:hAnsi="Verdana"/>
          <w:noProof/>
          <w:sz w:val="20"/>
          <w:lang w:val="sr-Cyrl-CS"/>
        </w:rPr>
        <w:t>АД за реосигурање Дунав РЕ (основано 1977. године),</w:t>
      </w:r>
    </w:p>
    <w:p w14:paraId="1A0BE8CB" w14:textId="77777777" w:rsidR="007D05A5" w:rsidRPr="00BF3CDE" w:rsidRDefault="007D05A5" w:rsidP="00655CD0">
      <w:pPr>
        <w:pStyle w:val="ListParagraph"/>
        <w:numPr>
          <w:ilvl w:val="0"/>
          <w:numId w:val="8"/>
        </w:numPr>
        <w:spacing w:before="200"/>
        <w:jc w:val="both"/>
        <w:rPr>
          <w:rFonts w:ascii="Verdana" w:eastAsia="Calibri" w:hAnsi="Verdana"/>
          <w:noProof/>
          <w:sz w:val="20"/>
          <w:lang w:val="sr-Cyrl-CS"/>
        </w:rPr>
      </w:pPr>
      <w:r w:rsidRPr="00BF3CDE">
        <w:rPr>
          <w:rFonts w:ascii="Verdana" w:eastAsia="Calibri" w:hAnsi="Verdana"/>
          <w:noProof/>
          <w:sz w:val="20"/>
          <w:lang w:val="sr-Cyrl-CS"/>
        </w:rPr>
        <w:t xml:space="preserve">АД за реосигурање </w:t>
      </w:r>
      <w:r w:rsidRPr="00BF3CDE">
        <w:rPr>
          <w:rFonts w:ascii="Verdana" w:eastAsia="Calibri" w:hAnsi="Verdana"/>
          <w:i/>
          <w:noProof/>
          <w:sz w:val="20"/>
          <w:lang w:val="sr-Cyrl-CS"/>
        </w:rPr>
        <w:t>Delta Generali Reosiguranje</w:t>
      </w:r>
      <w:r w:rsidRPr="00BF3CDE">
        <w:rPr>
          <w:rFonts w:ascii="Verdana" w:eastAsia="Calibri" w:hAnsi="Verdana"/>
          <w:noProof/>
          <w:sz w:val="20"/>
          <w:lang w:val="sr-Cyrl-CS"/>
        </w:rPr>
        <w:t xml:space="preserve"> (основано 2000. године),</w:t>
      </w:r>
    </w:p>
    <w:p w14:paraId="55EE6652" w14:textId="77777777" w:rsidR="007D05A5" w:rsidRPr="00BF3CDE" w:rsidRDefault="007D05A5" w:rsidP="00655CD0">
      <w:pPr>
        <w:pStyle w:val="ListParagraph"/>
        <w:numPr>
          <w:ilvl w:val="0"/>
          <w:numId w:val="8"/>
        </w:numPr>
        <w:spacing w:before="200"/>
        <w:jc w:val="both"/>
        <w:rPr>
          <w:rFonts w:ascii="Verdana" w:eastAsia="Calibri" w:hAnsi="Verdana"/>
          <w:noProof/>
          <w:sz w:val="20"/>
          <w:lang w:val="sr-Cyrl-CS"/>
        </w:rPr>
      </w:pPr>
      <w:r w:rsidRPr="00BF3CDE">
        <w:rPr>
          <w:rFonts w:ascii="Verdana" w:eastAsia="Calibri" w:hAnsi="Verdana"/>
          <w:noProof/>
          <w:sz w:val="20"/>
          <w:lang w:val="sr-Cyrl-CS"/>
        </w:rPr>
        <w:t>ДДОР РЕ за реосигурање Нови Сад (основано 2009. године)и</w:t>
      </w:r>
    </w:p>
    <w:p w14:paraId="35D848EF" w14:textId="77777777" w:rsidR="007D05A5" w:rsidRPr="00BF3CDE" w:rsidRDefault="007D05A5" w:rsidP="00655CD0">
      <w:pPr>
        <w:pStyle w:val="ListParagraph"/>
        <w:numPr>
          <w:ilvl w:val="0"/>
          <w:numId w:val="8"/>
        </w:numPr>
        <w:spacing w:before="200"/>
        <w:jc w:val="both"/>
        <w:rPr>
          <w:rFonts w:ascii="Verdana" w:eastAsia="Calibri" w:hAnsi="Verdana"/>
          <w:noProof/>
          <w:sz w:val="20"/>
          <w:lang w:val="sr-Cyrl-CS"/>
        </w:rPr>
      </w:pPr>
      <w:r w:rsidRPr="00BF3CDE">
        <w:rPr>
          <w:rFonts w:ascii="Verdana" w:eastAsia="Calibri" w:hAnsi="Verdana"/>
          <w:i/>
          <w:noProof/>
          <w:sz w:val="20"/>
          <w:lang w:val="sr-Cyrl-CS"/>
        </w:rPr>
        <w:t>WIENER RE АД</w:t>
      </w:r>
      <w:r w:rsidRPr="00BF3CDE">
        <w:rPr>
          <w:rFonts w:ascii="Verdana" w:eastAsia="Calibri" w:hAnsi="Verdana"/>
          <w:noProof/>
          <w:sz w:val="20"/>
          <w:lang w:val="sr-Cyrl-CS"/>
        </w:rPr>
        <w:t xml:space="preserve"> за реосигурање (основано 2008. године).</w:t>
      </w:r>
    </w:p>
    <w:p w14:paraId="4572B6F1" w14:textId="77777777" w:rsidR="007D05A5" w:rsidRPr="00BF3CDE" w:rsidRDefault="007D05A5" w:rsidP="007D05A5">
      <w:pPr>
        <w:spacing w:before="200"/>
        <w:ind w:firstLine="288"/>
        <w:jc w:val="both"/>
        <w:rPr>
          <w:rFonts w:ascii="Verdana" w:eastAsia="Calibri" w:hAnsi="Verdana"/>
          <w:noProof/>
          <w:sz w:val="20"/>
          <w:lang w:val="sr-Cyrl-CS"/>
        </w:rPr>
      </w:pPr>
      <w:r w:rsidRPr="00BF3CDE">
        <w:rPr>
          <w:rFonts w:ascii="Verdana" w:eastAsia="Calibri" w:hAnsi="Verdana"/>
          <w:noProof/>
          <w:sz w:val="20"/>
          <w:lang w:val="sr-Cyrl-CS"/>
        </w:rPr>
        <w:t>У страном власништву у 201</w:t>
      </w:r>
      <w:r w:rsidR="004011EE" w:rsidRPr="00BF3CDE">
        <w:rPr>
          <w:rFonts w:ascii="Verdana" w:eastAsia="Calibri" w:hAnsi="Verdana"/>
          <w:noProof/>
          <w:sz w:val="20"/>
          <w:lang w:val="sr-Cyrl-CS"/>
        </w:rPr>
        <w:t>4</w:t>
      </w:r>
      <w:r w:rsidRPr="00BF3CDE">
        <w:rPr>
          <w:rFonts w:ascii="Verdana" w:eastAsia="Calibri" w:hAnsi="Verdana"/>
          <w:noProof/>
          <w:sz w:val="20"/>
          <w:lang w:val="sr-Cyrl-CS"/>
        </w:rPr>
        <w:t>. години налази се 75% друштава за реосигурање, а слична је и структура учешћа у укупном акцијском капиталу друштава за реосигурање.</w:t>
      </w:r>
    </w:p>
    <w:p w14:paraId="39DB1FD3" w14:textId="77777777" w:rsidR="00925C24" w:rsidRPr="00BF3CDE" w:rsidRDefault="00925C24" w:rsidP="00E00FE9">
      <w:pPr>
        <w:pStyle w:val="Heading1"/>
        <w:numPr>
          <w:ilvl w:val="0"/>
          <w:numId w:val="2"/>
        </w:numPr>
        <w:ind w:left="431" w:hanging="431"/>
        <w:rPr>
          <w:rFonts w:asciiTheme="majorHAnsi" w:hAnsiTheme="majorHAnsi" w:cs="Tahoma"/>
          <w:noProof/>
          <w:color w:val="4F81BD"/>
          <w:sz w:val="24"/>
          <w:szCs w:val="18"/>
          <w:lang w:val="sr-Cyrl-CS"/>
        </w:rPr>
      </w:pPr>
      <w:bookmarkStart w:id="4" w:name="_Toc414356798"/>
      <w:r w:rsidRPr="00BF3CDE">
        <w:rPr>
          <w:rFonts w:asciiTheme="majorHAnsi" w:hAnsiTheme="majorHAnsi" w:cs="Tahoma"/>
          <w:noProof/>
          <w:color w:val="4F81BD"/>
          <w:sz w:val="24"/>
          <w:szCs w:val="18"/>
          <w:lang w:val="sr-Cyrl-CS"/>
        </w:rPr>
        <w:lastRenderedPageBreak/>
        <w:t>РЕЗИМЕ ОСТВАРЕНИХ РЕЗУЛТАТА</w:t>
      </w:r>
      <w:bookmarkEnd w:id="4"/>
      <w:r w:rsidRPr="00BF3CDE">
        <w:rPr>
          <w:rFonts w:asciiTheme="majorHAnsi" w:hAnsiTheme="majorHAnsi" w:cs="Tahoma"/>
          <w:noProof/>
          <w:color w:val="4F81BD"/>
          <w:sz w:val="24"/>
          <w:szCs w:val="18"/>
          <w:lang w:val="sr-Cyrl-CS"/>
        </w:rPr>
        <w:t xml:space="preserve"> </w:t>
      </w:r>
    </w:p>
    <w:p w14:paraId="2660BB7E" w14:textId="77777777" w:rsidR="00584DB1" w:rsidRPr="00BF3CDE" w:rsidRDefault="00584DB1" w:rsidP="00E00FE9">
      <w:pPr>
        <w:pStyle w:val="NoSpacing"/>
        <w:ind w:left="431"/>
        <w:jc w:val="right"/>
        <w:rPr>
          <w:noProof/>
          <w:sz w:val="20"/>
          <w:lang w:val="sr-Cyrl-CS"/>
        </w:rPr>
      </w:pPr>
      <w:r w:rsidRPr="00BF3CDE">
        <w:rPr>
          <w:noProof/>
          <w:sz w:val="12"/>
          <w:szCs w:val="12"/>
          <w:lang w:val="sr-Cyrl-CS"/>
        </w:rPr>
        <w:t xml:space="preserve">                                                                    </w:t>
      </w:r>
      <w:r w:rsidRPr="00BF3CDE">
        <w:rPr>
          <w:noProof/>
          <w:sz w:val="20"/>
          <w:lang w:val="sr-Cyrl-CS"/>
        </w:rPr>
        <w:t>(у 000 дин.)</w:t>
      </w:r>
      <w:r w:rsidRPr="00BF3CDE">
        <w:rPr>
          <w:noProof/>
          <w:sz w:val="12"/>
          <w:szCs w:val="12"/>
          <w:lang w:val="sr-Cyrl-CS"/>
        </w:rPr>
        <w:tab/>
      </w:r>
    </w:p>
    <w:tbl>
      <w:tblPr>
        <w:tblW w:w="10159" w:type="dxa"/>
        <w:jc w:val="center"/>
        <w:tblLook w:val="0000" w:firstRow="0" w:lastRow="0" w:firstColumn="0" w:lastColumn="0" w:noHBand="0" w:noVBand="0"/>
      </w:tblPr>
      <w:tblGrid>
        <w:gridCol w:w="3058"/>
        <w:gridCol w:w="1609"/>
        <w:gridCol w:w="1464"/>
        <w:gridCol w:w="1609"/>
        <w:gridCol w:w="1208"/>
        <w:gridCol w:w="1211"/>
      </w:tblGrid>
      <w:tr w:rsidR="00584DB1" w:rsidRPr="00BF3CDE" w14:paraId="46BB70BE" w14:textId="77777777" w:rsidTr="00E00FE9">
        <w:trPr>
          <w:trHeight w:val="267"/>
          <w:jc w:val="center"/>
        </w:trPr>
        <w:tc>
          <w:tcPr>
            <w:tcW w:w="3058" w:type="dxa"/>
            <w:vMerge w:val="restart"/>
            <w:tcBorders>
              <w:top w:val="double" w:sz="6" w:space="0" w:color="auto"/>
              <w:left w:val="nil"/>
              <w:bottom w:val="double" w:sz="6" w:space="0" w:color="000000"/>
              <w:right w:val="nil"/>
            </w:tcBorders>
            <w:shd w:val="clear" w:color="auto" w:fill="auto"/>
            <w:vAlign w:val="center"/>
          </w:tcPr>
          <w:p w14:paraId="6805A271" w14:textId="77777777" w:rsidR="00584DB1" w:rsidRPr="00BF3CDE" w:rsidRDefault="00584DB1" w:rsidP="00AB0F8D">
            <w:pPr>
              <w:pStyle w:val="NoSpacing"/>
              <w:jc w:val="center"/>
              <w:rPr>
                <w:b/>
                <w:bCs/>
                <w:i/>
                <w:iCs/>
                <w:noProof/>
                <w:lang w:val="sr-Cyrl-CS"/>
              </w:rPr>
            </w:pPr>
            <w:r w:rsidRPr="00BF3CDE">
              <w:rPr>
                <w:b/>
                <w:bCs/>
                <w:i/>
                <w:iCs/>
                <w:noProof/>
                <w:lang w:val="sr-Cyrl-CS"/>
              </w:rPr>
              <w:t>КАТЕГОРИЈА</w:t>
            </w:r>
          </w:p>
        </w:tc>
        <w:tc>
          <w:tcPr>
            <w:tcW w:w="1609" w:type="dxa"/>
            <w:vMerge w:val="restart"/>
            <w:tcBorders>
              <w:top w:val="double" w:sz="6" w:space="0" w:color="auto"/>
              <w:left w:val="nil"/>
              <w:bottom w:val="double" w:sz="6" w:space="0" w:color="000000"/>
              <w:right w:val="nil"/>
            </w:tcBorders>
            <w:shd w:val="clear" w:color="auto" w:fill="auto"/>
            <w:vAlign w:val="center"/>
          </w:tcPr>
          <w:p w14:paraId="3B35C8CE" w14:textId="77777777" w:rsidR="00584DB1" w:rsidRPr="00BF3CDE" w:rsidRDefault="00584DB1" w:rsidP="00AB0F8D">
            <w:pPr>
              <w:pStyle w:val="NoSpacing"/>
              <w:jc w:val="center"/>
              <w:rPr>
                <w:b/>
                <w:bCs/>
                <w:noProof/>
                <w:sz w:val="18"/>
                <w:szCs w:val="14"/>
                <w:lang w:val="sr-Cyrl-CS"/>
              </w:rPr>
            </w:pPr>
            <w:r w:rsidRPr="00BF3CDE">
              <w:rPr>
                <w:b/>
                <w:bCs/>
                <w:noProof/>
                <w:sz w:val="18"/>
                <w:szCs w:val="14"/>
                <w:lang w:val="sr-Cyrl-CS"/>
              </w:rPr>
              <w:t>Остварење у посматраном периоду претходне године</w:t>
            </w:r>
          </w:p>
        </w:tc>
        <w:tc>
          <w:tcPr>
            <w:tcW w:w="1464" w:type="dxa"/>
            <w:vMerge w:val="restart"/>
            <w:tcBorders>
              <w:top w:val="double" w:sz="6" w:space="0" w:color="auto"/>
              <w:left w:val="nil"/>
              <w:bottom w:val="double" w:sz="6" w:space="0" w:color="000000"/>
              <w:right w:val="nil"/>
            </w:tcBorders>
            <w:shd w:val="clear" w:color="auto" w:fill="auto"/>
            <w:vAlign w:val="center"/>
          </w:tcPr>
          <w:p w14:paraId="19655510" w14:textId="77777777" w:rsidR="00584DB1" w:rsidRPr="00BF3CDE" w:rsidRDefault="00584DB1" w:rsidP="00AB0F8D">
            <w:pPr>
              <w:pStyle w:val="NoSpacing"/>
              <w:jc w:val="center"/>
              <w:rPr>
                <w:b/>
                <w:bCs/>
                <w:noProof/>
                <w:sz w:val="18"/>
                <w:szCs w:val="14"/>
                <w:lang w:val="sr-Cyrl-CS"/>
              </w:rPr>
            </w:pPr>
            <w:r w:rsidRPr="00BF3CDE">
              <w:rPr>
                <w:b/>
                <w:bCs/>
                <w:noProof/>
                <w:sz w:val="18"/>
                <w:szCs w:val="14"/>
                <w:lang w:val="sr-Cyrl-CS"/>
              </w:rPr>
              <w:t>План за посматрани период текуће године</w:t>
            </w:r>
          </w:p>
        </w:tc>
        <w:tc>
          <w:tcPr>
            <w:tcW w:w="1609" w:type="dxa"/>
            <w:vMerge w:val="restart"/>
            <w:tcBorders>
              <w:top w:val="double" w:sz="6" w:space="0" w:color="auto"/>
              <w:left w:val="nil"/>
              <w:bottom w:val="double" w:sz="6" w:space="0" w:color="000000"/>
              <w:right w:val="nil"/>
            </w:tcBorders>
            <w:shd w:val="clear" w:color="auto" w:fill="99CCFF"/>
            <w:vAlign w:val="center"/>
          </w:tcPr>
          <w:p w14:paraId="5F7D1290" w14:textId="77777777" w:rsidR="00584DB1" w:rsidRPr="00BF3CDE" w:rsidRDefault="00584DB1" w:rsidP="00AB0F8D">
            <w:pPr>
              <w:pStyle w:val="NoSpacing"/>
              <w:jc w:val="center"/>
              <w:rPr>
                <w:b/>
                <w:bCs/>
                <w:noProof/>
                <w:sz w:val="18"/>
                <w:szCs w:val="14"/>
                <w:lang w:val="sr-Cyrl-CS"/>
              </w:rPr>
            </w:pPr>
            <w:r w:rsidRPr="00BF3CDE">
              <w:rPr>
                <w:b/>
                <w:bCs/>
                <w:noProof/>
                <w:sz w:val="18"/>
                <w:szCs w:val="14"/>
                <w:lang w:val="sr-Cyrl-CS"/>
              </w:rPr>
              <w:t>Остварење у посматраном периоду текуће године</w:t>
            </w:r>
          </w:p>
        </w:tc>
        <w:tc>
          <w:tcPr>
            <w:tcW w:w="1208" w:type="dxa"/>
            <w:vMerge w:val="restart"/>
            <w:tcBorders>
              <w:top w:val="double" w:sz="6" w:space="0" w:color="auto"/>
              <w:left w:val="nil"/>
              <w:bottom w:val="double" w:sz="6" w:space="0" w:color="000000"/>
              <w:right w:val="nil"/>
            </w:tcBorders>
            <w:shd w:val="clear" w:color="auto" w:fill="auto"/>
            <w:vAlign w:val="center"/>
          </w:tcPr>
          <w:p w14:paraId="5C3E10A7" w14:textId="77777777" w:rsidR="00584DB1" w:rsidRPr="00BF3CDE" w:rsidRDefault="00584DB1" w:rsidP="00414FB8">
            <w:pPr>
              <w:pStyle w:val="NoSpacing"/>
              <w:jc w:val="center"/>
              <w:rPr>
                <w:b/>
                <w:bCs/>
                <w:noProof/>
                <w:sz w:val="16"/>
                <w:szCs w:val="14"/>
                <w:lang w:val="sr-Cyrl-CS"/>
              </w:rPr>
            </w:pPr>
            <w:r w:rsidRPr="00BF3CDE">
              <w:rPr>
                <w:b/>
                <w:bCs/>
                <w:noProof/>
                <w:sz w:val="16"/>
                <w:szCs w:val="14"/>
                <w:lang w:val="sr-Cyrl-CS"/>
              </w:rPr>
              <w:t>индекс</w:t>
            </w:r>
            <w:r w:rsidRPr="00BF3CDE">
              <w:rPr>
                <w:noProof/>
                <w:sz w:val="16"/>
                <w:szCs w:val="14"/>
                <w:lang w:val="sr-Cyrl-CS"/>
              </w:rPr>
              <w:t xml:space="preserve">                                                остварење у 201</w:t>
            </w:r>
            <w:r w:rsidR="00414FB8" w:rsidRPr="00BF3CDE">
              <w:rPr>
                <w:noProof/>
                <w:sz w:val="16"/>
                <w:szCs w:val="14"/>
                <w:lang w:val="sr-Cyrl-CS"/>
              </w:rPr>
              <w:t>4</w:t>
            </w:r>
            <w:r w:rsidRPr="00BF3CDE">
              <w:rPr>
                <w:noProof/>
                <w:sz w:val="16"/>
                <w:szCs w:val="14"/>
                <w:lang w:val="sr-Cyrl-CS"/>
              </w:rPr>
              <w:t>./ остварење у 201</w:t>
            </w:r>
            <w:r w:rsidR="00414FB8" w:rsidRPr="00BF3CDE">
              <w:rPr>
                <w:noProof/>
                <w:sz w:val="16"/>
                <w:szCs w:val="14"/>
                <w:lang w:val="sr-Cyrl-CS"/>
              </w:rPr>
              <w:t>3</w:t>
            </w:r>
            <w:r w:rsidRPr="00BF3CDE">
              <w:rPr>
                <w:noProof/>
                <w:sz w:val="16"/>
                <w:szCs w:val="14"/>
                <w:lang w:val="sr-Cyrl-CS"/>
              </w:rPr>
              <w:t>.</w:t>
            </w:r>
          </w:p>
        </w:tc>
        <w:tc>
          <w:tcPr>
            <w:tcW w:w="1211" w:type="dxa"/>
            <w:vMerge w:val="restart"/>
            <w:tcBorders>
              <w:top w:val="double" w:sz="6" w:space="0" w:color="auto"/>
              <w:left w:val="nil"/>
              <w:bottom w:val="double" w:sz="6" w:space="0" w:color="000000"/>
              <w:right w:val="nil"/>
            </w:tcBorders>
            <w:shd w:val="clear" w:color="auto" w:fill="auto"/>
            <w:vAlign w:val="center"/>
          </w:tcPr>
          <w:p w14:paraId="5411B78D" w14:textId="77777777" w:rsidR="00584DB1" w:rsidRPr="00BF3CDE" w:rsidRDefault="00584DB1" w:rsidP="00414FB8">
            <w:pPr>
              <w:pStyle w:val="NoSpacing"/>
              <w:jc w:val="center"/>
              <w:rPr>
                <w:b/>
                <w:bCs/>
                <w:noProof/>
                <w:sz w:val="16"/>
                <w:szCs w:val="14"/>
                <w:lang w:val="sr-Cyrl-CS"/>
              </w:rPr>
            </w:pPr>
            <w:r w:rsidRPr="00BF3CDE">
              <w:rPr>
                <w:b/>
                <w:bCs/>
                <w:noProof/>
                <w:sz w:val="16"/>
                <w:szCs w:val="14"/>
                <w:lang w:val="sr-Cyrl-CS"/>
              </w:rPr>
              <w:t>индекс</w:t>
            </w:r>
            <w:r w:rsidRPr="00BF3CDE">
              <w:rPr>
                <w:noProof/>
                <w:sz w:val="16"/>
                <w:szCs w:val="14"/>
                <w:lang w:val="sr-Cyrl-CS"/>
              </w:rPr>
              <w:t xml:space="preserve">                                              остварење у 201</w:t>
            </w:r>
            <w:r w:rsidR="00414FB8" w:rsidRPr="00BF3CDE">
              <w:rPr>
                <w:noProof/>
                <w:sz w:val="16"/>
                <w:szCs w:val="14"/>
                <w:lang w:val="sr-Cyrl-CS"/>
              </w:rPr>
              <w:t>4. / план за 2014</w:t>
            </w:r>
            <w:r w:rsidRPr="00BF3CDE">
              <w:rPr>
                <w:noProof/>
                <w:sz w:val="16"/>
                <w:szCs w:val="14"/>
                <w:lang w:val="sr-Cyrl-CS"/>
              </w:rPr>
              <w:t>.</w:t>
            </w:r>
          </w:p>
        </w:tc>
      </w:tr>
      <w:tr w:rsidR="00584DB1" w:rsidRPr="00BF3CDE" w14:paraId="4766D72E" w14:textId="77777777" w:rsidTr="00E00FE9">
        <w:trPr>
          <w:trHeight w:val="748"/>
          <w:jc w:val="center"/>
        </w:trPr>
        <w:tc>
          <w:tcPr>
            <w:tcW w:w="3058" w:type="dxa"/>
            <w:vMerge/>
            <w:tcBorders>
              <w:top w:val="double" w:sz="6" w:space="0" w:color="auto"/>
              <w:left w:val="nil"/>
              <w:bottom w:val="double" w:sz="6" w:space="0" w:color="000000"/>
              <w:right w:val="nil"/>
            </w:tcBorders>
            <w:shd w:val="clear" w:color="auto" w:fill="auto"/>
            <w:vAlign w:val="center"/>
          </w:tcPr>
          <w:p w14:paraId="1FE0FEAB" w14:textId="77777777" w:rsidR="00584DB1" w:rsidRPr="00BF3CDE" w:rsidRDefault="00584DB1" w:rsidP="00AB0F8D">
            <w:pPr>
              <w:pStyle w:val="NoSpacing"/>
              <w:jc w:val="center"/>
              <w:rPr>
                <w:b/>
                <w:bCs/>
                <w:i/>
                <w:iCs/>
                <w:noProof/>
                <w:lang w:val="sr-Cyrl-CS"/>
              </w:rPr>
            </w:pPr>
          </w:p>
        </w:tc>
        <w:tc>
          <w:tcPr>
            <w:tcW w:w="1609" w:type="dxa"/>
            <w:vMerge/>
            <w:tcBorders>
              <w:top w:val="double" w:sz="6" w:space="0" w:color="auto"/>
              <w:left w:val="nil"/>
              <w:bottom w:val="double" w:sz="6" w:space="0" w:color="000000"/>
              <w:right w:val="nil"/>
            </w:tcBorders>
            <w:shd w:val="clear" w:color="auto" w:fill="auto"/>
            <w:vAlign w:val="center"/>
          </w:tcPr>
          <w:p w14:paraId="1596B134" w14:textId="77777777" w:rsidR="00584DB1" w:rsidRPr="00BF3CDE" w:rsidRDefault="00584DB1" w:rsidP="00AB0F8D">
            <w:pPr>
              <w:pStyle w:val="NoSpacing"/>
              <w:jc w:val="center"/>
              <w:rPr>
                <w:b/>
                <w:bCs/>
                <w:noProof/>
                <w:sz w:val="14"/>
                <w:szCs w:val="14"/>
                <w:lang w:val="sr-Cyrl-CS"/>
              </w:rPr>
            </w:pPr>
          </w:p>
        </w:tc>
        <w:tc>
          <w:tcPr>
            <w:tcW w:w="1464" w:type="dxa"/>
            <w:vMerge/>
            <w:tcBorders>
              <w:top w:val="double" w:sz="6" w:space="0" w:color="auto"/>
              <w:left w:val="nil"/>
              <w:bottom w:val="double" w:sz="6" w:space="0" w:color="000000"/>
              <w:right w:val="nil"/>
            </w:tcBorders>
            <w:shd w:val="clear" w:color="auto" w:fill="auto"/>
            <w:vAlign w:val="center"/>
          </w:tcPr>
          <w:p w14:paraId="5118CB84" w14:textId="77777777" w:rsidR="00584DB1" w:rsidRPr="00BF3CDE" w:rsidRDefault="00584DB1" w:rsidP="00AB0F8D">
            <w:pPr>
              <w:pStyle w:val="NoSpacing"/>
              <w:jc w:val="center"/>
              <w:rPr>
                <w:b/>
                <w:bCs/>
                <w:noProof/>
                <w:sz w:val="14"/>
                <w:szCs w:val="14"/>
                <w:lang w:val="sr-Cyrl-CS"/>
              </w:rPr>
            </w:pPr>
          </w:p>
        </w:tc>
        <w:tc>
          <w:tcPr>
            <w:tcW w:w="1609" w:type="dxa"/>
            <w:vMerge/>
            <w:tcBorders>
              <w:top w:val="double" w:sz="6" w:space="0" w:color="auto"/>
              <w:left w:val="nil"/>
              <w:bottom w:val="double" w:sz="6" w:space="0" w:color="000000"/>
              <w:right w:val="nil"/>
            </w:tcBorders>
            <w:shd w:val="clear" w:color="auto" w:fill="auto"/>
            <w:vAlign w:val="center"/>
          </w:tcPr>
          <w:p w14:paraId="3F446690" w14:textId="77777777" w:rsidR="00584DB1" w:rsidRPr="00BF3CDE" w:rsidRDefault="00584DB1" w:rsidP="00AB0F8D">
            <w:pPr>
              <w:pStyle w:val="NoSpacing"/>
              <w:jc w:val="center"/>
              <w:rPr>
                <w:b/>
                <w:bCs/>
                <w:noProof/>
                <w:sz w:val="14"/>
                <w:szCs w:val="14"/>
                <w:lang w:val="sr-Cyrl-CS"/>
              </w:rPr>
            </w:pPr>
          </w:p>
        </w:tc>
        <w:tc>
          <w:tcPr>
            <w:tcW w:w="1208" w:type="dxa"/>
            <w:vMerge/>
            <w:tcBorders>
              <w:top w:val="double" w:sz="6" w:space="0" w:color="auto"/>
              <w:left w:val="nil"/>
              <w:bottom w:val="double" w:sz="6" w:space="0" w:color="000000"/>
              <w:right w:val="nil"/>
            </w:tcBorders>
            <w:shd w:val="clear" w:color="auto" w:fill="auto"/>
            <w:vAlign w:val="center"/>
          </w:tcPr>
          <w:p w14:paraId="3E1F7376" w14:textId="77777777" w:rsidR="00584DB1" w:rsidRPr="00BF3CDE" w:rsidRDefault="00584DB1" w:rsidP="00AB0F8D">
            <w:pPr>
              <w:pStyle w:val="NoSpacing"/>
              <w:jc w:val="center"/>
              <w:rPr>
                <w:b/>
                <w:bCs/>
                <w:noProof/>
                <w:sz w:val="14"/>
                <w:szCs w:val="14"/>
                <w:lang w:val="sr-Cyrl-CS"/>
              </w:rPr>
            </w:pPr>
          </w:p>
        </w:tc>
        <w:tc>
          <w:tcPr>
            <w:tcW w:w="1211" w:type="dxa"/>
            <w:vMerge/>
            <w:tcBorders>
              <w:top w:val="double" w:sz="6" w:space="0" w:color="auto"/>
              <w:left w:val="nil"/>
              <w:bottom w:val="double" w:sz="6" w:space="0" w:color="000000"/>
              <w:right w:val="nil"/>
            </w:tcBorders>
            <w:shd w:val="clear" w:color="auto" w:fill="auto"/>
            <w:vAlign w:val="center"/>
          </w:tcPr>
          <w:p w14:paraId="579D44D7" w14:textId="77777777" w:rsidR="00584DB1" w:rsidRPr="00BF3CDE" w:rsidRDefault="00584DB1" w:rsidP="00AB0F8D">
            <w:pPr>
              <w:pStyle w:val="NoSpacing"/>
              <w:jc w:val="center"/>
              <w:rPr>
                <w:b/>
                <w:bCs/>
                <w:noProof/>
                <w:sz w:val="14"/>
                <w:szCs w:val="14"/>
                <w:lang w:val="sr-Cyrl-CS"/>
              </w:rPr>
            </w:pPr>
          </w:p>
        </w:tc>
      </w:tr>
      <w:tr w:rsidR="00C031DE" w:rsidRPr="00BF3CDE" w14:paraId="05CFDE77" w14:textId="77777777" w:rsidTr="00E00FE9">
        <w:trPr>
          <w:trHeight w:val="170"/>
          <w:jc w:val="center"/>
        </w:trPr>
        <w:tc>
          <w:tcPr>
            <w:tcW w:w="3058" w:type="dxa"/>
            <w:tcBorders>
              <w:top w:val="nil"/>
              <w:left w:val="nil"/>
              <w:bottom w:val="single" w:sz="8" w:space="0" w:color="969696"/>
              <w:right w:val="nil"/>
            </w:tcBorders>
            <w:shd w:val="clear" w:color="auto" w:fill="auto"/>
            <w:vAlign w:val="center"/>
          </w:tcPr>
          <w:p w14:paraId="4F59C8D7" w14:textId="77777777" w:rsidR="00C031DE" w:rsidRPr="00BF3CDE" w:rsidRDefault="00C031DE" w:rsidP="00AB0F8D">
            <w:pPr>
              <w:pStyle w:val="NoSpacing"/>
              <w:rPr>
                <w:noProof/>
                <w:sz w:val="20"/>
                <w:szCs w:val="20"/>
                <w:lang w:val="sr-Cyrl-CS"/>
              </w:rPr>
            </w:pPr>
            <w:r w:rsidRPr="00BF3CDE">
              <w:rPr>
                <w:noProof/>
                <w:sz w:val="20"/>
                <w:szCs w:val="20"/>
                <w:lang w:val="sr-Cyrl-CS"/>
              </w:rPr>
              <w:t>Укупни приходи</w:t>
            </w:r>
          </w:p>
        </w:tc>
        <w:tc>
          <w:tcPr>
            <w:tcW w:w="1609" w:type="dxa"/>
            <w:tcBorders>
              <w:top w:val="nil"/>
              <w:left w:val="nil"/>
              <w:bottom w:val="single" w:sz="8" w:space="0" w:color="969696"/>
              <w:right w:val="nil"/>
            </w:tcBorders>
            <w:shd w:val="clear" w:color="auto" w:fill="auto"/>
            <w:vAlign w:val="center"/>
          </w:tcPr>
          <w:p w14:paraId="427AC4BC"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4.459.723</w:t>
            </w:r>
          </w:p>
        </w:tc>
        <w:tc>
          <w:tcPr>
            <w:tcW w:w="1464" w:type="dxa"/>
            <w:tcBorders>
              <w:top w:val="nil"/>
              <w:left w:val="nil"/>
              <w:bottom w:val="single" w:sz="8" w:space="0" w:color="969696"/>
              <w:right w:val="nil"/>
            </w:tcBorders>
            <w:shd w:val="clear" w:color="auto" w:fill="auto"/>
            <w:vAlign w:val="center"/>
          </w:tcPr>
          <w:p w14:paraId="7ADA37F6"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3.989.375</w:t>
            </w:r>
          </w:p>
        </w:tc>
        <w:tc>
          <w:tcPr>
            <w:tcW w:w="1609" w:type="dxa"/>
            <w:tcBorders>
              <w:top w:val="nil"/>
              <w:left w:val="nil"/>
              <w:bottom w:val="single" w:sz="8" w:space="0" w:color="969696"/>
              <w:right w:val="nil"/>
            </w:tcBorders>
            <w:shd w:val="clear" w:color="auto" w:fill="99CCFF"/>
            <w:vAlign w:val="center"/>
          </w:tcPr>
          <w:p w14:paraId="20A1C624"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3.949.593</w:t>
            </w:r>
          </w:p>
        </w:tc>
        <w:tc>
          <w:tcPr>
            <w:tcW w:w="1208" w:type="dxa"/>
            <w:tcBorders>
              <w:top w:val="nil"/>
              <w:left w:val="nil"/>
              <w:bottom w:val="single" w:sz="8" w:space="0" w:color="969696"/>
              <w:right w:val="nil"/>
            </w:tcBorders>
            <w:shd w:val="clear" w:color="auto" w:fill="auto"/>
            <w:vAlign w:val="center"/>
          </w:tcPr>
          <w:p w14:paraId="793B0A99"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88,56</w:t>
            </w:r>
          </w:p>
        </w:tc>
        <w:tc>
          <w:tcPr>
            <w:tcW w:w="1211" w:type="dxa"/>
            <w:tcBorders>
              <w:top w:val="nil"/>
              <w:left w:val="nil"/>
              <w:bottom w:val="single" w:sz="8" w:space="0" w:color="969696"/>
              <w:right w:val="nil"/>
            </w:tcBorders>
            <w:shd w:val="clear" w:color="auto" w:fill="auto"/>
            <w:vAlign w:val="center"/>
          </w:tcPr>
          <w:p w14:paraId="69128046"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99,00</w:t>
            </w:r>
          </w:p>
        </w:tc>
      </w:tr>
      <w:tr w:rsidR="00C031DE" w:rsidRPr="00BF3CDE" w14:paraId="4CD1B96D" w14:textId="77777777" w:rsidTr="00E00FE9">
        <w:trPr>
          <w:trHeight w:val="170"/>
          <w:jc w:val="center"/>
        </w:trPr>
        <w:tc>
          <w:tcPr>
            <w:tcW w:w="3058" w:type="dxa"/>
            <w:tcBorders>
              <w:top w:val="nil"/>
              <w:left w:val="nil"/>
              <w:bottom w:val="single" w:sz="8" w:space="0" w:color="969696"/>
              <w:right w:val="nil"/>
            </w:tcBorders>
            <w:shd w:val="clear" w:color="auto" w:fill="auto"/>
            <w:vAlign w:val="center"/>
          </w:tcPr>
          <w:p w14:paraId="12963753" w14:textId="77777777" w:rsidR="00C031DE" w:rsidRPr="00BF3CDE" w:rsidRDefault="00C031DE" w:rsidP="00AB0F8D">
            <w:pPr>
              <w:pStyle w:val="NoSpacing"/>
              <w:rPr>
                <w:noProof/>
                <w:sz w:val="20"/>
                <w:szCs w:val="20"/>
                <w:lang w:val="sr-Cyrl-CS"/>
              </w:rPr>
            </w:pPr>
            <w:r w:rsidRPr="00BF3CDE">
              <w:rPr>
                <w:noProof/>
                <w:sz w:val="20"/>
                <w:szCs w:val="20"/>
                <w:lang w:val="sr-Cyrl-CS"/>
              </w:rPr>
              <w:t>Укупни расходи</w:t>
            </w:r>
          </w:p>
        </w:tc>
        <w:tc>
          <w:tcPr>
            <w:tcW w:w="1609" w:type="dxa"/>
            <w:tcBorders>
              <w:top w:val="nil"/>
              <w:left w:val="nil"/>
              <w:bottom w:val="single" w:sz="8" w:space="0" w:color="969696"/>
              <w:right w:val="nil"/>
            </w:tcBorders>
            <w:shd w:val="clear" w:color="auto" w:fill="auto"/>
            <w:vAlign w:val="center"/>
          </w:tcPr>
          <w:p w14:paraId="27D5388E"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4.582.058</w:t>
            </w:r>
          </w:p>
        </w:tc>
        <w:tc>
          <w:tcPr>
            <w:tcW w:w="1464" w:type="dxa"/>
            <w:tcBorders>
              <w:top w:val="nil"/>
              <w:left w:val="nil"/>
              <w:bottom w:val="single" w:sz="8" w:space="0" w:color="969696"/>
              <w:right w:val="nil"/>
            </w:tcBorders>
            <w:shd w:val="clear" w:color="auto" w:fill="auto"/>
            <w:vAlign w:val="center"/>
          </w:tcPr>
          <w:p w14:paraId="39E76B6A"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3.854.166</w:t>
            </w:r>
          </w:p>
        </w:tc>
        <w:tc>
          <w:tcPr>
            <w:tcW w:w="1609" w:type="dxa"/>
            <w:tcBorders>
              <w:top w:val="nil"/>
              <w:left w:val="nil"/>
              <w:bottom w:val="single" w:sz="8" w:space="0" w:color="969696"/>
              <w:right w:val="nil"/>
            </w:tcBorders>
            <w:shd w:val="clear" w:color="auto" w:fill="99CCFF"/>
            <w:vAlign w:val="center"/>
          </w:tcPr>
          <w:p w14:paraId="7E109473"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4.027.270</w:t>
            </w:r>
          </w:p>
        </w:tc>
        <w:tc>
          <w:tcPr>
            <w:tcW w:w="1208" w:type="dxa"/>
            <w:tcBorders>
              <w:top w:val="nil"/>
              <w:left w:val="nil"/>
              <w:bottom w:val="single" w:sz="8" w:space="0" w:color="969696"/>
              <w:right w:val="nil"/>
            </w:tcBorders>
            <w:shd w:val="clear" w:color="auto" w:fill="auto"/>
            <w:vAlign w:val="center"/>
          </w:tcPr>
          <w:p w14:paraId="5D1C02E7"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87,89</w:t>
            </w:r>
          </w:p>
        </w:tc>
        <w:tc>
          <w:tcPr>
            <w:tcW w:w="1211" w:type="dxa"/>
            <w:tcBorders>
              <w:top w:val="nil"/>
              <w:left w:val="nil"/>
              <w:bottom w:val="single" w:sz="8" w:space="0" w:color="969696"/>
              <w:right w:val="nil"/>
            </w:tcBorders>
            <w:shd w:val="clear" w:color="auto" w:fill="auto"/>
            <w:vAlign w:val="center"/>
          </w:tcPr>
          <w:p w14:paraId="16A82CF7"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104,49</w:t>
            </w:r>
          </w:p>
        </w:tc>
      </w:tr>
      <w:tr w:rsidR="00C031DE" w:rsidRPr="00BF3CDE" w14:paraId="3C990677" w14:textId="77777777" w:rsidTr="00E00FE9">
        <w:trPr>
          <w:trHeight w:val="170"/>
          <w:jc w:val="center"/>
        </w:trPr>
        <w:tc>
          <w:tcPr>
            <w:tcW w:w="3058" w:type="dxa"/>
            <w:tcBorders>
              <w:top w:val="nil"/>
              <w:left w:val="nil"/>
              <w:bottom w:val="single" w:sz="8" w:space="0" w:color="969696"/>
              <w:right w:val="nil"/>
            </w:tcBorders>
            <w:shd w:val="clear" w:color="auto" w:fill="auto"/>
            <w:vAlign w:val="center"/>
          </w:tcPr>
          <w:p w14:paraId="24C35F32" w14:textId="77777777" w:rsidR="00C031DE" w:rsidRPr="00BF3CDE" w:rsidRDefault="00C031DE" w:rsidP="00AB0F8D">
            <w:pPr>
              <w:pStyle w:val="NoSpacing"/>
              <w:rPr>
                <w:noProof/>
                <w:sz w:val="20"/>
                <w:szCs w:val="20"/>
                <w:lang w:val="sr-Cyrl-CS"/>
              </w:rPr>
            </w:pPr>
            <w:r w:rsidRPr="00BF3CDE">
              <w:rPr>
                <w:noProof/>
                <w:sz w:val="20"/>
                <w:szCs w:val="20"/>
                <w:lang w:val="sr-Cyrl-CS"/>
              </w:rPr>
              <w:t>Добитак пре опорезивања</w:t>
            </w:r>
          </w:p>
        </w:tc>
        <w:tc>
          <w:tcPr>
            <w:tcW w:w="1609" w:type="dxa"/>
            <w:tcBorders>
              <w:top w:val="nil"/>
              <w:left w:val="nil"/>
              <w:bottom w:val="single" w:sz="8" w:space="0" w:color="969696"/>
              <w:right w:val="nil"/>
            </w:tcBorders>
            <w:shd w:val="clear" w:color="auto" w:fill="auto"/>
            <w:vAlign w:val="center"/>
          </w:tcPr>
          <w:p w14:paraId="7627B769" w14:textId="77777777" w:rsidR="00C031DE" w:rsidRPr="00BF3CDE" w:rsidRDefault="00C031DE" w:rsidP="00C031DE">
            <w:pPr>
              <w:pStyle w:val="NoSpacing"/>
              <w:jc w:val="right"/>
              <w:rPr>
                <w:noProof/>
                <w:sz w:val="20"/>
                <w:szCs w:val="20"/>
                <w:lang w:val="sr-Cyrl-CS"/>
              </w:rPr>
            </w:pPr>
          </w:p>
        </w:tc>
        <w:tc>
          <w:tcPr>
            <w:tcW w:w="1464" w:type="dxa"/>
            <w:tcBorders>
              <w:top w:val="nil"/>
              <w:left w:val="nil"/>
              <w:bottom w:val="single" w:sz="8" w:space="0" w:color="969696"/>
              <w:right w:val="nil"/>
            </w:tcBorders>
            <w:shd w:val="clear" w:color="auto" w:fill="auto"/>
            <w:vAlign w:val="center"/>
          </w:tcPr>
          <w:p w14:paraId="6CB42476"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135.209</w:t>
            </w:r>
          </w:p>
        </w:tc>
        <w:tc>
          <w:tcPr>
            <w:tcW w:w="1609" w:type="dxa"/>
            <w:tcBorders>
              <w:top w:val="nil"/>
              <w:left w:val="nil"/>
              <w:bottom w:val="single" w:sz="8" w:space="0" w:color="969696"/>
              <w:right w:val="nil"/>
            </w:tcBorders>
            <w:shd w:val="clear" w:color="auto" w:fill="99CCFF"/>
            <w:vAlign w:val="center"/>
          </w:tcPr>
          <w:p w14:paraId="55E7C3AB" w14:textId="77777777" w:rsidR="00C031DE" w:rsidRPr="00BF3CDE" w:rsidRDefault="00C031DE" w:rsidP="00C031DE">
            <w:pPr>
              <w:pStyle w:val="NoSpacing"/>
              <w:jc w:val="right"/>
              <w:rPr>
                <w:noProof/>
                <w:sz w:val="20"/>
                <w:szCs w:val="20"/>
                <w:lang w:val="sr-Cyrl-CS"/>
              </w:rPr>
            </w:pPr>
          </w:p>
        </w:tc>
        <w:tc>
          <w:tcPr>
            <w:tcW w:w="1208" w:type="dxa"/>
            <w:tcBorders>
              <w:top w:val="nil"/>
              <w:left w:val="nil"/>
              <w:bottom w:val="single" w:sz="8" w:space="0" w:color="969696"/>
              <w:right w:val="nil"/>
            </w:tcBorders>
            <w:shd w:val="clear" w:color="auto" w:fill="auto"/>
            <w:vAlign w:val="center"/>
          </w:tcPr>
          <w:p w14:paraId="374A5A41" w14:textId="77777777" w:rsidR="00C031DE" w:rsidRPr="00BF3CDE" w:rsidRDefault="00C031DE" w:rsidP="00C031DE">
            <w:pPr>
              <w:pStyle w:val="NoSpacing"/>
              <w:jc w:val="right"/>
              <w:rPr>
                <w:noProof/>
                <w:sz w:val="20"/>
                <w:szCs w:val="20"/>
                <w:lang w:val="sr-Cyrl-CS"/>
              </w:rPr>
            </w:pPr>
          </w:p>
        </w:tc>
        <w:tc>
          <w:tcPr>
            <w:tcW w:w="1211" w:type="dxa"/>
            <w:tcBorders>
              <w:top w:val="nil"/>
              <w:left w:val="nil"/>
              <w:bottom w:val="single" w:sz="8" w:space="0" w:color="969696"/>
              <w:right w:val="nil"/>
            </w:tcBorders>
            <w:shd w:val="clear" w:color="auto" w:fill="auto"/>
            <w:vAlign w:val="center"/>
          </w:tcPr>
          <w:p w14:paraId="3A752F01" w14:textId="77777777" w:rsidR="00C031DE" w:rsidRPr="00BF3CDE" w:rsidRDefault="00C031DE" w:rsidP="00C031DE">
            <w:pPr>
              <w:pStyle w:val="NoSpacing"/>
              <w:jc w:val="right"/>
              <w:rPr>
                <w:noProof/>
                <w:sz w:val="20"/>
                <w:szCs w:val="20"/>
                <w:lang w:val="sr-Cyrl-CS"/>
              </w:rPr>
            </w:pPr>
          </w:p>
        </w:tc>
      </w:tr>
      <w:tr w:rsidR="00C031DE" w:rsidRPr="00BF3CDE" w14:paraId="2502F7BF" w14:textId="77777777" w:rsidTr="00E00FE9">
        <w:trPr>
          <w:trHeight w:val="170"/>
          <w:jc w:val="center"/>
        </w:trPr>
        <w:tc>
          <w:tcPr>
            <w:tcW w:w="3058" w:type="dxa"/>
            <w:tcBorders>
              <w:top w:val="nil"/>
              <w:left w:val="nil"/>
              <w:bottom w:val="single" w:sz="8" w:space="0" w:color="969696"/>
              <w:right w:val="nil"/>
            </w:tcBorders>
            <w:shd w:val="clear" w:color="auto" w:fill="auto"/>
            <w:vAlign w:val="center"/>
          </w:tcPr>
          <w:p w14:paraId="5599D98C" w14:textId="77777777" w:rsidR="00C031DE" w:rsidRPr="00714AAA" w:rsidRDefault="00C031DE" w:rsidP="00AB0F8D">
            <w:pPr>
              <w:pStyle w:val="NoSpacing"/>
              <w:rPr>
                <w:noProof/>
                <w:sz w:val="20"/>
                <w:szCs w:val="20"/>
              </w:rPr>
            </w:pPr>
            <w:r w:rsidRPr="00BF3CDE">
              <w:rPr>
                <w:noProof/>
                <w:sz w:val="20"/>
                <w:szCs w:val="20"/>
                <w:lang w:val="sr-Cyrl-CS"/>
              </w:rPr>
              <w:t>Губитак</w:t>
            </w:r>
            <w:r w:rsidR="00714AAA">
              <w:rPr>
                <w:noProof/>
                <w:sz w:val="20"/>
                <w:szCs w:val="20"/>
              </w:rPr>
              <w:t xml:space="preserve"> </w:t>
            </w:r>
            <w:r w:rsidR="00714AAA" w:rsidRPr="00BF3CDE">
              <w:rPr>
                <w:noProof/>
                <w:sz w:val="20"/>
                <w:szCs w:val="20"/>
                <w:lang w:val="sr-Cyrl-CS"/>
              </w:rPr>
              <w:t>пре опорезивања</w:t>
            </w:r>
          </w:p>
        </w:tc>
        <w:tc>
          <w:tcPr>
            <w:tcW w:w="1609" w:type="dxa"/>
            <w:tcBorders>
              <w:top w:val="nil"/>
              <w:left w:val="nil"/>
              <w:bottom w:val="single" w:sz="8" w:space="0" w:color="969696"/>
              <w:right w:val="nil"/>
            </w:tcBorders>
            <w:shd w:val="clear" w:color="auto" w:fill="auto"/>
            <w:vAlign w:val="center"/>
          </w:tcPr>
          <w:p w14:paraId="0A3BB34B"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122.335</w:t>
            </w:r>
          </w:p>
        </w:tc>
        <w:tc>
          <w:tcPr>
            <w:tcW w:w="1464" w:type="dxa"/>
            <w:tcBorders>
              <w:top w:val="nil"/>
              <w:left w:val="nil"/>
              <w:bottom w:val="single" w:sz="8" w:space="0" w:color="969696"/>
              <w:right w:val="nil"/>
            </w:tcBorders>
            <w:shd w:val="clear" w:color="auto" w:fill="auto"/>
            <w:vAlign w:val="center"/>
          </w:tcPr>
          <w:p w14:paraId="2F59F926" w14:textId="77777777" w:rsidR="00C031DE" w:rsidRPr="00BF3CDE" w:rsidRDefault="00C031DE" w:rsidP="00C031DE">
            <w:pPr>
              <w:pStyle w:val="NoSpacing"/>
              <w:jc w:val="right"/>
              <w:rPr>
                <w:noProof/>
                <w:sz w:val="20"/>
                <w:szCs w:val="20"/>
                <w:lang w:val="sr-Cyrl-CS"/>
              </w:rPr>
            </w:pPr>
          </w:p>
        </w:tc>
        <w:tc>
          <w:tcPr>
            <w:tcW w:w="1609" w:type="dxa"/>
            <w:tcBorders>
              <w:top w:val="nil"/>
              <w:left w:val="nil"/>
              <w:bottom w:val="single" w:sz="8" w:space="0" w:color="969696"/>
              <w:right w:val="nil"/>
            </w:tcBorders>
            <w:shd w:val="clear" w:color="auto" w:fill="99CCFF"/>
            <w:vAlign w:val="center"/>
          </w:tcPr>
          <w:p w14:paraId="29B7E36C"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77.677</w:t>
            </w:r>
          </w:p>
        </w:tc>
        <w:tc>
          <w:tcPr>
            <w:tcW w:w="1208" w:type="dxa"/>
            <w:tcBorders>
              <w:top w:val="nil"/>
              <w:left w:val="nil"/>
              <w:bottom w:val="single" w:sz="8" w:space="0" w:color="969696"/>
              <w:right w:val="nil"/>
            </w:tcBorders>
            <w:shd w:val="clear" w:color="auto" w:fill="auto"/>
            <w:vAlign w:val="center"/>
          </w:tcPr>
          <w:p w14:paraId="0E9C7E0E"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-63,50</w:t>
            </w:r>
          </w:p>
        </w:tc>
        <w:tc>
          <w:tcPr>
            <w:tcW w:w="1211" w:type="dxa"/>
            <w:tcBorders>
              <w:top w:val="nil"/>
              <w:left w:val="nil"/>
              <w:bottom w:val="single" w:sz="8" w:space="0" w:color="969696"/>
              <w:right w:val="nil"/>
            </w:tcBorders>
            <w:shd w:val="clear" w:color="auto" w:fill="auto"/>
            <w:vAlign w:val="center"/>
          </w:tcPr>
          <w:p w14:paraId="249C8E11" w14:textId="77777777" w:rsidR="00C031DE" w:rsidRPr="00BF3CDE" w:rsidRDefault="00C031DE" w:rsidP="00C031DE">
            <w:pPr>
              <w:pStyle w:val="NoSpacing"/>
              <w:jc w:val="right"/>
              <w:rPr>
                <w:noProof/>
                <w:sz w:val="20"/>
                <w:szCs w:val="20"/>
                <w:lang w:val="sr-Cyrl-CS"/>
              </w:rPr>
            </w:pPr>
          </w:p>
        </w:tc>
      </w:tr>
      <w:tr w:rsidR="00C031DE" w:rsidRPr="00BF3CDE" w14:paraId="3E7974FE" w14:textId="77777777" w:rsidTr="00E00FE9">
        <w:trPr>
          <w:trHeight w:val="170"/>
          <w:jc w:val="center"/>
        </w:trPr>
        <w:tc>
          <w:tcPr>
            <w:tcW w:w="3058" w:type="dxa"/>
            <w:tcBorders>
              <w:top w:val="nil"/>
              <w:left w:val="nil"/>
              <w:bottom w:val="single" w:sz="8" w:space="0" w:color="969696"/>
              <w:right w:val="nil"/>
            </w:tcBorders>
            <w:shd w:val="clear" w:color="auto" w:fill="auto"/>
            <w:vAlign w:val="center"/>
          </w:tcPr>
          <w:p w14:paraId="7DE71E7E" w14:textId="77777777" w:rsidR="00C031DE" w:rsidRPr="00BF3CDE" w:rsidRDefault="00C031DE" w:rsidP="00AB0F8D">
            <w:pPr>
              <w:pStyle w:val="NoSpacing"/>
              <w:rPr>
                <w:noProof/>
                <w:sz w:val="20"/>
                <w:szCs w:val="20"/>
                <w:lang w:val="sr-Cyrl-CS"/>
              </w:rPr>
            </w:pPr>
            <w:r w:rsidRPr="00BF3CDE">
              <w:rPr>
                <w:noProof/>
                <w:sz w:val="20"/>
                <w:szCs w:val="20"/>
                <w:lang w:val="sr-Cyrl-CS"/>
              </w:rPr>
              <w:t>Билансна актива/пасива</w:t>
            </w:r>
          </w:p>
        </w:tc>
        <w:tc>
          <w:tcPr>
            <w:tcW w:w="1609" w:type="dxa"/>
            <w:tcBorders>
              <w:top w:val="nil"/>
              <w:left w:val="nil"/>
              <w:bottom w:val="single" w:sz="8" w:space="0" w:color="969696"/>
              <w:right w:val="nil"/>
            </w:tcBorders>
            <w:shd w:val="clear" w:color="auto" w:fill="auto"/>
            <w:vAlign w:val="center"/>
          </w:tcPr>
          <w:p w14:paraId="2689CC40"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3.863.623</w:t>
            </w:r>
          </w:p>
        </w:tc>
        <w:tc>
          <w:tcPr>
            <w:tcW w:w="1464" w:type="dxa"/>
            <w:tcBorders>
              <w:top w:val="nil"/>
              <w:left w:val="nil"/>
              <w:bottom w:val="single" w:sz="8" w:space="0" w:color="969696"/>
              <w:right w:val="nil"/>
            </w:tcBorders>
            <w:shd w:val="clear" w:color="auto" w:fill="auto"/>
            <w:vAlign w:val="center"/>
          </w:tcPr>
          <w:p w14:paraId="0F6D6C20" w14:textId="77777777" w:rsidR="00C031DE" w:rsidRPr="00BF3CDE" w:rsidRDefault="00C031DE" w:rsidP="00C031DE">
            <w:pPr>
              <w:pStyle w:val="NoSpacing"/>
              <w:jc w:val="right"/>
              <w:rPr>
                <w:noProof/>
                <w:sz w:val="20"/>
                <w:szCs w:val="20"/>
                <w:lang w:val="sr-Cyrl-CS"/>
              </w:rPr>
            </w:pPr>
          </w:p>
        </w:tc>
        <w:tc>
          <w:tcPr>
            <w:tcW w:w="1609" w:type="dxa"/>
            <w:tcBorders>
              <w:top w:val="nil"/>
              <w:left w:val="nil"/>
              <w:bottom w:val="single" w:sz="8" w:space="0" w:color="969696"/>
              <w:right w:val="nil"/>
            </w:tcBorders>
            <w:shd w:val="clear" w:color="auto" w:fill="99CCFF"/>
            <w:vAlign w:val="center"/>
          </w:tcPr>
          <w:p w14:paraId="73D9B5EE"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4.196.598</w:t>
            </w:r>
          </w:p>
        </w:tc>
        <w:tc>
          <w:tcPr>
            <w:tcW w:w="1208" w:type="dxa"/>
            <w:tcBorders>
              <w:top w:val="nil"/>
              <w:left w:val="nil"/>
              <w:bottom w:val="single" w:sz="8" w:space="0" w:color="969696"/>
              <w:right w:val="nil"/>
            </w:tcBorders>
            <w:shd w:val="clear" w:color="auto" w:fill="auto"/>
            <w:vAlign w:val="center"/>
          </w:tcPr>
          <w:p w14:paraId="02254F0B"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108,62</w:t>
            </w:r>
          </w:p>
        </w:tc>
        <w:tc>
          <w:tcPr>
            <w:tcW w:w="1211" w:type="dxa"/>
            <w:tcBorders>
              <w:top w:val="nil"/>
              <w:left w:val="nil"/>
              <w:bottom w:val="single" w:sz="8" w:space="0" w:color="969696"/>
              <w:right w:val="nil"/>
            </w:tcBorders>
            <w:shd w:val="clear" w:color="auto" w:fill="auto"/>
            <w:vAlign w:val="center"/>
          </w:tcPr>
          <w:p w14:paraId="6C561BE8" w14:textId="77777777" w:rsidR="00C031DE" w:rsidRPr="00BF3CDE" w:rsidRDefault="00C031DE" w:rsidP="00C031DE">
            <w:pPr>
              <w:pStyle w:val="NoSpacing"/>
              <w:jc w:val="right"/>
              <w:rPr>
                <w:noProof/>
                <w:sz w:val="20"/>
                <w:szCs w:val="20"/>
                <w:lang w:val="sr-Cyrl-CS"/>
              </w:rPr>
            </w:pPr>
          </w:p>
        </w:tc>
      </w:tr>
      <w:tr w:rsidR="00C031DE" w:rsidRPr="00BF3CDE" w14:paraId="5777CE72" w14:textId="77777777" w:rsidTr="00E00FE9">
        <w:trPr>
          <w:trHeight w:val="170"/>
          <w:jc w:val="center"/>
        </w:trPr>
        <w:tc>
          <w:tcPr>
            <w:tcW w:w="3058" w:type="dxa"/>
            <w:tcBorders>
              <w:top w:val="nil"/>
              <w:left w:val="nil"/>
              <w:bottom w:val="single" w:sz="8" w:space="0" w:color="969696"/>
              <w:right w:val="nil"/>
            </w:tcBorders>
            <w:shd w:val="clear" w:color="auto" w:fill="auto"/>
            <w:vAlign w:val="center"/>
          </w:tcPr>
          <w:p w14:paraId="5489F96E" w14:textId="77777777" w:rsidR="00C031DE" w:rsidRPr="00BF3CDE" w:rsidRDefault="00C031DE" w:rsidP="00E00FE9">
            <w:pPr>
              <w:pStyle w:val="NoSpacing"/>
              <w:rPr>
                <w:noProof/>
                <w:sz w:val="20"/>
                <w:szCs w:val="20"/>
                <w:lang w:val="sr-Cyrl-CS"/>
              </w:rPr>
            </w:pPr>
            <w:r w:rsidRPr="00BF3CDE">
              <w:rPr>
                <w:noProof/>
                <w:sz w:val="20"/>
                <w:szCs w:val="20"/>
                <w:lang w:val="sr-Cyrl-CS"/>
              </w:rPr>
              <w:t>Ванбил</w:t>
            </w:r>
            <w:r w:rsidR="00E00FE9" w:rsidRPr="00BF3CDE">
              <w:rPr>
                <w:noProof/>
                <w:sz w:val="20"/>
                <w:szCs w:val="20"/>
                <w:lang w:val="sr-Cyrl-CS"/>
              </w:rPr>
              <w:t>.</w:t>
            </w:r>
            <w:r w:rsidRPr="00BF3CDE">
              <w:rPr>
                <w:noProof/>
                <w:sz w:val="20"/>
                <w:szCs w:val="20"/>
                <w:lang w:val="sr-Cyrl-CS"/>
              </w:rPr>
              <w:t xml:space="preserve"> актива/пасива</w:t>
            </w:r>
          </w:p>
        </w:tc>
        <w:tc>
          <w:tcPr>
            <w:tcW w:w="1609" w:type="dxa"/>
            <w:tcBorders>
              <w:top w:val="nil"/>
              <w:left w:val="nil"/>
              <w:bottom w:val="single" w:sz="8" w:space="0" w:color="969696"/>
              <w:right w:val="nil"/>
            </w:tcBorders>
            <w:shd w:val="clear" w:color="auto" w:fill="auto"/>
            <w:vAlign w:val="center"/>
          </w:tcPr>
          <w:p w14:paraId="4C32E3E7" w14:textId="77777777" w:rsidR="00C031DE" w:rsidRPr="00BF3CDE" w:rsidRDefault="00C031DE" w:rsidP="00C031DE">
            <w:pPr>
              <w:pStyle w:val="NoSpacing"/>
              <w:jc w:val="right"/>
              <w:rPr>
                <w:noProof/>
                <w:sz w:val="20"/>
                <w:szCs w:val="20"/>
                <w:lang w:val="sr-Cyrl-CS"/>
              </w:rPr>
            </w:pPr>
          </w:p>
        </w:tc>
        <w:tc>
          <w:tcPr>
            <w:tcW w:w="1464" w:type="dxa"/>
            <w:tcBorders>
              <w:top w:val="nil"/>
              <w:left w:val="nil"/>
              <w:bottom w:val="single" w:sz="8" w:space="0" w:color="969696"/>
              <w:right w:val="nil"/>
            </w:tcBorders>
            <w:shd w:val="clear" w:color="auto" w:fill="auto"/>
            <w:vAlign w:val="center"/>
          </w:tcPr>
          <w:p w14:paraId="575DE0D2" w14:textId="77777777" w:rsidR="00C031DE" w:rsidRPr="00BF3CDE" w:rsidRDefault="00C031DE" w:rsidP="00C031DE">
            <w:pPr>
              <w:pStyle w:val="NoSpacing"/>
              <w:jc w:val="right"/>
              <w:rPr>
                <w:noProof/>
                <w:sz w:val="20"/>
                <w:szCs w:val="20"/>
                <w:lang w:val="sr-Cyrl-CS"/>
              </w:rPr>
            </w:pPr>
          </w:p>
        </w:tc>
        <w:tc>
          <w:tcPr>
            <w:tcW w:w="1609" w:type="dxa"/>
            <w:tcBorders>
              <w:top w:val="nil"/>
              <w:left w:val="nil"/>
              <w:bottom w:val="single" w:sz="8" w:space="0" w:color="969696"/>
              <w:right w:val="nil"/>
            </w:tcBorders>
            <w:shd w:val="clear" w:color="auto" w:fill="99CCFF"/>
            <w:vAlign w:val="center"/>
          </w:tcPr>
          <w:p w14:paraId="4786B234" w14:textId="77777777" w:rsidR="00C031DE" w:rsidRPr="00BF3CDE" w:rsidRDefault="00C031DE" w:rsidP="00C031DE">
            <w:pPr>
              <w:pStyle w:val="NoSpacing"/>
              <w:jc w:val="right"/>
              <w:rPr>
                <w:noProof/>
                <w:sz w:val="20"/>
                <w:szCs w:val="20"/>
                <w:lang w:val="sr-Cyrl-CS"/>
              </w:rPr>
            </w:pPr>
          </w:p>
        </w:tc>
        <w:tc>
          <w:tcPr>
            <w:tcW w:w="1208" w:type="dxa"/>
            <w:tcBorders>
              <w:top w:val="nil"/>
              <w:left w:val="nil"/>
              <w:bottom w:val="single" w:sz="8" w:space="0" w:color="969696"/>
              <w:right w:val="nil"/>
            </w:tcBorders>
            <w:shd w:val="clear" w:color="auto" w:fill="auto"/>
            <w:vAlign w:val="center"/>
          </w:tcPr>
          <w:p w14:paraId="156F4D89" w14:textId="77777777" w:rsidR="00C031DE" w:rsidRPr="00BF3CDE" w:rsidRDefault="00C031DE" w:rsidP="00C031DE">
            <w:pPr>
              <w:pStyle w:val="NoSpacing"/>
              <w:jc w:val="right"/>
              <w:rPr>
                <w:noProof/>
                <w:sz w:val="20"/>
                <w:szCs w:val="20"/>
                <w:lang w:val="sr-Cyrl-CS"/>
              </w:rPr>
            </w:pPr>
          </w:p>
        </w:tc>
        <w:tc>
          <w:tcPr>
            <w:tcW w:w="1211" w:type="dxa"/>
            <w:tcBorders>
              <w:top w:val="nil"/>
              <w:left w:val="nil"/>
              <w:bottom w:val="single" w:sz="8" w:space="0" w:color="969696"/>
              <w:right w:val="nil"/>
            </w:tcBorders>
            <w:shd w:val="clear" w:color="auto" w:fill="auto"/>
            <w:vAlign w:val="center"/>
          </w:tcPr>
          <w:p w14:paraId="69FE2FAC" w14:textId="77777777" w:rsidR="00C031DE" w:rsidRPr="00BF3CDE" w:rsidRDefault="00C031DE" w:rsidP="00C031DE">
            <w:pPr>
              <w:pStyle w:val="NoSpacing"/>
              <w:jc w:val="right"/>
              <w:rPr>
                <w:noProof/>
                <w:sz w:val="20"/>
                <w:szCs w:val="20"/>
                <w:lang w:val="sr-Cyrl-CS"/>
              </w:rPr>
            </w:pPr>
          </w:p>
        </w:tc>
      </w:tr>
      <w:tr w:rsidR="00C031DE" w:rsidRPr="00BF3CDE" w14:paraId="7E0C5023" w14:textId="77777777" w:rsidTr="00E00FE9">
        <w:trPr>
          <w:trHeight w:val="170"/>
          <w:jc w:val="center"/>
        </w:trPr>
        <w:tc>
          <w:tcPr>
            <w:tcW w:w="3058" w:type="dxa"/>
            <w:tcBorders>
              <w:top w:val="nil"/>
              <w:left w:val="nil"/>
              <w:bottom w:val="single" w:sz="8" w:space="0" w:color="969696"/>
              <w:right w:val="nil"/>
            </w:tcBorders>
            <w:shd w:val="clear" w:color="auto" w:fill="auto"/>
            <w:vAlign w:val="center"/>
          </w:tcPr>
          <w:p w14:paraId="2A37DA03" w14:textId="77777777" w:rsidR="00C031DE" w:rsidRPr="00BF3CDE" w:rsidRDefault="00C031DE" w:rsidP="00AB0F8D">
            <w:pPr>
              <w:pStyle w:val="NoSpacing"/>
              <w:rPr>
                <w:noProof/>
                <w:sz w:val="20"/>
                <w:szCs w:val="20"/>
                <w:lang w:val="sr-Cyrl-CS"/>
              </w:rPr>
            </w:pPr>
            <w:r w:rsidRPr="00BF3CDE">
              <w:rPr>
                <w:noProof/>
                <w:sz w:val="20"/>
                <w:szCs w:val="20"/>
                <w:lang w:val="sr-Cyrl-CS"/>
              </w:rPr>
              <w:t>Трошкови пословања</w:t>
            </w:r>
          </w:p>
        </w:tc>
        <w:tc>
          <w:tcPr>
            <w:tcW w:w="1609" w:type="dxa"/>
            <w:tcBorders>
              <w:top w:val="nil"/>
              <w:left w:val="nil"/>
              <w:bottom w:val="single" w:sz="8" w:space="0" w:color="969696"/>
              <w:right w:val="nil"/>
            </w:tcBorders>
            <w:shd w:val="clear" w:color="auto" w:fill="auto"/>
            <w:vAlign w:val="center"/>
          </w:tcPr>
          <w:p w14:paraId="3BB35C76"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187.002</w:t>
            </w:r>
          </w:p>
        </w:tc>
        <w:tc>
          <w:tcPr>
            <w:tcW w:w="1464" w:type="dxa"/>
            <w:tcBorders>
              <w:top w:val="nil"/>
              <w:left w:val="nil"/>
              <w:bottom w:val="single" w:sz="8" w:space="0" w:color="969696"/>
              <w:right w:val="nil"/>
            </w:tcBorders>
            <w:shd w:val="clear" w:color="auto" w:fill="auto"/>
            <w:vAlign w:val="center"/>
          </w:tcPr>
          <w:p w14:paraId="6AEEFD9F"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151.000</w:t>
            </w:r>
          </w:p>
        </w:tc>
        <w:tc>
          <w:tcPr>
            <w:tcW w:w="1609" w:type="dxa"/>
            <w:tcBorders>
              <w:top w:val="nil"/>
              <w:left w:val="nil"/>
              <w:bottom w:val="single" w:sz="8" w:space="0" w:color="969696"/>
              <w:right w:val="nil"/>
            </w:tcBorders>
            <w:shd w:val="clear" w:color="auto" w:fill="99CCFF"/>
            <w:vAlign w:val="center"/>
          </w:tcPr>
          <w:p w14:paraId="6D84A609"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127.784</w:t>
            </w:r>
          </w:p>
        </w:tc>
        <w:tc>
          <w:tcPr>
            <w:tcW w:w="1208" w:type="dxa"/>
            <w:tcBorders>
              <w:top w:val="nil"/>
              <w:left w:val="nil"/>
              <w:bottom w:val="single" w:sz="8" w:space="0" w:color="969696"/>
              <w:right w:val="nil"/>
            </w:tcBorders>
            <w:shd w:val="clear" w:color="auto" w:fill="auto"/>
            <w:vAlign w:val="center"/>
          </w:tcPr>
          <w:p w14:paraId="14E2890E"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68,33</w:t>
            </w:r>
          </w:p>
        </w:tc>
        <w:tc>
          <w:tcPr>
            <w:tcW w:w="1211" w:type="dxa"/>
            <w:tcBorders>
              <w:top w:val="nil"/>
              <w:left w:val="nil"/>
              <w:bottom w:val="single" w:sz="8" w:space="0" w:color="969696"/>
              <w:right w:val="nil"/>
            </w:tcBorders>
            <w:shd w:val="clear" w:color="auto" w:fill="auto"/>
            <w:vAlign w:val="center"/>
          </w:tcPr>
          <w:p w14:paraId="51B09336"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84,63</w:t>
            </w:r>
          </w:p>
        </w:tc>
      </w:tr>
      <w:tr w:rsidR="00C031DE" w:rsidRPr="00BF3CDE" w14:paraId="3459D272" w14:textId="77777777" w:rsidTr="00E00FE9">
        <w:trPr>
          <w:trHeight w:val="170"/>
          <w:jc w:val="center"/>
        </w:trPr>
        <w:tc>
          <w:tcPr>
            <w:tcW w:w="3058" w:type="dxa"/>
            <w:tcBorders>
              <w:top w:val="nil"/>
              <w:left w:val="nil"/>
              <w:bottom w:val="single" w:sz="8" w:space="0" w:color="969696"/>
              <w:right w:val="nil"/>
            </w:tcBorders>
            <w:shd w:val="clear" w:color="auto" w:fill="auto"/>
            <w:vAlign w:val="center"/>
          </w:tcPr>
          <w:p w14:paraId="396B4088" w14:textId="77777777" w:rsidR="00C031DE" w:rsidRPr="00BF3CDE" w:rsidRDefault="00C031DE" w:rsidP="00AB0F8D">
            <w:pPr>
              <w:pStyle w:val="NoSpacing"/>
              <w:rPr>
                <w:noProof/>
                <w:sz w:val="20"/>
                <w:szCs w:val="20"/>
                <w:lang w:val="sr-Cyrl-CS"/>
              </w:rPr>
            </w:pPr>
            <w:r w:rsidRPr="00BF3CDE">
              <w:rPr>
                <w:noProof/>
                <w:sz w:val="20"/>
                <w:szCs w:val="20"/>
                <w:lang w:val="sr-Cyrl-CS"/>
              </w:rPr>
              <w:t>Број запослених на крају месеца</w:t>
            </w:r>
          </w:p>
        </w:tc>
        <w:tc>
          <w:tcPr>
            <w:tcW w:w="1609" w:type="dxa"/>
            <w:tcBorders>
              <w:top w:val="nil"/>
              <w:left w:val="nil"/>
              <w:bottom w:val="single" w:sz="8" w:space="0" w:color="969696"/>
              <w:right w:val="nil"/>
            </w:tcBorders>
            <w:shd w:val="clear" w:color="auto" w:fill="auto"/>
            <w:vAlign w:val="center"/>
          </w:tcPr>
          <w:p w14:paraId="629777F2"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31</w:t>
            </w:r>
          </w:p>
        </w:tc>
        <w:tc>
          <w:tcPr>
            <w:tcW w:w="1464" w:type="dxa"/>
            <w:tcBorders>
              <w:top w:val="nil"/>
              <w:left w:val="nil"/>
              <w:bottom w:val="single" w:sz="8" w:space="0" w:color="969696"/>
              <w:right w:val="nil"/>
            </w:tcBorders>
            <w:shd w:val="clear" w:color="auto" w:fill="auto"/>
            <w:vAlign w:val="center"/>
          </w:tcPr>
          <w:p w14:paraId="67E1773F"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31</w:t>
            </w:r>
          </w:p>
        </w:tc>
        <w:tc>
          <w:tcPr>
            <w:tcW w:w="1609" w:type="dxa"/>
            <w:tcBorders>
              <w:top w:val="nil"/>
              <w:left w:val="nil"/>
              <w:bottom w:val="single" w:sz="8" w:space="0" w:color="969696"/>
              <w:right w:val="nil"/>
            </w:tcBorders>
            <w:shd w:val="clear" w:color="auto" w:fill="99CCFF"/>
            <w:vAlign w:val="center"/>
          </w:tcPr>
          <w:p w14:paraId="4FA8A126"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32</w:t>
            </w:r>
          </w:p>
        </w:tc>
        <w:tc>
          <w:tcPr>
            <w:tcW w:w="1208" w:type="dxa"/>
            <w:tcBorders>
              <w:top w:val="nil"/>
              <w:left w:val="nil"/>
              <w:bottom w:val="single" w:sz="8" w:space="0" w:color="969696"/>
              <w:right w:val="nil"/>
            </w:tcBorders>
            <w:shd w:val="clear" w:color="auto" w:fill="auto"/>
            <w:vAlign w:val="center"/>
          </w:tcPr>
          <w:p w14:paraId="133B12E9"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103,23</w:t>
            </w:r>
          </w:p>
        </w:tc>
        <w:tc>
          <w:tcPr>
            <w:tcW w:w="1211" w:type="dxa"/>
            <w:tcBorders>
              <w:top w:val="nil"/>
              <w:left w:val="nil"/>
              <w:bottom w:val="single" w:sz="8" w:space="0" w:color="969696"/>
              <w:right w:val="nil"/>
            </w:tcBorders>
            <w:shd w:val="clear" w:color="auto" w:fill="auto"/>
            <w:vAlign w:val="center"/>
          </w:tcPr>
          <w:p w14:paraId="5C5141E5"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103,23</w:t>
            </w:r>
          </w:p>
        </w:tc>
      </w:tr>
      <w:tr w:rsidR="00C031DE" w:rsidRPr="00BF3CDE" w14:paraId="6AD74293" w14:textId="77777777" w:rsidTr="00E00FE9">
        <w:trPr>
          <w:trHeight w:val="170"/>
          <w:jc w:val="center"/>
        </w:trPr>
        <w:tc>
          <w:tcPr>
            <w:tcW w:w="3058" w:type="dxa"/>
            <w:tcBorders>
              <w:top w:val="nil"/>
              <w:left w:val="nil"/>
              <w:bottom w:val="single" w:sz="8" w:space="0" w:color="969696"/>
              <w:right w:val="nil"/>
            </w:tcBorders>
            <w:shd w:val="clear" w:color="auto" w:fill="auto"/>
            <w:vAlign w:val="center"/>
          </w:tcPr>
          <w:p w14:paraId="74EB3A99" w14:textId="77777777" w:rsidR="00C031DE" w:rsidRPr="00BF3CDE" w:rsidRDefault="00C031DE" w:rsidP="00AB0F8D">
            <w:pPr>
              <w:pStyle w:val="NoSpacing"/>
              <w:rPr>
                <w:noProof/>
                <w:sz w:val="20"/>
                <w:szCs w:val="20"/>
                <w:lang w:val="sr-Cyrl-CS"/>
              </w:rPr>
            </w:pPr>
            <w:r w:rsidRPr="00BF3CDE">
              <w:rPr>
                <w:noProof/>
                <w:sz w:val="20"/>
                <w:szCs w:val="20"/>
                <w:lang w:val="sr-Cyrl-CS"/>
              </w:rPr>
              <w:t>Просечна нето  зарада</w:t>
            </w:r>
          </w:p>
        </w:tc>
        <w:tc>
          <w:tcPr>
            <w:tcW w:w="1609" w:type="dxa"/>
            <w:tcBorders>
              <w:top w:val="nil"/>
              <w:left w:val="nil"/>
              <w:bottom w:val="single" w:sz="8" w:space="0" w:color="969696"/>
              <w:right w:val="nil"/>
            </w:tcBorders>
            <w:shd w:val="clear" w:color="auto" w:fill="auto"/>
            <w:vAlign w:val="center"/>
          </w:tcPr>
          <w:p w14:paraId="7F3401F4"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157</w:t>
            </w:r>
          </w:p>
        </w:tc>
        <w:tc>
          <w:tcPr>
            <w:tcW w:w="1464" w:type="dxa"/>
            <w:tcBorders>
              <w:top w:val="nil"/>
              <w:left w:val="nil"/>
              <w:bottom w:val="single" w:sz="8" w:space="0" w:color="969696"/>
              <w:right w:val="nil"/>
            </w:tcBorders>
            <w:shd w:val="clear" w:color="auto" w:fill="auto"/>
            <w:vAlign w:val="center"/>
          </w:tcPr>
          <w:p w14:paraId="093BEFF2"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174</w:t>
            </w:r>
          </w:p>
        </w:tc>
        <w:tc>
          <w:tcPr>
            <w:tcW w:w="1609" w:type="dxa"/>
            <w:tcBorders>
              <w:top w:val="nil"/>
              <w:left w:val="nil"/>
              <w:bottom w:val="single" w:sz="8" w:space="0" w:color="969696"/>
              <w:right w:val="nil"/>
            </w:tcBorders>
            <w:shd w:val="clear" w:color="auto" w:fill="99CCFF"/>
            <w:vAlign w:val="center"/>
          </w:tcPr>
          <w:p w14:paraId="5B70C598"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132</w:t>
            </w:r>
          </w:p>
        </w:tc>
        <w:tc>
          <w:tcPr>
            <w:tcW w:w="1208" w:type="dxa"/>
            <w:tcBorders>
              <w:top w:val="nil"/>
              <w:left w:val="nil"/>
              <w:bottom w:val="single" w:sz="8" w:space="0" w:color="969696"/>
              <w:right w:val="nil"/>
            </w:tcBorders>
            <w:shd w:val="clear" w:color="auto" w:fill="auto"/>
            <w:vAlign w:val="center"/>
          </w:tcPr>
          <w:p w14:paraId="10593848"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84,08</w:t>
            </w:r>
          </w:p>
        </w:tc>
        <w:tc>
          <w:tcPr>
            <w:tcW w:w="1211" w:type="dxa"/>
            <w:tcBorders>
              <w:top w:val="nil"/>
              <w:left w:val="nil"/>
              <w:bottom w:val="single" w:sz="8" w:space="0" w:color="969696"/>
              <w:right w:val="nil"/>
            </w:tcBorders>
            <w:shd w:val="clear" w:color="auto" w:fill="auto"/>
            <w:vAlign w:val="center"/>
          </w:tcPr>
          <w:p w14:paraId="49D0D063"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75,86</w:t>
            </w:r>
          </w:p>
        </w:tc>
      </w:tr>
      <w:tr w:rsidR="00C031DE" w:rsidRPr="00BF3CDE" w14:paraId="10F33C72" w14:textId="77777777" w:rsidTr="00E00FE9">
        <w:trPr>
          <w:trHeight w:val="170"/>
          <w:jc w:val="center"/>
        </w:trPr>
        <w:tc>
          <w:tcPr>
            <w:tcW w:w="3058" w:type="dxa"/>
            <w:tcBorders>
              <w:top w:val="nil"/>
              <w:left w:val="nil"/>
              <w:bottom w:val="single" w:sz="8" w:space="0" w:color="969696"/>
              <w:right w:val="nil"/>
            </w:tcBorders>
            <w:shd w:val="clear" w:color="auto" w:fill="auto"/>
            <w:vAlign w:val="center"/>
          </w:tcPr>
          <w:p w14:paraId="5F21EEB9" w14:textId="77777777" w:rsidR="00C031DE" w:rsidRPr="00BF3CDE" w:rsidRDefault="00C031DE" w:rsidP="00AB0F8D">
            <w:pPr>
              <w:pStyle w:val="NoSpacing"/>
              <w:rPr>
                <w:noProof/>
                <w:sz w:val="20"/>
                <w:szCs w:val="20"/>
                <w:lang w:val="sr-Cyrl-CS"/>
              </w:rPr>
            </w:pPr>
            <w:r w:rsidRPr="00BF3CDE">
              <w:rPr>
                <w:noProof/>
                <w:sz w:val="20"/>
                <w:szCs w:val="20"/>
                <w:lang w:val="sr-Cyrl-CS"/>
              </w:rPr>
              <w:t>Просечна бруто зарада</w:t>
            </w:r>
          </w:p>
        </w:tc>
        <w:tc>
          <w:tcPr>
            <w:tcW w:w="1609" w:type="dxa"/>
            <w:tcBorders>
              <w:top w:val="nil"/>
              <w:left w:val="nil"/>
              <w:bottom w:val="single" w:sz="8" w:space="0" w:color="969696"/>
              <w:right w:val="nil"/>
            </w:tcBorders>
            <w:shd w:val="clear" w:color="auto" w:fill="auto"/>
            <w:vAlign w:val="center"/>
          </w:tcPr>
          <w:p w14:paraId="33D009A6"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224</w:t>
            </w:r>
          </w:p>
        </w:tc>
        <w:tc>
          <w:tcPr>
            <w:tcW w:w="1464" w:type="dxa"/>
            <w:tcBorders>
              <w:top w:val="nil"/>
              <w:left w:val="nil"/>
              <w:bottom w:val="single" w:sz="8" w:space="0" w:color="969696"/>
              <w:right w:val="nil"/>
            </w:tcBorders>
            <w:shd w:val="clear" w:color="auto" w:fill="auto"/>
            <w:vAlign w:val="center"/>
          </w:tcPr>
          <w:p w14:paraId="4F0EE1FF"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248</w:t>
            </w:r>
          </w:p>
        </w:tc>
        <w:tc>
          <w:tcPr>
            <w:tcW w:w="1609" w:type="dxa"/>
            <w:tcBorders>
              <w:top w:val="nil"/>
              <w:left w:val="nil"/>
              <w:bottom w:val="single" w:sz="8" w:space="0" w:color="969696"/>
              <w:right w:val="nil"/>
            </w:tcBorders>
            <w:shd w:val="clear" w:color="auto" w:fill="99CCFF"/>
            <w:vAlign w:val="center"/>
          </w:tcPr>
          <w:p w14:paraId="0900D26D"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188</w:t>
            </w:r>
          </w:p>
        </w:tc>
        <w:tc>
          <w:tcPr>
            <w:tcW w:w="1208" w:type="dxa"/>
            <w:tcBorders>
              <w:top w:val="nil"/>
              <w:left w:val="nil"/>
              <w:bottom w:val="single" w:sz="8" w:space="0" w:color="969696"/>
              <w:right w:val="nil"/>
            </w:tcBorders>
            <w:shd w:val="clear" w:color="auto" w:fill="auto"/>
            <w:vAlign w:val="center"/>
          </w:tcPr>
          <w:p w14:paraId="7F954A74"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83,93</w:t>
            </w:r>
          </w:p>
        </w:tc>
        <w:tc>
          <w:tcPr>
            <w:tcW w:w="1211" w:type="dxa"/>
            <w:tcBorders>
              <w:top w:val="nil"/>
              <w:left w:val="nil"/>
              <w:bottom w:val="single" w:sz="8" w:space="0" w:color="969696"/>
              <w:right w:val="nil"/>
            </w:tcBorders>
            <w:shd w:val="clear" w:color="auto" w:fill="auto"/>
            <w:vAlign w:val="center"/>
          </w:tcPr>
          <w:p w14:paraId="1D564073"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75,81</w:t>
            </w:r>
          </w:p>
        </w:tc>
      </w:tr>
      <w:tr w:rsidR="00C031DE" w:rsidRPr="00BF3CDE" w14:paraId="5C0848F7" w14:textId="77777777" w:rsidTr="00E00FE9">
        <w:trPr>
          <w:trHeight w:val="227"/>
          <w:jc w:val="center"/>
        </w:trPr>
        <w:tc>
          <w:tcPr>
            <w:tcW w:w="3058" w:type="dxa"/>
            <w:tcBorders>
              <w:top w:val="nil"/>
              <w:left w:val="nil"/>
              <w:bottom w:val="single" w:sz="8" w:space="0" w:color="969696"/>
              <w:right w:val="nil"/>
            </w:tcBorders>
            <w:shd w:val="clear" w:color="auto" w:fill="auto"/>
            <w:vAlign w:val="center"/>
          </w:tcPr>
          <w:p w14:paraId="5E628B86" w14:textId="77777777" w:rsidR="00C031DE" w:rsidRPr="00BF3CDE" w:rsidRDefault="00C031DE" w:rsidP="00AB0F8D">
            <w:pPr>
              <w:pStyle w:val="NoSpacing"/>
              <w:rPr>
                <w:noProof/>
                <w:sz w:val="20"/>
                <w:szCs w:val="20"/>
                <w:lang w:val="sr-Cyrl-CS"/>
              </w:rPr>
            </w:pPr>
            <w:r w:rsidRPr="00BF3CDE">
              <w:rPr>
                <w:noProof/>
                <w:sz w:val="20"/>
                <w:szCs w:val="20"/>
                <w:lang w:val="sr-Cyrl-CS"/>
              </w:rPr>
              <w:t>Учешће напл. премије у бруто премији</w:t>
            </w:r>
          </w:p>
        </w:tc>
        <w:tc>
          <w:tcPr>
            <w:tcW w:w="1609" w:type="dxa"/>
            <w:tcBorders>
              <w:top w:val="nil"/>
              <w:left w:val="nil"/>
              <w:bottom w:val="single" w:sz="8" w:space="0" w:color="969696"/>
              <w:right w:val="nil"/>
            </w:tcBorders>
            <w:shd w:val="clear" w:color="auto" w:fill="auto"/>
            <w:vAlign w:val="center"/>
          </w:tcPr>
          <w:p w14:paraId="058F70AB" w14:textId="77777777" w:rsidR="00C031DE" w:rsidRPr="00BF3CDE" w:rsidRDefault="00C031DE" w:rsidP="00C031DE">
            <w:pPr>
              <w:pStyle w:val="NoSpacing"/>
              <w:jc w:val="right"/>
              <w:rPr>
                <w:noProof/>
                <w:sz w:val="20"/>
                <w:szCs w:val="20"/>
                <w:lang w:val="sr-Cyrl-CS"/>
              </w:rPr>
            </w:pPr>
            <w:r w:rsidRPr="00BF3CDE">
              <w:rPr>
                <w:noProof/>
                <w:sz w:val="20"/>
                <w:szCs w:val="20"/>
                <w:lang w:val="sr-Cyrl-CS"/>
              </w:rPr>
              <w:t>75,88</w:t>
            </w:r>
          </w:p>
        </w:tc>
        <w:tc>
          <w:tcPr>
            <w:tcW w:w="1464" w:type="dxa"/>
            <w:tcBorders>
              <w:top w:val="nil"/>
              <w:left w:val="nil"/>
              <w:bottom w:val="single" w:sz="8" w:space="0" w:color="969696"/>
              <w:right w:val="nil"/>
            </w:tcBorders>
            <w:shd w:val="clear" w:color="auto" w:fill="auto"/>
            <w:vAlign w:val="center"/>
          </w:tcPr>
          <w:p w14:paraId="6AE2138E" w14:textId="77777777" w:rsidR="00C031DE" w:rsidRPr="00BF3CDE" w:rsidRDefault="00C031DE" w:rsidP="00C031DE">
            <w:pPr>
              <w:pStyle w:val="NoSpacing"/>
              <w:jc w:val="right"/>
              <w:rPr>
                <w:noProof/>
                <w:sz w:val="20"/>
                <w:szCs w:val="20"/>
                <w:lang w:val="sr-Cyrl-CS"/>
              </w:rPr>
            </w:pPr>
          </w:p>
        </w:tc>
        <w:tc>
          <w:tcPr>
            <w:tcW w:w="1609" w:type="dxa"/>
            <w:tcBorders>
              <w:top w:val="nil"/>
              <w:left w:val="nil"/>
              <w:bottom w:val="single" w:sz="8" w:space="0" w:color="969696"/>
              <w:right w:val="nil"/>
            </w:tcBorders>
            <w:shd w:val="clear" w:color="auto" w:fill="99CCFF"/>
            <w:vAlign w:val="center"/>
          </w:tcPr>
          <w:p w14:paraId="7E151AB4" w14:textId="77777777" w:rsidR="00C031DE" w:rsidRPr="00BF3CDE" w:rsidRDefault="00414FB8" w:rsidP="00C031DE">
            <w:pPr>
              <w:pStyle w:val="NoSpacing"/>
              <w:jc w:val="right"/>
              <w:rPr>
                <w:noProof/>
                <w:sz w:val="20"/>
                <w:szCs w:val="20"/>
                <w:lang w:val="sr-Cyrl-CS"/>
              </w:rPr>
            </w:pPr>
            <w:r w:rsidRPr="00BF3CDE">
              <w:rPr>
                <w:noProof/>
                <w:sz w:val="20"/>
                <w:szCs w:val="20"/>
                <w:lang w:val="sr-Cyrl-CS"/>
              </w:rPr>
              <w:t>121,69</w:t>
            </w:r>
          </w:p>
        </w:tc>
        <w:tc>
          <w:tcPr>
            <w:tcW w:w="1208" w:type="dxa"/>
            <w:tcBorders>
              <w:top w:val="nil"/>
              <w:left w:val="nil"/>
              <w:bottom w:val="single" w:sz="8" w:space="0" w:color="969696"/>
              <w:right w:val="nil"/>
            </w:tcBorders>
            <w:shd w:val="clear" w:color="auto" w:fill="auto"/>
            <w:vAlign w:val="center"/>
          </w:tcPr>
          <w:p w14:paraId="0AAE6FCB" w14:textId="77777777" w:rsidR="00C031DE" w:rsidRPr="00BF3CDE" w:rsidRDefault="00414FB8" w:rsidP="00C031DE">
            <w:pPr>
              <w:pStyle w:val="NoSpacing"/>
              <w:jc w:val="right"/>
              <w:rPr>
                <w:noProof/>
                <w:sz w:val="20"/>
                <w:szCs w:val="20"/>
                <w:lang w:val="sr-Cyrl-CS"/>
              </w:rPr>
            </w:pPr>
            <w:r w:rsidRPr="00BF3CDE">
              <w:rPr>
                <w:noProof/>
                <w:sz w:val="20"/>
                <w:szCs w:val="20"/>
                <w:lang w:val="sr-Cyrl-CS"/>
              </w:rPr>
              <w:t>160,35</w:t>
            </w:r>
          </w:p>
        </w:tc>
        <w:tc>
          <w:tcPr>
            <w:tcW w:w="1211" w:type="dxa"/>
            <w:tcBorders>
              <w:top w:val="nil"/>
              <w:left w:val="nil"/>
              <w:bottom w:val="single" w:sz="8" w:space="0" w:color="969696"/>
              <w:right w:val="nil"/>
            </w:tcBorders>
            <w:shd w:val="clear" w:color="auto" w:fill="auto"/>
            <w:vAlign w:val="center"/>
          </w:tcPr>
          <w:p w14:paraId="610370B9" w14:textId="77777777" w:rsidR="00C031DE" w:rsidRPr="00BF3CDE" w:rsidRDefault="00C031DE" w:rsidP="00C031DE">
            <w:pPr>
              <w:pStyle w:val="NoSpacing"/>
              <w:jc w:val="right"/>
              <w:rPr>
                <w:noProof/>
                <w:sz w:val="20"/>
                <w:szCs w:val="20"/>
                <w:lang w:val="sr-Cyrl-CS"/>
              </w:rPr>
            </w:pPr>
          </w:p>
        </w:tc>
      </w:tr>
      <w:tr w:rsidR="00414FB8" w:rsidRPr="00BF3CDE" w14:paraId="00B7786A" w14:textId="77777777" w:rsidTr="00E00FE9">
        <w:trPr>
          <w:trHeight w:val="227"/>
          <w:jc w:val="center"/>
        </w:trPr>
        <w:tc>
          <w:tcPr>
            <w:tcW w:w="3058" w:type="dxa"/>
            <w:tcBorders>
              <w:top w:val="nil"/>
              <w:left w:val="nil"/>
              <w:bottom w:val="single" w:sz="8" w:space="0" w:color="969696"/>
              <w:right w:val="nil"/>
            </w:tcBorders>
            <w:shd w:val="clear" w:color="auto" w:fill="auto"/>
            <w:vAlign w:val="center"/>
          </w:tcPr>
          <w:p w14:paraId="44E40AD1" w14:textId="77777777" w:rsidR="00414FB8" w:rsidRPr="00BF3CDE" w:rsidRDefault="00414FB8" w:rsidP="00AB0F8D">
            <w:pPr>
              <w:pStyle w:val="NoSpacing"/>
              <w:rPr>
                <w:noProof/>
                <w:sz w:val="20"/>
                <w:szCs w:val="20"/>
                <w:lang w:val="sr-Cyrl-CS"/>
              </w:rPr>
            </w:pPr>
            <w:r w:rsidRPr="00BF3CDE">
              <w:rPr>
                <w:noProof/>
                <w:sz w:val="20"/>
                <w:szCs w:val="20"/>
                <w:lang w:val="sr-Cyrl-CS"/>
              </w:rPr>
              <w:t>Учешће лик. штета у бруто премији</w:t>
            </w:r>
          </w:p>
        </w:tc>
        <w:tc>
          <w:tcPr>
            <w:tcW w:w="1609" w:type="dxa"/>
            <w:tcBorders>
              <w:top w:val="nil"/>
              <w:left w:val="nil"/>
              <w:bottom w:val="single" w:sz="8" w:space="0" w:color="969696"/>
              <w:right w:val="nil"/>
            </w:tcBorders>
            <w:shd w:val="clear" w:color="auto" w:fill="auto"/>
            <w:vAlign w:val="center"/>
          </w:tcPr>
          <w:p w14:paraId="7B7FBAA8" w14:textId="77777777" w:rsidR="00414FB8" w:rsidRPr="00BF3CDE" w:rsidRDefault="00414FB8" w:rsidP="00235916">
            <w:pPr>
              <w:pStyle w:val="NoSpacing"/>
              <w:jc w:val="right"/>
              <w:rPr>
                <w:noProof/>
                <w:sz w:val="20"/>
                <w:szCs w:val="20"/>
                <w:lang w:val="sr-Cyrl-CS"/>
              </w:rPr>
            </w:pPr>
            <w:r w:rsidRPr="00BF3CDE">
              <w:rPr>
                <w:noProof/>
                <w:sz w:val="20"/>
                <w:szCs w:val="20"/>
                <w:lang w:val="sr-Cyrl-CS"/>
              </w:rPr>
              <w:t>34,64</w:t>
            </w:r>
          </w:p>
        </w:tc>
        <w:tc>
          <w:tcPr>
            <w:tcW w:w="1464" w:type="dxa"/>
            <w:tcBorders>
              <w:top w:val="nil"/>
              <w:left w:val="nil"/>
              <w:bottom w:val="single" w:sz="8" w:space="0" w:color="969696"/>
              <w:right w:val="nil"/>
            </w:tcBorders>
            <w:shd w:val="clear" w:color="auto" w:fill="auto"/>
            <w:vAlign w:val="center"/>
          </w:tcPr>
          <w:p w14:paraId="6E28AADA" w14:textId="77777777" w:rsidR="00414FB8" w:rsidRPr="00BF3CDE" w:rsidRDefault="00414FB8" w:rsidP="00235916">
            <w:pPr>
              <w:pStyle w:val="NoSpacing"/>
              <w:jc w:val="right"/>
              <w:rPr>
                <w:noProof/>
                <w:sz w:val="20"/>
                <w:szCs w:val="20"/>
                <w:lang w:val="sr-Cyrl-CS"/>
              </w:rPr>
            </w:pPr>
            <w:r w:rsidRPr="00BF3CDE">
              <w:rPr>
                <w:noProof/>
                <w:sz w:val="20"/>
                <w:szCs w:val="20"/>
                <w:lang w:val="sr-Cyrl-CS"/>
              </w:rPr>
              <w:t>34,14</w:t>
            </w:r>
          </w:p>
        </w:tc>
        <w:tc>
          <w:tcPr>
            <w:tcW w:w="1609" w:type="dxa"/>
            <w:tcBorders>
              <w:top w:val="nil"/>
              <w:left w:val="nil"/>
              <w:bottom w:val="single" w:sz="8" w:space="0" w:color="969696"/>
              <w:right w:val="nil"/>
            </w:tcBorders>
            <w:shd w:val="clear" w:color="auto" w:fill="99CCFF"/>
            <w:vAlign w:val="center"/>
          </w:tcPr>
          <w:p w14:paraId="292F55B9" w14:textId="77777777" w:rsidR="00414FB8" w:rsidRPr="00BF3CDE" w:rsidRDefault="00414FB8" w:rsidP="00235916">
            <w:pPr>
              <w:pStyle w:val="NoSpacing"/>
              <w:jc w:val="right"/>
              <w:rPr>
                <w:noProof/>
                <w:sz w:val="20"/>
                <w:szCs w:val="20"/>
                <w:lang w:val="sr-Cyrl-CS"/>
              </w:rPr>
            </w:pPr>
            <w:r w:rsidRPr="00BF3CDE">
              <w:rPr>
                <w:noProof/>
                <w:sz w:val="20"/>
                <w:szCs w:val="20"/>
                <w:lang w:val="sr-Cyrl-CS"/>
              </w:rPr>
              <w:t>33,13</w:t>
            </w:r>
          </w:p>
        </w:tc>
        <w:tc>
          <w:tcPr>
            <w:tcW w:w="1208" w:type="dxa"/>
            <w:tcBorders>
              <w:top w:val="nil"/>
              <w:left w:val="nil"/>
              <w:bottom w:val="single" w:sz="8" w:space="0" w:color="969696"/>
              <w:right w:val="nil"/>
            </w:tcBorders>
            <w:shd w:val="clear" w:color="auto" w:fill="auto"/>
            <w:vAlign w:val="center"/>
          </w:tcPr>
          <w:p w14:paraId="17F85CAC" w14:textId="77777777" w:rsidR="00414FB8" w:rsidRPr="00BF3CDE" w:rsidRDefault="00414FB8" w:rsidP="00235916">
            <w:pPr>
              <w:pStyle w:val="NoSpacing"/>
              <w:jc w:val="right"/>
              <w:rPr>
                <w:noProof/>
                <w:sz w:val="20"/>
                <w:szCs w:val="20"/>
                <w:lang w:val="sr-Cyrl-CS"/>
              </w:rPr>
            </w:pPr>
            <w:r w:rsidRPr="00BF3CDE">
              <w:rPr>
                <w:noProof/>
                <w:sz w:val="20"/>
                <w:szCs w:val="20"/>
                <w:lang w:val="sr-Cyrl-CS"/>
              </w:rPr>
              <w:t>95,65</w:t>
            </w:r>
          </w:p>
        </w:tc>
        <w:tc>
          <w:tcPr>
            <w:tcW w:w="1211" w:type="dxa"/>
            <w:tcBorders>
              <w:top w:val="nil"/>
              <w:left w:val="nil"/>
              <w:bottom w:val="single" w:sz="8" w:space="0" w:color="969696"/>
              <w:right w:val="nil"/>
            </w:tcBorders>
            <w:shd w:val="clear" w:color="auto" w:fill="auto"/>
            <w:vAlign w:val="center"/>
          </w:tcPr>
          <w:p w14:paraId="2E07EA62" w14:textId="77777777" w:rsidR="00414FB8" w:rsidRPr="00BF3CDE" w:rsidRDefault="00414FB8" w:rsidP="00235916">
            <w:pPr>
              <w:pStyle w:val="NoSpacing"/>
              <w:jc w:val="right"/>
              <w:rPr>
                <w:noProof/>
                <w:sz w:val="20"/>
                <w:szCs w:val="20"/>
                <w:lang w:val="sr-Cyrl-CS"/>
              </w:rPr>
            </w:pPr>
            <w:r w:rsidRPr="00BF3CDE">
              <w:rPr>
                <w:noProof/>
                <w:sz w:val="20"/>
                <w:szCs w:val="20"/>
                <w:lang w:val="sr-Cyrl-CS"/>
              </w:rPr>
              <w:t>97,05</w:t>
            </w:r>
          </w:p>
        </w:tc>
      </w:tr>
      <w:tr w:rsidR="00414FB8" w:rsidRPr="00BF3CDE" w14:paraId="1CC3E540" w14:textId="77777777" w:rsidTr="00E00FE9">
        <w:trPr>
          <w:trHeight w:val="227"/>
          <w:jc w:val="center"/>
        </w:trPr>
        <w:tc>
          <w:tcPr>
            <w:tcW w:w="3058" w:type="dxa"/>
            <w:tcBorders>
              <w:top w:val="nil"/>
              <w:left w:val="nil"/>
              <w:bottom w:val="single" w:sz="8" w:space="0" w:color="969696"/>
              <w:right w:val="nil"/>
            </w:tcBorders>
            <w:shd w:val="clear" w:color="auto" w:fill="auto"/>
            <w:vAlign w:val="center"/>
          </w:tcPr>
          <w:p w14:paraId="19932093" w14:textId="77777777" w:rsidR="00414FB8" w:rsidRPr="00BF3CDE" w:rsidRDefault="00414FB8" w:rsidP="00AB0F8D">
            <w:pPr>
              <w:pStyle w:val="NoSpacing"/>
              <w:rPr>
                <w:noProof/>
                <w:sz w:val="20"/>
                <w:szCs w:val="20"/>
                <w:lang w:val="sr-Cyrl-CS"/>
              </w:rPr>
            </w:pPr>
            <w:r w:rsidRPr="00BF3CDE">
              <w:rPr>
                <w:noProof/>
                <w:sz w:val="20"/>
                <w:szCs w:val="20"/>
                <w:lang w:val="sr-Cyrl-CS"/>
              </w:rPr>
              <w:t>Учешће лик.штета у наплаћеној премији</w:t>
            </w:r>
          </w:p>
        </w:tc>
        <w:tc>
          <w:tcPr>
            <w:tcW w:w="1609" w:type="dxa"/>
            <w:tcBorders>
              <w:top w:val="nil"/>
              <w:left w:val="nil"/>
              <w:bottom w:val="single" w:sz="8" w:space="0" w:color="969696"/>
              <w:right w:val="nil"/>
            </w:tcBorders>
            <w:shd w:val="clear" w:color="auto" w:fill="auto"/>
            <w:vAlign w:val="center"/>
          </w:tcPr>
          <w:p w14:paraId="3C55655F" w14:textId="77777777" w:rsidR="00414FB8" w:rsidRPr="00BF3CDE" w:rsidRDefault="00414FB8" w:rsidP="00235916">
            <w:pPr>
              <w:pStyle w:val="NoSpacing"/>
              <w:jc w:val="right"/>
              <w:rPr>
                <w:noProof/>
                <w:sz w:val="20"/>
                <w:szCs w:val="20"/>
                <w:lang w:val="sr-Cyrl-CS"/>
              </w:rPr>
            </w:pPr>
            <w:r w:rsidRPr="00BF3CDE">
              <w:rPr>
                <w:noProof/>
                <w:sz w:val="20"/>
                <w:szCs w:val="20"/>
                <w:lang w:val="sr-Cyrl-CS"/>
              </w:rPr>
              <w:t>33,37</w:t>
            </w:r>
          </w:p>
        </w:tc>
        <w:tc>
          <w:tcPr>
            <w:tcW w:w="1464" w:type="dxa"/>
            <w:tcBorders>
              <w:top w:val="nil"/>
              <w:left w:val="nil"/>
              <w:bottom w:val="single" w:sz="8" w:space="0" w:color="969696"/>
              <w:right w:val="nil"/>
            </w:tcBorders>
            <w:shd w:val="clear" w:color="auto" w:fill="auto"/>
            <w:vAlign w:val="center"/>
          </w:tcPr>
          <w:p w14:paraId="331EB4CF" w14:textId="77777777" w:rsidR="00414FB8" w:rsidRPr="00BF3CDE" w:rsidRDefault="00414FB8" w:rsidP="00235916">
            <w:pPr>
              <w:pStyle w:val="NoSpacing"/>
              <w:jc w:val="right"/>
              <w:rPr>
                <w:noProof/>
                <w:sz w:val="20"/>
                <w:szCs w:val="20"/>
                <w:lang w:val="sr-Cyrl-CS"/>
              </w:rPr>
            </w:pPr>
          </w:p>
        </w:tc>
        <w:tc>
          <w:tcPr>
            <w:tcW w:w="1609" w:type="dxa"/>
            <w:tcBorders>
              <w:top w:val="nil"/>
              <w:left w:val="nil"/>
              <w:bottom w:val="single" w:sz="8" w:space="0" w:color="969696"/>
              <w:right w:val="nil"/>
            </w:tcBorders>
            <w:shd w:val="clear" w:color="auto" w:fill="99CCFF"/>
            <w:vAlign w:val="center"/>
          </w:tcPr>
          <w:p w14:paraId="3C0B2957" w14:textId="77777777" w:rsidR="00414FB8" w:rsidRPr="00BF3CDE" w:rsidRDefault="00414FB8" w:rsidP="00235916">
            <w:pPr>
              <w:pStyle w:val="NoSpacing"/>
              <w:jc w:val="right"/>
              <w:rPr>
                <w:noProof/>
                <w:sz w:val="20"/>
                <w:szCs w:val="20"/>
                <w:lang w:val="sr-Cyrl-CS"/>
              </w:rPr>
            </w:pPr>
            <w:r w:rsidRPr="00BF3CDE">
              <w:rPr>
                <w:noProof/>
                <w:sz w:val="20"/>
                <w:szCs w:val="20"/>
                <w:lang w:val="sr-Cyrl-CS"/>
              </w:rPr>
              <w:t>27,23</w:t>
            </w:r>
          </w:p>
        </w:tc>
        <w:tc>
          <w:tcPr>
            <w:tcW w:w="1208" w:type="dxa"/>
            <w:tcBorders>
              <w:top w:val="nil"/>
              <w:left w:val="nil"/>
              <w:bottom w:val="single" w:sz="8" w:space="0" w:color="969696"/>
              <w:right w:val="nil"/>
            </w:tcBorders>
            <w:shd w:val="clear" w:color="auto" w:fill="auto"/>
            <w:vAlign w:val="center"/>
          </w:tcPr>
          <w:p w14:paraId="133DB4AB" w14:textId="77777777" w:rsidR="00414FB8" w:rsidRPr="00BF3CDE" w:rsidRDefault="00414FB8" w:rsidP="00235916">
            <w:pPr>
              <w:pStyle w:val="NoSpacing"/>
              <w:jc w:val="right"/>
              <w:rPr>
                <w:noProof/>
                <w:sz w:val="20"/>
                <w:szCs w:val="20"/>
                <w:lang w:val="sr-Cyrl-CS"/>
              </w:rPr>
            </w:pPr>
            <w:r w:rsidRPr="00BF3CDE">
              <w:rPr>
                <w:noProof/>
                <w:sz w:val="20"/>
                <w:szCs w:val="20"/>
                <w:lang w:val="sr-Cyrl-CS"/>
              </w:rPr>
              <w:t>81,60</w:t>
            </w:r>
          </w:p>
        </w:tc>
        <w:tc>
          <w:tcPr>
            <w:tcW w:w="1211" w:type="dxa"/>
            <w:tcBorders>
              <w:top w:val="nil"/>
              <w:left w:val="nil"/>
              <w:bottom w:val="single" w:sz="8" w:space="0" w:color="969696"/>
              <w:right w:val="nil"/>
            </w:tcBorders>
            <w:shd w:val="clear" w:color="auto" w:fill="auto"/>
            <w:vAlign w:val="center"/>
          </w:tcPr>
          <w:p w14:paraId="4148B13A" w14:textId="77777777" w:rsidR="00414FB8" w:rsidRPr="00BF3CDE" w:rsidRDefault="00414FB8" w:rsidP="00C031DE">
            <w:pPr>
              <w:pStyle w:val="NoSpacing"/>
              <w:jc w:val="right"/>
              <w:rPr>
                <w:noProof/>
                <w:sz w:val="20"/>
                <w:szCs w:val="20"/>
                <w:lang w:val="sr-Cyrl-CS"/>
              </w:rPr>
            </w:pPr>
          </w:p>
        </w:tc>
      </w:tr>
      <w:tr w:rsidR="00414FB8" w:rsidRPr="00BF3CDE" w14:paraId="1C0806D6" w14:textId="77777777" w:rsidTr="00E00FE9">
        <w:trPr>
          <w:trHeight w:val="170"/>
          <w:jc w:val="center"/>
        </w:trPr>
        <w:tc>
          <w:tcPr>
            <w:tcW w:w="3058" w:type="dxa"/>
            <w:tcBorders>
              <w:top w:val="nil"/>
              <w:left w:val="nil"/>
              <w:bottom w:val="single" w:sz="8" w:space="0" w:color="969696"/>
              <w:right w:val="nil"/>
            </w:tcBorders>
            <w:shd w:val="clear" w:color="auto" w:fill="auto"/>
            <w:vAlign w:val="center"/>
          </w:tcPr>
          <w:p w14:paraId="223E804C" w14:textId="77777777" w:rsidR="00414FB8" w:rsidRPr="00BF3CDE" w:rsidRDefault="00414FB8" w:rsidP="00AB0F8D">
            <w:pPr>
              <w:pStyle w:val="NoSpacing"/>
              <w:rPr>
                <w:noProof/>
                <w:sz w:val="20"/>
                <w:szCs w:val="20"/>
                <w:lang w:val="sr-Cyrl-CS"/>
              </w:rPr>
            </w:pPr>
            <w:r w:rsidRPr="00BF3CDE">
              <w:rPr>
                <w:noProof/>
                <w:sz w:val="20"/>
                <w:szCs w:val="20"/>
                <w:lang w:val="sr-Cyrl-CS"/>
              </w:rPr>
              <w:t>Учешће ТСР у бруто премији</w:t>
            </w:r>
          </w:p>
        </w:tc>
        <w:tc>
          <w:tcPr>
            <w:tcW w:w="1609" w:type="dxa"/>
            <w:tcBorders>
              <w:top w:val="nil"/>
              <w:left w:val="nil"/>
              <w:bottom w:val="single" w:sz="8" w:space="0" w:color="969696"/>
              <w:right w:val="nil"/>
            </w:tcBorders>
            <w:shd w:val="clear" w:color="auto" w:fill="auto"/>
            <w:vAlign w:val="center"/>
          </w:tcPr>
          <w:p w14:paraId="52CCB85A" w14:textId="77777777" w:rsidR="00414FB8" w:rsidRPr="00BF3CDE" w:rsidRDefault="00414FB8" w:rsidP="00235916">
            <w:pPr>
              <w:pStyle w:val="NoSpacing"/>
              <w:jc w:val="right"/>
              <w:rPr>
                <w:noProof/>
                <w:sz w:val="20"/>
                <w:szCs w:val="20"/>
                <w:lang w:val="sr-Cyrl-CS"/>
              </w:rPr>
            </w:pPr>
            <w:r w:rsidRPr="00BF3CDE">
              <w:rPr>
                <w:noProof/>
                <w:sz w:val="20"/>
                <w:szCs w:val="20"/>
                <w:lang w:val="sr-Cyrl-CS"/>
              </w:rPr>
              <w:t>5,76</w:t>
            </w:r>
          </w:p>
        </w:tc>
        <w:tc>
          <w:tcPr>
            <w:tcW w:w="1464" w:type="dxa"/>
            <w:tcBorders>
              <w:top w:val="nil"/>
              <w:left w:val="nil"/>
              <w:bottom w:val="single" w:sz="8" w:space="0" w:color="969696"/>
              <w:right w:val="nil"/>
            </w:tcBorders>
            <w:shd w:val="clear" w:color="auto" w:fill="auto"/>
            <w:vAlign w:val="center"/>
          </w:tcPr>
          <w:p w14:paraId="12C93F3F" w14:textId="77777777" w:rsidR="00414FB8" w:rsidRPr="00BF3CDE" w:rsidRDefault="00414FB8" w:rsidP="00235916">
            <w:pPr>
              <w:pStyle w:val="NoSpacing"/>
              <w:jc w:val="right"/>
              <w:rPr>
                <w:noProof/>
                <w:sz w:val="20"/>
                <w:szCs w:val="20"/>
                <w:lang w:val="sr-Cyrl-CS"/>
              </w:rPr>
            </w:pPr>
            <w:r w:rsidRPr="00BF3CDE">
              <w:rPr>
                <w:noProof/>
                <w:sz w:val="20"/>
                <w:szCs w:val="20"/>
                <w:lang w:val="sr-Cyrl-CS"/>
              </w:rPr>
              <w:t>5,32</w:t>
            </w:r>
          </w:p>
        </w:tc>
        <w:tc>
          <w:tcPr>
            <w:tcW w:w="1609" w:type="dxa"/>
            <w:tcBorders>
              <w:top w:val="nil"/>
              <w:left w:val="nil"/>
              <w:bottom w:val="single" w:sz="8" w:space="0" w:color="969696"/>
              <w:right w:val="nil"/>
            </w:tcBorders>
            <w:shd w:val="clear" w:color="auto" w:fill="99CCFF"/>
            <w:vAlign w:val="center"/>
          </w:tcPr>
          <w:p w14:paraId="4D8C129A" w14:textId="77777777" w:rsidR="00414FB8" w:rsidRPr="00BF3CDE" w:rsidRDefault="00414FB8" w:rsidP="00235916">
            <w:pPr>
              <w:pStyle w:val="NoSpacing"/>
              <w:jc w:val="right"/>
              <w:rPr>
                <w:noProof/>
                <w:sz w:val="20"/>
                <w:szCs w:val="20"/>
                <w:lang w:val="sr-Cyrl-CS"/>
              </w:rPr>
            </w:pPr>
            <w:r w:rsidRPr="00BF3CDE">
              <w:rPr>
                <w:noProof/>
                <w:sz w:val="20"/>
                <w:szCs w:val="20"/>
                <w:lang w:val="sr-Cyrl-CS"/>
              </w:rPr>
              <w:t>5,50</w:t>
            </w:r>
          </w:p>
        </w:tc>
        <w:tc>
          <w:tcPr>
            <w:tcW w:w="1208" w:type="dxa"/>
            <w:tcBorders>
              <w:top w:val="nil"/>
              <w:left w:val="nil"/>
              <w:bottom w:val="single" w:sz="8" w:space="0" w:color="969696"/>
              <w:right w:val="nil"/>
            </w:tcBorders>
            <w:shd w:val="clear" w:color="auto" w:fill="auto"/>
            <w:vAlign w:val="center"/>
          </w:tcPr>
          <w:p w14:paraId="11B27910" w14:textId="77777777" w:rsidR="00414FB8" w:rsidRPr="00BF3CDE" w:rsidRDefault="00414FB8" w:rsidP="00235916">
            <w:pPr>
              <w:pStyle w:val="NoSpacing"/>
              <w:jc w:val="right"/>
              <w:rPr>
                <w:noProof/>
                <w:sz w:val="20"/>
                <w:szCs w:val="20"/>
                <w:lang w:val="sr-Cyrl-CS"/>
              </w:rPr>
            </w:pPr>
            <w:r w:rsidRPr="00BF3CDE">
              <w:rPr>
                <w:noProof/>
                <w:sz w:val="20"/>
                <w:szCs w:val="20"/>
                <w:lang w:val="sr-Cyrl-CS"/>
              </w:rPr>
              <w:t>95,42</w:t>
            </w:r>
          </w:p>
        </w:tc>
        <w:tc>
          <w:tcPr>
            <w:tcW w:w="1211" w:type="dxa"/>
            <w:tcBorders>
              <w:top w:val="nil"/>
              <w:left w:val="nil"/>
              <w:bottom w:val="single" w:sz="8" w:space="0" w:color="969696"/>
              <w:right w:val="nil"/>
            </w:tcBorders>
            <w:shd w:val="clear" w:color="auto" w:fill="auto"/>
            <w:vAlign w:val="center"/>
          </w:tcPr>
          <w:p w14:paraId="06DB097F" w14:textId="77777777" w:rsidR="00414FB8" w:rsidRPr="00BF3CDE" w:rsidRDefault="00414FB8" w:rsidP="00235916">
            <w:pPr>
              <w:pStyle w:val="NoSpacing"/>
              <w:jc w:val="right"/>
              <w:rPr>
                <w:noProof/>
                <w:sz w:val="20"/>
                <w:szCs w:val="20"/>
                <w:lang w:val="sr-Cyrl-CS"/>
              </w:rPr>
            </w:pPr>
            <w:r w:rsidRPr="00BF3CDE">
              <w:rPr>
                <w:noProof/>
                <w:sz w:val="20"/>
                <w:szCs w:val="20"/>
                <w:lang w:val="sr-Cyrl-CS"/>
              </w:rPr>
              <w:t>103,31</w:t>
            </w:r>
          </w:p>
        </w:tc>
      </w:tr>
      <w:tr w:rsidR="00414FB8" w:rsidRPr="00BF3CDE" w14:paraId="68609DD9" w14:textId="77777777" w:rsidTr="00E00FE9">
        <w:trPr>
          <w:trHeight w:val="170"/>
          <w:jc w:val="center"/>
        </w:trPr>
        <w:tc>
          <w:tcPr>
            <w:tcW w:w="3058" w:type="dxa"/>
            <w:tcBorders>
              <w:top w:val="nil"/>
              <w:left w:val="nil"/>
              <w:bottom w:val="single" w:sz="8" w:space="0" w:color="969696"/>
              <w:right w:val="nil"/>
            </w:tcBorders>
            <w:shd w:val="clear" w:color="auto" w:fill="auto"/>
            <w:vAlign w:val="center"/>
          </w:tcPr>
          <w:p w14:paraId="7AFAEDF8" w14:textId="77777777" w:rsidR="00414FB8" w:rsidRPr="00BF3CDE" w:rsidRDefault="00414FB8" w:rsidP="00414FB8">
            <w:pPr>
              <w:pStyle w:val="NoSpacing"/>
              <w:rPr>
                <w:noProof/>
                <w:sz w:val="20"/>
                <w:szCs w:val="20"/>
                <w:lang w:val="sr-Cyrl-CS"/>
              </w:rPr>
            </w:pPr>
            <w:r w:rsidRPr="00BF3CDE">
              <w:rPr>
                <w:noProof/>
                <w:sz w:val="20"/>
                <w:szCs w:val="20"/>
                <w:lang w:val="sr-Cyrl-CS"/>
              </w:rPr>
              <w:t>ROE (резултат/капитал)</w:t>
            </w:r>
          </w:p>
        </w:tc>
        <w:tc>
          <w:tcPr>
            <w:tcW w:w="1609" w:type="dxa"/>
            <w:tcBorders>
              <w:top w:val="nil"/>
              <w:left w:val="nil"/>
              <w:bottom w:val="single" w:sz="8" w:space="0" w:color="969696"/>
              <w:right w:val="nil"/>
            </w:tcBorders>
            <w:shd w:val="clear" w:color="auto" w:fill="auto"/>
            <w:vAlign w:val="center"/>
          </w:tcPr>
          <w:p w14:paraId="07884612" w14:textId="77777777" w:rsidR="00414FB8" w:rsidRPr="00BF3CDE" w:rsidRDefault="00414FB8" w:rsidP="00235916">
            <w:pPr>
              <w:pStyle w:val="NoSpacing"/>
              <w:jc w:val="right"/>
              <w:rPr>
                <w:noProof/>
                <w:sz w:val="20"/>
                <w:szCs w:val="20"/>
                <w:lang w:val="sr-Cyrl-CS"/>
              </w:rPr>
            </w:pPr>
            <w:r w:rsidRPr="00BF3CDE">
              <w:rPr>
                <w:noProof/>
                <w:sz w:val="20"/>
                <w:szCs w:val="20"/>
                <w:lang w:val="sr-Cyrl-CS"/>
              </w:rPr>
              <w:t>-16,06</w:t>
            </w:r>
          </w:p>
        </w:tc>
        <w:tc>
          <w:tcPr>
            <w:tcW w:w="1464" w:type="dxa"/>
            <w:tcBorders>
              <w:top w:val="nil"/>
              <w:left w:val="nil"/>
              <w:bottom w:val="single" w:sz="8" w:space="0" w:color="969696"/>
              <w:right w:val="nil"/>
            </w:tcBorders>
            <w:shd w:val="clear" w:color="auto" w:fill="auto"/>
            <w:vAlign w:val="center"/>
          </w:tcPr>
          <w:p w14:paraId="11F4E780" w14:textId="77777777" w:rsidR="00414FB8" w:rsidRPr="00BF3CDE" w:rsidRDefault="00414FB8" w:rsidP="00235916">
            <w:pPr>
              <w:pStyle w:val="NoSpacing"/>
              <w:jc w:val="right"/>
              <w:rPr>
                <w:noProof/>
                <w:sz w:val="20"/>
                <w:szCs w:val="20"/>
                <w:lang w:val="sr-Cyrl-CS"/>
              </w:rPr>
            </w:pPr>
          </w:p>
        </w:tc>
        <w:tc>
          <w:tcPr>
            <w:tcW w:w="1609" w:type="dxa"/>
            <w:tcBorders>
              <w:top w:val="nil"/>
              <w:left w:val="nil"/>
              <w:bottom w:val="single" w:sz="8" w:space="0" w:color="969696"/>
              <w:right w:val="nil"/>
            </w:tcBorders>
            <w:shd w:val="clear" w:color="auto" w:fill="99CCFF"/>
            <w:vAlign w:val="center"/>
          </w:tcPr>
          <w:p w14:paraId="7B61CD7F" w14:textId="77777777" w:rsidR="00414FB8" w:rsidRPr="00BF3CDE" w:rsidRDefault="00414FB8" w:rsidP="00235916">
            <w:pPr>
              <w:pStyle w:val="NoSpacing"/>
              <w:jc w:val="right"/>
              <w:rPr>
                <w:noProof/>
                <w:sz w:val="20"/>
                <w:szCs w:val="20"/>
                <w:lang w:val="sr-Cyrl-CS"/>
              </w:rPr>
            </w:pPr>
            <w:r w:rsidRPr="00BF3CDE">
              <w:rPr>
                <w:noProof/>
                <w:sz w:val="20"/>
                <w:szCs w:val="20"/>
                <w:lang w:val="sr-Cyrl-CS"/>
              </w:rPr>
              <w:t>-9,77</w:t>
            </w:r>
          </w:p>
        </w:tc>
        <w:tc>
          <w:tcPr>
            <w:tcW w:w="1208" w:type="dxa"/>
            <w:tcBorders>
              <w:top w:val="nil"/>
              <w:left w:val="nil"/>
              <w:bottom w:val="single" w:sz="8" w:space="0" w:color="969696"/>
              <w:right w:val="nil"/>
            </w:tcBorders>
            <w:shd w:val="clear" w:color="auto" w:fill="auto"/>
            <w:vAlign w:val="center"/>
          </w:tcPr>
          <w:p w14:paraId="72158396" w14:textId="77777777" w:rsidR="00414FB8" w:rsidRPr="00BF3CDE" w:rsidRDefault="00414FB8" w:rsidP="00235916">
            <w:pPr>
              <w:pStyle w:val="NoSpacing"/>
              <w:jc w:val="right"/>
              <w:rPr>
                <w:noProof/>
                <w:sz w:val="20"/>
                <w:szCs w:val="20"/>
                <w:lang w:val="sr-Cyrl-CS"/>
              </w:rPr>
            </w:pPr>
            <w:r w:rsidRPr="00BF3CDE">
              <w:rPr>
                <w:noProof/>
                <w:sz w:val="20"/>
                <w:szCs w:val="20"/>
                <w:lang w:val="sr-Cyrl-CS"/>
              </w:rPr>
              <w:t>60,83</w:t>
            </w:r>
          </w:p>
        </w:tc>
        <w:tc>
          <w:tcPr>
            <w:tcW w:w="1211" w:type="dxa"/>
            <w:tcBorders>
              <w:top w:val="nil"/>
              <w:left w:val="nil"/>
              <w:bottom w:val="single" w:sz="8" w:space="0" w:color="969696"/>
              <w:right w:val="nil"/>
            </w:tcBorders>
            <w:shd w:val="clear" w:color="auto" w:fill="auto"/>
            <w:vAlign w:val="center"/>
          </w:tcPr>
          <w:p w14:paraId="3E65F479" w14:textId="77777777" w:rsidR="00414FB8" w:rsidRPr="00BF3CDE" w:rsidRDefault="00414FB8" w:rsidP="00235916">
            <w:pPr>
              <w:pStyle w:val="NoSpacing"/>
              <w:jc w:val="right"/>
              <w:rPr>
                <w:noProof/>
                <w:sz w:val="20"/>
                <w:szCs w:val="20"/>
                <w:lang w:val="sr-Cyrl-CS"/>
              </w:rPr>
            </w:pPr>
          </w:p>
        </w:tc>
      </w:tr>
      <w:tr w:rsidR="00414FB8" w:rsidRPr="00BF3CDE" w14:paraId="2D95AD25" w14:textId="77777777" w:rsidTr="00E00FE9">
        <w:trPr>
          <w:trHeight w:val="170"/>
          <w:jc w:val="center"/>
        </w:trPr>
        <w:tc>
          <w:tcPr>
            <w:tcW w:w="3058" w:type="dxa"/>
            <w:tcBorders>
              <w:top w:val="nil"/>
              <w:left w:val="nil"/>
              <w:bottom w:val="single" w:sz="8" w:space="0" w:color="969696"/>
              <w:right w:val="nil"/>
            </w:tcBorders>
            <w:shd w:val="clear" w:color="auto" w:fill="auto"/>
            <w:vAlign w:val="center"/>
          </w:tcPr>
          <w:p w14:paraId="5D946A24" w14:textId="77777777" w:rsidR="00414FB8" w:rsidRPr="00BF3CDE" w:rsidRDefault="00414FB8" w:rsidP="00414FB8">
            <w:pPr>
              <w:pStyle w:val="NoSpacing"/>
              <w:rPr>
                <w:noProof/>
                <w:sz w:val="20"/>
                <w:szCs w:val="20"/>
                <w:lang w:val="sr-Cyrl-CS"/>
              </w:rPr>
            </w:pPr>
            <w:r w:rsidRPr="00BF3CDE">
              <w:rPr>
                <w:noProof/>
                <w:sz w:val="20"/>
                <w:szCs w:val="20"/>
                <w:lang w:val="sr-Cyrl-CS"/>
              </w:rPr>
              <w:t>ROA (резултат/актива)</w:t>
            </w:r>
          </w:p>
        </w:tc>
        <w:tc>
          <w:tcPr>
            <w:tcW w:w="1609" w:type="dxa"/>
            <w:tcBorders>
              <w:top w:val="nil"/>
              <w:left w:val="nil"/>
              <w:bottom w:val="single" w:sz="8" w:space="0" w:color="969696"/>
              <w:right w:val="nil"/>
            </w:tcBorders>
            <w:shd w:val="clear" w:color="auto" w:fill="auto"/>
            <w:vAlign w:val="center"/>
          </w:tcPr>
          <w:p w14:paraId="21B8DEE4" w14:textId="77777777" w:rsidR="00414FB8" w:rsidRPr="00BF3CDE" w:rsidRDefault="00414FB8" w:rsidP="00235916">
            <w:pPr>
              <w:pStyle w:val="NoSpacing"/>
              <w:jc w:val="right"/>
              <w:rPr>
                <w:noProof/>
                <w:sz w:val="20"/>
                <w:szCs w:val="20"/>
                <w:lang w:val="sr-Cyrl-CS"/>
              </w:rPr>
            </w:pPr>
            <w:r w:rsidRPr="00BF3CDE">
              <w:rPr>
                <w:noProof/>
                <w:sz w:val="20"/>
                <w:szCs w:val="20"/>
                <w:lang w:val="sr-Cyrl-CS"/>
              </w:rPr>
              <w:t>-3,19</w:t>
            </w:r>
          </w:p>
        </w:tc>
        <w:tc>
          <w:tcPr>
            <w:tcW w:w="1464" w:type="dxa"/>
            <w:tcBorders>
              <w:top w:val="nil"/>
              <w:left w:val="nil"/>
              <w:bottom w:val="single" w:sz="8" w:space="0" w:color="969696"/>
              <w:right w:val="nil"/>
            </w:tcBorders>
            <w:shd w:val="clear" w:color="auto" w:fill="auto"/>
            <w:vAlign w:val="center"/>
          </w:tcPr>
          <w:p w14:paraId="4C4B9550" w14:textId="77777777" w:rsidR="00414FB8" w:rsidRPr="00BF3CDE" w:rsidRDefault="00414FB8" w:rsidP="00235916">
            <w:pPr>
              <w:pStyle w:val="NoSpacing"/>
              <w:jc w:val="right"/>
              <w:rPr>
                <w:noProof/>
                <w:sz w:val="20"/>
                <w:szCs w:val="20"/>
                <w:lang w:val="sr-Cyrl-CS"/>
              </w:rPr>
            </w:pPr>
          </w:p>
        </w:tc>
        <w:tc>
          <w:tcPr>
            <w:tcW w:w="1609" w:type="dxa"/>
            <w:tcBorders>
              <w:top w:val="nil"/>
              <w:left w:val="nil"/>
              <w:bottom w:val="single" w:sz="8" w:space="0" w:color="969696"/>
              <w:right w:val="nil"/>
            </w:tcBorders>
            <w:shd w:val="clear" w:color="auto" w:fill="99CCFF"/>
            <w:vAlign w:val="center"/>
          </w:tcPr>
          <w:p w14:paraId="0AABF8A8" w14:textId="77777777" w:rsidR="00414FB8" w:rsidRPr="00BF3CDE" w:rsidRDefault="00414FB8" w:rsidP="00235916">
            <w:pPr>
              <w:pStyle w:val="NoSpacing"/>
              <w:jc w:val="right"/>
              <w:rPr>
                <w:noProof/>
                <w:sz w:val="20"/>
                <w:szCs w:val="20"/>
                <w:lang w:val="sr-Cyrl-CS"/>
              </w:rPr>
            </w:pPr>
            <w:r w:rsidRPr="00BF3CDE">
              <w:rPr>
                <w:noProof/>
                <w:sz w:val="20"/>
                <w:szCs w:val="20"/>
                <w:lang w:val="sr-Cyrl-CS"/>
              </w:rPr>
              <w:t>-1,84</w:t>
            </w:r>
          </w:p>
        </w:tc>
        <w:tc>
          <w:tcPr>
            <w:tcW w:w="1208" w:type="dxa"/>
            <w:tcBorders>
              <w:top w:val="nil"/>
              <w:left w:val="nil"/>
              <w:bottom w:val="single" w:sz="8" w:space="0" w:color="969696"/>
              <w:right w:val="nil"/>
            </w:tcBorders>
            <w:shd w:val="clear" w:color="auto" w:fill="auto"/>
            <w:vAlign w:val="center"/>
          </w:tcPr>
          <w:p w14:paraId="026EE94D" w14:textId="77777777" w:rsidR="00414FB8" w:rsidRPr="00BF3CDE" w:rsidRDefault="00414FB8" w:rsidP="00235916">
            <w:pPr>
              <w:pStyle w:val="NoSpacing"/>
              <w:jc w:val="right"/>
              <w:rPr>
                <w:noProof/>
                <w:sz w:val="20"/>
                <w:szCs w:val="20"/>
                <w:lang w:val="sr-Cyrl-CS"/>
              </w:rPr>
            </w:pPr>
            <w:r w:rsidRPr="00BF3CDE">
              <w:rPr>
                <w:noProof/>
                <w:sz w:val="20"/>
                <w:szCs w:val="20"/>
                <w:lang w:val="sr-Cyrl-CS"/>
              </w:rPr>
              <w:t>57,68</w:t>
            </w:r>
          </w:p>
        </w:tc>
        <w:tc>
          <w:tcPr>
            <w:tcW w:w="1211" w:type="dxa"/>
            <w:tcBorders>
              <w:top w:val="nil"/>
              <w:left w:val="nil"/>
              <w:bottom w:val="single" w:sz="8" w:space="0" w:color="969696"/>
              <w:right w:val="nil"/>
            </w:tcBorders>
            <w:shd w:val="clear" w:color="auto" w:fill="auto"/>
            <w:vAlign w:val="center"/>
          </w:tcPr>
          <w:p w14:paraId="73F8DF26" w14:textId="77777777" w:rsidR="00414FB8" w:rsidRPr="00BF3CDE" w:rsidRDefault="00414FB8" w:rsidP="00C031DE">
            <w:pPr>
              <w:pStyle w:val="NoSpacing"/>
              <w:jc w:val="right"/>
              <w:rPr>
                <w:noProof/>
                <w:sz w:val="20"/>
                <w:szCs w:val="20"/>
                <w:lang w:val="sr-Cyrl-CS"/>
              </w:rPr>
            </w:pPr>
          </w:p>
        </w:tc>
      </w:tr>
      <w:tr w:rsidR="00414FB8" w:rsidRPr="00BF3CDE" w14:paraId="689CE737" w14:textId="77777777" w:rsidTr="00E00FE9">
        <w:trPr>
          <w:trHeight w:val="170"/>
          <w:jc w:val="center"/>
        </w:trPr>
        <w:tc>
          <w:tcPr>
            <w:tcW w:w="3058" w:type="dxa"/>
            <w:tcBorders>
              <w:top w:val="nil"/>
              <w:left w:val="nil"/>
              <w:bottom w:val="single" w:sz="8" w:space="0" w:color="969696"/>
              <w:right w:val="nil"/>
            </w:tcBorders>
            <w:shd w:val="clear" w:color="auto" w:fill="auto"/>
            <w:vAlign w:val="center"/>
          </w:tcPr>
          <w:p w14:paraId="6220240E" w14:textId="77777777" w:rsidR="00414FB8" w:rsidRPr="00BF3CDE" w:rsidRDefault="00414FB8" w:rsidP="00AB0F8D">
            <w:pPr>
              <w:pStyle w:val="NoSpacing"/>
              <w:rPr>
                <w:noProof/>
                <w:sz w:val="20"/>
                <w:szCs w:val="20"/>
                <w:lang w:val="sr-Cyrl-CS"/>
              </w:rPr>
            </w:pPr>
            <w:r w:rsidRPr="00BF3CDE">
              <w:rPr>
                <w:noProof/>
                <w:sz w:val="20"/>
                <w:szCs w:val="20"/>
                <w:lang w:val="sr-Cyrl-CS"/>
              </w:rPr>
              <w:t>CIR 1 (ТСР/пословни фун.приходи)</w:t>
            </w:r>
          </w:p>
        </w:tc>
        <w:tc>
          <w:tcPr>
            <w:tcW w:w="1609" w:type="dxa"/>
            <w:tcBorders>
              <w:top w:val="nil"/>
              <w:left w:val="nil"/>
              <w:bottom w:val="single" w:sz="8" w:space="0" w:color="969696"/>
              <w:right w:val="nil"/>
            </w:tcBorders>
            <w:shd w:val="clear" w:color="auto" w:fill="auto"/>
            <w:vAlign w:val="center"/>
          </w:tcPr>
          <w:p w14:paraId="06140F19" w14:textId="77777777" w:rsidR="00414FB8" w:rsidRPr="00BF3CDE" w:rsidRDefault="00414FB8" w:rsidP="00C031DE">
            <w:pPr>
              <w:pStyle w:val="NoSpacing"/>
              <w:jc w:val="right"/>
              <w:rPr>
                <w:noProof/>
                <w:sz w:val="20"/>
                <w:szCs w:val="20"/>
                <w:lang w:val="sr-Cyrl-CS"/>
              </w:rPr>
            </w:pPr>
            <w:r w:rsidRPr="00BF3CDE">
              <w:rPr>
                <w:noProof/>
                <w:sz w:val="20"/>
                <w:szCs w:val="20"/>
                <w:lang w:val="sr-Cyrl-CS"/>
              </w:rPr>
              <w:t>30,88</w:t>
            </w:r>
          </w:p>
        </w:tc>
        <w:tc>
          <w:tcPr>
            <w:tcW w:w="1464" w:type="dxa"/>
            <w:tcBorders>
              <w:top w:val="nil"/>
              <w:left w:val="nil"/>
              <w:bottom w:val="single" w:sz="8" w:space="0" w:color="969696"/>
              <w:right w:val="nil"/>
            </w:tcBorders>
            <w:shd w:val="clear" w:color="auto" w:fill="auto"/>
            <w:vAlign w:val="center"/>
          </w:tcPr>
          <w:p w14:paraId="4A93D5AC" w14:textId="77777777" w:rsidR="00414FB8" w:rsidRPr="00BF3CDE" w:rsidRDefault="00414FB8" w:rsidP="00C031DE">
            <w:pPr>
              <w:pStyle w:val="NoSpacing"/>
              <w:jc w:val="right"/>
              <w:rPr>
                <w:noProof/>
                <w:sz w:val="20"/>
                <w:szCs w:val="20"/>
                <w:lang w:val="sr-Cyrl-CS"/>
              </w:rPr>
            </w:pPr>
          </w:p>
        </w:tc>
        <w:tc>
          <w:tcPr>
            <w:tcW w:w="1609" w:type="dxa"/>
            <w:tcBorders>
              <w:top w:val="nil"/>
              <w:left w:val="nil"/>
              <w:bottom w:val="single" w:sz="8" w:space="0" w:color="969696"/>
              <w:right w:val="nil"/>
            </w:tcBorders>
            <w:shd w:val="clear" w:color="auto" w:fill="99CCFF"/>
            <w:vAlign w:val="center"/>
          </w:tcPr>
          <w:p w14:paraId="24790C0A" w14:textId="77777777" w:rsidR="00414FB8" w:rsidRPr="00BF3CDE" w:rsidRDefault="00414FB8" w:rsidP="00C031DE">
            <w:pPr>
              <w:pStyle w:val="NoSpacing"/>
              <w:jc w:val="right"/>
              <w:rPr>
                <w:noProof/>
                <w:sz w:val="20"/>
                <w:szCs w:val="20"/>
                <w:lang w:val="sr-Cyrl-CS"/>
              </w:rPr>
            </w:pPr>
            <w:r w:rsidRPr="00BF3CDE">
              <w:rPr>
                <w:noProof/>
                <w:sz w:val="20"/>
                <w:szCs w:val="20"/>
                <w:lang w:val="sr-Cyrl-CS"/>
              </w:rPr>
              <w:t>34,87</w:t>
            </w:r>
          </w:p>
        </w:tc>
        <w:tc>
          <w:tcPr>
            <w:tcW w:w="1208" w:type="dxa"/>
            <w:tcBorders>
              <w:top w:val="nil"/>
              <w:left w:val="nil"/>
              <w:bottom w:val="single" w:sz="8" w:space="0" w:color="969696"/>
              <w:right w:val="nil"/>
            </w:tcBorders>
            <w:shd w:val="clear" w:color="auto" w:fill="auto"/>
            <w:vAlign w:val="center"/>
          </w:tcPr>
          <w:p w14:paraId="52CFAC54" w14:textId="77777777" w:rsidR="00414FB8" w:rsidRPr="00BF3CDE" w:rsidRDefault="00414FB8" w:rsidP="00C031DE">
            <w:pPr>
              <w:pStyle w:val="NoSpacing"/>
              <w:jc w:val="right"/>
              <w:rPr>
                <w:noProof/>
                <w:sz w:val="20"/>
                <w:szCs w:val="20"/>
                <w:lang w:val="sr-Cyrl-CS"/>
              </w:rPr>
            </w:pPr>
            <w:r w:rsidRPr="00BF3CDE">
              <w:rPr>
                <w:noProof/>
                <w:sz w:val="20"/>
                <w:szCs w:val="20"/>
                <w:lang w:val="sr-Cyrl-CS"/>
              </w:rPr>
              <w:t>112,92</w:t>
            </w:r>
          </w:p>
        </w:tc>
        <w:tc>
          <w:tcPr>
            <w:tcW w:w="1211" w:type="dxa"/>
            <w:tcBorders>
              <w:top w:val="nil"/>
              <w:left w:val="nil"/>
              <w:bottom w:val="single" w:sz="8" w:space="0" w:color="969696"/>
              <w:right w:val="nil"/>
            </w:tcBorders>
            <w:shd w:val="clear" w:color="auto" w:fill="auto"/>
            <w:vAlign w:val="center"/>
          </w:tcPr>
          <w:p w14:paraId="04130469" w14:textId="77777777" w:rsidR="00414FB8" w:rsidRPr="00BF3CDE" w:rsidRDefault="00414FB8" w:rsidP="00C031DE">
            <w:pPr>
              <w:pStyle w:val="NoSpacing"/>
              <w:jc w:val="right"/>
              <w:rPr>
                <w:noProof/>
                <w:sz w:val="20"/>
                <w:szCs w:val="20"/>
                <w:lang w:val="sr-Cyrl-CS"/>
              </w:rPr>
            </w:pPr>
          </w:p>
        </w:tc>
      </w:tr>
    </w:tbl>
    <w:p w14:paraId="665F1639" w14:textId="77777777" w:rsidR="00584DB1" w:rsidRPr="00BF3CDE" w:rsidRDefault="00584DB1" w:rsidP="00584DB1">
      <w:pPr>
        <w:pStyle w:val="NoSpacing"/>
        <w:ind w:left="432"/>
        <w:jc w:val="both"/>
        <w:rPr>
          <w:noProof/>
          <w:sz w:val="2"/>
          <w:szCs w:val="10"/>
          <w:lang w:val="sr-Cyrl-CS"/>
        </w:rPr>
      </w:pPr>
    </w:p>
    <w:p w14:paraId="68E48277" w14:textId="77777777" w:rsidR="00584DB1" w:rsidRPr="00BF3CDE" w:rsidRDefault="00584DB1" w:rsidP="00584DB1">
      <w:pPr>
        <w:pStyle w:val="NoSpacing"/>
        <w:ind w:left="432"/>
        <w:jc w:val="both"/>
        <w:rPr>
          <w:noProof/>
          <w:sz w:val="10"/>
          <w:szCs w:val="10"/>
          <w:lang w:val="sr-Cyrl-CS"/>
        </w:rPr>
      </w:pPr>
    </w:p>
    <w:tbl>
      <w:tblPr>
        <w:tblpPr w:leftFromText="181" w:rightFromText="181" w:vertAnchor="text" w:horzAnchor="margin" w:tblpXSpec="center" w:tblpY="1"/>
        <w:tblOverlap w:val="never"/>
        <w:tblW w:w="10314" w:type="dxa"/>
        <w:tblLook w:val="01E0" w:firstRow="1" w:lastRow="1" w:firstColumn="1" w:lastColumn="1" w:noHBand="0" w:noVBand="0"/>
      </w:tblPr>
      <w:tblGrid>
        <w:gridCol w:w="7196"/>
        <w:gridCol w:w="243"/>
        <w:gridCol w:w="2875"/>
      </w:tblGrid>
      <w:tr w:rsidR="00584DB1" w:rsidRPr="00BF3CDE" w14:paraId="65957A2F" w14:textId="77777777" w:rsidTr="00E00FE9">
        <w:trPr>
          <w:trHeight w:val="340"/>
        </w:trPr>
        <w:tc>
          <w:tcPr>
            <w:tcW w:w="7196" w:type="dxa"/>
            <w:vAlign w:val="center"/>
          </w:tcPr>
          <w:p w14:paraId="216DEF71" w14:textId="77777777" w:rsidR="00584DB1" w:rsidRPr="00BF3CDE" w:rsidRDefault="00C031DE" w:rsidP="00F91B66">
            <w:pPr>
              <w:pStyle w:val="NoSpacing"/>
              <w:jc w:val="both"/>
              <w:rPr>
                <w:noProof/>
                <w:sz w:val="20"/>
                <w:szCs w:val="20"/>
                <w:lang w:val="sr-Cyrl-CS"/>
              </w:rPr>
            </w:pPr>
            <w:r w:rsidRPr="00BF3CDE">
              <w:rPr>
                <w:noProof/>
                <w:sz w:val="20"/>
                <w:szCs w:val="20"/>
                <w:lang w:val="sr-Cyrl-CS"/>
              </w:rPr>
              <w:t>Друштво је у периоду I-XII  2014. године остварило губитак у бруто износу  од 77.677хиљада динара</w:t>
            </w:r>
            <w:r w:rsidR="00414FB8" w:rsidRPr="00BF3CDE">
              <w:rPr>
                <w:noProof/>
                <w:sz w:val="20"/>
                <w:szCs w:val="20"/>
                <w:lang w:val="sr-Cyrl-CS"/>
              </w:rPr>
              <w:t xml:space="preserve"> </w:t>
            </w:r>
            <w:r w:rsidRPr="00BF3CDE">
              <w:rPr>
                <w:noProof/>
                <w:sz w:val="20"/>
                <w:szCs w:val="20"/>
                <w:lang w:val="sr-Cyrl-CS"/>
              </w:rPr>
              <w:t xml:space="preserve">и добитак од укидања одложених пореза  у износу 2.620  хиљада динара </w:t>
            </w:r>
            <w:r w:rsidR="00414FB8" w:rsidRPr="00BF3CDE">
              <w:rPr>
                <w:noProof/>
                <w:sz w:val="20"/>
                <w:szCs w:val="20"/>
                <w:lang w:val="sr-Cyrl-CS"/>
              </w:rPr>
              <w:t>тако да резултат после опорезивања</w:t>
            </w:r>
            <w:r w:rsidRPr="00BF3CDE">
              <w:rPr>
                <w:noProof/>
                <w:sz w:val="20"/>
                <w:szCs w:val="20"/>
                <w:lang w:val="sr-Cyrl-CS"/>
              </w:rPr>
              <w:t xml:space="preserve"> износи 75.057 хиљада динара.</w:t>
            </w:r>
          </w:p>
        </w:tc>
        <w:tc>
          <w:tcPr>
            <w:tcW w:w="243" w:type="dxa"/>
          </w:tcPr>
          <w:p w14:paraId="11877E39" w14:textId="77777777" w:rsidR="00584DB1" w:rsidRPr="00BF3CDE" w:rsidRDefault="00584DB1" w:rsidP="00AB0F8D">
            <w:pPr>
              <w:pStyle w:val="NoSpacing"/>
              <w:jc w:val="both"/>
              <w:rPr>
                <w:noProof/>
                <w:sz w:val="20"/>
                <w:szCs w:val="20"/>
                <w:lang w:val="sr-Cyrl-CS"/>
              </w:rPr>
            </w:pPr>
          </w:p>
        </w:tc>
        <w:tc>
          <w:tcPr>
            <w:tcW w:w="2875" w:type="dxa"/>
            <w:vAlign w:val="center"/>
          </w:tcPr>
          <w:p w14:paraId="1601FEB7" w14:textId="77777777" w:rsidR="00584DB1" w:rsidRPr="00BF3CDE" w:rsidRDefault="00C031DE" w:rsidP="00E00FE9">
            <w:pPr>
              <w:pStyle w:val="NoSpacing"/>
              <w:rPr>
                <w:rFonts w:ascii="Palatino Linotype" w:hAnsi="Palatino Linotype" w:cs="Aharoni"/>
                <w:b/>
                <w:noProof/>
                <w:sz w:val="20"/>
                <w:szCs w:val="20"/>
                <w:lang w:val="sr-Cyrl-CS"/>
              </w:rPr>
            </w:pPr>
            <w:r w:rsidRPr="00BF3CDE">
              <w:rPr>
                <w:rFonts w:ascii="Palatino Linotype" w:hAnsi="Palatino Linotype" w:cs="Times New Roman"/>
                <w:b/>
                <w:noProof/>
                <w:color w:val="632423" w:themeColor="accent2" w:themeShade="80"/>
                <w:sz w:val="24"/>
                <w:szCs w:val="20"/>
                <w:lang w:val="sr-Cyrl-CS"/>
              </w:rPr>
              <w:t>Губитак   75.057 хиљ</w:t>
            </w:r>
            <w:r w:rsidR="00E00FE9" w:rsidRPr="00BF3CDE">
              <w:rPr>
                <w:rFonts w:ascii="Palatino Linotype" w:hAnsi="Palatino Linotype" w:cs="Times New Roman"/>
                <w:b/>
                <w:noProof/>
                <w:color w:val="632423" w:themeColor="accent2" w:themeShade="80"/>
                <w:sz w:val="24"/>
                <w:szCs w:val="20"/>
                <w:lang w:val="sr-Cyrl-CS"/>
              </w:rPr>
              <w:t>.</w:t>
            </w:r>
            <w:r w:rsidRPr="00BF3CDE">
              <w:rPr>
                <w:rFonts w:ascii="Palatino Linotype" w:hAnsi="Palatino Linotype" w:cs="Times New Roman"/>
                <w:b/>
                <w:noProof/>
                <w:color w:val="632423" w:themeColor="accent2" w:themeShade="80"/>
                <w:sz w:val="24"/>
                <w:szCs w:val="20"/>
                <w:lang w:val="sr-Cyrl-CS"/>
              </w:rPr>
              <w:t xml:space="preserve"> дин.</w:t>
            </w:r>
          </w:p>
        </w:tc>
      </w:tr>
      <w:tr w:rsidR="00584DB1" w:rsidRPr="00BF3CDE" w14:paraId="7E6CB6DF" w14:textId="77777777" w:rsidTr="00E00FE9">
        <w:trPr>
          <w:trHeight w:val="510"/>
        </w:trPr>
        <w:tc>
          <w:tcPr>
            <w:tcW w:w="7196" w:type="dxa"/>
            <w:vAlign w:val="center"/>
          </w:tcPr>
          <w:p w14:paraId="327D56C2" w14:textId="77777777" w:rsidR="00584DB1" w:rsidRPr="00BF3CDE" w:rsidRDefault="00C031DE" w:rsidP="00F91B66">
            <w:pPr>
              <w:pStyle w:val="NoSpacing"/>
              <w:jc w:val="both"/>
              <w:rPr>
                <w:noProof/>
                <w:sz w:val="6"/>
                <w:szCs w:val="6"/>
                <w:lang w:val="sr-Cyrl-CS"/>
              </w:rPr>
            </w:pPr>
            <w:r w:rsidRPr="00BF3CDE">
              <w:rPr>
                <w:noProof/>
                <w:sz w:val="20"/>
                <w:szCs w:val="20"/>
                <w:lang w:val="sr-Cyrl-CS"/>
              </w:rPr>
              <w:t>Основни и остали капитал друштва износи 768.246 хиљ. динара. Од тогa се 94,99% односи на акцијски капитал, 4,56% на друштвени капитал и 0,45% на остали капитал.</w:t>
            </w:r>
          </w:p>
        </w:tc>
        <w:tc>
          <w:tcPr>
            <w:tcW w:w="243" w:type="dxa"/>
          </w:tcPr>
          <w:p w14:paraId="0D7629B8" w14:textId="77777777" w:rsidR="00584DB1" w:rsidRPr="00BF3CDE" w:rsidRDefault="00584DB1" w:rsidP="00AB0F8D">
            <w:pPr>
              <w:pStyle w:val="NoSpacing"/>
              <w:jc w:val="both"/>
              <w:rPr>
                <w:noProof/>
                <w:sz w:val="20"/>
                <w:szCs w:val="20"/>
                <w:lang w:val="sr-Cyrl-CS"/>
              </w:rPr>
            </w:pPr>
          </w:p>
        </w:tc>
        <w:tc>
          <w:tcPr>
            <w:tcW w:w="2875" w:type="dxa"/>
          </w:tcPr>
          <w:p w14:paraId="092B3823" w14:textId="77777777" w:rsidR="00F91B66" w:rsidRPr="00BF3CDE" w:rsidRDefault="00F91B66" w:rsidP="00D85D41">
            <w:pPr>
              <w:pStyle w:val="NoSpacing"/>
              <w:rPr>
                <w:rFonts w:ascii="Palatino Linotype" w:hAnsi="Palatino Linotype" w:cs="Times New Roman"/>
                <w:b/>
                <w:noProof/>
                <w:color w:val="632423" w:themeColor="accent2" w:themeShade="80"/>
                <w:sz w:val="6"/>
                <w:szCs w:val="4"/>
                <w:lang w:val="sr-Cyrl-CS"/>
              </w:rPr>
            </w:pPr>
          </w:p>
          <w:p w14:paraId="5A154458" w14:textId="77777777" w:rsidR="00584DB1" w:rsidRPr="00BF3CDE" w:rsidRDefault="00C031DE" w:rsidP="00D85D41">
            <w:pPr>
              <w:pStyle w:val="NoSpacing"/>
              <w:rPr>
                <w:rFonts w:ascii="Palatino Linotype" w:hAnsi="Palatino Linotype" w:cs="Times New Roman"/>
                <w:b/>
                <w:noProof/>
                <w:color w:val="632423" w:themeColor="accent2" w:themeShade="80"/>
                <w:sz w:val="24"/>
                <w:szCs w:val="20"/>
                <w:lang w:val="sr-Cyrl-CS"/>
              </w:rPr>
            </w:pPr>
            <w:r w:rsidRPr="00BF3CDE">
              <w:rPr>
                <w:rFonts w:ascii="Palatino Linotype" w:hAnsi="Palatino Linotype" w:cs="Times New Roman"/>
                <w:b/>
                <w:noProof/>
                <w:color w:val="632423" w:themeColor="accent2" w:themeShade="80"/>
                <w:sz w:val="24"/>
                <w:szCs w:val="20"/>
                <w:lang w:val="sr-Cyrl-CS"/>
              </w:rPr>
              <w:t>Основни и остали капитал 768.246 хиљ</w:t>
            </w:r>
            <w:r w:rsidR="00E00FE9" w:rsidRPr="00BF3CDE">
              <w:rPr>
                <w:rFonts w:ascii="Palatino Linotype" w:hAnsi="Palatino Linotype" w:cs="Times New Roman"/>
                <w:b/>
                <w:noProof/>
                <w:color w:val="632423" w:themeColor="accent2" w:themeShade="80"/>
                <w:sz w:val="24"/>
                <w:szCs w:val="20"/>
                <w:lang w:val="sr-Cyrl-CS"/>
              </w:rPr>
              <w:t>.</w:t>
            </w:r>
            <w:r w:rsidRPr="00BF3CDE">
              <w:rPr>
                <w:rFonts w:ascii="Palatino Linotype" w:hAnsi="Palatino Linotype" w:cs="Times New Roman"/>
                <w:b/>
                <w:noProof/>
                <w:color w:val="632423" w:themeColor="accent2" w:themeShade="80"/>
                <w:sz w:val="24"/>
                <w:szCs w:val="20"/>
                <w:lang w:val="sr-Cyrl-CS"/>
              </w:rPr>
              <w:t xml:space="preserve"> дин.</w:t>
            </w:r>
          </w:p>
          <w:p w14:paraId="7CEBD58F" w14:textId="77777777" w:rsidR="00584DB1" w:rsidRPr="00BF3CDE" w:rsidRDefault="00584DB1" w:rsidP="00AB0F8D">
            <w:pPr>
              <w:pStyle w:val="NoSpacing"/>
              <w:jc w:val="both"/>
              <w:rPr>
                <w:b/>
                <w:noProof/>
                <w:sz w:val="6"/>
                <w:szCs w:val="4"/>
                <w:lang w:val="sr-Cyrl-CS"/>
              </w:rPr>
            </w:pPr>
          </w:p>
        </w:tc>
      </w:tr>
      <w:tr w:rsidR="00584DB1" w:rsidRPr="00BF3CDE" w14:paraId="6C3AD9FE" w14:textId="77777777" w:rsidTr="00E00FE9">
        <w:trPr>
          <w:trHeight w:val="397"/>
        </w:trPr>
        <w:tc>
          <w:tcPr>
            <w:tcW w:w="7196" w:type="dxa"/>
            <w:vAlign w:val="center"/>
          </w:tcPr>
          <w:p w14:paraId="2BB086D1" w14:textId="77777777" w:rsidR="00584DB1" w:rsidRPr="00BF3CDE" w:rsidRDefault="00C031DE" w:rsidP="00F91B66">
            <w:pPr>
              <w:pStyle w:val="NoSpacing"/>
              <w:jc w:val="both"/>
              <w:rPr>
                <w:noProof/>
                <w:sz w:val="20"/>
                <w:szCs w:val="20"/>
                <w:lang w:val="sr-Cyrl-CS"/>
              </w:rPr>
            </w:pPr>
            <w:r w:rsidRPr="00BF3CDE">
              <w:rPr>
                <w:noProof/>
                <w:sz w:val="20"/>
                <w:szCs w:val="20"/>
                <w:lang w:val="sr-Cyrl-CS"/>
              </w:rPr>
              <w:t>На дан 31.12.2014. краткорочни пласмани друштва износили су 1.008.490 хиљ. динара, а дугорочни 276.448 хиљ. динара.</w:t>
            </w:r>
          </w:p>
        </w:tc>
        <w:tc>
          <w:tcPr>
            <w:tcW w:w="243" w:type="dxa"/>
          </w:tcPr>
          <w:p w14:paraId="2E30D8DE" w14:textId="77777777" w:rsidR="00584DB1" w:rsidRPr="00BF3CDE" w:rsidRDefault="00584DB1" w:rsidP="00AB0F8D">
            <w:pPr>
              <w:pStyle w:val="NoSpacing"/>
              <w:jc w:val="both"/>
              <w:rPr>
                <w:noProof/>
                <w:sz w:val="20"/>
                <w:szCs w:val="20"/>
                <w:lang w:val="sr-Cyrl-CS"/>
              </w:rPr>
            </w:pPr>
          </w:p>
        </w:tc>
        <w:tc>
          <w:tcPr>
            <w:tcW w:w="2875" w:type="dxa"/>
          </w:tcPr>
          <w:p w14:paraId="22FC876E" w14:textId="77777777" w:rsidR="00584DB1" w:rsidRPr="00BF3CDE" w:rsidRDefault="00C031DE" w:rsidP="00D85D41">
            <w:pPr>
              <w:pStyle w:val="NoSpacing"/>
              <w:rPr>
                <w:rFonts w:ascii="Palatino Linotype" w:hAnsi="Palatino Linotype" w:cs="Times New Roman"/>
                <w:b/>
                <w:noProof/>
                <w:color w:val="632423" w:themeColor="accent2" w:themeShade="80"/>
                <w:sz w:val="24"/>
                <w:szCs w:val="20"/>
                <w:lang w:val="sr-Cyrl-CS"/>
              </w:rPr>
            </w:pPr>
            <w:r w:rsidRPr="00BF3CDE">
              <w:rPr>
                <w:rFonts w:ascii="Palatino Linotype" w:hAnsi="Palatino Linotype" w:cs="Times New Roman"/>
                <w:b/>
                <w:noProof/>
                <w:color w:val="632423" w:themeColor="accent2" w:themeShade="80"/>
                <w:sz w:val="24"/>
                <w:szCs w:val="20"/>
                <w:lang w:val="sr-Cyrl-CS"/>
              </w:rPr>
              <w:t>Укупни пласмани 1.284.938. хиљ</w:t>
            </w:r>
            <w:r w:rsidR="00E00FE9" w:rsidRPr="00BF3CDE">
              <w:rPr>
                <w:rFonts w:ascii="Palatino Linotype" w:hAnsi="Palatino Linotype" w:cs="Times New Roman"/>
                <w:b/>
                <w:noProof/>
                <w:color w:val="632423" w:themeColor="accent2" w:themeShade="80"/>
                <w:sz w:val="24"/>
                <w:szCs w:val="20"/>
                <w:lang w:val="sr-Cyrl-CS"/>
              </w:rPr>
              <w:t>.</w:t>
            </w:r>
            <w:r w:rsidRPr="00BF3CDE">
              <w:rPr>
                <w:rFonts w:ascii="Palatino Linotype" w:hAnsi="Palatino Linotype" w:cs="Times New Roman"/>
                <w:b/>
                <w:noProof/>
                <w:color w:val="632423" w:themeColor="accent2" w:themeShade="80"/>
                <w:sz w:val="24"/>
                <w:szCs w:val="20"/>
                <w:lang w:val="sr-Cyrl-CS"/>
              </w:rPr>
              <w:t xml:space="preserve"> дин</w:t>
            </w:r>
            <w:r w:rsidR="00E00FE9" w:rsidRPr="00BF3CDE">
              <w:rPr>
                <w:rFonts w:ascii="Palatino Linotype" w:hAnsi="Palatino Linotype" w:cs="Times New Roman"/>
                <w:b/>
                <w:noProof/>
                <w:color w:val="632423" w:themeColor="accent2" w:themeShade="80"/>
                <w:sz w:val="24"/>
                <w:szCs w:val="20"/>
                <w:lang w:val="sr-Cyrl-CS"/>
              </w:rPr>
              <w:t>.</w:t>
            </w:r>
            <w:r w:rsidRPr="00BF3CDE">
              <w:rPr>
                <w:rFonts w:ascii="Palatino Linotype" w:hAnsi="Palatino Linotype" w:cs="Times New Roman"/>
                <w:b/>
                <w:noProof/>
                <w:color w:val="632423" w:themeColor="accent2" w:themeShade="80"/>
                <w:sz w:val="24"/>
                <w:szCs w:val="20"/>
                <w:lang w:val="sr-Cyrl-CS"/>
              </w:rPr>
              <w:t xml:space="preserve"> и за  16% су већи у односу на </w:t>
            </w:r>
            <w:r w:rsidR="00E00FE9" w:rsidRPr="00BF3CDE">
              <w:rPr>
                <w:rFonts w:ascii="Palatino Linotype" w:hAnsi="Palatino Linotype" w:cs="Times New Roman"/>
                <w:b/>
                <w:noProof/>
                <w:color w:val="632423" w:themeColor="accent2" w:themeShade="80"/>
                <w:sz w:val="24"/>
                <w:szCs w:val="20"/>
                <w:lang w:val="sr-Cyrl-CS"/>
              </w:rPr>
              <w:t>2013.</w:t>
            </w:r>
            <w:r w:rsidRPr="00BF3CDE">
              <w:rPr>
                <w:rFonts w:ascii="Palatino Linotype" w:hAnsi="Palatino Linotype" w:cs="Times New Roman"/>
                <w:b/>
                <w:noProof/>
                <w:color w:val="632423" w:themeColor="accent2" w:themeShade="80"/>
                <w:sz w:val="24"/>
                <w:szCs w:val="20"/>
                <w:lang w:val="sr-Cyrl-CS"/>
              </w:rPr>
              <w:t xml:space="preserve"> год.</w:t>
            </w:r>
          </w:p>
          <w:p w14:paraId="4CE44513" w14:textId="77777777" w:rsidR="00584DB1" w:rsidRPr="00BF3CDE" w:rsidRDefault="00584DB1" w:rsidP="00AB0F8D">
            <w:pPr>
              <w:pStyle w:val="NoSpacing"/>
              <w:jc w:val="both"/>
              <w:rPr>
                <w:rFonts w:ascii="Palatino Linotype" w:hAnsi="Palatino Linotype" w:cs="Times New Roman"/>
                <w:b/>
                <w:noProof/>
                <w:color w:val="632423" w:themeColor="accent2" w:themeShade="80"/>
                <w:sz w:val="6"/>
                <w:szCs w:val="6"/>
                <w:lang w:val="sr-Cyrl-CS"/>
              </w:rPr>
            </w:pPr>
          </w:p>
        </w:tc>
      </w:tr>
      <w:tr w:rsidR="00584DB1" w:rsidRPr="00BF3CDE" w14:paraId="0296A366" w14:textId="77777777" w:rsidTr="00E00FE9">
        <w:trPr>
          <w:trHeight w:val="911"/>
        </w:trPr>
        <w:tc>
          <w:tcPr>
            <w:tcW w:w="7196" w:type="dxa"/>
            <w:vAlign w:val="center"/>
          </w:tcPr>
          <w:p w14:paraId="28C9DB4A" w14:textId="77777777" w:rsidR="00584DB1" w:rsidRPr="00BF3CDE" w:rsidRDefault="00C031DE" w:rsidP="00F91B66">
            <w:pPr>
              <w:pStyle w:val="NoSpacing"/>
              <w:jc w:val="both"/>
              <w:rPr>
                <w:noProof/>
                <w:sz w:val="20"/>
                <w:szCs w:val="20"/>
                <w:lang w:val="sr-Cyrl-CS"/>
              </w:rPr>
            </w:pPr>
            <w:r w:rsidRPr="00BF3CDE">
              <w:rPr>
                <w:noProof/>
                <w:sz w:val="20"/>
                <w:szCs w:val="20"/>
                <w:lang w:val="sr-Cyrl-CS"/>
              </w:rPr>
              <w:t>У периоду  I-XII  2014. године остварена је укупна бруто премија у износу од 2.324.890 хиљ.динара, што је за 12,85% мањe у односу на исти период претходне године.</w:t>
            </w:r>
          </w:p>
        </w:tc>
        <w:tc>
          <w:tcPr>
            <w:tcW w:w="243" w:type="dxa"/>
          </w:tcPr>
          <w:p w14:paraId="62EE5CA7" w14:textId="77777777" w:rsidR="00584DB1" w:rsidRPr="00BF3CDE" w:rsidRDefault="00584DB1" w:rsidP="00AB0F8D">
            <w:pPr>
              <w:pStyle w:val="NoSpacing"/>
              <w:jc w:val="both"/>
              <w:rPr>
                <w:noProof/>
                <w:sz w:val="20"/>
                <w:szCs w:val="20"/>
                <w:lang w:val="sr-Cyrl-CS"/>
              </w:rPr>
            </w:pPr>
          </w:p>
        </w:tc>
        <w:tc>
          <w:tcPr>
            <w:tcW w:w="2875" w:type="dxa"/>
          </w:tcPr>
          <w:p w14:paraId="6D656A67" w14:textId="77777777" w:rsidR="00584DB1" w:rsidRPr="00BF3CDE" w:rsidRDefault="00C031DE" w:rsidP="00E00FE9">
            <w:pPr>
              <w:pStyle w:val="NoSpacing"/>
              <w:rPr>
                <w:rFonts w:ascii="Palatino Linotype" w:hAnsi="Palatino Linotype" w:cs="Times New Roman"/>
                <w:b/>
                <w:noProof/>
                <w:color w:val="632423" w:themeColor="accent2" w:themeShade="80"/>
                <w:sz w:val="24"/>
                <w:szCs w:val="20"/>
                <w:lang w:val="sr-Cyrl-CS"/>
              </w:rPr>
            </w:pPr>
            <w:r w:rsidRPr="00BF3CDE">
              <w:rPr>
                <w:rFonts w:ascii="Palatino Linotype" w:hAnsi="Palatino Linotype" w:cs="Times New Roman"/>
                <w:b/>
                <w:noProof/>
                <w:color w:val="632423" w:themeColor="accent2" w:themeShade="80"/>
                <w:sz w:val="24"/>
                <w:szCs w:val="20"/>
                <w:lang w:val="sr-Cyrl-CS"/>
              </w:rPr>
              <w:t>Бруто премија 2.324.890. хиљ</w:t>
            </w:r>
            <w:r w:rsidR="00E00FE9" w:rsidRPr="00BF3CDE">
              <w:rPr>
                <w:rFonts w:ascii="Palatino Linotype" w:hAnsi="Palatino Linotype" w:cs="Times New Roman"/>
                <w:b/>
                <w:noProof/>
                <w:color w:val="632423" w:themeColor="accent2" w:themeShade="80"/>
                <w:sz w:val="24"/>
                <w:szCs w:val="20"/>
                <w:lang w:val="sr-Cyrl-CS"/>
              </w:rPr>
              <w:t>.</w:t>
            </w:r>
            <w:r w:rsidRPr="00BF3CDE">
              <w:rPr>
                <w:rFonts w:ascii="Palatino Linotype" w:hAnsi="Palatino Linotype" w:cs="Times New Roman"/>
                <w:b/>
                <w:noProof/>
                <w:color w:val="632423" w:themeColor="accent2" w:themeShade="80"/>
                <w:sz w:val="24"/>
                <w:szCs w:val="20"/>
                <w:lang w:val="sr-Cyrl-CS"/>
              </w:rPr>
              <w:t xml:space="preserve"> дин</w:t>
            </w:r>
            <w:r w:rsidR="00E00FE9" w:rsidRPr="00BF3CDE">
              <w:rPr>
                <w:rFonts w:ascii="Palatino Linotype" w:hAnsi="Palatino Linotype" w:cs="Times New Roman"/>
                <w:b/>
                <w:noProof/>
                <w:color w:val="632423" w:themeColor="accent2" w:themeShade="80"/>
                <w:sz w:val="24"/>
                <w:szCs w:val="20"/>
                <w:lang w:val="sr-Cyrl-CS"/>
              </w:rPr>
              <w:t>.</w:t>
            </w:r>
            <w:r w:rsidRPr="00BF3CDE">
              <w:rPr>
                <w:rFonts w:ascii="Palatino Linotype" w:hAnsi="Palatino Linotype" w:cs="Times New Roman"/>
                <w:b/>
                <w:noProof/>
                <w:color w:val="632423" w:themeColor="accent2" w:themeShade="80"/>
                <w:sz w:val="24"/>
                <w:szCs w:val="20"/>
                <w:lang w:val="sr-Cyrl-CS"/>
              </w:rPr>
              <w:t xml:space="preserve"> и за 12,85 % мањe  у односу на </w:t>
            </w:r>
            <w:r w:rsidR="00E00FE9" w:rsidRPr="00BF3CDE">
              <w:rPr>
                <w:rFonts w:ascii="Palatino Linotype" w:hAnsi="Palatino Linotype" w:cs="Times New Roman"/>
                <w:b/>
                <w:noProof/>
                <w:color w:val="632423" w:themeColor="accent2" w:themeShade="80"/>
                <w:sz w:val="24"/>
                <w:szCs w:val="20"/>
                <w:lang w:val="sr-Cyrl-CS"/>
              </w:rPr>
              <w:t>2013. год</w:t>
            </w:r>
            <w:r w:rsidRPr="00BF3CDE">
              <w:rPr>
                <w:rFonts w:ascii="Palatino Linotype" w:hAnsi="Palatino Linotype" w:cs="Times New Roman"/>
                <w:b/>
                <w:noProof/>
                <w:color w:val="632423" w:themeColor="accent2" w:themeShade="80"/>
                <w:sz w:val="24"/>
                <w:szCs w:val="20"/>
                <w:lang w:val="sr-Cyrl-CS"/>
              </w:rPr>
              <w:t>.</w:t>
            </w:r>
          </w:p>
          <w:p w14:paraId="66AFD54C" w14:textId="77777777" w:rsidR="00E00FE9" w:rsidRPr="00BF3CDE" w:rsidRDefault="00E00FE9" w:rsidP="00E00FE9">
            <w:pPr>
              <w:pStyle w:val="NoSpacing"/>
              <w:rPr>
                <w:b/>
                <w:noProof/>
                <w:sz w:val="6"/>
                <w:szCs w:val="6"/>
                <w:lang w:val="sr-Cyrl-CS"/>
              </w:rPr>
            </w:pPr>
          </w:p>
        </w:tc>
      </w:tr>
      <w:tr w:rsidR="00584DB1" w:rsidRPr="00BF3CDE" w14:paraId="5FD5EE4F" w14:textId="77777777" w:rsidTr="00E00FE9">
        <w:trPr>
          <w:trHeight w:val="567"/>
        </w:trPr>
        <w:tc>
          <w:tcPr>
            <w:tcW w:w="7196" w:type="dxa"/>
            <w:vAlign w:val="center"/>
          </w:tcPr>
          <w:p w14:paraId="68072AE9" w14:textId="77777777" w:rsidR="00584DB1" w:rsidRPr="00BF3CDE" w:rsidRDefault="00C031DE" w:rsidP="00F91B66">
            <w:pPr>
              <w:pStyle w:val="NoSpacing"/>
              <w:jc w:val="both"/>
              <w:rPr>
                <w:b/>
                <w:noProof/>
                <w:sz w:val="20"/>
                <w:szCs w:val="20"/>
                <w:lang w:val="sr-Cyrl-CS"/>
              </w:rPr>
            </w:pPr>
            <w:r w:rsidRPr="00BF3CDE">
              <w:rPr>
                <w:noProof/>
                <w:sz w:val="20"/>
                <w:szCs w:val="20"/>
                <w:lang w:val="sr-Cyrl-CS"/>
              </w:rPr>
              <w:t>Остварена наплаћена премија у износу од 2.829.092 хиљ. динара и већа је у односу на исти период претходне године за  21,54%.</w:t>
            </w:r>
          </w:p>
        </w:tc>
        <w:tc>
          <w:tcPr>
            <w:tcW w:w="243" w:type="dxa"/>
          </w:tcPr>
          <w:p w14:paraId="760628F3" w14:textId="77777777" w:rsidR="00584DB1" w:rsidRPr="00BF3CDE" w:rsidRDefault="00584DB1" w:rsidP="00AB0F8D">
            <w:pPr>
              <w:pStyle w:val="NoSpacing"/>
              <w:jc w:val="both"/>
              <w:rPr>
                <w:noProof/>
                <w:sz w:val="20"/>
                <w:szCs w:val="20"/>
                <w:lang w:val="sr-Cyrl-CS"/>
              </w:rPr>
            </w:pPr>
          </w:p>
        </w:tc>
        <w:tc>
          <w:tcPr>
            <w:tcW w:w="2875" w:type="dxa"/>
          </w:tcPr>
          <w:p w14:paraId="655DF03B" w14:textId="77777777" w:rsidR="00C031DE" w:rsidRPr="00BF3CDE" w:rsidRDefault="00C031DE" w:rsidP="00D85D41">
            <w:pPr>
              <w:pStyle w:val="NoSpacing"/>
              <w:rPr>
                <w:rFonts w:ascii="Palatino Linotype" w:hAnsi="Palatino Linotype" w:cs="Times New Roman"/>
                <w:b/>
                <w:noProof/>
                <w:color w:val="632423" w:themeColor="accent2" w:themeShade="80"/>
                <w:sz w:val="24"/>
                <w:szCs w:val="20"/>
                <w:lang w:val="sr-Cyrl-CS"/>
              </w:rPr>
            </w:pPr>
            <w:r w:rsidRPr="00BF3CDE">
              <w:rPr>
                <w:rFonts w:ascii="Palatino Linotype" w:hAnsi="Palatino Linotype" w:cs="Times New Roman"/>
                <w:b/>
                <w:noProof/>
                <w:color w:val="632423" w:themeColor="accent2" w:themeShade="80"/>
                <w:sz w:val="24"/>
                <w:szCs w:val="20"/>
                <w:lang w:val="sr-Cyrl-CS"/>
              </w:rPr>
              <w:t>Наплаћена премија 2.829.092  хиљ</w:t>
            </w:r>
            <w:r w:rsidR="00E00FE9" w:rsidRPr="00BF3CDE">
              <w:rPr>
                <w:rFonts w:ascii="Palatino Linotype" w:hAnsi="Palatino Linotype" w:cs="Times New Roman"/>
                <w:b/>
                <w:noProof/>
                <w:color w:val="632423" w:themeColor="accent2" w:themeShade="80"/>
                <w:sz w:val="24"/>
                <w:szCs w:val="20"/>
                <w:lang w:val="sr-Cyrl-CS"/>
              </w:rPr>
              <w:t>.</w:t>
            </w:r>
            <w:r w:rsidRPr="00BF3CDE">
              <w:rPr>
                <w:rFonts w:ascii="Palatino Linotype" w:hAnsi="Palatino Linotype" w:cs="Times New Roman"/>
                <w:b/>
                <w:noProof/>
                <w:color w:val="632423" w:themeColor="accent2" w:themeShade="80"/>
                <w:sz w:val="24"/>
                <w:szCs w:val="20"/>
                <w:lang w:val="sr-Cyrl-CS"/>
              </w:rPr>
              <w:t xml:space="preserve"> дин</w:t>
            </w:r>
            <w:r w:rsidR="00E00FE9" w:rsidRPr="00BF3CDE">
              <w:rPr>
                <w:rFonts w:ascii="Palatino Linotype" w:hAnsi="Palatino Linotype" w:cs="Times New Roman"/>
                <w:b/>
                <w:noProof/>
                <w:color w:val="632423" w:themeColor="accent2" w:themeShade="80"/>
                <w:sz w:val="24"/>
                <w:szCs w:val="20"/>
                <w:lang w:val="sr-Cyrl-CS"/>
              </w:rPr>
              <w:t>.</w:t>
            </w:r>
            <w:r w:rsidRPr="00BF3CDE">
              <w:rPr>
                <w:rFonts w:ascii="Palatino Linotype" w:hAnsi="Palatino Linotype" w:cs="Times New Roman"/>
                <w:b/>
                <w:noProof/>
                <w:color w:val="632423" w:themeColor="accent2" w:themeShade="80"/>
                <w:sz w:val="24"/>
                <w:szCs w:val="20"/>
                <w:lang w:val="sr-Cyrl-CS"/>
              </w:rPr>
              <w:t xml:space="preserve"> 21,54% већа  у односу на </w:t>
            </w:r>
            <w:r w:rsidR="00E00FE9" w:rsidRPr="00BF3CDE">
              <w:rPr>
                <w:rFonts w:ascii="Palatino Linotype" w:hAnsi="Palatino Linotype" w:cs="Times New Roman"/>
                <w:b/>
                <w:noProof/>
                <w:color w:val="632423" w:themeColor="accent2" w:themeShade="80"/>
                <w:sz w:val="24"/>
                <w:szCs w:val="20"/>
                <w:lang w:val="sr-Cyrl-CS"/>
              </w:rPr>
              <w:t>2013.</w:t>
            </w:r>
            <w:r w:rsidRPr="00BF3CDE">
              <w:rPr>
                <w:rFonts w:ascii="Palatino Linotype" w:hAnsi="Palatino Linotype" w:cs="Times New Roman"/>
                <w:b/>
                <w:noProof/>
                <w:color w:val="632423" w:themeColor="accent2" w:themeShade="80"/>
                <w:sz w:val="24"/>
                <w:szCs w:val="20"/>
                <w:lang w:val="sr-Cyrl-CS"/>
              </w:rPr>
              <w:t xml:space="preserve"> год.</w:t>
            </w:r>
          </w:p>
        </w:tc>
      </w:tr>
      <w:tr w:rsidR="00584DB1" w:rsidRPr="00BF3CDE" w14:paraId="483A62D4" w14:textId="77777777" w:rsidTr="00E00FE9">
        <w:trPr>
          <w:trHeight w:val="454"/>
        </w:trPr>
        <w:tc>
          <w:tcPr>
            <w:tcW w:w="7196" w:type="dxa"/>
            <w:vAlign w:val="center"/>
          </w:tcPr>
          <w:p w14:paraId="2D24359A" w14:textId="77777777" w:rsidR="00584DB1" w:rsidRPr="00BF3CDE" w:rsidRDefault="00C031DE" w:rsidP="00F91B66">
            <w:pPr>
              <w:pStyle w:val="NoSpacing"/>
              <w:jc w:val="both"/>
              <w:rPr>
                <w:b/>
                <w:noProof/>
                <w:sz w:val="20"/>
                <w:szCs w:val="20"/>
                <w:lang w:val="sr-Cyrl-CS"/>
              </w:rPr>
            </w:pPr>
            <w:r w:rsidRPr="00BF3CDE">
              <w:rPr>
                <w:noProof/>
                <w:sz w:val="20"/>
                <w:szCs w:val="20"/>
                <w:lang w:val="sr-Cyrl-CS"/>
              </w:rPr>
              <w:lastRenderedPageBreak/>
              <w:t>У периоду  I-XII  2014. године ликвидиране су штете у укупном износу од  770.321 хиљ. динара, што представља пад од 16,65% у односу на исти период претходне године.</w:t>
            </w:r>
          </w:p>
        </w:tc>
        <w:tc>
          <w:tcPr>
            <w:tcW w:w="243" w:type="dxa"/>
          </w:tcPr>
          <w:p w14:paraId="612913CF" w14:textId="77777777" w:rsidR="00584DB1" w:rsidRPr="00BF3CDE" w:rsidRDefault="00584DB1" w:rsidP="00AB0F8D">
            <w:pPr>
              <w:pStyle w:val="NoSpacing"/>
              <w:jc w:val="both"/>
              <w:rPr>
                <w:noProof/>
                <w:sz w:val="20"/>
                <w:szCs w:val="20"/>
                <w:lang w:val="sr-Cyrl-CS"/>
              </w:rPr>
            </w:pPr>
          </w:p>
        </w:tc>
        <w:tc>
          <w:tcPr>
            <w:tcW w:w="2875" w:type="dxa"/>
          </w:tcPr>
          <w:p w14:paraId="7FE9D53F" w14:textId="77777777" w:rsidR="00E00FE9" w:rsidRPr="00BF3CDE" w:rsidRDefault="00E00FE9" w:rsidP="00E00FE9">
            <w:pPr>
              <w:pStyle w:val="NoSpacing"/>
              <w:jc w:val="both"/>
              <w:rPr>
                <w:rFonts w:ascii="Palatino Linotype" w:hAnsi="Palatino Linotype" w:cs="Times New Roman"/>
                <w:b/>
                <w:noProof/>
                <w:color w:val="632423" w:themeColor="accent2" w:themeShade="80"/>
                <w:sz w:val="12"/>
                <w:szCs w:val="12"/>
                <w:lang w:val="sr-Cyrl-CS"/>
              </w:rPr>
            </w:pPr>
          </w:p>
          <w:p w14:paraId="48A6C50D" w14:textId="77777777" w:rsidR="00584DB1" w:rsidRPr="00BF3CDE" w:rsidRDefault="00C031DE" w:rsidP="00E00FE9">
            <w:pPr>
              <w:pStyle w:val="NoSpacing"/>
              <w:jc w:val="both"/>
              <w:rPr>
                <w:rFonts w:ascii="Palatino Linotype" w:hAnsi="Palatino Linotype" w:cs="Times New Roman"/>
                <w:b/>
                <w:noProof/>
                <w:color w:val="632423" w:themeColor="accent2" w:themeShade="80"/>
                <w:sz w:val="24"/>
                <w:szCs w:val="20"/>
                <w:lang w:val="sr-Cyrl-CS"/>
              </w:rPr>
            </w:pPr>
            <w:r w:rsidRPr="00BF3CDE">
              <w:rPr>
                <w:rFonts w:ascii="Palatino Linotype" w:hAnsi="Palatino Linotype" w:cs="Times New Roman"/>
                <w:b/>
                <w:noProof/>
                <w:color w:val="632423" w:themeColor="accent2" w:themeShade="80"/>
                <w:sz w:val="24"/>
                <w:szCs w:val="20"/>
                <w:lang w:val="sr-Cyrl-CS"/>
              </w:rPr>
              <w:t>Ликвидиране штете  770.321. хиљ</w:t>
            </w:r>
            <w:r w:rsidR="00E00FE9" w:rsidRPr="00BF3CDE">
              <w:rPr>
                <w:rFonts w:ascii="Palatino Linotype" w:hAnsi="Palatino Linotype" w:cs="Times New Roman"/>
                <w:b/>
                <w:noProof/>
                <w:color w:val="632423" w:themeColor="accent2" w:themeShade="80"/>
                <w:sz w:val="24"/>
                <w:szCs w:val="20"/>
                <w:lang w:val="sr-Cyrl-CS"/>
              </w:rPr>
              <w:t>.</w:t>
            </w:r>
            <w:r w:rsidRPr="00BF3CDE">
              <w:rPr>
                <w:rFonts w:ascii="Palatino Linotype" w:hAnsi="Palatino Linotype" w:cs="Times New Roman"/>
                <w:b/>
                <w:noProof/>
                <w:color w:val="632423" w:themeColor="accent2" w:themeShade="80"/>
                <w:sz w:val="24"/>
                <w:szCs w:val="20"/>
                <w:lang w:val="sr-Cyrl-CS"/>
              </w:rPr>
              <w:t xml:space="preserve"> дин</w:t>
            </w:r>
            <w:r w:rsidR="00E00FE9" w:rsidRPr="00BF3CDE">
              <w:rPr>
                <w:rFonts w:ascii="Palatino Linotype" w:hAnsi="Palatino Linotype" w:cs="Times New Roman"/>
                <w:b/>
                <w:noProof/>
                <w:color w:val="632423" w:themeColor="accent2" w:themeShade="80"/>
                <w:sz w:val="24"/>
                <w:szCs w:val="20"/>
                <w:lang w:val="sr-Cyrl-CS"/>
              </w:rPr>
              <w:t>.</w:t>
            </w:r>
            <w:r w:rsidRPr="00BF3CDE">
              <w:rPr>
                <w:rFonts w:ascii="Palatino Linotype" w:hAnsi="Palatino Linotype" w:cs="Times New Roman"/>
                <w:b/>
                <w:noProof/>
                <w:color w:val="632423" w:themeColor="accent2" w:themeShade="80"/>
                <w:sz w:val="24"/>
                <w:szCs w:val="20"/>
                <w:lang w:val="sr-Cyrl-CS"/>
              </w:rPr>
              <w:t>, 16,65% мање  у односу на претходну годину.</w:t>
            </w:r>
          </w:p>
          <w:p w14:paraId="40E2649B" w14:textId="77777777" w:rsidR="00E00FE9" w:rsidRPr="00BF3CDE" w:rsidRDefault="00E00FE9" w:rsidP="00E00FE9">
            <w:pPr>
              <w:pStyle w:val="NoSpacing"/>
              <w:jc w:val="both"/>
              <w:rPr>
                <w:b/>
                <w:noProof/>
                <w:color w:val="000000" w:themeColor="text1"/>
                <w:sz w:val="28"/>
                <w:szCs w:val="6"/>
                <w:lang w:val="sr-Cyrl-CS"/>
              </w:rPr>
            </w:pPr>
          </w:p>
        </w:tc>
      </w:tr>
    </w:tbl>
    <w:tbl>
      <w:tblPr>
        <w:tblW w:w="9938" w:type="dxa"/>
        <w:jc w:val="center"/>
        <w:tblLook w:val="04A0" w:firstRow="1" w:lastRow="0" w:firstColumn="1" w:lastColumn="0" w:noHBand="0" w:noVBand="1"/>
      </w:tblPr>
      <w:tblGrid>
        <w:gridCol w:w="5010"/>
        <w:gridCol w:w="1495"/>
        <w:gridCol w:w="1495"/>
        <w:gridCol w:w="1938"/>
      </w:tblGrid>
      <w:tr w:rsidR="00484D5E" w:rsidRPr="00BF3CDE" w14:paraId="7ED3D625" w14:textId="77777777" w:rsidTr="00E00FE9">
        <w:trPr>
          <w:trHeight w:val="170"/>
          <w:jc w:val="center"/>
        </w:trPr>
        <w:tc>
          <w:tcPr>
            <w:tcW w:w="5010" w:type="dxa"/>
            <w:vMerge w:val="restart"/>
            <w:tcBorders>
              <w:top w:val="double" w:sz="6" w:space="0" w:color="auto"/>
              <w:left w:val="nil"/>
              <w:bottom w:val="double" w:sz="6" w:space="0" w:color="000000"/>
              <w:right w:val="nil"/>
            </w:tcBorders>
            <w:shd w:val="clear" w:color="auto" w:fill="4F81BD" w:themeFill="accent1"/>
            <w:vAlign w:val="center"/>
            <w:hideMark/>
          </w:tcPr>
          <w:bookmarkStart w:id="5" w:name="RANGE!A39"/>
          <w:p w14:paraId="02EE34AA" w14:textId="77777777" w:rsidR="00B8562C" w:rsidRPr="00BF3CDE" w:rsidRDefault="00B8562C" w:rsidP="00B8562C">
            <w:pPr>
              <w:spacing w:after="0" w:line="240" w:lineRule="auto"/>
              <w:rPr>
                <w:rFonts w:ascii="Arial Narrow" w:eastAsia="Times New Roman" w:hAnsi="Arial Narrow" w:cs="Times New Roman"/>
                <w:noProof/>
                <w:color w:val="FFFFFF" w:themeColor="background1"/>
                <w:u w:val="single"/>
                <w:lang w:val="sr-Cyrl-CS" w:eastAsia="sr-Latn-RS"/>
              </w:rPr>
            </w:pPr>
            <w:r w:rsidRPr="00BF3CDE">
              <w:rPr>
                <w:rFonts w:ascii="Arial Narrow" w:eastAsia="Times New Roman" w:hAnsi="Arial Narrow" w:cs="Times New Roman"/>
                <w:noProof/>
                <w:color w:val="FFFFFF" w:themeColor="background1"/>
                <w:u w:val="single"/>
                <w:lang w:val="sr-Cyrl-CS" w:eastAsia="sr-Latn-RS"/>
              </w:rPr>
              <w:fldChar w:fldCharType="begin"/>
            </w:r>
            <w:r w:rsidRPr="00BF3CDE">
              <w:rPr>
                <w:rFonts w:ascii="Arial Narrow" w:eastAsia="Times New Roman" w:hAnsi="Arial Narrow" w:cs="Times New Roman"/>
                <w:noProof/>
                <w:color w:val="FFFFFF" w:themeColor="background1"/>
                <w:u w:val="single"/>
                <w:lang w:val="sr-Cyrl-CS" w:eastAsia="sr-Latn-RS"/>
              </w:rPr>
              <w:instrText xml:space="preserve"> HYPERLINK "file:///C:\\Users\\v.katic\\Documents\\Završni%20račun%202012\\karmel%20analiza%202012.xlsx" \l "RANGE!#REF!" </w:instrText>
            </w:r>
            <w:r w:rsidRPr="00BF3CDE">
              <w:rPr>
                <w:rFonts w:ascii="Arial Narrow" w:eastAsia="Times New Roman" w:hAnsi="Arial Narrow" w:cs="Times New Roman"/>
                <w:noProof/>
                <w:color w:val="FFFFFF" w:themeColor="background1"/>
                <w:u w:val="single"/>
                <w:lang w:val="sr-Cyrl-CS" w:eastAsia="sr-Latn-RS"/>
              </w:rPr>
              <w:fldChar w:fldCharType="separate"/>
            </w:r>
            <w:r w:rsidRPr="00BF3CDE">
              <w:rPr>
                <w:rFonts w:ascii="Arial Narrow" w:eastAsia="Times New Roman" w:hAnsi="Arial Narrow" w:cs="Times New Roman"/>
                <w:noProof/>
                <w:color w:val="FFFFFF" w:themeColor="background1"/>
                <w:u w:val="single"/>
                <w:lang w:val="sr-Cyrl-CS" w:eastAsia="sr-Latn-RS"/>
              </w:rPr>
              <w:t>CARMEL*</w:t>
            </w:r>
            <w:r w:rsidRPr="00BF3CDE">
              <w:rPr>
                <w:rFonts w:ascii="Arial Narrow" w:eastAsia="Times New Roman" w:hAnsi="Arial Narrow" w:cs="Times New Roman"/>
                <w:noProof/>
                <w:color w:val="FFFFFF" w:themeColor="background1"/>
                <w:u w:val="single"/>
                <w:lang w:val="sr-Cyrl-CS" w:eastAsia="sr-Latn-RS"/>
              </w:rPr>
              <w:fldChar w:fldCharType="end"/>
            </w:r>
            <w:bookmarkEnd w:id="5"/>
          </w:p>
        </w:tc>
        <w:tc>
          <w:tcPr>
            <w:tcW w:w="1495" w:type="dxa"/>
            <w:tcBorders>
              <w:top w:val="double" w:sz="6" w:space="0" w:color="auto"/>
              <w:left w:val="nil"/>
              <w:bottom w:val="nil"/>
              <w:right w:val="nil"/>
            </w:tcBorders>
            <w:shd w:val="clear" w:color="auto" w:fill="4F81BD" w:themeFill="accent1"/>
            <w:vAlign w:val="center"/>
            <w:hideMark/>
          </w:tcPr>
          <w:p w14:paraId="0767027A" w14:textId="77777777" w:rsidR="00B8562C" w:rsidRPr="00BF3CDE" w:rsidRDefault="00B8562C" w:rsidP="00B8562C">
            <w:pPr>
              <w:spacing w:after="0" w:line="240" w:lineRule="auto"/>
              <w:jc w:val="center"/>
              <w:rPr>
                <w:rFonts w:ascii="Arial Narrow" w:eastAsia="Times New Roman" w:hAnsi="Arial Narrow" w:cs="Times New Roman"/>
                <w:b/>
                <w:bCs/>
                <w:i/>
                <w:iCs/>
                <w:noProof/>
                <w:color w:val="FFFFFF" w:themeColor="background1"/>
                <w:sz w:val="20"/>
                <w:szCs w:val="20"/>
                <w:lang w:val="sr-Cyrl-CS" w:eastAsia="sr-Latn-RS"/>
              </w:rPr>
            </w:pPr>
            <w:r w:rsidRPr="00BF3CDE">
              <w:rPr>
                <w:rFonts w:ascii="Arial Narrow" w:eastAsia="Times New Roman" w:hAnsi="Arial Narrow" w:cs="Times New Roman"/>
                <w:b/>
                <w:bCs/>
                <w:i/>
                <w:iCs/>
                <w:noProof/>
                <w:color w:val="FFFFFF" w:themeColor="background1"/>
                <w:sz w:val="20"/>
                <w:szCs w:val="20"/>
                <w:lang w:val="sr-Cyrl-CS" w:eastAsia="sr-Latn-RS"/>
              </w:rPr>
              <w:t>Претходна</w:t>
            </w:r>
          </w:p>
        </w:tc>
        <w:tc>
          <w:tcPr>
            <w:tcW w:w="1495" w:type="dxa"/>
            <w:tcBorders>
              <w:top w:val="double" w:sz="6" w:space="0" w:color="auto"/>
              <w:left w:val="nil"/>
              <w:bottom w:val="nil"/>
              <w:right w:val="nil"/>
            </w:tcBorders>
            <w:shd w:val="clear" w:color="auto" w:fill="4F81BD" w:themeFill="accent1"/>
            <w:vAlign w:val="center"/>
            <w:hideMark/>
          </w:tcPr>
          <w:p w14:paraId="15D6B5F3" w14:textId="77777777" w:rsidR="00B8562C" w:rsidRPr="00BF3CDE" w:rsidRDefault="00B8562C" w:rsidP="00B8562C">
            <w:pPr>
              <w:spacing w:after="0" w:line="240" w:lineRule="auto"/>
              <w:jc w:val="center"/>
              <w:rPr>
                <w:rFonts w:ascii="Arial Narrow" w:eastAsia="Times New Roman" w:hAnsi="Arial Narrow" w:cs="Times New Roman"/>
                <w:b/>
                <w:bCs/>
                <w:i/>
                <w:iCs/>
                <w:noProof/>
                <w:color w:val="FFFFFF" w:themeColor="background1"/>
                <w:sz w:val="20"/>
                <w:szCs w:val="20"/>
                <w:lang w:val="sr-Cyrl-CS" w:eastAsia="sr-Latn-RS"/>
              </w:rPr>
            </w:pPr>
            <w:r w:rsidRPr="00BF3CDE">
              <w:rPr>
                <w:rFonts w:ascii="Arial Narrow" w:eastAsia="Times New Roman" w:hAnsi="Arial Narrow" w:cs="Times New Roman"/>
                <w:b/>
                <w:bCs/>
                <w:i/>
                <w:iCs/>
                <w:noProof/>
                <w:color w:val="FFFFFF" w:themeColor="background1"/>
                <w:sz w:val="20"/>
                <w:szCs w:val="20"/>
                <w:lang w:val="sr-Cyrl-CS" w:eastAsia="sr-Latn-RS"/>
              </w:rPr>
              <w:t>Текућа</w:t>
            </w:r>
          </w:p>
        </w:tc>
        <w:tc>
          <w:tcPr>
            <w:tcW w:w="1938" w:type="dxa"/>
            <w:vMerge w:val="restart"/>
            <w:tcBorders>
              <w:top w:val="double" w:sz="6" w:space="0" w:color="auto"/>
              <w:left w:val="nil"/>
              <w:bottom w:val="double" w:sz="6" w:space="0" w:color="000000"/>
              <w:right w:val="nil"/>
            </w:tcBorders>
            <w:shd w:val="clear" w:color="auto" w:fill="4F81BD" w:themeFill="accent1"/>
            <w:vAlign w:val="center"/>
            <w:hideMark/>
          </w:tcPr>
          <w:p w14:paraId="690EFB84" w14:textId="77777777" w:rsidR="00B8562C" w:rsidRPr="00BF3CDE" w:rsidRDefault="00B8562C" w:rsidP="00B8562C">
            <w:pPr>
              <w:spacing w:after="0" w:line="240" w:lineRule="auto"/>
              <w:jc w:val="center"/>
              <w:rPr>
                <w:rFonts w:ascii="Arial Narrow" w:eastAsia="Times New Roman" w:hAnsi="Arial Narrow" w:cs="Times New Roman"/>
                <w:b/>
                <w:bCs/>
                <w:i/>
                <w:iCs/>
                <w:noProof/>
                <w:color w:val="FFFFFF" w:themeColor="background1"/>
                <w:sz w:val="20"/>
                <w:szCs w:val="20"/>
                <w:lang w:val="sr-Cyrl-CS" w:eastAsia="sr-Latn-RS"/>
              </w:rPr>
            </w:pPr>
            <w:r w:rsidRPr="00BF3CDE">
              <w:rPr>
                <w:rFonts w:ascii="Arial Narrow" w:eastAsia="Times New Roman" w:hAnsi="Arial Narrow" w:cs="Times New Roman"/>
                <w:b/>
                <w:bCs/>
                <w:i/>
                <w:iCs/>
                <w:noProof/>
                <w:color w:val="FFFFFF" w:themeColor="background1"/>
                <w:sz w:val="20"/>
                <w:szCs w:val="20"/>
                <w:lang w:val="sr-Cyrl-CS" w:eastAsia="sr-Latn-RS"/>
              </w:rPr>
              <w:t>ТРЕНД</w:t>
            </w:r>
          </w:p>
        </w:tc>
      </w:tr>
      <w:tr w:rsidR="00484D5E" w:rsidRPr="00BF3CDE" w14:paraId="05A37070" w14:textId="77777777" w:rsidTr="00E00FE9">
        <w:trPr>
          <w:trHeight w:val="170"/>
          <w:jc w:val="center"/>
        </w:trPr>
        <w:tc>
          <w:tcPr>
            <w:tcW w:w="5010" w:type="dxa"/>
            <w:vMerge/>
            <w:tcBorders>
              <w:top w:val="double" w:sz="6" w:space="0" w:color="auto"/>
              <w:left w:val="nil"/>
              <w:bottom w:val="double" w:sz="6" w:space="0" w:color="000000"/>
              <w:right w:val="nil"/>
            </w:tcBorders>
            <w:shd w:val="clear" w:color="auto" w:fill="4F81BD" w:themeFill="accent1"/>
            <w:vAlign w:val="center"/>
            <w:hideMark/>
          </w:tcPr>
          <w:p w14:paraId="1FCB5436" w14:textId="77777777" w:rsidR="00B8562C" w:rsidRPr="00BF3CDE" w:rsidRDefault="00B8562C" w:rsidP="00B8562C">
            <w:pPr>
              <w:spacing w:after="0" w:line="240" w:lineRule="auto"/>
              <w:rPr>
                <w:rFonts w:ascii="Arial Narrow" w:eastAsia="Times New Roman" w:hAnsi="Arial Narrow" w:cs="Times New Roman"/>
                <w:noProof/>
                <w:color w:val="FFFFFF" w:themeColor="background1"/>
                <w:u w:val="single"/>
                <w:lang w:val="sr-Cyrl-CS" w:eastAsia="sr-Latn-RS"/>
              </w:rPr>
            </w:pPr>
          </w:p>
        </w:tc>
        <w:tc>
          <w:tcPr>
            <w:tcW w:w="1495" w:type="dxa"/>
            <w:tcBorders>
              <w:top w:val="nil"/>
              <w:left w:val="nil"/>
              <w:bottom w:val="double" w:sz="6" w:space="0" w:color="auto"/>
              <w:right w:val="nil"/>
            </w:tcBorders>
            <w:shd w:val="clear" w:color="auto" w:fill="4F81BD" w:themeFill="accent1"/>
            <w:vAlign w:val="center"/>
            <w:hideMark/>
          </w:tcPr>
          <w:p w14:paraId="566A5E61" w14:textId="77777777" w:rsidR="00B8562C" w:rsidRPr="00BF3CDE" w:rsidRDefault="00B8562C" w:rsidP="00B8562C">
            <w:pPr>
              <w:spacing w:after="0" w:line="240" w:lineRule="auto"/>
              <w:jc w:val="center"/>
              <w:rPr>
                <w:rFonts w:ascii="Arial Narrow" w:eastAsia="Times New Roman" w:hAnsi="Arial Narrow" w:cs="Times New Roman"/>
                <w:b/>
                <w:bCs/>
                <w:i/>
                <w:iCs/>
                <w:noProof/>
                <w:color w:val="FFFFFF" w:themeColor="background1"/>
                <w:sz w:val="20"/>
                <w:szCs w:val="20"/>
                <w:lang w:val="sr-Cyrl-CS" w:eastAsia="sr-Latn-RS"/>
              </w:rPr>
            </w:pPr>
            <w:r w:rsidRPr="00BF3CDE">
              <w:rPr>
                <w:rFonts w:ascii="Arial Narrow" w:eastAsia="Times New Roman" w:hAnsi="Arial Narrow" w:cs="Times New Roman"/>
                <w:b/>
                <w:bCs/>
                <w:i/>
                <w:iCs/>
                <w:noProof/>
                <w:color w:val="FFFFFF" w:themeColor="background1"/>
                <w:sz w:val="20"/>
                <w:szCs w:val="20"/>
                <w:lang w:val="sr-Cyrl-CS" w:eastAsia="sr-Latn-RS"/>
              </w:rPr>
              <w:t>година</w:t>
            </w:r>
          </w:p>
        </w:tc>
        <w:tc>
          <w:tcPr>
            <w:tcW w:w="1495" w:type="dxa"/>
            <w:tcBorders>
              <w:top w:val="nil"/>
              <w:left w:val="nil"/>
              <w:bottom w:val="double" w:sz="6" w:space="0" w:color="auto"/>
              <w:right w:val="nil"/>
            </w:tcBorders>
            <w:shd w:val="clear" w:color="auto" w:fill="4F81BD" w:themeFill="accent1"/>
            <w:vAlign w:val="center"/>
            <w:hideMark/>
          </w:tcPr>
          <w:p w14:paraId="49B38302" w14:textId="77777777" w:rsidR="00B8562C" w:rsidRPr="00BF3CDE" w:rsidRDefault="00B8562C" w:rsidP="00B8562C">
            <w:pPr>
              <w:spacing w:after="0" w:line="240" w:lineRule="auto"/>
              <w:jc w:val="center"/>
              <w:rPr>
                <w:rFonts w:ascii="Arial Narrow" w:eastAsia="Times New Roman" w:hAnsi="Arial Narrow" w:cs="Times New Roman"/>
                <w:b/>
                <w:bCs/>
                <w:i/>
                <w:iCs/>
                <w:noProof/>
                <w:color w:val="FFFFFF" w:themeColor="background1"/>
                <w:sz w:val="20"/>
                <w:szCs w:val="20"/>
                <w:lang w:val="sr-Cyrl-CS" w:eastAsia="sr-Latn-RS"/>
              </w:rPr>
            </w:pPr>
            <w:r w:rsidRPr="00BF3CDE">
              <w:rPr>
                <w:rFonts w:ascii="Arial Narrow" w:eastAsia="Times New Roman" w:hAnsi="Arial Narrow" w:cs="Times New Roman"/>
                <w:b/>
                <w:bCs/>
                <w:i/>
                <w:iCs/>
                <w:noProof/>
                <w:color w:val="FFFFFF" w:themeColor="background1"/>
                <w:sz w:val="20"/>
                <w:szCs w:val="20"/>
                <w:lang w:val="sr-Cyrl-CS" w:eastAsia="sr-Latn-RS"/>
              </w:rPr>
              <w:t>година</w:t>
            </w:r>
          </w:p>
        </w:tc>
        <w:tc>
          <w:tcPr>
            <w:tcW w:w="1938" w:type="dxa"/>
            <w:vMerge/>
            <w:tcBorders>
              <w:top w:val="double" w:sz="6" w:space="0" w:color="auto"/>
              <w:left w:val="nil"/>
              <w:bottom w:val="double" w:sz="6" w:space="0" w:color="000000"/>
              <w:right w:val="nil"/>
            </w:tcBorders>
            <w:shd w:val="clear" w:color="auto" w:fill="4F81BD" w:themeFill="accent1"/>
            <w:vAlign w:val="center"/>
            <w:hideMark/>
          </w:tcPr>
          <w:p w14:paraId="06B5C06B" w14:textId="77777777" w:rsidR="00B8562C" w:rsidRPr="00BF3CDE" w:rsidRDefault="00B8562C" w:rsidP="00B8562C">
            <w:pPr>
              <w:spacing w:after="0" w:line="240" w:lineRule="auto"/>
              <w:rPr>
                <w:rFonts w:ascii="Arial Narrow" w:eastAsia="Times New Roman" w:hAnsi="Arial Narrow" w:cs="Times New Roman"/>
                <w:b/>
                <w:bCs/>
                <w:i/>
                <w:iCs/>
                <w:noProof/>
                <w:color w:val="FFFFFF" w:themeColor="background1"/>
                <w:sz w:val="20"/>
                <w:szCs w:val="20"/>
                <w:lang w:val="sr-Cyrl-CS" w:eastAsia="sr-Latn-RS"/>
              </w:rPr>
            </w:pPr>
          </w:p>
        </w:tc>
      </w:tr>
      <w:tr w:rsidR="00B8562C" w:rsidRPr="00BF3CDE" w14:paraId="7BAA1F22" w14:textId="77777777" w:rsidTr="00E00FE9">
        <w:trPr>
          <w:trHeight w:val="227"/>
          <w:jc w:val="center"/>
        </w:trPr>
        <w:tc>
          <w:tcPr>
            <w:tcW w:w="9938" w:type="dxa"/>
            <w:gridSpan w:val="4"/>
            <w:tcBorders>
              <w:top w:val="double" w:sz="6" w:space="0" w:color="auto"/>
              <w:left w:val="nil"/>
              <w:bottom w:val="single" w:sz="4" w:space="0" w:color="auto"/>
              <w:right w:val="nil"/>
            </w:tcBorders>
            <w:shd w:val="clear" w:color="auto" w:fill="DBE5F1" w:themeFill="accent1" w:themeFillTint="33"/>
            <w:vAlign w:val="center"/>
            <w:hideMark/>
          </w:tcPr>
          <w:p w14:paraId="6A1D2890" w14:textId="77777777" w:rsidR="00B8562C" w:rsidRPr="00BF3CDE" w:rsidRDefault="00B8562C" w:rsidP="00B8562C">
            <w:pPr>
              <w:spacing w:after="0" w:line="240" w:lineRule="auto"/>
              <w:rPr>
                <w:rFonts w:ascii="Arial Narrow" w:eastAsia="Times New Roman" w:hAnsi="Arial Narrow" w:cs="Times New Roman"/>
                <w:b/>
                <w:bCs/>
                <w:noProof/>
                <w:color w:val="000000"/>
                <w:sz w:val="20"/>
                <w:szCs w:val="20"/>
                <w:lang w:val="sr-Cyrl-CS" w:eastAsia="sr-Latn-RS"/>
              </w:rPr>
            </w:pPr>
            <w:r w:rsidRPr="00BF3CDE">
              <w:rPr>
                <w:rFonts w:ascii="Arial Narrow" w:eastAsia="Times New Roman" w:hAnsi="Arial Narrow" w:cs="Times New Roman"/>
                <w:b/>
                <w:bCs/>
                <w:noProof/>
                <w:color w:val="000000"/>
                <w:sz w:val="20"/>
                <w:szCs w:val="20"/>
                <w:lang w:val="sr-Cyrl-CS" w:eastAsia="sr-Latn-RS"/>
              </w:rPr>
              <w:t>АДЕКВАТНОСТ КАПИТАЛА  -  С</w:t>
            </w:r>
          </w:p>
        </w:tc>
      </w:tr>
      <w:tr w:rsidR="00C031DE" w:rsidRPr="00BF3CDE" w14:paraId="15C8C124" w14:textId="77777777" w:rsidTr="00E00FE9">
        <w:trPr>
          <w:trHeight w:val="227"/>
          <w:jc w:val="center"/>
        </w:trPr>
        <w:tc>
          <w:tcPr>
            <w:tcW w:w="5010" w:type="dxa"/>
            <w:tcBorders>
              <w:top w:val="nil"/>
              <w:left w:val="nil"/>
              <w:bottom w:val="single" w:sz="4" w:space="0" w:color="auto"/>
              <w:right w:val="single" w:sz="4" w:space="0" w:color="auto"/>
            </w:tcBorders>
            <w:shd w:val="clear" w:color="auto" w:fill="auto"/>
            <w:vAlign w:val="center"/>
            <w:hideMark/>
          </w:tcPr>
          <w:p w14:paraId="48796119" w14:textId="77777777" w:rsidR="00C031DE" w:rsidRPr="00BF3CDE" w:rsidRDefault="00C031DE" w:rsidP="00B8562C">
            <w:pPr>
              <w:spacing w:after="0" w:line="240" w:lineRule="auto"/>
              <w:rPr>
                <w:rFonts w:ascii="Arial Narrow" w:eastAsia="Times New Roman" w:hAnsi="Arial Narrow" w:cs="Times New Roman"/>
                <w:i/>
                <w:iCs/>
                <w:noProof/>
                <w:color w:val="000000"/>
                <w:sz w:val="20"/>
                <w:szCs w:val="20"/>
                <w:lang w:val="sr-Cyrl-CS" w:eastAsia="sr-Latn-RS"/>
              </w:rPr>
            </w:pPr>
            <w:r w:rsidRPr="00BF3CDE">
              <w:rPr>
                <w:rFonts w:ascii="Arial Narrow" w:eastAsia="Times New Roman" w:hAnsi="Arial Narrow" w:cs="Times New Roman"/>
                <w:i/>
                <w:iCs/>
                <w:noProof/>
                <w:color w:val="000000"/>
                <w:sz w:val="20"/>
                <w:szCs w:val="20"/>
                <w:lang w:val="sr-Cyrl-CS" w:eastAsia="sr-Latn-RS"/>
              </w:rPr>
              <w:t>C1: "Премија у самопр / Ук. капитал"</w:t>
            </w:r>
          </w:p>
        </w:tc>
        <w:tc>
          <w:tcPr>
            <w:tcW w:w="1495" w:type="dxa"/>
            <w:tcBorders>
              <w:top w:val="nil"/>
              <w:left w:val="nil"/>
              <w:bottom w:val="single" w:sz="4" w:space="0" w:color="auto"/>
              <w:right w:val="single" w:sz="4" w:space="0" w:color="auto"/>
            </w:tcBorders>
            <w:shd w:val="clear" w:color="000000" w:fill="FFFFFF"/>
            <w:vAlign w:val="center"/>
            <w:hideMark/>
          </w:tcPr>
          <w:p w14:paraId="738EDEC3"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0.55</w:t>
            </w:r>
          </w:p>
        </w:tc>
        <w:tc>
          <w:tcPr>
            <w:tcW w:w="1495" w:type="dxa"/>
            <w:tcBorders>
              <w:top w:val="nil"/>
              <w:left w:val="nil"/>
              <w:bottom w:val="single" w:sz="4" w:space="0" w:color="auto"/>
              <w:right w:val="single" w:sz="4" w:space="0" w:color="auto"/>
            </w:tcBorders>
            <w:shd w:val="clear" w:color="000000" w:fill="FFFFFF"/>
            <w:vAlign w:val="center"/>
            <w:hideMark/>
          </w:tcPr>
          <w:p w14:paraId="4B04C125"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0.48</w:t>
            </w:r>
          </w:p>
        </w:tc>
        <w:tc>
          <w:tcPr>
            <w:tcW w:w="1938" w:type="dxa"/>
            <w:tcBorders>
              <w:top w:val="nil"/>
              <w:left w:val="nil"/>
              <w:bottom w:val="single" w:sz="4" w:space="0" w:color="auto"/>
              <w:right w:val="nil"/>
            </w:tcBorders>
            <w:shd w:val="clear" w:color="000000" w:fill="FFFFFF"/>
            <w:vAlign w:val="center"/>
            <w:hideMark/>
          </w:tcPr>
          <w:p w14:paraId="10728E46"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86.65</w:t>
            </w:r>
          </w:p>
        </w:tc>
      </w:tr>
      <w:tr w:rsidR="00C031DE" w:rsidRPr="00BF3CDE" w14:paraId="4D3F39EF" w14:textId="77777777" w:rsidTr="00E00FE9">
        <w:trPr>
          <w:trHeight w:val="227"/>
          <w:jc w:val="center"/>
        </w:trPr>
        <w:tc>
          <w:tcPr>
            <w:tcW w:w="5010" w:type="dxa"/>
            <w:tcBorders>
              <w:top w:val="nil"/>
              <w:left w:val="nil"/>
              <w:bottom w:val="single" w:sz="4" w:space="0" w:color="auto"/>
              <w:right w:val="single" w:sz="4" w:space="0" w:color="auto"/>
            </w:tcBorders>
            <w:shd w:val="clear" w:color="auto" w:fill="auto"/>
            <w:vAlign w:val="center"/>
            <w:hideMark/>
          </w:tcPr>
          <w:p w14:paraId="51A62DE9" w14:textId="77777777" w:rsidR="00C031DE" w:rsidRPr="00BF3CDE" w:rsidRDefault="00C031DE" w:rsidP="00B8562C">
            <w:pPr>
              <w:spacing w:after="0" w:line="240" w:lineRule="auto"/>
              <w:rPr>
                <w:rFonts w:ascii="Arial Narrow" w:eastAsia="Times New Roman" w:hAnsi="Arial Narrow" w:cs="Times New Roman"/>
                <w:i/>
                <w:iCs/>
                <w:noProof/>
                <w:color w:val="000000"/>
                <w:sz w:val="20"/>
                <w:szCs w:val="20"/>
                <w:lang w:val="sr-Cyrl-CS" w:eastAsia="sr-Latn-RS"/>
              </w:rPr>
            </w:pPr>
            <w:r w:rsidRPr="00BF3CDE">
              <w:rPr>
                <w:rFonts w:ascii="Arial Narrow" w:eastAsia="Times New Roman" w:hAnsi="Arial Narrow" w:cs="Times New Roman"/>
                <w:i/>
                <w:iCs/>
                <w:noProof/>
                <w:color w:val="000000"/>
                <w:sz w:val="20"/>
                <w:szCs w:val="20"/>
                <w:lang w:val="sr-Cyrl-CS" w:eastAsia="sr-Latn-RS"/>
              </w:rPr>
              <w:t>C2: "Укупни капитал / Укупна актива "</w:t>
            </w:r>
          </w:p>
        </w:tc>
        <w:tc>
          <w:tcPr>
            <w:tcW w:w="1495" w:type="dxa"/>
            <w:tcBorders>
              <w:top w:val="nil"/>
              <w:left w:val="nil"/>
              <w:bottom w:val="single" w:sz="4" w:space="0" w:color="auto"/>
              <w:right w:val="single" w:sz="4" w:space="0" w:color="auto"/>
            </w:tcBorders>
            <w:shd w:val="clear" w:color="000000" w:fill="FFFFFF"/>
            <w:vAlign w:val="center"/>
            <w:hideMark/>
          </w:tcPr>
          <w:p w14:paraId="6F3C2772"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0.20</w:t>
            </w:r>
          </w:p>
        </w:tc>
        <w:tc>
          <w:tcPr>
            <w:tcW w:w="1495" w:type="dxa"/>
            <w:tcBorders>
              <w:top w:val="nil"/>
              <w:left w:val="nil"/>
              <w:bottom w:val="single" w:sz="4" w:space="0" w:color="auto"/>
              <w:right w:val="single" w:sz="4" w:space="0" w:color="auto"/>
            </w:tcBorders>
            <w:shd w:val="clear" w:color="000000" w:fill="FFFFFF"/>
            <w:vAlign w:val="center"/>
            <w:hideMark/>
          </w:tcPr>
          <w:p w14:paraId="71C23E84"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0.18</w:t>
            </w:r>
          </w:p>
        </w:tc>
        <w:tc>
          <w:tcPr>
            <w:tcW w:w="1938" w:type="dxa"/>
            <w:tcBorders>
              <w:top w:val="nil"/>
              <w:left w:val="nil"/>
              <w:bottom w:val="single" w:sz="4" w:space="0" w:color="auto"/>
              <w:right w:val="nil"/>
            </w:tcBorders>
            <w:shd w:val="clear" w:color="000000" w:fill="FFFFFF"/>
            <w:vAlign w:val="center"/>
            <w:hideMark/>
          </w:tcPr>
          <w:p w14:paraId="43E542C4"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92.02</w:t>
            </w:r>
          </w:p>
        </w:tc>
      </w:tr>
      <w:tr w:rsidR="00C031DE" w:rsidRPr="00BF3CDE" w14:paraId="4B9455A8" w14:textId="77777777" w:rsidTr="00E00FE9">
        <w:trPr>
          <w:trHeight w:val="227"/>
          <w:jc w:val="center"/>
        </w:trPr>
        <w:tc>
          <w:tcPr>
            <w:tcW w:w="5010" w:type="dxa"/>
            <w:tcBorders>
              <w:top w:val="nil"/>
              <w:left w:val="nil"/>
              <w:bottom w:val="single" w:sz="4" w:space="0" w:color="auto"/>
              <w:right w:val="single" w:sz="4" w:space="0" w:color="auto"/>
            </w:tcBorders>
            <w:shd w:val="clear" w:color="auto" w:fill="auto"/>
            <w:vAlign w:val="center"/>
            <w:hideMark/>
          </w:tcPr>
          <w:p w14:paraId="0D9E72C6" w14:textId="77777777" w:rsidR="00C031DE" w:rsidRPr="00BF3CDE" w:rsidRDefault="00C031DE" w:rsidP="00B8562C">
            <w:pPr>
              <w:spacing w:after="0" w:line="240" w:lineRule="auto"/>
              <w:rPr>
                <w:rFonts w:ascii="Arial Narrow" w:eastAsia="Times New Roman" w:hAnsi="Arial Narrow" w:cs="Times New Roman"/>
                <w:i/>
                <w:iCs/>
                <w:noProof/>
                <w:color w:val="000000"/>
                <w:sz w:val="20"/>
                <w:szCs w:val="20"/>
                <w:lang w:val="sr-Cyrl-CS" w:eastAsia="sr-Latn-RS"/>
              </w:rPr>
            </w:pPr>
            <w:r w:rsidRPr="00BF3CDE">
              <w:rPr>
                <w:rFonts w:ascii="Arial Narrow" w:eastAsia="Times New Roman" w:hAnsi="Arial Narrow" w:cs="Times New Roman"/>
                <w:i/>
                <w:iCs/>
                <w:noProof/>
                <w:color w:val="000000"/>
                <w:sz w:val="20"/>
                <w:szCs w:val="20"/>
                <w:lang w:val="sr-Cyrl-CS" w:eastAsia="sr-Latn-RS"/>
              </w:rPr>
              <w:t>C3: "Укупни капитал / Техничке резерве"</w:t>
            </w:r>
          </w:p>
        </w:tc>
        <w:tc>
          <w:tcPr>
            <w:tcW w:w="1495" w:type="dxa"/>
            <w:tcBorders>
              <w:top w:val="nil"/>
              <w:left w:val="nil"/>
              <w:bottom w:val="single" w:sz="4" w:space="0" w:color="auto"/>
              <w:right w:val="single" w:sz="4" w:space="0" w:color="auto"/>
            </w:tcBorders>
            <w:shd w:val="clear" w:color="000000" w:fill="FFFFFF"/>
            <w:vAlign w:val="center"/>
            <w:hideMark/>
          </w:tcPr>
          <w:p w14:paraId="12A5CD74"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0.53</w:t>
            </w:r>
          </w:p>
        </w:tc>
        <w:tc>
          <w:tcPr>
            <w:tcW w:w="1495" w:type="dxa"/>
            <w:tcBorders>
              <w:top w:val="nil"/>
              <w:left w:val="nil"/>
              <w:bottom w:val="single" w:sz="4" w:space="0" w:color="auto"/>
              <w:right w:val="single" w:sz="4" w:space="0" w:color="auto"/>
            </w:tcBorders>
            <w:shd w:val="clear" w:color="000000" w:fill="FFFFFF"/>
            <w:vAlign w:val="center"/>
            <w:hideMark/>
          </w:tcPr>
          <w:p w14:paraId="7DC7A577"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0.95</w:t>
            </w:r>
          </w:p>
        </w:tc>
        <w:tc>
          <w:tcPr>
            <w:tcW w:w="1938" w:type="dxa"/>
            <w:tcBorders>
              <w:top w:val="nil"/>
              <w:left w:val="nil"/>
              <w:bottom w:val="single" w:sz="4" w:space="0" w:color="auto"/>
              <w:right w:val="nil"/>
            </w:tcBorders>
            <w:shd w:val="clear" w:color="000000" w:fill="FFFFFF"/>
            <w:vAlign w:val="center"/>
            <w:hideMark/>
          </w:tcPr>
          <w:p w14:paraId="6F23CDA0"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177.62</w:t>
            </w:r>
          </w:p>
        </w:tc>
      </w:tr>
      <w:tr w:rsidR="00B8562C" w:rsidRPr="00BF3CDE" w14:paraId="614B30FE" w14:textId="77777777" w:rsidTr="00E00FE9">
        <w:trPr>
          <w:trHeight w:val="227"/>
          <w:jc w:val="center"/>
        </w:trPr>
        <w:tc>
          <w:tcPr>
            <w:tcW w:w="9938" w:type="dxa"/>
            <w:gridSpan w:val="4"/>
            <w:tcBorders>
              <w:top w:val="single" w:sz="4" w:space="0" w:color="auto"/>
              <w:left w:val="nil"/>
              <w:bottom w:val="single" w:sz="4" w:space="0" w:color="auto"/>
              <w:right w:val="nil"/>
            </w:tcBorders>
            <w:shd w:val="clear" w:color="auto" w:fill="DBE5F1" w:themeFill="accent1" w:themeFillTint="33"/>
            <w:vAlign w:val="center"/>
            <w:hideMark/>
          </w:tcPr>
          <w:p w14:paraId="14A6E27A" w14:textId="77777777" w:rsidR="00B8562C" w:rsidRPr="00BF3CDE" w:rsidRDefault="00B8562C" w:rsidP="00B8562C">
            <w:pPr>
              <w:spacing w:after="0" w:line="240" w:lineRule="auto"/>
              <w:rPr>
                <w:rFonts w:ascii="Arial Narrow" w:eastAsia="Times New Roman" w:hAnsi="Arial Narrow" w:cs="Times New Roman"/>
                <w:b/>
                <w:bCs/>
                <w:noProof/>
                <w:color w:val="000000"/>
                <w:sz w:val="20"/>
                <w:szCs w:val="20"/>
                <w:lang w:val="sr-Cyrl-CS" w:eastAsia="sr-Latn-RS"/>
              </w:rPr>
            </w:pPr>
            <w:r w:rsidRPr="00BF3CDE">
              <w:rPr>
                <w:rFonts w:ascii="Arial Narrow" w:eastAsia="Times New Roman" w:hAnsi="Arial Narrow" w:cs="Times New Roman"/>
                <w:b/>
                <w:bCs/>
                <w:noProof/>
                <w:color w:val="000000"/>
                <w:sz w:val="20"/>
                <w:szCs w:val="20"/>
                <w:lang w:val="sr-Cyrl-CS" w:eastAsia="sr-Latn-RS"/>
              </w:rPr>
              <w:t>КВАЛИТЕТ АКТИВЕ  -  А</w:t>
            </w:r>
          </w:p>
        </w:tc>
      </w:tr>
      <w:tr w:rsidR="00C031DE" w:rsidRPr="00BF3CDE" w14:paraId="5989D1E7" w14:textId="77777777" w:rsidTr="00E00FE9">
        <w:trPr>
          <w:trHeight w:val="227"/>
          <w:jc w:val="center"/>
        </w:trPr>
        <w:tc>
          <w:tcPr>
            <w:tcW w:w="5010" w:type="dxa"/>
            <w:tcBorders>
              <w:top w:val="nil"/>
              <w:left w:val="nil"/>
              <w:bottom w:val="single" w:sz="4" w:space="0" w:color="auto"/>
              <w:right w:val="single" w:sz="4" w:space="0" w:color="auto"/>
            </w:tcBorders>
            <w:shd w:val="clear" w:color="auto" w:fill="auto"/>
            <w:vAlign w:val="center"/>
            <w:hideMark/>
          </w:tcPr>
          <w:p w14:paraId="1CA375D7" w14:textId="77777777" w:rsidR="00C031DE" w:rsidRPr="00BF3CDE" w:rsidRDefault="00C031DE" w:rsidP="00B8562C">
            <w:pPr>
              <w:spacing w:after="0" w:line="240" w:lineRule="auto"/>
              <w:rPr>
                <w:rFonts w:ascii="Arial Narrow" w:eastAsia="Times New Roman" w:hAnsi="Arial Narrow" w:cs="Times New Roman"/>
                <w:i/>
                <w:iCs/>
                <w:noProof/>
                <w:color w:val="000000"/>
                <w:sz w:val="20"/>
                <w:szCs w:val="20"/>
                <w:lang w:val="sr-Cyrl-CS" w:eastAsia="sr-Latn-RS"/>
              </w:rPr>
            </w:pPr>
            <w:r w:rsidRPr="00BF3CDE">
              <w:rPr>
                <w:rFonts w:ascii="Arial Narrow" w:eastAsia="Times New Roman" w:hAnsi="Arial Narrow" w:cs="Times New Roman"/>
                <w:i/>
                <w:iCs/>
                <w:noProof/>
                <w:color w:val="000000"/>
                <w:sz w:val="20"/>
                <w:szCs w:val="20"/>
                <w:lang w:val="sr-Cyrl-CS" w:eastAsia="sr-Latn-RS"/>
              </w:rPr>
              <w:t>A1: "Имовина у функцији учинка осигурања / Укупна актива"</w:t>
            </w:r>
          </w:p>
        </w:tc>
        <w:tc>
          <w:tcPr>
            <w:tcW w:w="1495" w:type="dxa"/>
            <w:tcBorders>
              <w:top w:val="nil"/>
              <w:left w:val="nil"/>
              <w:bottom w:val="single" w:sz="4" w:space="0" w:color="auto"/>
              <w:right w:val="single" w:sz="4" w:space="0" w:color="auto"/>
            </w:tcBorders>
            <w:shd w:val="clear" w:color="000000" w:fill="FFFFFF"/>
            <w:vAlign w:val="center"/>
            <w:hideMark/>
          </w:tcPr>
          <w:p w14:paraId="45EC6C5B"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0.28</w:t>
            </w:r>
          </w:p>
        </w:tc>
        <w:tc>
          <w:tcPr>
            <w:tcW w:w="1495" w:type="dxa"/>
            <w:tcBorders>
              <w:top w:val="nil"/>
              <w:left w:val="nil"/>
              <w:bottom w:val="single" w:sz="4" w:space="0" w:color="auto"/>
              <w:right w:val="single" w:sz="4" w:space="0" w:color="auto"/>
            </w:tcBorders>
            <w:shd w:val="clear" w:color="000000" w:fill="FFFFFF"/>
            <w:vAlign w:val="center"/>
            <w:hideMark/>
          </w:tcPr>
          <w:p w14:paraId="1A05C231"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0.17</w:t>
            </w:r>
          </w:p>
        </w:tc>
        <w:tc>
          <w:tcPr>
            <w:tcW w:w="1938" w:type="dxa"/>
            <w:tcBorders>
              <w:top w:val="nil"/>
              <w:left w:val="nil"/>
              <w:bottom w:val="single" w:sz="4" w:space="0" w:color="auto"/>
              <w:right w:val="nil"/>
            </w:tcBorders>
            <w:shd w:val="clear" w:color="000000" w:fill="FFFFFF"/>
            <w:vAlign w:val="center"/>
            <w:hideMark/>
          </w:tcPr>
          <w:p w14:paraId="69F79130"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61.42</w:t>
            </w:r>
          </w:p>
        </w:tc>
      </w:tr>
      <w:tr w:rsidR="00C031DE" w:rsidRPr="00BF3CDE" w14:paraId="650F2BBD" w14:textId="77777777" w:rsidTr="00E00FE9">
        <w:trPr>
          <w:trHeight w:val="170"/>
          <w:jc w:val="center"/>
        </w:trPr>
        <w:tc>
          <w:tcPr>
            <w:tcW w:w="5010" w:type="dxa"/>
            <w:tcBorders>
              <w:top w:val="nil"/>
              <w:left w:val="nil"/>
              <w:bottom w:val="single" w:sz="4" w:space="0" w:color="auto"/>
              <w:right w:val="single" w:sz="4" w:space="0" w:color="auto"/>
            </w:tcBorders>
            <w:shd w:val="clear" w:color="auto" w:fill="auto"/>
            <w:vAlign w:val="center"/>
            <w:hideMark/>
          </w:tcPr>
          <w:p w14:paraId="1746613D" w14:textId="77777777" w:rsidR="00C031DE" w:rsidRPr="00BF3CDE" w:rsidRDefault="00C031DE" w:rsidP="00B8562C">
            <w:pPr>
              <w:spacing w:after="0" w:line="240" w:lineRule="auto"/>
              <w:rPr>
                <w:rFonts w:ascii="Arial Narrow" w:eastAsia="Times New Roman" w:hAnsi="Arial Narrow" w:cs="Times New Roman"/>
                <w:i/>
                <w:iCs/>
                <w:noProof/>
                <w:color w:val="000000"/>
                <w:sz w:val="20"/>
                <w:szCs w:val="20"/>
                <w:lang w:val="sr-Cyrl-CS" w:eastAsia="sr-Latn-RS"/>
              </w:rPr>
            </w:pPr>
            <w:r w:rsidRPr="00BF3CDE">
              <w:rPr>
                <w:rFonts w:ascii="Arial Narrow" w:eastAsia="Times New Roman" w:hAnsi="Arial Narrow" w:cs="Times New Roman"/>
                <w:i/>
                <w:iCs/>
                <w:noProof/>
                <w:color w:val="000000"/>
                <w:sz w:val="20"/>
                <w:szCs w:val="20"/>
                <w:lang w:val="sr-Cyrl-CS" w:eastAsia="sr-Latn-RS"/>
              </w:rPr>
              <w:t>A4: "Укупно инвестирана средства (укључ. каматоносну готовину)  / Укупна актива"</w:t>
            </w:r>
          </w:p>
        </w:tc>
        <w:tc>
          <w:tcPr>
            <w:tcW w:w="1495" w:type="dxa"/>
            <w:tcBorders>
              <w:top w:val="nil"/>
              <w:left w:val="nil"/>
              <w:bottom w:val="single" w:sz="4" w:space="0" w:color="auto"/>
              <w:right w:val="single" w:sz="4" w:space="0" w:color="auto"/>
            </w:tcBorders>
            <w:shd w:val="clear" w:color="000000" w:fill="FFFFFF"/>
            <w:vAlign w:val="center"/>
            <w:hideMark/>
          </w:tcPr>
          <w:p w14:paraId="020D1E3B"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0.59</w:t>
            </w:r>
          </w:p>
        </w:tc>
        <w:tc>
          <w:tcPr>
            <w:tcW w:w="1495" w:type="dxa"/>
            <w:tcBorders>
              <w:top w:val="nil"/>
              <w:left w:val="nil"/>
              <w:bottom w:val="single" w:sz="4" w:space="0" w:color="auto"/>
              <w:right w:val="single" w:sz="4" w:space="0" w:color="auto"/>
            </w:tcBorders>
            <w:shd w:val="clear" w:color="000000" w:fill="FFFFFF"/>
            <w:vAlign w:val="center"/>
            <w:hideMark/>
          </w:tcPr>
          <w:p w14:paraId="4C4D7255"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0.51</w:t>
            </w:r>
          </w:p>
        </w:tc>
        <w:tc>
          <w:tcPr>
            <w:tcW w:w="1938" w:type="dxa"/>
            <w:tcBorders>
              <w:top w:val="nil"/>
              <w:left w:val="nil"/>
              <w:bottom w:val="single" w:sz="4" w:space="0" w:color="auto"/>
              <w:right w:val="nil"/>
            </w:tcBorders>
            <w:shd w:val="clear" w:color="000000" w:fill="FFFFFF"/>
            <w:vAlign w:val="center"/>
            <w:hideMark/>
          </w:tcPr>
          <w:p w14:paraId="522809DC"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85.95</w:t>
            </w:r>
          </w:p>
        </w:tc>
      </w:tr>
      <w:tr w:rsidR="00B8562C" w:rsidRPr="00BF3CDE" w14:paraId="39FC345E" w14:textId="77777777" w:rsidTr="00E00FE9">
        <w:trPr>
          <w:trHeight w:val="227"/>
          <w:jc w:val="center"/>
        </w:trPr>
        <w:tc>
          <w:tcPr>
            <w:tcW w:w="9938" w:type="dxa"/>
            <w:gridSpan w:val="4"/>
            <w:tcBorders>
              <w:top w:val="single" w:sz="4" w:space="0" w:color="auto"/>
              <w:left w:val="nil"/>
              <w:bottom w:val="single" w:sz="4" w:space="0" w:color="auto"/>
              <w:right w:val="nil"/>
            </w:tcBorders>
            <w:shd w:val="clear" w:color="auto" w:fill="DBE5F1" w:themeFill="accent1" w:themeFillTint="33"/>
            <w:vAlign w:val="center"/>
            <w:hideMark/>
          </w:tcPr>
          <w:p w14:paraId="120DE44E" w14:textId="77777777" w:rsidR="00B8562C" w:rsidRPr="00BF3CDE" w:rsidRDefault="00B8562C" w:rsidP="00B8562C">
            <w:pPr>
              <w:spacing w:after="0" w:line="240" w:lineRule="auto"/>
              <w:rPr>
                <w:rFonts w:ascii="Arial Narrow" w:eastAsia="Times New Roman" w:hAnsi="Arial Narrow" w:cs="Times New Roman"/>
                <w:b/>
                <w:bCs/>
                <w:noProof/>
                <w:color w:val="000000"/>
                <w:sz w:val="20"/>
                <w:szCs w:val="20"/>
                <w:lang w:val="sr-Cyrl-CS" w:eastAsia="sr-Latn-RS"/>
              </w:rPr>
            </w:pPr>
            <w:r w:rsidRPr="00BF3CDE">
              <w:rPr>
                <w:rFonts w:ascii="Arial Narrow" w:eastAsia="Times New Roman" w:hAnsi="Arial Narrow" w:cs="Times New Roman"/>
                <w:b/>
                <w:bCs/>
                <w:noProof/>
                <w:color w:val="000000"/>
                <w:sz w:val="20"/>
                <w:szCs w:val="20"/>
                <w:lang w:val="sr-Cyrl-CS" w:eastAsia="sr-Latn-RS"/>
              </w:rPr>
              <w:t>РЕОСИГУРАЊЕ И АКТУАРСКЕ ПОЗИЦИЈЕ  -  R</w:t>
            </w:r>
          </w:p>
        </w:tc>
      </w:tr>
      <w:tr w:rsidR="00C031DE" w:rsidRPr="00BF3CDE" w14:paraId="01DE1A9E" w14:textId="77777777" w:rsidTr="00E00FE9">
        <w:trPr>
          <w:trHeight w:val="227"/>
          <w:jc w:val="center"/>
        </w:trPr>
        <w:tc>
          <w:tcPr>
            <w:tcW w:w="5010" w:type="dxa"/>
            <w:tcBorders>
              <w:top w:val="nil"/>
              <w:left w:val="nil"/>
              <w:bottom w:val="single" w:sz="4" w:space="0" w:color="auto"/>
              <w:right w:val="single" w:sz="4" w:space="0" w:color="auto"/>
            </w:tcBorders>
            <w:shd w:val="clear" w:color="auto" w:fill="auto"/>
            <w:vAlign w:val="center"/>
            <w:hideMark/>
          </w:tcPr>
          <w:p w14:paraId="1B71BE30" w14:textId="77777777" w:rsidR="00C031DE" w:rsidRPr="00BF3CDE" w:rsidRDefault="00C031DE" w:rsidP="00B8562C">
            <w:pPr>
              <w:spacing w:after="0" w:line="240" w:lineRule="auto"/>
              <w:rPr>
                <w:rFonts w:ascii="Arial Narrow" w:eastAsia="Times New Roman" w:hAnsi="Arial Narrow" w:cs="Times New Roman"/>
                <w:i/>
                <w:iCs/>
                <w:noProof/>
                <w:color w:val="000000"/>
                <w:sz w:val="20"/>
                <w:szCs w:val="20"/>
                <w:lang w:val="sr-Cyrl-CS" w:eastAsia="sr-Latn-RS"/>
              </w:rPr>
            </w:pPr>
            <w:r w:rsidRPr="00BF3CDE">
              <w:rPr>
                <w:rFonts w:ascii="Arial Narrow" w:eastAsia="Times New Roman" w:hAnsi="Arial Narrow" w:cs="Times New Roman"/>
                <w:i/>
                <w:iCs/>
                <w:noProof/>
                <w:color w:val="000000"/>
                <w:sz w:val="20"/>
                <w:szCs w:val="20"/>
                <w:lang w:val="sr-Cyrl-CS" w:eastAsia="sr-Latn-RS"/>
              </w:rPr>
              <w:t>R1: "Меродавна премија у самопр. / Мерод. укупна премија"</w:t>
            </w:r>
          </w:p>
        </w:tc>
        <w:tc>
          <w:tcPr>
            <w:tcW w:w="1495" w:type="dxa"/>
            <w:tcBorders>
              <w:top w:val="nil"/>
              <w:left w:val="nil"/>
              <w:bottom w:val="single" w:sz="4" w:space="0" w:color="auto"/>
              <w:right w:val="single" w:sz="4" w:space="0" w:color="auto"/>
            </w:tcBorders>
            <w:shd w:val="clear" w:color="000000" w:fill="FFFFFF"/>
            <w:vAlign w:val="center"/>
            <w:hideMark/>
          </w:tcPr>
          <w:p w14:paraId="7599E836"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0.15</w:t>
            </w:r>
          </w:p>
        </w:tc>
        <w:tc>
          <w:tcPr>
            <w:tcW w:w="1495" w:type="dxa"/>
            <w:tcBorders>
              <w:top w:val="nil"/>
              <w:left w:val="nil"/>
              <w:bottom w:val="single" w:sz="4" w:space="0" w:color="auto"/>
              <w:right w:val="single" w:sz="4" w:space="0" w:color="auto"/>
            </w:tcBorders>
            <w:shd w:val="clear" w:color="000000" w:fill="FFFFFF"/>
            <w:vAlign w:val="center"/>
            <w:hideMark/>
          </w:tcPr>
          <w:p w14:paraId="2C6E6956"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0.17</w:t>
            </w:r>
          </w:p>
        </w:tc>
        <w:tc>
          <w:tcPr>
            <w:tcW w:w="1938" w:type="dxa"/>
            <w:tcBorders>
              <w:top w:val="nil"/>
              <w:left w:val="nil"/>
              <w:bottom w:val="single" w:sz="4" w:space="0" w:color="auto"/>
              <w:right w:val="nil"/>
            </w:tcBorders>
            <w:shd w:val="clear" w:color="000000" w:fill="FFFFFF"/>
            <w:vAlign w:val="center"/>
            <w:hideMark/>
          </w:tcPr>
          <w:p w14:paraId="22CBDCB0"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114.56</w:t>
            </w:r>
          </w:p>
        </w:tc>
      </w:tr>
      <w:tr w:rsidR="00C031DE" w:rsidRPr="00BF3CDE" w14:paraId="0AF11DB0" w14:textId="77777777" w:rsidTr="00E00FE9">
        <w:trPr>
          <w:trHeight w:val="227"/>
          <w:jc w:val="center"/>
        </w:trPr>
        <w:tc>
          <w:tcPr>
            <w:tcW w:w="5010" w:type="dxa"/>
            <w:tcBorders>
              <w:top w:val="nil"/>
              <w:left w:val="nil"/>
              <w:bottom w:val="single" w:sz="4" w:space="0" w:color="auto"/>
              <w:right w:val="single" w:sz="4" w:space="0" w:color="auto"/>
            </w:tcBorders>
            <w:shd w:val="clear" w:color="auto" w:fill="auto"/>
            <w:vAlign w:val="center"/>
            <w:hideMark/>
          </w:tcPr>
          <w:p w14:paraId="40AFC83C" w14:textId="77777777" w:rsidR="00C031DE" w:rsidRPr="00BF3CDE" w:rsidRDefault="00C031DE" w:rsidP="00B8562C">
            <w:pPr>
              <w:spacing w:after="0" w:line="240" w:lineRule="auto"/>
              <w:rPr>
                <w:rFonts w:ascii="Arial Narrow" w:eastAsia="Times New Roman" w:hAnsi="Arial Narrow" w:cs="Times New Roman"/>
                <w:i/>
                <w:iCs/>
                <w:noProof/>
                <w:color w:val="000000"/>
                <w:sz w:val="20"/>
                <w:szCs w:val="20"/>
                <w:lang w:val="sr-Cyrl-CS" w:eastAsia="sr-Latn-RS"/>
              </w:rPr>
            </w:pPr>
            <w:r w:rsidRPr="00BF3CDE">
              <w:rPr>
                <w:rFonts w:ascii="Arial Narrow" w:eastAsia="Times New Roman" w:hAnsi="Arial Narrow" w:cs="Times New Roman"/>
                <w:i/>
                <w:iCs/>
                <w:noProof/>
                <w:color w:val="000000"/>
                <w:sz w:val="20"/>
                <w:szCs w:val="20"/>
                <w:lang w:val="sr-Cyrl-CS" w:eastAsia="sr-Latn-RS"/>
              </w:rPr>
              <w:t>R2: "Техничке резерве у самопр. / Решене штете у самопр."</w:t>
            </w:r>
          </w:p>
        </w:tc>
        <w:tc>
          <w:tcPr>
            <w:tcW w:w="1495" w:type="dxa"/>
            <w:tcBorders>
              <w:top w:val="nil"/>
              <w:left w:val="nil"/>
              <w:bottom w:val="single" w:sz="4" w:space="0" w:color="auto"/>
              <w:right w:val="single" w:sz="4" w:space="0" w:color="auto"/>
            </w:tcBorders>
            <w:shd w:val="clear" w:color="000000" w:fill="FFFFFF"/>
            <w:vAlign w:val="center"/>
            <w:hideMark/>
          </w:tcPr>
          <w:p w14:paraId="32A17F6A"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1.39</w:t>
            </w:r>
          </w:p>
        </w:tc>
        <w:tc>
          <w:tcPr>
            <w:tcW w:w="1495" w:type="dxa"/>
            <w:tcBorders>
              <w:top w:val="nil"/>
              <w:left w:val="nil"/>
              <w:bottom w:val="single" w:sz="4" w:space="0" w:color="auto"/>
              <w:right w:val="single" w:sz="4" w:space="0" w:color="auto"/>
            </w:tcBorders>
            <w:shd w:val="clear" w:color="000000" w:fill="FFFFFF"/>
            <w:vAlign w:val="center"/>
            <w:hideMark/>
          </w:tcPr>
          <w:p w14:paraId="78A1D946"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2.54</w:t>
            </w:r>
          </w:p>
        </w:tc>
        <w:tc>
          <w:tcPr>
            <w:tcW w:w="1938" w:type="dxa"/>
            <w:tcBorders>
              <w:top w:val="nil"/>
              <w:left w:val="nil"/>
              <w:bottom w:val="single" w:sz="4" w:space="0" w:color="auto"/>
              <w:right w:val="nil"/>
            </w:tcBorders>
            <w:shd w:val="clear" w:color="000000" w:fill="FFFFFF"/>
            <w:vAlign w:val="center"/>
            <w:hideMark/>
          </w:tcPr>
          <w:p w14:paraId="7419557A"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182.72</w:t>
            </w:r>
          </w:p>
        </w:tc>
      </w:tr>
      <w:tr w:rsidR="00C031DE" w:rsidRPr="00BF3CDE" w14:paraId="2FB57137" w14:textId="77777777" w:rsidTr="00E00FE9">
        <w:trPr>
          <w:trHeight w:val="227"/>
          <w:jc w:val="center"/>
        </w:trPr>
        <w:tc>
          <w:tcPr>
            <w:tcW w:w="5010" w:type="dxa"/>
            <w:tcBorders>
              <w:top w:val="nil"/>
              <w:left w:val="nil"/>
              <w:bottom w:val="single" w:sz="4" w:space="0" w:color="auto"/>
              <w:right w:val="single" w:sz="4" w:space="0" w:color="auto"/>
            </w:tcBorders>
            <w:shd w:val="clear" w:color="auto" w:fill="auto"/>
            <w:vAlign w:val="center"/>
            <w:hideMark/>
          </w:tcPr>
          <w:p w14:paraId="5F0C9FDC" w14:textId="77777777" w:rsidR="00C031DE" w:rsidRPr="00BF3CDE" w:rsidRDefault="00C031DE" w:rsidP="00B8562C">
            <w:pPr>
              <w:spacing w:after="0" w:line="240" w:lineRule="auto"/>
              <w:rPr>
                <w:rFonts w:ascii="Arial Narrow" w:eastAsia="Times New Roman" w:hAnsi="Arial Narrow" w:cs="Times New Roman"/>
                <w:i/>
                <w:iCs/>
                <w:noProof/>
                <w:color w:val="000000"/>
                <w:sz w:val="20"/>
                <w:szCs w:val="20"/>
                <w:lang w:val="sr-Cyrl-CS" w:eastAsia="sr-Latn-RS"/>
              </w:rPr>
            </w:pPr>
            <w:r w:rsidRPr="00BF3CDE">
              <w:rPr>
                <w:rFonts w:ascii="Arial Narrow" w:eastAsia="Times New Roman" w:hAnsi="Arial Narrow" w:cs="Times New Roman"/>
                <w:i/>
                <w:iCs/>
                <w:noProof/>
                <w:color w:val="000000"/>
                <w:sz w:val="20"/>
                <w:szCs w:val="20"/>
                <w:lang w:val="sr-Cyrl-CS" w:eastAsia="sr-Latn-RS"/>
              </w:rPr>
              <w:t>R3: "Техничке резерве у самопр / Премија у самопридржају "</w:t>
            </w:r>
          </w:p>
        </w:tc>
        <w:tc>
          <w:tcPr>
            <w:tcW w:w="1495" w:type="dxa"/>
            <w:tcBorders>
              <w:top w:val="nil"/>
              <w:left w:val="nil"/>
              <w:bottom w:val="single" w:sz="4" w:space="0" w:color="auto"/>
              <w:right w:val="single" w:sz="4" w:space="0" w:color="auto"/>
            </w:tcBorders>
            <w:shd w:val="clear" w:color="000000" w:fill="FFFFFF"/>
            <w:vAlign w:val="center"/>
            <w:hideMark/>
          </w:tcPr>
          <w:p w14:paraId="025D9A3C"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2.46</w:t>
            </w:r>
          </w:p>
        </w:tc>
        <w:tc>
          <w:tcPr>
            <w:tcW w:w="1495" w:type="dxa"/>
            <w:tcBorders>
              <w:top w:val="nil"/>
              <w:left w:val="nil"/>
              <w:bottom w:val="single" w:sz="4" w:space="0" w:color="auto"/>
              <w:right w:val="single" w:sz="4" w:space="0" w:color="auto"/>
            </w:tcBorders>
            <w:shd w:val="clear" w:color="000000" w:fill="FFFFFF"/>
            <w:vAlign w:val="center"/>
            <w:hideMark/>
          </w:tcPr>
          <w:p w14:paraId="5BF2A512"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3.14</w:t>
            </w:r>
          </w:p>
        </w:tc>
        <w:tc>
          <w:tcPr>
            <w:tcW w:w="1938" w:type="dxa"/>
            <w:tcBorders>
              <w:top w:val="nil"/>
              <w:left w:val="nil"/>
              <w:bottom w:val="single" w:sz="4" w:space="0" w:color="auto"/>
              <w:right w:val="nil"/>
            </w:tcBorders>
            <w:shd w:val="clear" w:color="000000" w:fill="FFFFFF"/>
            <w:vAlign w:val="center"/>
            <w:hideMark/>
          </w:tcPr>
          <w:p w14:paraId="06B38301"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127.41</w:t>
            </w:r>
          </w:p>
        </w:tc>
      </w:tr>
      <w:tr w:rsidR="00B8562C" w:rsidRPr="00BF3CDE" w14:paraId="4A61F223" w14:textId="77777777" w:rsidTr="00E00FE9">
        <w:trPr>
          <w:trHeight w:val="227"/>
          <w:jc w:val="center"/>
        </w:trPr>
        <w:tc>
          <w:tcPr>
            <w:tcW w:w="9938" w:type="dxa"/>
            <w:gridSpan w:val="4"/>
            <w:tcBorders>
              <w:top w:val="single" w:sz="4" w:space="0" w:color="auto"/>
              <w:left w:val="nil"/>
              <w:bottom w:val="single" w:sz="4" w:space="0" w:color="auto"/>
              <w:right w:val="nil"/>
            </w:tcBorders>
            <w:shd w:val="clear" w:color="auto" w:fill="DBE5F1" w:themeFill="accent1" w:themeFillTint="33"/>
            <w:vAlign w:val="center"/>
            <w:hideMark/>
          </w:tcPr>
          <w:p w14:paraId="5EC51921" w14:textId="77777777" w:rsidR="00B8562C" w:rsidRPr="00BF3CDE" w:rsidRDefault="00B8562C" w:rsidP="00B8562C">
            <w:pPr>
              <w:spacing w:after="0" w:line="240" w:lineRule="auto"/>
              <w:rPr>
                <w:rFonts w:ascii="Arial Narrow" w:eastAsia="Times New Roman" w:hAnsi="Arial Narrow" w:cs="Times New Roman"/>
                <w:b/>
                <w:bCs/>
                <w:noProof/>
                <w:color w:val="000000"/>
                <w:sz w:val="20"/>
                <w:szCs w:val="20"/>
                <w:lang w:val="sr-Cyrl-CS" w:eastAsia="sr-Latn-RS"/>
              </w:rPr>
            </w:pPr>
            <w:r w:rsidRPr="00BF3CDE">
              <w:rPr>
                <w:rFonts w:ascii="Arial Narrow" w:eastAsia="Times New Roman" w:hAnsi="Arial Narrow" w:cs="Times New Roman"/>
                <w:b/>
                <w:bCs/>
                <w:noProof/>
                <w:color w:val="000000"/>
                <w:sz w:val="20"/>
                <w:szCs w:val="20"/>
                <w:lang w:val="sr-Cyrl-CS" w:eastAsia="sr-Latn-RS"/>
              </w:rPr>
              <w:t>ПРОДУКТИВНОСТ – УПРАВА  -  М</w:t>
            </w:r>
          </w:p>
        </w:tc>
      </w:tr>
      <w:tr w:rsidR="00C031DE" w:rsidRPr="00BF3CDE" w14:paraId="137328D0" w14:textId="77777777" w:rsidTr="00E00FE9">
        <w:trPr>
          <w:trHeight w:val="227"/>
          <w:jc w:val="center"/>
        </w:trPr>
        <w:tc>
          <w:tcPr>
            <w:tcW w:w="5010" w:type="dxa"/>
            <w:tcBorders>
              <w:top w:val="nil"/>
              <w:left w:val="nil"/>
              <w:bottom w:val="single" w:sz="4" w:space="0" w:color="auto"/>
              <w:right w:val="single" w:sz="4" w:space="0" w:color="auto"/>
            </w:tcBorders>
            <w:shd w:val="clear" w:color="auto" w:fill="auto"/>
            <w:vAlign w:val="center"/>
            <w:hideMark/>
          </w:tcPr>
          <w:p w14:paraId="2A92F8D1" w14:textId="77777777" w:rsidR="00C031DE" w:rsidRPr="00BF3CDE" w:rsidRDefault="00C031DE" w:rsidP="00B8562C">
            <w:pPr>
              <w:spacing w:after="0" w:line="240" w:lineRule="auto"/>
              <w:rPr>
                <w:rFonts w:ascii="Arial Narrow" w:eastAsia="Times New Roman" w:hAnsi="Arial Narrow" w:cs="Times New Roman"/>
                <w:i/>
                <w:iCs/>
                <w:noProof/>
                <w:color w:val="000000"/>
                <w:sz w:val="20"/>
                <w:szCs w:val="20"/>
                <w:lang w:val="sr-Cyrl-CS" w:eastAsia="sr-Latn-RS"/>
              </w:rPr>
            </w:pPr>
            <w:r w:rsidRPr="00BF3CDE">
              <w:rPr>
                <w:rFonts w:ascii="Arial Narrow" w:eastAsia="Times New Roman" w:hAnsi="Arial Narrow" w:cs="Times New Roman"/>
                <w:i/>
                <w:iCs/>
                <w:noProof/>
                <w:color w:val="000000"/>
                <w:sz w:val="20"/>
                <w:szCs w:val="20"/>
                <w:lang w:val="sr-Cyrl-CS" w:eastAsia="sr-Latn-RS"/>
              </w:rPr>
              <w:t>M1: "Бруто премија / Број запослених"</w:t>
            </w:r>
          </w:p>
        </w:tc>
        <w:tc>
          <w:tcPr>
            <w:tcW w:w="1495" w:type="dxa"/>
            <w:tcBorders>
              <w:top w:val="nil"/>
              <w:left w:val="nil"/>
              <w:bottom w:val="single" w:sz="4" w:space="0" w:color="auto"/>
              <w:right w:val="single" w:sz="4" w:space="0" w:color="auto"/>
            </w:tcBorders>
            <w:shd w:val="clear" w:color="auto" w:fill="auto"/>
            <w:vAlign w:val="center"/>
            <w:hideMark/>
          </w:tcPr>
          <w:p w14:paraId="63602411"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86,056.45</w:t>
            </w:r>
          </w:p>
        </w:tc>
        <w:tc>
          <w:tcPr>
            <w:tcW w:w="1495" w:type="dxa"/>
            <w:tcBorders>
              <w:top w:val="nil"/>
              <w:left w:val="nil"/>
              <w:bottom w:val="single" w:sz="4" w:space="0" w:color="auto"/>
              <w:right w:val="single" w:sz="4" w:space="0" w:color="auto"/>
            </w:tcBorders>
            <w:shd w:val="clear" w:color="auto" w:fill="auto"/>
            <w:vAlign w:val="center"/>
            <w:hideMark/>
          </w:tcPr>
          <w:p w14:paraId="7A549E94"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72,652.81</w:t>
            </w:r>
          </w:p>
        </w:tc>
        <w:tc>
          <w:tcPr>
            <w:tcW w:w="1938" w:type="dxa"/>
            <w:tcBorders>
              <w:top w:val="nil"/>
              <w:left w:val="nil"/>
              <w:bottom w:val="single" w:sz="4" w:space="0" w:color="auto"/>
              <w:right w:val="nil"/>
            </w:tcBorders>
            <w:shd w:val="clear" w:color="auto" w:fill="auto"/>
            <w:vAlign w:val="center"/>
            <w:hideMark/>
          </w:tcPr>
          <w:p w14:paraId="1B547E04"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84.42</w:t>
            </w:r>
          </w:p>
        </w:tc>
      </w:tr>
      <w:tr w:rsidR="00C031DE" w:rsidRPr="00BF3CDE" w14:paraId="41339406" w14:textId="77777777" w:rsidTr="00E00FE9">
        <w:trPr>
          <w:trHeight w:val="227"/>
          <w:jc w:val="center"/>
        </w:trPr>
        <w:tc>
          <w:tcPr>
            <w:tcW w:w="5010" w:type="dxa"/>
            <w:tcBorders>
              <w:top w:val="nil"/>
              <w:left w:val="nil"/>
              <w:bottom w:val="single" w:sz="4" w:space="0" w:color="auto"/>
              <w:right w:val="single" w:sz="4" w:space="0" w:color="auto"/>
            </w:tcBorders>
            <w:shd w:val="clear" w:color="auto" w:fill="auto"/>
            <w:vAlign w:val="center"/>
            <w:hideMark/>
          </w:tcPr>
          <w:p w14:paraId="43F1605F" w14:textId="77777777" w:rsidR="00C031DE" w:rsidRPr="00BF3CDE" w:rsidRDefault="00C031DE" w:rsidP="00B8562C">
            <w:pPr>
              <w:spacing w:after="0" w:line="240" w:lineRule="auto"/>
              <w:rPr>
                <w:rFonts w:ascii="Arial Narrow" w:eastAsia="Times New Roman" w:hAnsi="Arial Narrow" w:cs="Times New Roman"/>
                <w:i/>
                <w:iCs/>
                <w:noProof/>
                <w:color w:val="000000"/>
                <w:sz w:val="20"/>
                <w:szCs w:val="20"/>
                <w:lang w:val="sr-Cyrl-CS" w:eastAsia="sr-Latn-RS"/>
              </w:rPr>
            </w:pPr>
            <w:r w:rsidRPr="00BF3CDE">
              <w:rPr>
                <w:rFonts w:ascii="Arial Narrow" w:eastAsia="Times New Roman" w:hAnsi="Arial Narrow" w:cs="Times New Roman"/>
                <w:i/>
                <w:iCs/>
                <w:noProof/>
                <w:color w:val="000000"/>
                <w:sz w:val="20"/>
                <w:szCs w:val="20"/>
                <w:lang w:val="sr-Cyrl-CS" w:eastAsia="sr-Latn-RS"/>
              </w:rPr>
              <w:t>M2: "Укупна актива / Број запослених"</w:t>
            </w:r>
          </w:p>
        </w:tc>
        <w:tc>
          <w:tcPr>
            <w:tcW w:w="1495" w:type="dxa"/>
            <w:tcBorders>
              <w:top w:val="nil"/>
              <w:left w:val="nil"/>
              <w:bottom w:val="single" w:sz="4" w:space="0" w:color="auto"/>
              <w:right w:val="single" w:sz="4" w:space="0" w:color="auto"/>
            </w:tcBorders>
            <w:shd w:val="clear" w:color="auto" w:fill="auto"/>
            <w:vAlign w:val="center"/>
            <w:hideMark/>
          </w:tcPr>
          <w:p w14:paraId="1E0AE7D1"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124,633.00</w:t>
            </w:r>
          </w:p>
        </w:tc>
        <w:tc>
          <w:tcPr>
            <w:tcW w:w="1495" w:type="dxa"/>
            <w:tcBorders>
              <w:top w:val="nil"/>
              <w:left w:val="nil"/>
              <w:bottom w:val="single" w:sz="4" w:space="0" w:color="auto"/>
              <w:right w:val="single" w:sz="4" w:space="0" w:color="auto"/>
            </w:tcBorders>
            <w:shd w:val="clear" w:color="auto" w:fill="auto"/>
            <w:vAlign w:val="center"/>
            <w:hideMark/>
          </w:tcPr>
          <w:p w14:paraId="236C0575"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131,206.19</w:t>
            </w:r>
          </w:p>
        </w:tc>
        <w:tc>
          <w:tcPr>
            <w:tcW w:w="1938" w:type="dxa"/>
            <w:tcBorders>
              <w:top w:val="nil"/>
              <w:left w:val="nil"/>
              <w:bottom w:val="single" w:sz="4" w:space="0" w:color="auto"/>
              <w:right w:val="nil"/>
            </w:tcBorders>
            <w:shd w:val="clear" w:color="auto" w:fill="auto"/>
            <w:vAlign w:val="center"/>
            <w:hideMark/>
          </w:tcPr>
          <w:p w14:paraId="021A2CC1"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105.27</w:t>
            </w:r>
          </w:p>
        </w:tc>
      </w:tr>
      <w:tr w:rsidR="00B8562C" w:rsidRPr="00BF3CDE" w14:paraId="2819817B" w14:textId="77777777" w:rsidTr="00E00FE9">
        <w:trPr>
          <w:trHeight w:val="227"/>
          <w:jc w:val="center"/>
        </w:trPr>
        <w:tc>
          <w:tcPr>
            <w:tcW w:w="9938" w:type="dxa"/>
            <w:gridSpan w:val="4"/>
            <w:tcBorders>
              <w:top w:val="single" w:sz="4" w:space="0" w:color="auto"/>
              <w:left w:val="nil"/>
              <w:bottom w:val="single" w:sz="4" w:space="0" w:color="auto"/>
              <w:right w:val="nil"/>
            </w:tcBorders>
            <w:shd w:val="clear" w:color="auto" w:fill="DBE5F1" w:themeFill="accent1" w:themeFillTint="33"/>
            <w:vAlign w:val="center"/>
            <w:hideMark/>
          </w:tcPr>
          <w:p w14:paraId="72C26E97" w14:textId="77777777" w:rsidR="00B8562C" w:rsidRPr="00BF3CDE" w:rsidRDefault="00B8562C" w:rsidP="00B8562C">
            <w:pPr>
              <w:spacing w:after="0" w:line="240" w:lineRule="auto"/>
              <w:rPr>
                <w:rFonts w:ascii="Arial Narrow" w:eastAsia="Times New Roman" w:hAnsi="Arial Narrow" w:cs="Times New Roman"/>
                <w:b/>
                <w:bCs/>
                <w:noProof/>
                <w:color w:val="000000"/>
                <w:sz w:val="20"/>
                <w:szCs w:val="20"/>
                <w:lang w:val="sr-Cyrl-CS" w:eastAsia="sr-Latn-RS"/>
              </w:rPr>
            </w:pPr>
            <w:r w:rsidRPr="00BF3CDE">
              <w:rPr>
                <w:rFonts w:ascii="Arial Narrow" w:eastAsia="Times New Roman" w:hAnsi="Arial Narrow" w:cs="Times New Roman"/>
                <w:b/>
                <w:bCs/>
                <w:noProof/>
                <w:color w:val="000000"/>
                <w:sz w:val="20"/>
                <w:szCs w:val="20"/>
                <w:lang w:val="sr-Cyrl-CS" w:eastAsia="sr-Latn-RS"/>
              </w:rPr>
              <w:t>ПРОФИТАБИЛНОСТ  -  Е</w:t>
            </w:r>
          </w:p>
        </w:tc>
      </w:tr>
      <w:tr w:rsidR="00C031DE" w:rsidRPr="00BF3CDE" w14:paraId="335037FD" w14:textId="77777777" w:rsidTr="00E00FE9">
        <w:trPr>
          <w:trHeight w:val="170"/>
          <w:jc w:val="center"/>
        </w:trPr>
        <w:tc>
          <w:tcPr>
            <w:tcW w:w="5010" w:type="dxa"/>
            <w:tcBorders>
              <w:top w:val="nil"/>
              <w:left w:val="nil"/>
              <w:bottom w:val="single" w:sz="4" w:space="0" w:color="auto"/>
              <w:right w:val="single" w:sz="4" w:space="0" w:color="auto"/>
            </w:tcBorders>
            <w:shd w:val="clear" w:color="auto" w:fill="auto"/>
            <w:vAlign w:val="center"/>
            <w:hideMark/>
          </w:tcPr>
          <w:p w14:paraId="75891170" w14:textId="77777777" w:rsidR="00C031DE" w:rsidRPr="00BF3CDE" w:rsidRDefault="00C031DE" w:rsidP="00B8562C">
            <w:pPr>
              <w:spacing w:after="0" w:line="240" w:lineRule="auto"/>
              <w:rPr>
                <w:rFonts w:ascii="Arial Narrow" w:eastAsia="Times New Roman" w:hAnsi="Arial Narrow" w:cs="Times New Roman"/>
                <w:i/>
                <w:iCs/>
                <w:noProof/>
                <w:color w:val="000000"/>
                <w:sz w:val="20"/>
                <w:szCs w:val="20"/>
                <w:lang w:val="sr-Cyrl-CS" w:eastAsia="sr-Latn-RS"/>
              </w:rPr>
            </w:pPr>
            <w:r w:rsidRPr="00BF3CDE">
              <w:rPr>
                <w:rFonts w:ascii="Arial Narrow" w:eastAsia="Times New Roman" w:hAnsi="Arial Narrow" w:cs="Times New Roman"/>
                <w:i/>
                <w:iCs/>
                <w:noProof/>
                <w:color w:val="000000"/>
                <w:sz w:val="20"/>
                <w:szCs w:val="20"/>
                <w:lang w:val="sr-Cyrl-CS" w:eastAsia="sr-Latn-RS"/>
              </w:rPr>
              <w:t>E1: РАЦИО ШТЕТА: "Мерод. штете у самопр.  / Мерод. премија у самопридрж."</w:t>
            </w:r>
          </w:p>
        </w:tc>
        <w:tc>
          <w:tcPr>
            <w:tcW w:w="1495" w:type="dxa"/>
            <w:tcBorders>
              <w:top w:val="nil"/>
              <w:left w:val="nil"/>
              <w:bottom w:val="single" w:sz="4" w:space="0" w:color="auto"/>
              <w:right w:val="single" w:sz="4" w:space="0" w:color="auto"/>
            </w:tcBorders>
            <w:shd w:val="clear" w:color="auto" w:fill="auto"/>
            <w:vAlign w:val="center"/>
            <w:hideMark/>
          </w:tcPr>
          <w:p w14:paraId="266EFA03"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1.04</w:t>
            </w:r>
          </w:p>
        </w:tc>
        <w:tc>
          <w:tcPr>
            <w:tcW w:w="1495" w:type="dxa"/>
            <w:tcBorders>
              <w:top w:val="nil"/>
              <w:left w:val="nil"/>
              <w:bottom w:val="single" w:sz="4" w:space="0" w:color="auto"/>
              <w:right w:val="single" w:sz="4" w:space="0" w:color="auto"/>
            </w:tcBorders>
            <w:shd w:val="clear" w:color="auto" w:fill="auto"/>
            <w:vAlign w:val="center"/>
            <w:hideMark/>
          </w:tcPr>
          <w:p w14:paraId="0A7A168A"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1.49</w:t>
            </w:r>
          </w:p>
        </w:tc>
        <w:tc>
          <w:tcPr>
            <w:tcW w:w="1938" w:type="dxa"/>
            <w:tcBorders>
              <w:top w:val="nil"/>
              <w:left w:val="nil"/>
              <w:bottom w:val="single" w:sz="4" w:space="0" w:color="auto"/>
              <w:right w:val="nil"/>
            </w:tcBorders>
            <w:shd w:val="clear" w:color="auto" w:fill="auto"/>
            <w:vAlign w:val="center"/>
            <w:hideMark/>
          </w:tcPr>
          <w:p w14:paraId="08BF709F"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143.30</w:t>
            </w:r>
          </w:p>
        </w:tc>
      </w:tr>
      <w:tr w:rsidR="00C031DE" w:rsidRPr="00BF3CDE" w14:paraId="23A4818B" w14:textId="77777777" w:rsidTr="00E00FE9">
        <w:trPr>
          <w:trHeight w:val="170"/>
          <w:jc w:val="center"/>
        </w:trPr>
        <w:tc>
          <w:tcPr>
            <w:tcW w:w="5010" w:type="dxa"/>
            <w:tcBorders>
              <w:top w:val="nil"/>
              <w:left w:val="nil"/>
              <w:bottom w:val="single" w:sz="4" w:space="0" w:color="auto"/>
              <w:right w:val="single" w:sz="4" w:space="0" w:color="auto"/>
            </w:tcBorders>
            <w:shd w:val="clear" w:color="auto" w:fill="auto"/>
            <w:vAlign w:val="center"/>
            <w:hideMark/>
          </w:tcPr>
          <w:p w14:paraId="2780AF8A" w14:textId="77777777" w:rsidR="00C031DE" w:rsidRPr="00BF3CDE" w:rsidRDefault="00C031DE" w:rsidP="00B8562C">
            <w:pPr>
              <w:spacing w:after="0" w:line="240" w:lineRule="auto"/>
              <w:rPr>
                <w:rFonts w:ascii="Arial Narrow" w:eastAsia="Times New Roman" w:hAnsi="Arial Narrow" w:cs="Times New Roman"/>
                <w:i/>
                <w:iCs/>
                <w:noProof/>
                <w:color w:val="000000"/>
                <w:sz w:val="20"/>
                <w:szCs w:val="20"/>
                <w:lang w:val="sr-Cyrl-CS" w:eastAsia="sr-Latn-RS"/>
              </w:rPr>
            </w:pPr>
            <w:r w:rsidRPr="00BF3CDE">
              <w:rPr>
                <w:rFonts w:ascii="Arial Narrow" w:eastAsia="Times New Roman" w:hAnsi="Arial Narrow" w:cs="Times New Roman"/>
                <w:i/>
                <w:iCs/>
                <w:noProof/>
                <w:color w:val="000000"/>
                <w:sz w:val="20"/>
                <w:szCs w:val="20"/>
                <w:lang w:val="sr-Cyrl-CS" w:eastAsia="sr-Latn-RS"/>
              </w:rPr>
              <w:t>E2: РАЦИО ТРОШКОВА: "ТСО /  Меродавна премија у самопридржају"</w:t>
            </w:r>
          </w:p>
        </w:tc>
        <w:tc>
          <w:tcPr>
            <w:tcW w:w="1495" w:type="dxa"/>
            <w:tcBorders>
              <w:top w:val="nil"/>
              <w:left w:val="nil"/>
              <w:bottom w:val="single" w:sz="4" w:space="0" w:color="auto"/>
              <w:right w:val="single" w:sz="4" w:space="0" w:color="auto"/>
            </w:tcBorders>
            <w:shd w:val="clear" w:color="auto" w:fill="auto"/>
            <w:vAlign w:val="center"/>
            <w:hideMark/>
          </w:tcPr>
          <w:p w14:paraId="0EDB17AE"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0.63</w:t>
            </w:r>
          </w:p>
        </w:tc>
        <w:tc>
          <w:tcPr>
            <w:tcW w:w="1495" w:type="dxa"/>
            <w:tcBorders>
              <w:top w:val="nil"/>
              <w:left w:val="nil"/>
              <w:bottom w:val="single" w:sz="4" w:space="0" w:color="auto"/>
              <w:right w:val="single" w:sz="4" w:space="0" w:color="auto"/>
            </w:tcBorders>
            <w:shd w:val="clear" w:color="auto" w:fill="auto"/>
            <w:vAlign w:val="center"/>
            <w:hideMark/>
          </w:tcPr>
          <w:p w14:paraId="062819D3"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0.50</w:t>
            </w:r>
          </w:p>
        </w:tc>
        <w:tc>
          <w:tcPr>
            <w:tcW w:w="1938" w:type="dxa"/>
            <w:tcBorders>
              <w:top w:val="nil"/>
              <w:left w:val="nil"/>
              <w:bottom w:val="single" w:sz="4" w:space="0" w:color="auto"/>
              <w:right w:val="nil"/>
            </w:tcBorders>
            <w:shd w:val="clear" w:color="auto" w:fill="auto"/>
            <w:vAlign w:val="center"/>
            <w:hideMark/>
          </w:tcPr>
          <w:p w14:paraId="4B735C30"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78.62</w:t>
            </w:r>
          </w:p>
        </w:tc>
      </w:tr>
      <w:tr w:rsidR="00C031DE" w:rsidRPr="00BF3CDE" w14:paraId="58BF27D9" w14:textId="77777777" w:rsidTr="00E00FE9">
        <w:trPr>
          <w:trHeight w:val="170"/>
          <w:jc w:val="center"/>
        </w:trPr>
        <w:tc>
          <w:tcPr>
            <w:tcW w:w="5010" w:type="dxa"/>
            <w:tcBorders>
              <w:top w:val="nil"/>
              <w:left w:val="nil"/>
              <w:bottom w:val="single" w:sz="4" w:space="0" w:color="auto"/>
              <w:right w:val="single" w:sz="4" w:space="0" w:color="auto"/>
            </w:tcBorders>
            <w:shd w:val="clear" w:color="auto" w:fill="auto"/>
            <w:vAlign w:val="center"/>
            <w:hideMark/>
          </w:tcPr>
          <w:p w14:paraId="790A7EBE" w14:textId="77777777" w:rsidR="00C031DE" w:rsidRPr="00BF3CDE" w:rsidRDefault="00C031DE" w:rsidP="00B8562C">
            <w:pPr>
              <w:spacing w:after="0" w:line="240" w:lineRule="auto"/>
              <w:rPr>
                <w:rFonts w:ascii="Arial Narrow" w:eastAsia="Times New Roman" w:hAnsi="Arial Narrow" w:cs="Times New Roman"/>
                <w:i/>
                <w:iCs/>
                <w:noProof/>
                <w:color w:val="000000"/>
                <w:sz w:val="20"/>
                <w:szCs w:val="20"/>
                <w:lang w:val="sr-Cyrl-CS" w:eastAsia="sr-Latn-RS"/>
              </w:rPr>
            </w:pPr>
            <w:r w:rsidRPr="00BF3CDE">
              <w:rPr>
                <w:rFonts w:ascii="Arial Narrow" w:eastAsia="Times New Roman" w:hAnsi="Arial Narrow" w:cs="Times New Roman"/>
                <w:i/>
                <w:iCs/>
                <w:noProof/>
                <w:color w:val="000000"/>
                <w:sz w:val="20"/>
                <w:szCs w:val="20"/>
                <w:lang w:val="sr-Cyrl-CS" w:eastAsia="sr-Latn-RS"/>
              </w:rPr>
              <w:t>E3(A): РАЦИО ИНВЕСТИЦ. ПРИНОСА (пок 1): "Инвестициона добит Меродавна премија у самопридржају"</w:t>
            </w:r>
          </w:p>
        </w:tc>
        <w:tc>
          <w:tcPr>
            <w:tcW w:w="1495" w:type="dxa"/>
            <w:tcBorders>
              <w:top w:val="nil"/>
              <w:left w:val="nil"/>
              <w:bottom w:val="single" w:sz="4" w:space="0" w:color="auto"/>
              <w:right w:val="single" w:sz="4" w:space="0" w:color="auto"/>
            </w:tcBorders>
            <w:shd w:val="clear" w:color="auto" w:fill="auto"/>
            <w:vAlign w:val="center"/>
            <w:hideMark/>
          </w:tcPr>
          <w:p w14:paraId="22AD49A5"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0.35</w:t>
            </w:r>
          </w:p>
        </w:tc>
        <w:tc>
          <w:tcPr>
            <w:tcW w:w="1495" w:type="dxa"/>
            <w:tcBorders>
              <w:top w:val="nil"/>
              <w:left w:val="nil"/>
              <w:bottom w:val="single" w:sz="4" w:space="0" w:color="auto"/>
              <w:right w:val="single" w:sz="4" w:space="0" w:color="auto"/>
            </w:tcBorders>
            <w:shd w:val="clear" w:color="auto" w:fill="auto"/>
            <w:vAlign w:val="center"/>
            <w:hideMark/>
          </w:tcPr>
          <w:p w14:paraId="6CEEF3EA"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0.43</w:t>
            </w:r>
          </w:p>
        </w:tc>
        <w:tc>
          <w:tcPr>
            <w:tcW w:w="1938" w:type="dxa"/>
            <w:tcBorders>
              <w:top w:val="nil"/>
              <w:left w:val="nil"/>
              <w:bottom w:val="single" w:sz="4" w:space="0" w:color="auto"/>
              <w:right w:val="nil"/>
            </w:tcBorders>
            <w:shd w:val="clear" w:color="auto" w:fill="auto"/>
            <w:vAlign w:val="center"/>
            <w:hideMark/>
          </w:tcPr>
          <w:p w14:paraId="261041F5"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123.78</w:t>
            </w:r>
          </w:p>
        </w:tc>
      </w:tr>
      <w:tr w:rsidR="00C031DE" w:rsidRPr="00BF3CDE" w14:paraId="4CDF1D75" w14:textId="77777777" w:rsidTr="00E00FE9">
        <w:trPr>
          <w:trHeight w:val="227"/>
          <w:jc w:val="center"/>
        </w:trPr>
        <w:tc>
          <w:tcPr>
            <w:tcW w:w="5010" w:type="dxa"/>
            <w:tcBorders>
              <w:top w:val="nil"/>
              <w:left w:val="nil"/>
              <w:bottom w:val="single" w:sz="4" w:space="0" w:color="auto"/>
              <w:right w:val="single" w:sz="4" w:space="0" w:color="auto"/>
            </w:tcBorders>
            <w:shd w:val="clear" w:color="auto" w:fill="auto"/>
            <w:vAlign w:val="center"/>
            <w:hideMark/>
          </w:tcPr>
          <w:p w14:paraId="3868937D" w14:textId="77777777" w:rsidR="00C031DE" w:rsidRPr="00BF3CDE" w:rsidRDefault="00C031DE" w:rsidP="00B8562C">
            <w:pPr>
              <w:spacing w:after="0" w:line="240" w:lineRule="auto"/>
              <w:rPr>
                <w:rFonts w:ascii="Arial Narrow" w:eastAsia="Times New Roman" w:hAnsi="Arial Narrow" w:cs="Times New Roman"/>
                <w:i/>
                <w:iCs/>
                <w:noProof/>
                <w:color w:val="000000"/>
                <w:sz w:val="20"/>
                <w:szCs w:val="20"/>
                <w:lang w:val="sr-Cyrl-CS" w:eastAsia="sr-Latn-RS"/>
              </w:rPr>
            </w:pPr>
            <w:r w:rsidRPr="00BF3CDE">
              <w:rPr>
                <w:rFonts w:ascii="Arial Narrow" w:eastAsia="Times New Roman" w:hAnsi="Arial Narrow" w:cs="Times New Roman"/>
                <w:i/>
                <w:iCs/>
                <w:noProof/>
                <w:color w:val="000000"/>
                <w:sz w:val="20"/>
                <w:szCs w:val="20"/>
                <w:lang w:val="sr-Cyrl-CS" w:eastAsia="sr-Latn-RS"/>
              </w:rPr>
              <w:t>E4: Комбин. рацио –осн. показатељ  (пок.1)  E4=  [E1 + E2]</w:t>
            </w:r>
          </w:p>
        </w:tc>
        <w:tc>
          <w:tcPr>
            <w:tcW w:w="1495" w:type="dxa"/>
            <w:tcBorders>
              <w:top w:val="nil"/>
              <w:left w:val="nil"/>
              <w:bottom w:val="single" w:sz="4" w:space="0" w:color="auto"/>
              <w:right w:val="single" w:sz="4" w:space="0" w:color="auto"/>
            </w:tcBorders>
            <w:shd w:val="clear" w:color="auto" w:fill="auto"/>
            <w:vAlign w:val="center"/>
            <w:hideMark/>
          </w:tcPr>
          <w:p w14:paraId="1EEEEC38"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1.67</w:t>
            </w:r>
          </w:p>
        </w:tc>
        <w:tc>
          <w:tcPr>
            <w:tcW w:w="1495" w:type="dxa"/>
            <w:tcBorders>
              <w:top w:val="nil"/>
              <w:left w:val="nil"/>
              <w:bottom w:val="single" w:sz="4" w:space="0" w:color="auto"/>
              <w:right w:val="single" w:sz="4" w:space="0" w:color="auto"/>
            </w:tcBorders>
            <w:shd w:val="clear" w:color="auto" w:fill="auto"/>
            <w:vAlign w:val="center"/>
            <w:hideMark/>
          </w:tcPr>
          <w:p w14:paraId="4EE8D099"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1.99</w:t>
            </w:r>
          </w:p>
        </w:tc>
        <w:tc>
          <w:tcPr>
            <w:tcW w:w="1938" w:type="dxa"/>
            <w:tcBorders>
              <w:top w:val="nil"/>
              <w:left w:val="nil"/>
              <w:bottom w:val="single" w:sz="4" w:space="0" w:color="auto"/>
              <w:right w:val="nil"/>
            </w:tcBorders>
            <w:shd w:val="clear" w:color="auto" w:fill="auto"/>
            <w:vAlign w:val="center"/>
            <w:hideMark/>
          </w:tcPr>
          <w:p w14:paraId="54975685"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118.85</w:t>
            </w:r>
          </w:p>
        </w:tc>
      </w:tr>
      <w:tr w:rsidR="00C031DE" w:rsidRPr="00BF3CDE" w14:paraId="1BC54FF1" w14:textId="77777777" w:rsidTr="00E00FE9">
        <w:trPr>
          <w:trHeight w:val="227"/>
          <w:jc w:val="center"/>
        </w:trPr>
        <w:tc>
          <w:tcPr>
            <w:tcW w:w="5010" w:type="dxa"/>
            <w:tcBorders>
              <w:top w:val="nil"/>
              <w:left w:val="nil"/>
              <w:bottom w:val="single" w:sz="4" w:space="0" w:color="auto"/>
              <w:right w:val="single" w:sz="4" w:space="0" w:color="auto"/>
            </w:tcBorders>
            <w:shd w:val="clear" w:color="auto" w:fill="auto"/>
            <w:vAlign w:val="center"/>
            <w:hideMark/>
          </w:tcPr>
          <w:p w14:paraId="2679F5FC" w14:textId="77777777" w:rsidR="00C031DE" w:rsidRPr="00BF3CDE" w:rsidRDefault="00C031DE" w:rsidP="00B8562C">
            <w:pPr>
              <w:spacing w:after="0" w:line="240" w:lineRule="auto"/>
              <w:rPr>
                <w:rFonts w:ascii="Arial Narrow" w:eastAsia="Times New Roman" w:hAnsi="Arial Narrow" w:cs="Times New Roman"/>
                <w:i/>
                <w:iCs/>
                <w:noProof/>
                <w:color w:val="000000"/>
                <w:sz w:val="20"/>
                <w:szCs w:val="20"/>
                <w:lang w:val="sr-Cyrl-CS" w:eastAsia="sr-Latn-RS"/>
              </w:rPr>
            </w:pPr>
            <w:r w:rsidRPr="00BF3CDE">
              <w:rPr>
                <w:rFonts w:ascii="Arial Narrow" w:eastAsia="Times New Roman" w:hAnsi="Arial Narrow" w:cs="Times New Roman"/>
                <w:i/>
                <w:iCs/>
                <w:noProof/>
                <w:color w:val="000000"/>
                <w:sz w:val="20"/>
                <w:szCs w:val="20"/>
                <w:lang w:val="sr-Cyrl-CS" w:eastAsia="sr-Latn-RS"/>
              </w:rPr>
              <w:t>E5: Комбин. рацио (пок. 2)  E5=  [E1 + E2 - E3A]</w:t>
            </w:r>
          </w:p>
        </w:tc>
        <w:tc>
          <w:tcPr>
            <w:tcW w:w="1495" w:type="dxa"/>
            <w:tcBorders>
              <w:top w:val="nil"/>
              <w:left w:val="nil"/>
              <w:bottom w:val="single" w:sz="4" w:space="0" w:color="auto"/>
              <w:right w:val="single" w:sz="4" w:space="0" w:color="auto"/>
            </w:tcBorders>
            <w:shd w:val="clear" w:color="auto" w:fill="auto"/>
            <w:vAlign w:val="center"/>
            <w:hideMark/>
          </w:tcPr>
          <w:p w14:paraId="2FDE8E47"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1.32</w:t>
            </w:r>
          </w:p>
        </w:tc>
        <w:tc>
          <w:tcPr>
            <w:tcW w:w="1495" w:type="dxa"/>
            <w:tcBorders>
              <w:top w:val="nil"/>
              <w:left w:val="nil"/>
              <w:bottom w:val="single" w:sz="4" w:space="0" w:color="auto"/>
              <w:right w:val="single" w:sz="4" w:space="0" w:color="auto"/>
            </w:tcBorders>
            <w:shd w:val="clear" w:color="auto" w:fill="auto"/>
            <w:vAlign w:val="center"/>
            <w:hideMark/>
          </w:tcPr>
          <w:p w14:paraId="08050972"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1.56</w:t>
            </w:r>
          </w:p>
        </w:tc>
        <w:tc>
          <w:tcPr>
            <w:tcW w:w="1938" w:type="dxa"/>
            <w:tcBorders>
              <w:top w:val="nil"/>
              <w:left w:val="nil"/>
              <w:bottom w:val="single" w:sz="4" w:space="0" w:color="auto"/>
              <w:right w:val="nil"/>
            </w:tcBorders>
            <w:shd w:val="clear" w:color="auto" w:fill="auto"/>
            <w:vAlign w:val="center"/>
            <w:hideMark/>
          </w:tcPr>
          <w:p w14:paraId="4448111D"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117.55</w:t>
            </w:r>
          </w:p>
        </w:tc>
      </w:tr>
      <w:tr w:rsidR="00B8562C" w:rsidRPr="00BF3CDE" w14:paraId="272D19C6" w14:textId="77777777" w:rsidTr="00E00FE9">
        <w:trPr>
          <w:trHeight w:val="227"/>
          <w:jc w:val="center"/>
        </w:trPr>
        <w:tc>
          <w:tcPr>
            <w:tcW w:w="9938" w:type="dxa"/>
            <w:gridSpan w:val="4"/>
            <w:tcBorders>
              <w:top w:val="single" w:sz="4" w:space="0" w:color="auto"/>
              <w:left w:val="nil"/>
              <w:bottom w:val="single" w:sz="4" w:space="0" w:color="auto"/>
              <w:right w:val="nil"/>
            </w:tcBorders>
            <w:shd w:val="clear" w:color="auto" w:fill="DBE5F1" w:themeFill="accent1" w:themeFillTint="33"/>
            <w:vAlign w:val="center"/>
            <w:hideMark/>
          </w:tcPr>
          <w:p w14:paraId="7B98922F" w14:textId="77777777" w:rsidR="00B8562C" w:rsidRPr="00BF3CDE" w:rsidRDefault="00B8562C" w:rsidP="00B8562C">
            <w:pPr>
              <w:spacing w:after="0" w:line="240" w:lineRule="auto"/>
              <w:rPr>
                <w:rFonts w:ascii="Arial Narrow" w:eastAsia="Times New Roman" w:hAnsi="Arial Narrow" w:cs="Times New Roman"/>
                <w:b/>
                <w:bCs/>
                <w:noProof/>
                <w:color w:val="000000"/>
                <w:sz w:val="20"/>
                <w:szCs w:val="20"/>
                <w:lang w:val="sr-Cyrl-CS" w:eastAsia="sr-Latn-RS"/>
              </w:rPr>
            </w:pPr>
            <w:r w:rsidRPr="00BF3CDE">
              <w:rPr>
                <w:rFonts w:ascii="Arial Narrow" w:eastAsia="Times New Roman" w:hAnsi="Arial Narrow" w:cs="Times New Roman"/>
                <w:b/>
                <w:bCs/>
                <w:noProof/>
                <w:color w:val="000000"/>
                <w:sz w:val="20"/>
                <w:szCs w:val="20"/>
                <w:lang w:val="sr-Cyrl-CS" w:eastAsia="sr-Latn-RS"/>
              </w:rPr>
              <w:t>ЛИКВИДНОСТ  -  L</w:t>
            </w:r>
          </w:p>
        </w:tc>
      </w:tr>
      <w:tr w:rsidR="00C031DE" w:rsidRPr="00BF3CDE" w14:paraId="3996315D" w14:textId="77777777" w:rsidTr="00E00FE9">
        <w:trPr>
          <w:trHeight w:val="227"/>
          <w:jc w:val="center"/>
        </w:trPr>
        <w:tc>
          <w:tcPr>
            <w:tcW w:w="5010" w:type="dxa"/>
            <w:tcBorders>
              <w:top w:val="nil"/>
              <w:left w:val="nil"/>
              <w:bottom w:val="single" w:sz="4" w:space="0" w:color="auto"/>
              <w:right w:val="single" w:sz="4" w:space="0" w:color="auto"/>
            </w:tcBorders>
            <w:shd w:val="clear" w:color="000000" w:fill="FFFFFF"/>
            <w:vAlign w:val="center"/>
            <w:hideMark/>
          </w:tcPr>
          <w:p w14:paraId="08428EC9" w14:textId="77777777" w:rsidR="00C031DE" w:rsidRPr="00BF3CDE" w:rsidRDefault="00C031DE" w:rsidP="00B8562C">
            <w:pPr>
              <w:spacing w:after="0" w:line="240" w:lineRule="auto"/>
              <w:rPr>
                <w:rFonts w:ascii="Arial Narrow" w:eastAsia="Times New Roman" w:hAnsi="Arial Narrow" w:cs="Times New Roman"/>
                <w:i/>
                <w:iCs/>
                <w:noProof/>
                <w:color w:val="000000"/>
                <w:sz w:val="20"/>
                <w:szCs w:val="20"/>
                <w:lang w:val="sr-Cyrl-CS" w:eastAsia="sr-Latn-RS"/>
              </w:rPr>
            </w:pPr>
            <w:r w:rsidRPr="00BF3CDE">
              <w:rPr>
                <w:rFonts w:ascii="Arial Narrow" w:eastAsia="Times New Roman" w:hAnsi="Arial Narrow" w:cs="Times New Roman"/>
                <w:i/>
                <w:iCs/>
                <w:noProof/>
                <w:color w:val="000000"/>
                <w:sz w:val="20"/>
                <w:szCs w:val="20"/>
                <w:lang w:val="sr-Cyrl-CS" w:eastAsia="sr-Latn-RS"/>
              </w:rPr>
              <w:t>L1: "Ликвидна средства / Кратк. обавезе"</w:t>
            </w:r>
          </w:p>
        </w:tc>
        <w:tc>
          <w:tcPr>
            <w:tcW w:w="1495" w:type="dxa"/>
            <w:tcBorders>
              <w:top w:val="nil"/>
              <w:left w:val="nil"/>
              <w:bottom w:val="single" w:sz="4" w:space="0" w:color="auto"/>
              <w:right w:val="single" w:sz="4" w:space="0" w:color="auto"/>
            </w:tcBorders>
            <w:shd w:val="clear" w:color="auto" w:fill="auto"/>
            <w:vAlign w:val="center"/>
            <w:hideMark/>
          </w:tcPr>
          <w:p w14:paraId="7C6C5DED"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2.17</w:t>
            </w:r>
          </w:p>
        </w:tc>
        <w:tc>
          <w:tcPr>
            <w:tcW w:w="1495" w:type="dxa"/>
            <w:tcBorders>
              <w:top w:val="nil"/>
              <w:left w:val="nil"/>
              <w:bottom w:val="single" w:sz="4" w:space="0" w:color="auto"/>
              <w:right w:val="single" w:sz="4" w:space="0" w:color="auto"/>
            </w:tcBorders>
            <w:shd w:val="clear" w:color="auto" w:fill="auto"/>
            <w:vAlign w:val="center"/>
            <w:hideMark/>
          </w:tcPr>
          <w:p w14:paraId="645C540B"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2.30</w:t>
            </w:r>
          </w:p>
        </w:tc>
        <w:tc>
          <w:tcPr>
            <w:tcW w:w="1938" w:type="dxa"/>
            <w:tcBorders>
              <w:top w:val="nil"/>
              <w:left w:val="nil"/>
              <w:bottom w:val="single" w:sz="4" w:space="0" w:color="auto"/>
              <w:right w:val="nil"/>
            </w:tcBorders>
            <w:shd w:val="clear" w:color="000000" w:fill="FFFFFF"/>
            <w:vAlign w:val="center"/>
            <w:hideMark/>
          </w:tcPr>
          <w:p w14:paraId="45110915"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105.99</w:t>
            </w:r>
          </w:p>
        </w:tc>
      </w:tr>
      <w:tr w:rsidR="00C031DE" w:rsidRPr="00BF3CDE" w14:paraId="6B74D2F4" w14:textId="77777777" w:rsidTr="00E00FE9">
        <w:trPr>
          <w:trHeight w:val="680"/>
          <w:jc w:val="center"/>
        </w:trPr>
        <w:tc>
          <w:tcPr>
            <w:tcW w:w="5010" w:type="dxa"/>
            <w:tcBorders>
              <w:top w:val="nil"/>
              <w:left w:val="nil"/>
              <w:bottom w:val="single" w:sz="4" w:space="0" w:color="auto"/>
              <w:right w:val="single" w:sz="4" w:space="0" w:color="auto"/>
            </w:tcBorders>
            <w:shd w:val="clear" w:color="000000" w:fill="FFFFFF"/>
            <w:vAlign w:val="center"/>
            <w:hideMark/>
          </w:tcPr>
          <w:p w14:paraId="51F0823E" w14:textId="77777777" w:rsidR="00C031DE" w:rsidRPr="00BF3CDE" w:rsidRDefault="00C031DE" w:rsidP="00B8562C">
            <w:pPr>
              <w:spacing w:after="0" w:line="240" w:lineRule="auto"/>
              <w:rPr>
                <w:rFonts w:ascii="Arial Narrow" w:eastAsia="Times New Roman" w:hAnsi="Arial Narrow" w:cs="Times New Roman"/>
                <w:i/>
                <w:iCs/>
                <w:noProof/>
                <w:color w:val="000000"/>
                <w:sz w:val="20"/>
                <w:szCs w:val="20"/>
                <w:lang w:val="sr-Cyrl-CS" w:eastAsia="sr-Latn-RS"/>
              </w:rPr>
            </w:pPr>
            <w:r w:rsidRPr="00BF3CDE">
              <w:rPr>
                <w:rFonts w:ascii="Arial Narrow" w:eastAsia="Times New Roman" w:hAnsi="Arial Narrow" w:cs="Times New Roman"/>
                <w:i/>
                <w:iCs/>
                <w:noProof/>
                <w:color w:val="000000"/>
                <w:sz w:val="20"/>
                <w:szCs w:val="20"/>
                <w:lang w:val="sr-Cyrl-CS" w:eastAsia="sr-Latn-RS"/>
              </w:rPr>
              <w:t>L2: Рацио ликвидности I степена (рацио новчане ликвидности (или ригорозни рацио) ):  [ликвидна средства] / [кратк. обавезе + део ПВР (остала ПВР + резер. штете]</w:t>
            </w:r>
          </w:p>
        </w:tc>
        <w:tc>
          <w:tcPr>
            <w:tcW w:w="1495" w:type="dxa"/>
            <w:tcBorders>
              <w:top w:val="nil"/>
              <w:left w:val="nil"/>
              <w:bottom w:val="single" w:sz="4" w:space="0" w:color="auto"/>
              <w:right w:val="single" w:sz="4" w:space="0" w:color="auto"/>
            </w:tcBorders>
            <w:shd w:val="clear" w:color="auto" w:fill="auto"/>
            <w:vAlign w:val="center"/>
            <w:hideMark/>
          </w:tcPr>
          <w:p w14:paraId="12C16CFA"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1.33</w:t>
            </w:r>
          </w:p>
        </w:tc>
        <w:tc>
          <w:tcPr>
            <w:tcW w:w="1495" w:type="dxa"/>
            <w:tcBorders>
              <w:top w:val="nil"/>
              <w:left w:val="nil"/>
              <w:bottom w:val="single" w:sz="4" w:space="0" w:color="auto"/>
              <w:right w:val="single" w:sz="4" w:space="0" w:color="auto"/>
            </w:tcBorders>
            <w:shd w:val="clear" w:color="auto" w:fill="auto"/>
            <w:vAlign w:val="center"/>
            <w:hideMark/>
          </w:tcPr>
          <w:p w14:paraId="217E6E3E"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1.28</w:t>
            </w:r>
          </w:p>
        </w:tc>
        <w:tc>
          <w:tcPr>
            <w:tcW w:w="1938" w:type="dxa"/>
            <w:tcBorders>
              <w:top w:val="nil"/>
              <w:left w:val="nil"/>
              <w:bottom w:val="single" w:sz="4" w:space="0" w:color="auto"/>
              <w:right w:val="nil"/>
            </w:tcBorders>
            <w:shd w:val="clear" w:color="000000" w:fill="FFFFFF"/>
            <w:vAlign w:val="center"/>
            <w:hideMark/>
          </w:tcPr>
          <w:p w14:paraId="0A57F594"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96.24</w:t>
            </w:r>
          </w:p>
        </w:tc>
      </w:tr>
      <w:tr w:rsidR="00C031DE" w:rsidRPr="00BF3CDE" w14:paraId="763CA9C9" w14:textId="77777777" w:rsidTr="00E00FE9">
        <w:trPr>
          <w:trHeight w:val="680"/>
          <w:jc w:val="center"/>
        </w:trPr>
        <w:tc>
          <w:tcPr>
            <w:tcW w:w="5010" w:type="dxa"/>
            <w:tcBorders>
              <w:top w:val="nil"/>
              <w:left w:val="nil"/>
              <w:bottom w:val="double" w:sz="6" w:space="0" w:color="auto"/>
              <w:right w:val="single" w:sz="4" w:space="0" w:color="auto"/>
            </w:tcBorders>
            <w:shd w:val="clear" w:color="000000" w:fill="FFFFFF"/>
            <w:vAlign w:val="center"/>
            <w:hideMark/>
          </w:tcPr>
          <w:p w14:paraId="7BCDD093" w14:textId="77777777" w:rsidR="00C031DE" w:rsidRPr="00BF3CDE" w:rsidRDefault="00C031DE" w:rsidP="00B8562C">
            <w:pPr>
              <w:spacing w:after="0" w:line="240" w:lineRule="auto"/>
              <w:rPr>
                <w:rFonts w:ascii="Arial Narrow" w:eastAsia="Times New Roman" w:hAnsi="Arial Narrow" w:cs="Times New Roman"/>
                <w:i/>
                <w:iCs/>
                <w:noProof/>
                <w:color w:val="000000"/>
                <w:sz w:val="20"/>
                <w:szCs w:val="20"/>
                <w:lang w:val="sr-Cyrl-CS" w:eastAsia="sr-Latn-RS"/>
              </w:rPr>
            </w:pPr>
            <w:r w:rsidRPr="00BF3CDE">
              <w:rPr>
                <w:rFonts w:ascii="Arial Narrow" w:eastAsia="Times New Roman" w:hAnsi="Arial Narrow" w:cs="Times New Roman"/>
                <w:i/>
                <w:iCs/>
                <w:noProof/>
                <w:color w:val="000000"/>
                <w:sz w:val="20"/>
                <w:szCs w:val="20"/>
                <w:lang w:val="sr-Cyrl-CS" w:eastAsia="sr-Latn-RS"/>
              </w:rPr>
              <w:t>L2(A): Рацио ликвидности I степена (рацио новчане ликвидности (или ригорозни рацио) ):  [ликвидна средства] / [кратк. обавезе + ук.ПВР]</w:t>
            </w:r>
          </w:p>
        </w:tc>
        <w:tc>
          <w:tcPr>
            <w:tcW w:w="1495" w:type="dxa"/>
            <w:tcBorders>
              <w:top w:val="nil"/>
              <w:left w:val="nil"/>
              <w:bottom w:val="double" w:sz="6" w:space="0" w:color="auto"/>
              <w:right w:val="single" w:sz="4" w:space="0" w:color="auto"/>
            </w:tcBorders>
            <w:shd w:val="clear" w:color="auto" w:fill="auto"/>
            <w:vAlign w:val="center"/>
            <w:hideMark/>
          </w:tcPr>
          <w:p w14:paraId="21C79403"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3.34</w:t>
            </w:r>
          </w:p>
        </w:tc>
        <w:tc>
          <w:tcPr>
            <w:tcW w:w="1495" w:type="dxa"/>
            <w:tcBorders>
              <w:top w:val="nil"/>
              <w:left w:val="nil"/>
              <w:bottom w:val="double" w:sz="6" w:space="0" w:color="auto"/>
              <w:right w:val="single" w:sz="4" w:space="0" w:color="auto"/>
            </w:tcBorders>
            <w:shd w:val="clear" w:color="auto" w:fill="auto"/>
            <w:vAlign w:val="center"/>
            <w:hideMark/>
          </w:tcPr>
          <w:p w14:paraId="0085ED44"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3.01</w:t>
            </w:r>
          </w:p>
        </w:tc>
        <w:tc>
          <w:tcPr>
            <w:tcW w:w="1938" w:type="dxa"/>
            <w:tcBorders>
              <w:top w:val="nil"/>
              <w:left w:val="nil"/>
              <w:bottom w:val="double" w:sz="6" w:space="0" w:color="auto"/>
              <w:right w:val="nil"/>
            </w:tcBorders>
            <w:shd w:val="clear" w:color="000000" w:fill="FFFFFF"/>
            <w:vAlign w:val="center"/>
            <w:hideMark/>
          </w:tcPr>
          <w:p w14:paraId="2CEC09B2" w14:textId="77777777" w:rsidR="00C031DE" w:rsidRPr="00BF3CDE" w:rsidRDefault="00C031DE" w:rsidP="00C031DE">
            <w:pPr>
              <w:pStyle w:val="NoSpacing"/>
              <w:jc w:val="center"/>
              <w:rPr>
                <w:rFonts w:ascii="Arial Narrow" w:hAnsi="Arial Narrow"/>
                <w:noProof/>
                <w:lang w:val="sr-Cyrl-CS"/>
              </w:rPr>
            </w:pPr>
            <w:r w:rsidRPr="00BF3CDE">
              <w:rPr>
                <w:rFonts w:ascii="Arial Narrow" w:hAnsi="Arial Narrow"/>
                <w:noProof/>
                <w:lang w:val="sr-Cyrl-CS"/>
              </w:rPr>
              <w:t>90.12</w:t>
            </w:r>
          </w:p>
        </w:tc>
      </w:tr>
    </w:tbl>
    <w:p w14:paraId="104A6B3D" w14:textId="77777777" w:rsidR="00DF78D2" w:rsidRPr="00BF3CDE" w:rsidRDefault="00DF78D2" w:rsidP="00DF78D2">
      <w:pPr>
        <w:spacing w:after="100"/>
        <w:jc w:val="both"/>
        <w:rPr>
          <w:rFonts w:ascii="Tahoma" w:hAnsi="Tahoma" w:cs="Tahoma"/>
          <w:noProof/>
          <w:sz w:val="18"/>
          <w:szCs w:val="18"/>
          <w:highlight w:val="yellow"/>
          <w:lang w:val="sr-Cyrl-CS"/>
        </w:rPr>
      </w:pPr>
    </w:p>
    <w:p w14:paraId="1200AB8D" w14:textId="77777777" w:rsidR="0062689C" w:rsidRPr="00BF3CDE" w:rsidRDefault="0062689C" w:rsidP="00DF78D2">
      <w:pPr>
        <w:spacing w:after="100"/>
        <w:jc w:val="both"/>
        <w:rPr>
          <w:b/>
          <w:noProof/>
          <w:sz w:val="20"/>
          <w:lang w:val="sr-Cyrl-CS"/>
        </w:rPr>
      </w:pPr>
      <w:r w:rsidRPr="00BF3CDE">
        <w:rPr>
          <w:b/>
          <w:i/>
          <w:noProof/>
          <w:sz w:val="20"/>
          <w:lang w:val="sr-Cyrl-CS"/>
        </w:rPr>
        <w:t>Кармел анализа</w:t>
      </w:r>
      <w:r w:rsidRPr="00BF3CDE">
        <w:rPr>
          <w:b/>
          <w:noProof/>
          <w:sz w:val="20"/>
          <w:lang w:val="sr-Cyrl-CS"/>
        </w:rPr>
        <w:t xml:space="preserve"> показује да Друштво у посматраном периоду није генереисало довољан портфељ реосигурања у односу на капацитете и трошкове пословања што је узроковало негативне показатеље профитабилности</w:t>
      </w:r>
      <w:r w:rsidR="00F91B66" w:rsidRPr="00BF3CDE">
        <w:rPr>
          <w:b/>
          <w:noProof/>
          <w:sz w:val="20"/>
          <w:lang w:val="sr-Cyrl-CS"/>
        </w:rPr>
        <w:t xml:space="preserve">. </w:t>
      </w:r>
      <w:r w:rsidR="00E00FE9" w:rsidRPr="00BF3CDE">
        <w:rPr>
          <w:b/>
          <w:noProof/>
          <w:sz w:val="20"/>
          <w:lang w:val="sr-Cyrl-CS"/>
        </w:rPr>
        <w:t xml:space="preserve">Истовремено, </w:t>
      </w:r>
      <w:r w:rsidRPr="00BF3CDE">
        <w:rPr>
          <w:b/>
          <w:noProof/>
          <w:sz w:val="20"/>
          <w:lang w:val="sr-Cyrl-CS"/>
        </w:rPr>
        <w:t>показатељи ликвидности</w:t>
      </w:r>
      <w:r w:rsidR="00E00FE9" w:rsidRPr="00BF3CDE">
        <w:rPr>
          <w:b/>
          <w:noProof/>
          <w:sz w:val="20"/>
          <w:lang w:val="sr-Cyrl-CS"/>
        </w:rPr>
        <w:t xml:space="preserve"> су</w:t>
      </w:r>
      <w:r w:rsidRPr="00BF3CDE">
        <w:rPr>
          <w:b/>
          <w:noProof/>
          <w:sz w:val="20"/>
          <w:lang w:val="sr-Cyrl-CS"/>
        </w:rPr>
        <w:t xml:space="preserve"> остали на задовољавајућ</w:t>
      </w:r>
      <w:r w:rsidR="00F91B66" w:rsidRPr="00BF3CDE">
        <w:rPr>
          <w:b/>
          <w:noProof/>
          <w:sz w:val="20"/>
          <w:lang w:val="sr-Cyrl-CS"/>
        </w:rPr>
        <w:t xml:space="preserve">ем нивоу, </w:t>
      </w:r>
      <w:r w:rsidR="00E00FE9" w:rsidRPr="00BF3CDE">
        <w:rPr>
          <w:b/>
          <w:noProof/>
          <w:sz w:val="20"/>
          <w:lang w:val="sr-Cyrl-CS"/>
        </w:rPr>
        <w:t xml:space="preserve">а очувалн је </w:t>
      </w:r>
      <w:r w:rsidR="00F91B66" w:rsidRPr="00BF3CDE">
        <w:rPr>
          <w:b/>
          <w:noProof/>
          <w:sz w:val="20"/>
          <w:lang w:val="sr-Cyrl-CS"/>
        </w:rPr>
        <w:t>и квалитет активе</w:t>
      </w:r>
      <w:r w:rsidR="00E00FE9" w:rsidRPr="00BF3CDE">
        <w:rPr>
          <w:b/>
          <w:noProof/>
          <w:sz w:val="20"/>
          <w:lang w:val="sr-Cyrl-CS"/>
        </w:rPr>
        <w:t xml:space="preserve"> тако да у кратком року Друштво није изложено ризику благовременог сервисирања обавеза из пословања</w:t>
      </w:r>
      <w:r w:rsidRPr="00BF3CDE">
        <w:rPr>
          <w:b/>
          <w:noProof/>
          <w:sz w:val="20"/>
          <w:lang w:val="sr-Cyrl-CS"/>
        </w:rPr>
        <w:t xml:space="preserve">. Уколико би се негативни трендови наставили у наредном периоду, дугорочно посматрано </w:t>
      </w:r>
      <w:r w:rsidR="00E00FE9" w:rsidRPr="00BF3CDE">
        <w:rPr>
          <w:b/>
          <w:noProof/>
          <w:sz w:val="20"/>
          <w:lang w:val="sr-Cyrl-CS"/>
        </w:rPr>
        <w:t xml:space="preserve">Друштва </w:t>
      </w:r>
      <w:r w:rsidRPr="00BF3CDE">
        <w:rPr>
          <w:b/>
          <w:noProof/>
          <w:sz w:val="20"/>
          <w:lang w:val="sr-Cyrl-CS"/>
        </w:rPr>
        <w:t xml:space="preserve">би </w:t>
      </w:r>
      <w:r w:rsidR="00E00FE9" w:rsidRPr="00BF3CDE">
        <w:rPr>
          <w:b/>
          <w:noProof/>
          <w:sz w:val="20"/>
          <w:lang w:val="sr-Cyrl-CS"/>
        </w:rPr>
        <w:t xml:space="preserve">било изложено повећању ризика везаних за </w:t>
      </w:r>
      <w:r w:rsidRPr="00BF3CDE">
        <w:rPr>
          <w:b/>
          <w:noProof/>
          <w:sz w:val="20"/>
          <w:lang w:val="sr-Cyrl-CS"/>
        </w:rPr>
        <w:t>одржавањ</w:t>
      </w:r>
      <w:r w:rsidR="00E00FE9" w:rsidRPr="00BF3CDE">
        <w:rPr>
          <w:b/>
          <w:noProof/>
          <w:sz w:val="20"/>
          <w:lang w:val="sr-Cyrl-CS"/>
        </w:rPr>
        <w:t>е</w:t>
      </w:r>
      <w:r w:rsidRPr="00BF3CDE">
        <w:rPr>
          <w:b/>
          <w:noProof/>
          <w:sz w:val="20"/>
          <w:lang w:val="sr-Cyrl-CS"/>
        </w:rPr>
        <w:t xml:space="preserve"> солвентности</w:t>
      </w:r>
      <w:r w:rsidR="00F91B66" w:rsidRPr="00BF3CDE">
        <w:rPr>
          <w:b/>
          <w:noProof/>
          <w:sz w:val="20"/>
          <w:lang w:val="sr-Cyrl-CS"/>
        </w:rPr>
        <w:t>.</w:t>
      </w:r>
    </w:p>
    <w:p w14:paraId="3EC1F007" w14:textId="77777777" w:rsidR="00E00FE9" w:rsidRPr="00BF3CDE" w:rsidRDefault="00E00FE9" w:rsidP="00DF78D2">
      <w:pPr>
        <w:spacing w:after="100"/>
        <w:jc w:val="both"/>
        <w:rPr>
          <w:b/>
          <w:noProof/>
          <w:sz w:val="20"/>
          <w:lang w:val="sr-Cyrl-CS"/>
        </w:rPr>
      </w:pPr>
    </w:p>
    <w:p w14:paraId="3122120A" w14:textId="77777777" w:rsidR="008E0AE8" w:rsidRPr="00BF3CDE" w:rsidRDefault="008E0AE8" w:rsidP="008E0AE8">
      <w:pPr>
        <w:pStyle w:val="Heading1"/>
        <w:numPr>
          <w:ilvl w:val="0"/>
          <w:numId w:val="2"/>
        </w:numPr>
        <w:rPr>
          <w:rFonts w:asciiTheme="majorHAnsi" w:hAnsiTheme="majorHAnsi" w:cs="Tahoma"/>
          <w:noProof/>
          <w:color w:val="4F81BD"/>
          <w:sz w:val="24"/>
          <w:szCs w:val="18"/>
          <w:lang w:val="sr-Cyrl-CS"/>
        </w:rPr>
      </w:pPr>
      <w:bookmarkStart w:id="6" w:name="_Toc414356799"/>
      <w:r w:rsidRPr="00BF3CDE">
        <w:rPr>
          <w:rFonts w:asciiTheme="majorHAnsi" w:hAnsiTheme="majorHAnsi" w:cs="Tahoma"/>
          <w:noProof/>
          <w:color w:val="4F81BD"/>
          <w:sz w:val="24"/>
          <w:szCs w:val="18"/>
          <w:lang w:val="sr-Cyrl-CS"/>
        </w:rPr>
        <w:lastRenderedPageBreak/>
        <w:t>ИЗВЕШТАЈ О ПОЛИТИЦИ СПРОВОЂЕЊА САОСИГУРАЊА И РЕОСИГУРАЊА ЗА 201</w:t>
      </w:r>
      <w:r w:rsidR="006C0D6C" w:rsidRPr="00BF3CDE">
        <w:rPr>
          <w:rFonts w:asciiTheme="majorHAnsi" w:hAnsiTheme="majorHAnsi" w:cs="Tahoma"/>
          <w:noProof/>
          <w:color w:val="4F81BD"/>
          <w:sz w:val="24"/>
          <w:szCs w:val="18"/>
          <w:lang w:val="sr-Cyrl-CS"/>
        </w:rPr>
        <w:t>4</w:t>
      </w:r>
      <w:r w:rsidRPr="00BF3CDE">
        <w:rPr>
          <w:rFonts w:asciiTheme="majorHAnsi" w:hAnsiTheme="majorHAnsi" w:cs="Tahoma"/>
          <w:noProof/>
          <w:color w:val="4F81BD"/>
          <w:sz w:val="24"/>
          <w:szCs w:val="18"/>
          <w:lang w:val="sr-Cyrl-CS"/>
        </w:rPr>
        <w:t>. ГОДИНУ</w:t>
      </w:r>
      <w:bookmarkEnd w:id="6"/>
    </w:p>
    <w:p w14:paraId="031AC6C7" w14:textId="77777777" w:rsidR="008E0AE8" w:rsidRPr="00BF3CDE" w:rsidRDefault="008E0AE8" w:rsidP="008E0AE8">
      <w:pPr>
        <w:pStyle w:val="NoSpacing"/>
        <w:ind w:firstLine="284"/>
        <w:jc w:val="both"/>
        <w:rPr>
          <w:rFonts w:cs="Tahoma"/>
          <w:noProof/>
          <w:sz w:val="10"/>
          <w:szCs w:val="10"/>
          <w:highlight w:val="yellow"/>
          <w:lang w:val="sr-Cyrl-CS"/>
        </w:rPr>
      </w:pPr>
    </w:p>
    <w:p w14:paraId="35487C29" w14:textId="77777777" w:rsidR="006C0D6C" w:rsidRPr="00BF3CDE" w:rsidRDefault="006C0D6C" w:rsidP="00740812">
      <w:pPr>
        <w:spacing w:after="80"/>
        <w:ind w:firstLine="567"/>
        <w:jc w:val="both"/>
        <w:rPr>
          <w:noProof/>
          <w:sz w:val="20"/>
          <w:lang w:val="sr-Cyrl-CS"/>
        </w:rPr>
      </w:pPr>
      <w:r w:rsidRPr="00BF3CDE">
        <w:rPr>
          <w:noProof/>
          <w:sz w:val="20"/>
          <w:lang w:val="sr-Cyrl-CS"/>
        </w:rPr>
        <w:t>Дунав Ре а.д.о. (у даљем тексту Друштво) је током 2014. године обављало послове неживотних и животних реосигурања.</w:t>
      </w:r>
    </w:p>
    <w:p w14:paraId="38D00FC2" w14:textId="77777777" w:rsidR="006C0D6C" w:rsidRPr="00BF3CDE" w:rsidRDefault="006C0D6C" w:rsidP="00740812">
      <w:pPr>
        <w:spacing w:after="80"/>
        <w:ind w:firstLine="567"/>
        <w:jc w:val="both"/>
        <w:rPr>
          <w:noProof/>
          <w:sz w:val="20"/>
          <w:lang w:val="sr-Cyrl-CS"/>
        </w:rPr>
      </w:pPr>
      <w:r w:rsidRPr="00BF3CDE">
        <w:rPr>
          <w:noProof/>
          <w:sz w:val="20"/>
          <w:lang w:val="sr-Cyrl-CS"/>
        </w:rPr>
        <w:t xml:space="preserve">Друштво је током 2014. године преузимало ризике како са домаћег, тако и са међународног тржишта. Преузимање ризика из иностранства првенствено је сведено на учешће у реосигуравајућим покрићима компанија са теријорије ех YU региона. Територија ех YU региона, као један од критеријума преузимања ризика, је примењивана обзиром на могућност провере података, једнакост критеријума оцене ризика, сличност утицаја макро-економских елемената. За непокривене вишкове ризика обезбеђена је адекватна заштита, кроз програме ретроцесије. </w:t>
      </w:r>
    </w:p>
    <w:p w14:paraId="20F94E4F" w14:textId="77777777" w:rsidR="006C0D6C" w:rsidRPr="00BF3CDE" w:rsidRDefault="006C0D6C" w:rsidP="00740812">
      <w:pPr>
        <w:spacing w:after="80"/>
        <w:ind w:firstLine="567"/>
        <w:jc w:val="both"/>
        <w:rPr>
          <w:noProof/>
          <w:sz w:val="20"/>
          <w:lang w:val="sr-Cyrl-CS"/>
        </w:rPr>
      </w:pPr>
      <w:r w:rsidRPr="00BF3CDE">
        <w:rPr>
          <w:noProof/>
          <w:sz w:val="20"/>
          <w:lang w:val="sr-Cyrl-CS"/>
        </w:rPr>
        <w:t>Друштво је ризике реосигуравало на  бази пропорционалних и непропоционалних  реосигурања, зависно од природе ризика и потреба цедента. У току 2014. године са аспекта реосигурања, примећује се тренд код осигуравача да се капацитети осигурања максимално користе а потом обезбеђује реосигурање. Такође, активности саосигурања су биле повећане у значајној мери из ког разлога је дошло до смањења потребе цедената за реосигурањем, приметно кроз мањи број ризика у ретроцесији тј. пад остварених премијских прихода код осигуравача.</w:t>
      </w:r>
    </w:p>
    <w:p w14:paraId="173DF575" w14:textId="77777777" w:rsidR="006C0D6C" w:rsidRPr="00BF3CDE" w:rsidRDefault="006C0D6C" w:rsidP="00655CD0">
      <w:pPr>
        <w:pStyle w:val="Heading1"/>
        <w:numPr>
          <w:ilvl w:val="1"/>
          <w:numId w:val="6"/>
        </w:numPr>
        <w:spacing w:before="240" w:after="120"/>
        <w:jc w:val="left"/>
        <w:rPr>
          <w:rFonts w:asciiTheme="majorHAnsi" w:hAnsiTheme="majorHAnsi" w:cs="Tahoma"/>
          <w:i/>
          <w:noProof/>
          <w:color w:val="4F81BD"/>
          <w:sz w:val="22"/>
          <w:szCs w:val="18"/>
          <w:lang w:val="sr-Cyrl-CS"/>
        </w:rPr>
      </w:pPr>
      <w:bookmarkStart w:id="7" w:name="_Toc319489024"/>
      <w:bookmarkStart w:id="8" w:name="_Toc414356800"/>
      <w:r w:rsidRPr="00BF3CDE">
        <w:rPr>
          <w:rFonts w:asciiTheme="majorHAnsi" w:hAnsiTheme="majorHAnsi" w:cs="Tahoma"/>
          <w:i/>
          <w:noProof/>
          <w:color w:val="4F81BD"/>
          <w:sz w:val="22"/>
          <w:szCs w:val="18"/>
          <w:lang w:val="sr-Cyrl-CS"/>
        </w:rPr>
        <w:t>ЦЕДЕНТИ ДРУШТВА</w:t>
      </w:r>
      <w:bookmarkEnd w:id="7"/>
      <w:bookmarkEnd w:id="8"/>
    </w:p>
    <w:p w14:paraId="3EFE4B4B" w14:textId="77777777" w:rsidR="006C0D6C" w:rsidRPr="00BF3CDE" w:rsidRDefault="006C0D6C" w:rsidP="00740812">
      <w:pPr>
        <w:spacing w:after="0"/>
        <w:ind w:firstLine="567"/>
        <w:jc w:val="both"/>
        <w:rPr>
          <w:noProof/>
          <w:sz w:val="20"/>
          <w:lang w:val="sr-Cyrl-CS"/>
        </w:rPr>
      </w:pPr>
      <w:r w:rsidRPr="00BF3CDE">
        <w:rPr>
          <w:noProof/>
          <w:sz w:val="20"/>
          <w:lang w:val="sr-Cyrl-CS"/>
        </w:rPr>
        <w:t>Током 2014. године, Друштво је реализовало реосигурања са 22 домаћа цедента и 16 страних партнера, кроз унапређење пословне сарадње и очување позиције и репутације професионалног реосигуравача са вишедеценијским искуством.</w:t>
      </w:r>
    </w:p>
    <w:p w14:paraId="3C9B4228" w14:textId="77777777" w:rsidR="006C0D6C" w:rsidRPr="00BF3CDE" w:rsidRDefault="006C0D6C" w:rsidP="00740812">
      <w:pPr>
        <w:spacing w:after="60"/>
        <w:ind w:right="-142"/>
        <w:jc w:val="center"/>
        <w:rPr>
          <w:rFonts w:ascii="Verdana" w:hAnsi="Verdana" w:cs="Tahoma"/>
          <w:b/>
          <w:i/>
          <w:noProof/>
          <w:sz w:val="20"/>
          <w:szCs w:val="20"/>
          <w:bdr w:val="none" w:sz="0" w:space="0" w:color="auto" w:frame="1"/>
          <w:lang w:val="sr-Cyrl-CS"/>
        </w:rPr>
      </w:pPr>
      <w:r w:rsidRPr="00BF3CDE">
        <w:rPr>
          <w:rFonts w:ascii="Verdana" w:hAnsi="Verdana" w:cs="Tahoma"/>
          <w:b/>
          <w:i/>
          <w:noProof/>
          <w:sz w:val="20"/>
          <w:szCs w:val="20"/>
          <w:bdr w:val="none" w:sz="0" w:space="0" w:color="auto" w:frame="1"/>
          <w:lang w:val="sr-Cyrl-CS"/>
        </w:rPr>
        <w:t>Број цедената Друштва</w:t>
      </w:r>
    </w:p>
    <w:tbl>
      <w:tblPr>
        <w:tblStyle w:val="MediumList1-Accent11"/>
        <w:tblW w:w="9288" w:type="dxa"/>
        <w:tblLayout w:type="fixed"/>
        <w:tblLook w:val="0420" w:firstRow="1" w:lastRow="0" w:firstColumn="0" w:lastColumn="0" w:noHBand="0" w:noVBand="1"/>
      </w:tblPr>
      <w:tblGrid>
        <w:gridCol w:w="1326"/>
        <w:gridCol w:w="1327"/>
        <w:gridCol w:w="1327"/>
        <w:gridCol w:w="1327"/>
        <w:gridCol w:w="1327"/>
        <w:gridCol w:w="1327"/>
        <w:gridCol w:w="1327"/>
      </w:tblGrid>
      <w:tr w:rsidR="006C0D6C" w:rsidRPr="00BF3CDE" w14:paraId="66CA023D" w14:textId="77777777" w:rsidTr="006C0D6C">
        <w:trPr>
          <w:cnfStyle w:val="100000000000" w:firstRow="1" w:lastRow="0" w:firstColumn="0" w:lastColumn="0" w:oddVBand="0" w:evenVBand="0" w:oddHBand="0" w:evenHBand="0" w:firstRowFirstColumn="0" w:firstRowLastColumn="0" w:lastRowFirstColumn="0" w:lastRowLastColumn="0"/>
          <w:trHeight w:val="159"/>
        </w:trPr>
        <w:tc>
          <w:tcPr>
            <w:tcW w:w="1326" w:type="dxa"/>
          </w:tcPr>
          <w:p w14:paraId="2B45BE11" w14:textId="77777777" w:rsidR="006C0D6C" w:rsidRPr="00BF3CDE" w:rsidRDefault="006C0D6C" w:rsidP="006C0D6C">
            <w:pPr>
              <w:widowControl w:val="0"/>
              <w:rPr>
                <w:rFonts w:ascii="Verdana" w:hAnsi="Verdana" w:cs="Tahoma"/>
                <w:b/>
                <w:noProof/>
                <w:lang w:val="sr-Cyrl-CS"/>
              </w:rPr>
            </w:pPr>
          </w:p>
        </w:tc>
        <w:tc>
          <w:tcPr>
            <w:tcW w:w="1327" w:type="dxa"/>
          </w:tcPr>
          <w:p w14:paraId="2D995B3B"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2009</w:t>
            </w:r>
          </w:p>
        </w:tc>
        <w:tc>
          <w:tcPr>
            <w:tcW w:w="1327" w:type="dxa"/>
          </w:tcPr>
          <w:p w14:paraId="6F4DC417"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2010</w:t>
            </w:r>
          </w:p>
        </w:tc>
        <w:tc>
          <w:tcPr>
            <w:tcW w:w="1327" w:type="dxa"/>
          </w:tcPr>
          <w:p w14:paraId="1568A882"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2011</w:t>
            </w:r>
          </w:p>
        </w:tc>
        <w:tc>
          <w:tcPr>
            <w:tcW w:w="1327" w:type="dxa"/>
          </w:tcPr>
          <w:p w14:paraId="6B154A55"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2012</w:t>
            </w:r>
          </w:p>
        </w:tc>
        <w:tc>
          <w:tcPr>
            <w:tcW w:w="1327" w:type="dxa"/>
          </w:tcPr>
          <w:p w14:paraId="2AD1872E"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2013</w:t>
            </w:r>
          </w:p>
        </w:tc>
        <w:tc>
          <w:tcPr>
            <w:tcW w:w="1327" w:type="dxa"/>
          </w:tcPr>
          <w:p w14:paraId="433BC38E"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2014</w:t>
            </w:r>
          </w:p>
        </w:tc>
      </w:tr>
      <w:tr w:rsidR="006C0D6C" w:rsidRPr="00BF3CDE" w14:paraId="051A907F" w14:textId="77777777" w:rsidTr="00740812">
        <w:trPr>
          <w:cnfStyle w:val="000000100000" w:firstRow="0" w:lastRow="0" w:firstColumn="0" w:lastColumn="0" w:oddVBand="0" w:evenVBand="0" w:oddHBand="1" w:evenHBand="0" w:firstRowFirstColumn="0" w:firstRowLastColumn="0" w:lastRowFirstColumn="0" w:lastRowLastColumn="0"/>
          <w:trHeight w:val="113"/>
        </w:trPr>
        <w:tc>
          <w:tcPr>
            <w:tcW w:w="1326" w:type="dxa"/>
          </w:tcPr>
          <w:p w14:paraId="6EC4CE53" w14:textId="77777777" w:rsidR="006C0D6C" w:rsidRPr="00BF3CDE" w:rsidRDefault="006C0D6C" w:rsidP="006C0D6C">
            <w:pPr>
              <w:widowControl w:val="0"/>
              <w:rPr>
                <w:rFonts w:ascii="Verdana" w:hAnsi="Verdana" w:cs="Tahoma"/>
                <w:noProof/>
                <w:lang w:val="sr-Cyrl-CS"/>
              </w:rPr>
            </w:pPr>
            <w:r w:rsidRPr="00BF3CDE">
              <w:rPr>
                <w:rFonts w:ascii="Verdana" w:hAnsi="Verdana" w:cs="Tahoma"/>
                <w:noProof/>
                <w:lang w:val="sr-Cyrl-CS"/>
              </w:rPr>
              <w:t>домаћи</w:t>
            </w:r>
          </w:p>
        </w:tc>
        <w:tc>
          <w:tcPr>
            <w:tcW w:w="1327" w:type="dxa"/>
          </w:tcPr>
          <w:p w14:paraId="0F2C4323" w14:textId="77777777" w:rsidR="006C0D6C" w:rsidRPr="00BF3CDE" w:rsidRDefault="006C0D6C" w:rsidP="006C0D6C">
            <w:pPr>
              <w:widowControl w:val="0"/>
              <w:jc w:val="center"/>
              <w:rPr>
                <w:rFonts w:ascii="Verdana" w:hAnsi="Verdana" w:cs="Tahoma"/>
                <w:noProof/>
                <w:lang w:val="sr-Cyrl-CS"/>
              </w:rPr>
            </w:pPr>
            <w:r w:rsidRPr="00BF3CDE">
              <w:rPr>
                <w:rFonts w:ascii="Verdana" w:hAnsi="Verdana" w:cs="Tahoma"/>
                <w:noProof/>
                <w:lang w:val="sr-Cyrl-CS"/>
              </w:rPr>
              <w:t>22</w:t>
            </w:r>
          </w:p>
        </w:tc>
        <w:tc>
          <w:tcPr>
            <w:tcW w:w="1327" w:type="dxa"/>
          </w:tcPr>
          <w:p w14:paraId="3018484B" w14:textId="77777777" w:rsidR="006C0D6C" w:rsidRPr="00BF3CDE" w:rsidRDefault="006C0D6C" w:rsidP="006C0D6C">
            <w:pPr>
              <w:widowControl w:val="0"/>
              <w:jc w:val="center"/>
              <w:rPr>
                <w:rFonts w:ascii="Verdana" w:hAnsi="Verdana" w:cs="Tahoma"/>
                <w:noProof/>
                <w:lang w:val="sr-Cyrl-CS"/>
              </w:rPr>
            </w:pPr>
            <w:r w:rsidRPr="00BF3CDE">
              <w:rPr>
                <w:rFonts w:ascii="Verdana" w:hAnsi="Verdana" w:cs="Tahoma"/>
                <w:noProof/>
                <w:lang w:val="sr-Cyrl-CS"/>
              </w:rPr>
              <w:t>23</w:t>
            </w:r>
          </w:p>
        </w:tc>
        <w:tc>
          <w:tcPr>
            <w:tcW w:w="1327" w:type="dxa"/>
          </w:tcPr>
          <w:p w14:paraId="2E9A3007" w14:textId="77777777" w:rsidR="006C0D6C" w:rsidRPr="00BF3CDE" w:rsidRDefault="006C0D6C" w:rsidP="006C0D6C">
            <w:pPr>
              <w:widowControl w:val="0"/>
              <w:jc w:val="center"/>
              <w:rPr>
                <w:rFonts w:ascii="Verdana" w:hAnsi="Verdana" w:cs="Tahoma"/>
                <w:noProof/>
                <w:lang w:val="sr-Cyrl-CS"/>
              </w:rPr>
            </w:pPr>
            <w:r w:rsidRPr="00BF3CDE">
              <w:rPr>
                <w:rFonts w:ascii="Verdana" w:hAnsi="Verdana" w:cs="Tahoma"/>
                <w:noProof/>
                <w:lang w:val="sr-Cyrl-CS"/>
              </w:rPr>
              <w:t>23</w:t>
            </w:r>
          </w:p>
        </w:tc>
        <w:tc>
          <w:tcPr>
            <w:tcW w:w="1327" w:type="dxa"/>
          </w:tcPr>
          <w:p w14:paraId="6C313AA8" w14:textId="77777777" w:rsidR="006C0D6C" w:rsidRPr="00BF3CDE" w:rsidRDefault="006C0D6C" w:rsidP="006C0D6C">
            <w:pPr>
              <w:widowControl w:val="0"/>
              <w:jc w:val="center"/>
              <w:rPr>
                <w:rFonts w:ascii="Verdana" w:hAnsi="Verdana" w:cs="Tahoma"/>
                <w:noProof/>
                <w:lang w:val="sr-Cyrl-CS"/>
              </w:rPr>
            </w:pPr>
            <w:r w:rsidRPr="00BF3CDE">
              <w:rPr>
                <w:rFonts w:ascii="Verdana" w:hAnsi="Verdana" w:cs="Tahoma"/>
                <w:noProof/>
                <w:lang w:val="sr-Cyrl-CS"/>
              </w:rPr>
              <w:t>23</w:t>
            </w:r>
          </w:p>
        </w:tc>
        <w:tc>
          <w:tcPr>
            <w:tcW w:w="1327" w:type="dxa"/>
          </w:tcPr>
          <w:p w14:paraId="37A42F20" w14:textId="77777777" w:rsidR="006C0D6C" w:rsidRPr="00BF3CDE" w:rsidRDefault="006C0D6C" w:rsidP="006C0D6C">
            <w:pPr>
              <w:widowControl w:val="0"/>
              <w:jc w:val="center"/>
              <w:rPr>
                <w:rFonts w:ascii="Verdana" w:hAnsi="Verdana" w:cs="Tahoma"/>
                <w:noProof/>
                <w:lang w:val="sr-Cyrl-CS"/>
              </w:rPr>
            </w:pPr>
            <w:r w:rsidRPr="00BF3CDE">
              <w:rPr>
                <w:rFonts w:ascii="Verdana" w:hAnsi="Verdana" w:cs="Tahoma"/>
                <w:noProof/>
                <w:lang w:val="sr-Cyrl-CS"/>
              </w:rPr>
              <w:t>23</w:t>
            </w:r>
          </w:p>
        </w:tc>
        <w:tc>
          <w:tcPr>
            <w:tcW w:w="1327" w:type="dxa"/>
          </w:tcPr>
          <w:p w14:paraId="30B0AE46" w14:textId="77777777" w:rsidR="006C0D6C" w:rsidRPr="00BF3CDE" w:rsidRDefault="006C0D6C" w:rsidP="006C0D6C">
            <w:pPr>
              <w:widowControl w:val="0"/>
              <w:jc w:val="center"/>
              <w:rPr>
                <w:rFonts w:ascii="Verdana" w:hAnsi="Verdana" w:cs="Tahoma"/>
                <w:noProof/>
                <w:lang w:val="sr-Cyrl-CS"/>
              </w:rPr>
            </w:pPr>
            <w:r w:rsidRPr="00BF3CDE">
              <w:rPr>
                <w:rFonts w:ascii="Verdana" w:hAnsi="Verdana" w:cs="Tahoma"/>
                <w:noProof/>
                <w:lang w:val="sr-Cyrl-CS"/>
              </w:rPr>
              <w:t>22</w:t>
            </w:r>
          </w:p>
        </w:tc>
      </w:tr>
      <w:tr w:rsidR="006C0D6C" w:rsidRPr="00BF3CDE" w14:paraId="1A876E21" w14:textId="77777777" w:rsidTr="00740812">
        <w:trPr>
          <w:trHeight w:val="113"/>
        </w:trPr>
        <w:tc>
          <w:tcPr>
            <w:tcW w:w="1326" w:type="dxa"/>
          </w:tcPr>
          <w:p w14:paraId="6725FC2D" w14:textId="77777777" w:rsidR="006C0D6C" w:rsidRPr="00BF3CDE" w:rsidRDefault="006C0D6C" w:rsidP="006C0D6C">
            <w:pPr>
              <w:widowControl w:val="0"/>
              <w:rPr>
                <w:rFonts w:ascii="Verdana" w:hAnsi="Verdana" w:cs="Tahoma"/>
                <w:noProof/>
                <w:lang w:val="sr-Cyrl-CS"/>
              </w:rPr>
            </w:pPr>
            <w:r w:rsidRPr="00BF3CDE">
              <w:rPr>
                <w:rFonts w:ascii="Verdana" w:hAnsi="Verdana" w:cs="Tahoma"/>
                <w:noProof/>
                <w:lang w:val="sr-Cyrl-CS"/>
              </w:rPr>
              <w:t>страни</w:t>
            </w:r>
          </w:p>
        </w:tc>
        <w:tc>
          <w:tcPr>
            <w:tcW w:w="1327" w:type="dxa"/>
          </w:tcPr>
          <w:p w14:paraId="37483259" w14:textId="77777777" w:rsidR="006C0D6C" w:rsidRPr="00BF3CDE" w:rsidRDefault="006C0D6C" w:rsidP="006C0D6C">
            <w:pPr>
              <w:widowControl w:val="0"/>
              <w:jc w:val="center"/>
              <w:rPr>
                <w:rFonts w:ascii="Verdana" w:hAnsi="Verdana" w:cs="Tahoma"/>
                <w:noProof/>
                <w:lang w:val="sr-Cyrl-CS"/>
              </w:rPr>
            </w:pPr>
            <w:r w:rsidRPr="00BF3CDE">
              <w:rPr>
                <w:rFonts w:ascii="Verdana" w:hAnsi="Verdana" w:cs="Tahoma"/>
                <w:noProof/>
                <w:lang w:val="sr-Cyrl-CS"/>
              </w:rPr>
              <w:t>31</w:t>
            </w:r>
          </w:p>
        </w:tc>
        <w:tc>
          <w:tcPr>
            <w:tcW w:w="1327" w:type="dxa"/>
          </w:tcPr>
          <w:p w14:paraId="67C05EAA" w14:textId="77777777" w:rsidR="006C0D6C" w:rsidRPr="00BF3CDE" w:rsidRDefault="006C0D6C" w:rsidP="006C0D6C">
            <w:pPr>
              <w:widowControl w:val="0"/>
              <w:jc w:val="center"/>
              <w:rPr>
                <w:rFonts w:ascii="Verdana" w:hAnsi="Verdana" w:cs="Tahoma"/>
                <w:noProof/>
                <w:lang w:val="sr-Cyrl-CS"/>
              </w:rPr>
            </w:pPr>
            <w:r w:rsidRPr="00BF3CDE">
              <w:rPr>
                <w:rFonts w:ascii="Verdana" w:hAnsi="Verdana" w:cs="Tahoma"/>
                <w:noProof/>
                <w:lang w:val="sr-Cyrl-CS"/>
              </w:rPr>
              <w:t>28</w:t>
            </w:r>
          </w:p>
        </w:tc>
        <w:tc>
          <w:tcPr>
            <w:tcW w:w="1327" w:type="dxa"/>
          </w:tcPr>
          <w:p w14:paraId="59FC93E5" w14:textId="77777777" w:rsidR="006C0D6C" w:rsidRPr="00BF3CDE" w:rsidRDefault="006C0D6C" w:rsidP="006C0D6C">
            <w:pPr>
              <w:widowControl w:val="0"/>
              <w:jc w:val="center"/>
              <w:rPr>
                <w:rFonts w:ascii="Verdana" w:hAnsi="Verdana" w:cs="Tahoma"/>
                <w:noProof/>
                <w:lang w:val="sr-Cyrl-CS"/>
              </w:rPr>
            </w:pPr>
            <w:r w:rsidRPr="00BF3CDE">
              <w:rPr>
                <w:rFonts w:ascii="Verdana" w:hAnsi="Verdana" w:cs="Tahoma"/>
                <w:noProof/>
                <w:lang w:val="sr-Cyrl-CS"/>
              </w:rPr>
              <w:t>28</w:t>
            </w:r>
          </w:p>
        </w:tc>
        <w:tc>
          <w:tcPr>
            <w:tcW w:w="1327" w:type="dxa"/>
          </w:tcPr>
          <w:p w14:paraId="49C2A6DC" w14:textId="77777777" w:rsidR="006C0D6C" w:rsidRPr="00BF3CDE" w:rsidRDefault="006C0D6C" w:rsidP="006C0D6C">
            <w:pPr>
              <w:widowControl w:val="0"/>
              <w:jc w:val="center"/>
              <w:rPr>
                <w:rFonts w:ascii="Verdana" w:hAnsi="Verdana" w:cs="Tahoma"/>
                <w:noProof/>
                <w:lang w:val="sr-Cyrl-CS"/>
              </w:rPr>
            </w:pPr>
            <w:r w:rsidRPr="00BF3CDE">
              <w:rPr>
                <w:rFonts w:ascii="Verdana" w:hAnsi="Verdana" w:cs="Tahoma"/>
                <w:noProof/>
                <w:lang w:val="sr-Cyrl-CS"/>
              </w:rPr>
              <w:t>28</w:t>
            </w:r>
          </w:p>
        </w:tc>
        <w:tc>
          <w:tcPr>
            <w:tcW w:w="1327" w:type="dxa"/>
          </w:tcPr>
          <w:p w14:paraId="4B882AA0" w14:textId="77777777" w:rsidR="006C0D6C" w:rsidRPr="00BF3CDE" w:rsidRDefault="006C0D6C" w:rsidP="006C0D6C">
            <w:pPr>
              <w:widowControl w:val="0"/>
              <w:jc w:val="center"/>
              <w:rPr>
                <w:rFonts w:ascii="Verdana" w:hAnsi="Verdana" w:cs="Tahoma"/>
                <w:noProof/>
                <w:lang w:val="sr-Cyrl-CS"/>
              </w:rPr>
            </w:pPr>
            <w:r w:rsidRPr="00BF3CDE">
              <w:rPr>
                <w:rFonts w:ascii="Verdana" w:hAnsi="Verdana" w:cs="Tahoma"/>
                <w:noProof/>
                <w:lang w:val="sr-Cyrl-CS"/>
              </w:rPr>
              <w:t>28</w:t>
            </w:r>
          </w:p>
        </w:tc>
        <w:tc>
          <w:tcPr>
            <w:tcW w:w="1327" w:type="dxa"/>
          </w:tcPr>
          <w:p w14:paraId="41D81AC2" w14:textId="77777777" w:rsidR="006C0D6C" w:rsidRPr="00BF3CDE" w:rsidRDefault="006C0D6C" w:rsidP="006C0D6C">
            <w:pPr>
              <w:widowControl w:val="0"/>
              <w:jc w:val="center"/>
              <w:rPr>
                <w:rFonts w:ascii="Verdana" w:hAnsi="Verdana" w:cs="Tahoma"/>
                <w:noProof/>
                <w:lang w:val="sr-Cyrl-CS"/>
              </w:rPr>
            </w:pPr>
            <w:r w:rsidRPr="00BF3CDE">
              <w:rPr>
                <w:rFonts w:ascii="Verdana" w:hAnsi="Verdana" w:cs="Tahoma"/>
                <w:noProof/>
                <w:lang w:val="sr-Cyrl-CS"/>
              </w:rPr>
              <w:t>16</w:t>
            </w:r>
          </w:p>
        </w:tc>
      </w:tr>
    </w:tbl>
    <w:p w14:paraId="58989FCF" w14:textId="77777777" w:rsidR="006C0D6C" w:rsidRPr="00BF3CDE" w:rsidRDefault="006C0D6C" w:rsidP="00655CD0">
      <w:pPr>
        <w:pStyle w:val="Heading1"/>
        <w:numPr>
          <w:ilvl w:val="1"/>
          <w:numId w:val="6"/>
        </w:numPr>
        <w:spacing w:before="240" w:after="120"/>
        <w:jc w:val="left"/>
        <w:rPr>
          <w:rFonts w:asciiTheme="majorHAnsi" w:hAnsiTheme="majorHAnsi" w:cs="Tahoma"/>
          <w:i/>
          <w:noProof/>
          <w:color w:val="4F81BD"/>
          <w:sz w:val="22"/>
          <w:szCs w:val="18"/>
          <w:lang w:val="sr-Cyrl-CS"/>
        </w:rPr>
      </w:pPr>
      <w:bookmarkStart w:id="9" w:name="_Toc319489025"/>
      <w:bookmarkStart w:id="10" w:name="_Toc414356801"/>
      <w:r w:rsidRPr="00BF3CDE">
        <w:rPr>
          <w:rFonts w:asciiTheme="majorHAnsi" w:hAnsiTheme="majorHAnsi" w:cs="Tahoma"/>
          <w:i/>
          <w:noProof/>
          <w:color w:val="4F81BD"/>
          <w:sz w:val="22"/>
          <w:szCs w:val="18"/>
          <w:lang w:val="sr-Cyrl-CS"/>
        </w:rPr>
        <w:t>МАКСИМАЛНИ САМОПРИДРЖАЈ ДРУШТВА</w:t>
      </w:r>
      <w:bookmarkEnd w:id="9"/>
      <w:bookmarkEnd w:id="10"/>
    </w:p>
    <w:p w14:paraId="7237AE66" w14:textId="77777777" w:rsidR="006C0D6C" w:rsidRPr="00BF3CDE" w:rsidRDefault="006C0D6C" w:rsidP="00740812">
      <w:pPr>
        <w:spacing w:after="80"/>
        <w:ind w:firstLine="567"/>
        <w:jc w:val="both"/>
        <w:rPr>
          <w:rStyle w:val="Hyperlink"/>
          <w:noProof/>
          <w:color w:val="auto"/>
          <w:sz w:val="20"/>
          <w:szCs w:val="20"/>
          <w:lang w:val="sr-Cyrl-CS"/>
        </w:rPr>
      </w:pPr>
      <w:r w:rsidRPr="00BF3CDE">
        <w:rPr>
          <w:rStyle w:val="Hyperlink"/>
          <w:noProof/>
          <w:color w:val="auto"/>
          <w:sz w:val="20"/>
          <w:szCs w:val="20"/>
          <w:lang w:val="sr-Cyrl-CS"/>
        </w:rPr>
        <w:t xml:space="preserve">Максимални самопридржај Друштва према Табели максималног самопридржаја за 2014. годину износио је 165.000.000 динара за неживотнa осигурања и остао је непромењен у односу на 2013. годину.  </w:t>
      </w:r>
    </w:p>
    <w:p w14:paraId="5D2A75F7" w14:textId="77777777" w:rsidR="006C0D6C" w:rsidRPr="00BF3CDE" w:rsidRDefault="006C0D6C" w:rsidP="00740812">
      <w:pPr>
        <w:spacing w:after="60"/>
        <w:ind w:firstLine="567"/>
        <w:jc w:val="both"/>
        <w:rPr>
          <w:rStyle w:val="Hyperlink"/>
          <w:noProof/>
          <w:color w:val="auto"/>
          <w:sz w:val="20"/>
          <w:szCs w:val="20"/>
          <w:lang w:val="sr-Cyrl-CS"/>
        </w:rPr>
      </w:pPr>
      <w:r w:rsidRPr="00BF3CDE">
        <w:rPr>
          <w:rStyle w:val="Hyperlink"/>
          <w:noProof/>
          <w:color w:val="auto"/>
          <w:sz w:val="20"/>
          <w:szCs w:val="20"/>
          <w:lang w:val="sr-Cyrl-CS"/>
        </w:rPr>
        <w:t xml:space="preserve">За животна осигурања према Табели максималног самопридржаја за 2014. годину износио је: РСД 3.180.000, CHF 36.000, USD 40.000 и ЕУР 40.000 и остао је непромењен у односу на 2013. годину.  </w:t>
      </w:r>
    </w:p>
    <w:p w14:paraId="40FC68C3" w14:textId="77777777" w:rsidR="006C0D6C" w:rsidRPr="00BF3CDE" w:rsidRDefault="006C0D6C" w:rsidP="006C0D6C">
      <w:pPr>
        <w:pStyle w:val="NoSpacing"/>
        <w:jc w:val="both"/>
        <w:rPr>
          <w:rFonts w:cs="Tahoma"/>
          <w:noProof/>
          <w:sz w:val="2"/>
          <w:szCs w:val="2"/>
          <w:lang w:val="sr-Cyrl-CS"/>
        </w:rPr>
      </w:pPr>
    </w:p>
    <w:p w14:paraId="2E4BC720" w14:textId="77777777" w:rsidR="006C0D6C" w:rsidRPr="00BF3CDE" w:rsidRDefault="006C0D6C" w:rsidP="006C0D6C">
      <w:pPr>
        <w:spacing w:after="0"/>
        <w:ind w:right="-142"/>
        <w:jc w:val="center"/>
        <w:rPr>
          <w:rFonts w:ascii="Verdana" w:hAnsi="Verdana" w:cs="Tahoma"/>
          <w:b/>
          <w:i/>
          <w:noProof/>
          <w:sz w:val="20"/>
          <w:szCs w:val="20"/>
          <w:bdr w:val="none" w:sz="0" w:space="0" w:color="auto" w:frame="1"/>
          <w:lang w:val="sr-Cyrl-CS"/>
        </w:rPr>
      </w:pPr>
      <w:r w:rsidRPr="00BF3CDE">
        <w:rPr>
          <w:rFonts w:ascii="Verdana" w:hAnsi="Verdana" w:cs="Tahoma"/>
          <w:b/>
          <w:i/>
          <w:noProof/>
          <w:sz w:val="20"/>
          <w:szCs w:val="20"/>
          <w:bdr w:val="none" w:sz="0" w:space="0" w:color="auto" w:frame="1"/>
          <w:lang w:val="sr-Cyrl-CS"/>
        </w:rPr>
        <w:t>Максимални самопридржај Друштва</w:t>
      </w:r>
      <w:r w:rsidR="00740812" w:rsidRPr="00BF3CDE">
        <w:rPr>
          <w:rFonts w:ascii="Verdana" w:hAnsi="Verdana" w:cs="Tahoma"/>
          <w:b/>
          <w:i/>
          <w:noProof/>
          <w:sz w:val="20"/>
          <w:szCs w:val="20"/>
          <w:bdr w:val="none" w:sz="0" w:space="0" w:color="auto" w:frame="1"/>
          <w:lang w:val="sr-Cyrl-CS"/>
        </w:rPr>
        <w:t xml:space="preserve"> </w:t>
      </w:r>
      <w:r w:rsidRPr="00BF3CDE">
        <w:rPr>
          <w:rFonts w:ascii="Verdana" w:hAnsi="Verdana" w:cs="Tahoma"/>
          <w:b/>
          <w:i/>
          <w:noProof/>
          <w:sz w:val="20"/>
          <w:szCs w:val="20"/>
          <w:bdr w:val="none" w:sz="0" w:space="0" w:color="auto" w:frame="1"/>
          <w:lang w:val="sr-Cyrl-CS"/>
        </w:rPr>
        <w:t>за неживотна осигурања</w:t>
      </w:r>
    </w:p>
    <w:p w14:paraId="2C22D8A3" w14:textId="77777777" w:rsidR="006C0D6C" w:rsidRPr="00BF3CDE" w:rsidRDefault="006C0D6C" w:rsidP="00740812">
      <w:pPr>
        <w:spacing w:after="0"/>
        <w:ind w:firstLine="6"/>
        <w:jc w:val="right"/>
        <w:rPr>
          <w:rFonts w:ascii="Verdana" w:hAnsi="Verdana" w:cs="Tahoma"/>
          <w:noProof/>
          <w:color w:val="000000"/>
          <w:sz w:val="20"/>
          <w:szCs w:val="20"/>
          <w:lang w:val="sr-Cyrl-CS"/>
        </w:rPr>
      </w:pPr>
      <w:r w:rsidRPr="00BF3CDE">
        <w:rPr>
          <w:rFonts w:ascii="Verdana" w:hAnsi="Verdana" w:cs="Tahoma"/>
          <w:noProof/>
          <w:color w:val="000000"/>
          <w:sz w:val="20"/>
          <w:szCs w:val="20"/>
          <w:lang w:val="sr-Cyrl-CS"/>
        </w:rPr>
        <w:t>у хиљадама динара</w:t>
      </w:r>
    </w:p>
    <w:tbl>
      <w:tblPr>
        <w:tblStyle w:val="MediumList1-Accent11"/>
        <w:tblW w:w="9288" w:type="dxa"/>
        <w:tblLayout w:type="fixed"/>
        <w:tblLook w:val="0420" w:firstRow="1" w:lastRow="0" w:firstColumn="0" w:lastColumn="0" w:noHBand="0" w:noVBand="1"/>
      </w:tblPr>
      <w:tblGrid>
        <w:gridCol w:w="1326"/>
        <w:gridCol w:w="1327"/>
        <w:gridCol w:w="1327"/>
        <w:gridCol w:w="1327"/>
        <w:gridCol w:w="1327"/>
        <w:gridCol w:w="1327"/>
        <w:gridCol w:w="1327"/>
      </w:tblGrid>
      <w:tr w:rsidR="006C0D6C" w:rsidRPr="00BF3CDE" w14:paraId="69E1F38D" w14:textId="77777777" w:rsidTr="006C0D6C">
        <w:trPr>
          <w:cnfStyle w:val="100000000000" w:firstRow="1" w:lastRow="0" w:firstColumn="0" w:lastColumn="0" w:oddVBand="0" w:evenVBand="0" w:oddHBand="0" w:evenHBand="0" w:firstRowFirstColumn="0" w:firstRowLastColumn="0" w:lastRowFirstColumn="0" w:lastRowLastColumn="0"/>
          <w:trHeight w:val="210"/>
        </w:trPr>
        <w:tc>
          <w:tcPr>
            <w:tcW w:w="1326" w:type="dxa"/>
          </w:tcPr>
          <w:p w14:paraId="4FDDC007"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2008</w:t>
            </w:r>
          </w:p>
        </w:tc>
        <w:tc>
          <w:tcPr>
            <w:tcW w:w="1327" w:type="dxa"/>
          </w:tcPr>
          <w:p w14:paraId="091CAC15"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2009</w:t>
            </w:r>
          </w:p>
        </w:tc>
        <w:tc>
          <w:tcPr>
            <w:tcW w:w="1327" w:type="dxa"/>
          </w:tcPr>
          <w:p w14:paraId="2C024572"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2010</w:t>
            </w:r>
          </w:p>
        </w:tc>
        <w:tc>
          <w:tcPr>
            <w:tcW w:w="1327" w:type="dxa"/>
          </w:tcPr>
          <w:p w14:paraId="6E2EF982"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2011</w:t>
            </w:r>
          </w:p>
        </w:tc>
        <w:tc>
          <w:tcPr>
            <w:tcW w:w="1327" w:type="dxa"/>
          </w:tcPr>
          <w:p w14:paraId="1B26DAED"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2012</w:t>
            </w:r>
          </w:p>
        </w:tc>
        <w:tc>
          <w:tcPr>
            <w:tcW w:w="1327" w:type="dxa"/>
          </w:tcPr>
          <w:p w14:paraId="3CA982C0"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2013</w:t>
            </w:r>
          </w:p>
        </w:tc>
        <w:tc>
          <w:tcPr>
            <w:tcW w:w="1327" w:type="dxa"/>
          </w:tcPr>
          <w:p w14:paraId="4E09D29F"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2014</w:t>
            </w:r>
          </w:p>
        </w:tc>
      </w:tr>
      <w:tr w:rsidR="006C0D6C" w:rsidRPr="00BF3CDE" w14:paraId="4505D311" w14:textId="77777777" w:rsidTr="006C0D6C">
        <w:trPr>
          <w:cnfStyle w:val="000000100000" w:firstRow="0" w:lastRow="0" w:firstColumn="0" w:lastColumn="0" w:oddVBand="0" w:evenVBand="0" w:oddHBand="1" w:evenHBand="0" w:firstRowFirstColumn="0" w:firstRowLastColumn="0" w:lastRowFirstColumn="0" w:lastRowLastColumn="0"/>
          <w:trHeight w:val="233"/>
        </w:trPr>
        <w:tc>
          <w:tcPr>
            <w:tcW w:w="1326" w:type="dxa"/>
          </w:tcPr>
          <w:p w14:paraId="1C49679A"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120.000</w:t>
            </w:r>
          </w:p>
        </w:tc>
        <w:tc>
          <w:tcPr>
            <w:tcW w:w="1327" w:type="dxa"/>
          </w:tcPr>
          <w:p w14:paraId="471850B1"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120.000</w:t>
            </w:r>
          </w:p>
        </w:tc>
        <w:tc>
          <w:tcPr>
            <w:tcW w:w="1327" w:type="dxa"/>
          </w:tcPr>
          <w:p w14:paraId="0ADC76AA"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120.000</w:t>
            </w:r>
          </w:p>
        </w:tc>
        <w:tc>
          <w:tcPr>
            <w:tcW w:w="1327" w:type="dxa"/>
          </w:tcPr>
          <w:p w14:paraId="46C0FB80"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165.000</w:t>
            </w:r>
          </w:p>
        </w:tc>
        <w:tc>
          <w:tcPr>
            <w:tcW w:w="1327" w:type="dxa"/>
          </w:tcPr>
          <w:p w14:paraId="747D29A0"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165.000</w:t>
            </w:r>
          </w:p>
        </w:tc>
        <w:tc>
          <w:tcPr>
            <w:tcW w:w="1327" w:type="dxa"/>
          </w:tcPr>
          <w:p w14:paraId="00B2CDF3"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165.000</w:t>
            </w:r>
          </w:p>
        </w:tc>
        <w:tc>
          <w:tcPr>
            <w:tcW w:w="1327" w:type="dxa"/>
          </w:tcPr>
          <w:p w14:paraId="66938944"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165.000</w:t>
            </w:r>
          </w:p>
        </w:tc>
      </w:tr>
    </w:tbl>
    <w:p w14:paraId="0B7EFE8F" w14:textId="77777777" w:rsidR="006C0D6C" w:rsidRPr="00BF3CDE" w:rsidRDefault="006C0D6C" w:rsidP="006C0D6C">
      <w:pPr>
        <w:pStyle w:val="NoSpacing"/>
        <w:spacing w:before="120" w:after="120" w:line="276" w:lineRule="auto"/>
        <w:ind w:firstLine="567"/>
        <w:jc w:val="both"/>
        <w:rPr>
          <w:rStyle w:val="Hyperlink"/>
          <w:rFonts w:eastAsiaTheme="minorHAnsi"/>
          <w:noProof/>
          <w:color w:val="auto"/>
          <w:sz w:val="20"/>
          <w:szCs w:val="20"/>
          <w:lang w:val="sr-Cyrl-CS" w:eastAsia="en-US"/>
        </w:rPr>
      </w:pPr>
      <w:r w:rsidRPr="00BF3CDE">
        <w:rPr>
          <w:rStyle w:val="Hyperlink"/>
          <w:rFonts w:eastAsiaTheme="minorHAnsi"/>
          <w:noProof/>
          <w:color w:val="auto"/>
          <w:sz w:val="20"/>
          <w:szCs w:val="20"/>
          <w:lang w:val="sr-Cyrl-CS" w:eastAsia="en-US"/>
        </w:rPr>
        <w:t>У циљу заштите самопридржаја, Друштво је кроз реосигурање вишка штета по портфељу пожарних имовинских реосигурања, обезбедило заштиту од „шок“ штета. Структура овог покрића је Еур 1.250.000 у вишку изнад  Еур 250.000 са две пуне реконструкције. Поред наведеног, Друштво је вршило и хоризонталну ретроцесију ризика за послове пожарних имовинских реосигурања у висини 50%. Ретроцесија вишка ризика изнад максималног самопридржаја је вршена по свим врстама реосигурања.</w:t>
      </w:r>
    </w:p>
    <w:p w14:paraId="21F85D16" w14:textId="77777777" w:rsidR="006C0D6C" w:rsidRPr="00BF3CDE" w:rsidRDefault="006C0D6C" w:rsidP="00655CD0">
      <w:pPr>
        <w:pStyle w:val="Heading1"/>
        <w:numPr>
          <w:ilvl w:val="1"/>
          <w:numId w:val="6"/>
        </w:numPr>
        <w:spacing w:before="240" w:after="240"/>
        <w:jc w:val="left"/>
        <w:rPr>
          <w:rFonts w:asciiTheme="majorHAnsi" w:hAnsiTheme="majorHAnsi" w:cs="Tahoma"/>
          <w:i/>
          <w:noProof/>
          <w:color w:val="4F81BD"/>
          <w:sz w:val="22"/>
          <w:szCs w:val="18"/>
          <w:lang w:val="sr-Cyrl-CS"/>
        </w:rPr>
      </w:pPr>
      <w:bookmarkStart w:id="11" w:name="_Toc319489026"/>
      <w:bookmarkStart w:id="12" w:name="_Toc414356802"/>
      <w:r w:rsidRPr="00BF3CDE">
        <w:rPr>
          <w:rFonts w:asciiTheme="majorHAnsi" w:hAnsiTheme="majorHAnsi" w:cs="Tahoma"/>
          <w:i/>
          <w:noProof/>
          <w:color w:val="4F81BD"/>
          <w:sz w:val="22"/>
          <w:szCs w:val="18"/>
          <w:lang w:val="sr-Cyrl-CS"/>
        </w:rPr>
        <w:lastRenderedPageBreak/>
        <w:t>УГОВОРИ О РЕОСИГУРАЊУ</w:t>
      </w:r>
      <w:bookmarkEnd w:id="11"/>
      <w:bookmarkEnd w:id="12"/>
    </w:p>
    <w:p w14:paraId="5017E41E" w14:textId="77777777" w:rsidR="006C0D6C" w:rsidRPr="00BF3CDE" w:rsidRDefault="006C0D6C" w:rsidP="00740812">
      <w:pPr>
        <w:spacing w:after="60"/>
        <w:ind w:firstLine="567"/>
        <w:jc w:val="both"/>
        <w:rPr>
          <w:rStyle w:val="Hyperlink"/>
          <w:noProof/>
          <w:color w:val="auto"/>
          <w:sz w:val="20"/>
          <w:szCs w:val="20"/>
          <w:lang w:val="sr-Cyrl-CS"/>
        </w:rPr>
      </w:pPr>
      <w:r w:rsidRPr="00BF3CDE">
        <w:rPr>
          <w:rStyle w:val="Hyperlink"/>
          <w:noProof/>
          <w:color w:val="auto"/>
          <w:sz w:val="20"/>
          <w:szCs w:val="20"/>
          <w:lang w:val="sr-Cyrl-CS"/>
        </w:rPr>
        <w:t xml:space="preserve">Друштво је током 2014. године закључило 1.096 уговора о реосигурању, што је за 14% мање него у 2013. години. </w:t>
      </w:r>
    </w:p>
    <w:p w14:paraId="3F97258B" w14:textId="77777777" w:rsidR="006C0D6C" w:rsidRPr="00BF3CDE" w:rsidRDefault="006C0D6C" w:rsidP="00740812">
      <w:pPr>
        <w:spacing w:after="60"/>
        <w:ind w:right="-142"/>
        <w:jc w:val="center"/>
        <w:rPr>
          <w:rFonts w:ascii="Verdana" w:hAnsi="Verdana" w:cs="Tahoma"/>
          <w:b/>
          <w:noProof/>
          <w:sz w:val="20"/>
          <w:szCs w:val="20"/>
          <w:bdr w:val="none" w:sz="0" w:space="0" w:color="auto" w:frame="1"/>
          <w:lang w:val="sr-Cyrl-CS"/>
        </w:rPr>
      </w:pPr>
      <w:r w:rsidRPr="00BF3CDE">
        <w:rPr>
          <w:rFonts w:ascii="Verdana" w:hAnsi="Verdana" w:cs="Tahoma"/>
          <w:b/>
          <w:i/>
          <w:noProof/>
          <w:sz w:val="20"/>
          <w:szCs w:val="20"/>
          <w:bdr w:val="none" w:sz="0" w:space="0" w:color="auto" w:frame="1"/>
          <w:lang w:val="sr-Cyrl-CS"/>
        </w:rPr>
        <w:t>Број закључених уговора</w:t>
      </w:r>
    </w:p>
    <w:tbl>
      <w:tblPr>
        <w:tblStyle w:val="MediumList1-Accent11"/>
        <w:tblW w:w="9288" w:type="dxa"/>
        <w:tblLayout w:type="fixed"/>
        <w:tblLook w:val="0420" w:firstRow="1" w:lastRow="0" w:firstColumn="0" w:lastColumn="0" w:noHBand="0" w:noVBand="1"/>
      </w:tblPr>
      <w:tblGrid>
        <w:gridCol w:w="1326"/>
        <w:gridCol w:w="1327"/>
        <w:gridCol w:w="1327"/>
        <w:gridCol w:w="1327"/>
        <w:gridCol w:w="1327"/>
        <w:gridCol w:w="1327"/>
        <w:gridCol w:w="1327"/>
      </w:tblGrid>
      <w:tr w:rsidR="006C0D6C" w:rsidRPr="00BF3CDE" w14:paraId="47BC4115" w14:textId="77777777" w:rsidTr="006C0D6C">
        <w:trPr>
          <w:cnfStyle w:val="100000000000" w:firstRow="1" w:lastRow="0" w:firstColumn="0" w:lastColumn="0" w:oddVBand="0" w:evenVBand="0" w:oddHBand="0" w:evenHBand="0" w:firstRowFirstColumn="0" w:firstRowLastColumn="0" w:lastRowFirstColumn="0" w:lastRowLastColumn="0"/>
          <w:trHeight w:val="128"/>
        </w:trPr>
        <w:tc>
          <w:tcPr>
            <w:tcW w:w="1326" w:type="dxa"/>
          </w:tcPr>
          <w:p w14:paraId="24882CC0"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2008</w:t>
            </w:r>
          </w:p>
        </w:tc>
        <w:tc>
          <w:tcPr>
            <w:tcW w:w="1327" w:type="dxa"/>
          </w:tcPr>
          <w:p w14:paraId="172980C4"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2009</w:t>
            </w:r>
          </w:p>
        </w:tc>
        <w:tc>
          <w:tcPr>
            <w:tcW w:w="1327" w:type="dxa"/>
          </w:tcPr>
          <w:p w14:paraId="2E3DAFD4"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2010</w:t>
            </w:r>
          </w:p>
        </w:tc>
        <w:tc>
          <w:tcPr>
            <w:tcW w:w="1327" w:type="dxa"/>
          </w:tcPr>
          <w:p w14:paraId="0F8F1C94"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2011</w:t>
            </w:r>
          </w:p>
        </w:tc>
        <w:tc>
          <w:tcPr>
            <w:tcW w:w="1327" w:type="dxa"/>
          </w:tcPr>
          <w:p w14:paraId="004814F7"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2012</w:t>
            </w:r>
          </w:p>
        </w:tc>
        <w:tc>
          <w:tcPr>
            <w:tcW w:w="1327" w:type="dxa"/>
          </w:tcPr>
          <w:p w14:paraId="6858E7DF"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2013</w:t>
            </w:r>
          </w:p>
        </w:tc>
        <w:tc>
          <w:tcPr>
            <w:tcW w:w="1327" w:type="dxa"/>
          </w:tcPr>
          <w:p w14:paraId="35C4534B"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2014</w:t>
            </w:r>
          </w:p>
        </w:tc>
      </w:tr>
      <w:tr w:rsidR="006C0D6C" w:rsidRPr="00BF3CDE" w14:paraId="6DFA482C" w14:textId="77777777" w:rsidTr="006C0D6C">
        <w:trPr>
          <w:cnfStyle w:val="000000100000" w:firstRow="0" w:lastRow="0" w:firstColumn="0" w:lastColumn="0" w:oddVBand="0" w:evenVBand="0" w:oddHBand="1" w:evenHBand="0" w:firstRowFirstColumn="0" w:firstRowLastColumn="0" w:lastRowFirstColumn="0" w:lastRowLastColumn="0"/>
          <w:trHeight w:val="295"/>
        </w:trPr>
        <w:tc>
          <w:tcPr>
            <w:tcW w:w="1326" w:type="dxa"/>
          </w:tcPr>
          <w:p w14:paraId="1C199E7E" w14:textId="77777777" w:rsidR="006C0D6C" w:rsidRPr="00BF3CDE" w:rsidRDefault="006C0D6C" w:rsidP="006C0D6C">
            <w:pPr>
              <w:widowControl w:val="0"/>
              <w:jc w:val="center"/>
              <w:rPr>
                <w:rFonts w:ascii="Verdana" w:hAnsi="Verdana" w:cs="Tahoma"/>
                <w:noProof/>
                <w:lang w:val="sr-Cyrl-CS"/>
              </w:rPr>
            </w:pPr>
            <w:r w:rsidRPr="00BF3CDE">
              <w:rPr>
                <w:rFonts w:ascii="Verdana" w:hAnsi="Verdana" w:cs="Tahoma"/>
                <w:noProof/>
                <w:lang w:val="sr-Cyrl-CS"/>
              </w:rPr>
              <w:t>712</w:t>
            </w:r>
          </w:p>
        </w:tc>
        <w:tc>
          <w:tcPr>
            <w:tcW w:w="1327" w:type="dxa"/>
          </w:tcPr>
          <w:p w14:paraId="1DE215C7" w14:textId="77777777" w:rsidR="006C0D6C" w:rsidRPr="00BF3CDE" w:rsidRDefault="006C0D6C" w:rsidP="006C0D6C">
            <w:pPr>
              <w:widowControl w:val="0"/>
              <w:jc w:val="center"/>
              <w:rPr>
                <w:rFonts w:ascii="Verdana" w:hAnsi="Verdana" w:cs="Tahoma"/>
                <w:noProof/>
                <w:lang w:val="sr-Cyrl-CS"/>
              </w:rPr>
            </w:pPr>
            <w:r w:rsidRPr="00BF3CDE">
              <w:rPr>
                <w:rFonts w:ascii="Verdana" w:hAnsi="Verdana" w:cs="Tahoma"/>
                <w:noProof/>
                <w:lang w:val="sr-Cyrl-CS"/>
              </w:rPr>
              <w:t>603</w:t>
            </w:r>
          </w:p>
        </w:tc>
        <w:tc>
          <w:tcPr>
            <w:tcW w:w="1327" w:type="dxa"/>
          </w:tcPr>
          <w:p w14:paraId="056A2A25" w14:textId="77777777" w:rsidR="006C0D6C" w:rsidRPr="00BF3CDE" w:rsidRDefault="006C0D6C" w:rsidP="006C0D6C">
            <w:pPr>
              <w:widowControl w:val="0"/>
              <w:jc w:val="center"/>
              <w:rPr>
                <w:rFonts w:ascii="Verdana" w:hAnsi="Verdana" w:cs="Tahoma"/>
                <w:noProof/>
                <w:lang w:val="sr-Cyrl-CS"/>
              </w:rPr>
            </w:pPr>
            <w:r w:rsidRPr="00BF3CDE">
              <w:rPr>
                <w:rFonts w:ascii="Verdana" w:hAnsi="Verdana" w:cs="Tahoma"/>
                <w:noProof/>
                <w:lang w:val="sr-Cyrl-CS"/>
              </w:rPr>
              <w:t>783</w:t>
            </w:r>
          </w:p>
        </w:tc>
        <w:tc>
          <w:tcPr>
            <w:tcW w:w="1327" w:type="dxa"/>
          </w:tcPr>
          <w:p w14:paraId="54DF7F6B" w14:textId="77777777" w:rsidR="006C0D6C" w:rsidRPr="00BF3CDE" w:rsidRDefault="006C0D6C" w:rsidP="006C0D6C">
            <w:pPr>
              <w:widowControl w:val="0"/>
              <w:jc w:val="center"/>
              <w:rPr>
                <w:rFonts w:ascii="Verdana" w:hAnsi="Verdana" w:cs="Tahoma"/>
                <w:noProof/>
                <w:lang w:val="sr-Cyrl-CS"/>
              </w:rPr>
            </w:pPr>
            <w:r w:rsidRPr="00BF3CDE">
              <w:rPr>
                <w:rFonts w:ascii="Verdana" w:hAnsi="Verdana" w:cs="Tahoma"/>
                <w:noProof/>
                <w:lang w:val="sr-Cyrl-CS"/>
              </w:rPr>
              <w:t>1.028</w:t>
            </w:r>
          </w:p>
        </w:tc>
        <w:tc>
          <w:tcPr>
            <w:tcW w:w="1327" w:type="dxa"/>
          </w:tcPr>
          <w:p w14:paraId="1D280BA2" w14:textId="77777777" w:rsidR="006C0D6C" w:rsidRPr="00BF3CDE" w:rsidRDefault="006C0D6C" w:rsidP="006C0D6C">
            <w:pPr>
              <w:widowControl w:val="0"/>
              <w:jc w:val="center"/>
              <w:rPr>
                <w:rFonts w:ascii="Verdana" w:hAnsi="Verdana" w:cs="Tahoma"/>
                <w:noProof/>
                <w:lang w:val="sr-Cyrl-CS"/>
              </w:rPr>
            </w:pPr>
            <w:r w:rsidRPr="00BF3CDE">
              <w:rPr>
                <w:rFonts w:ascii="Verdana" w:hAnsi="Verdana" w:cs="Tahoma"/>
                <w:noProof/>
                <w:lang w:val="sr-Cyrl-CS"/>
              </w:rPr>
              <w:t>1.135</w:t>
            </w:r>
          </w:p>
        </w:tc>
        <w:tc>
          <w:tcPr>
            <w:tcW w:w="1327" w:type="dxa"/>
          </w:tcPr>
          <w:p w14:paraId="2452FE93" w14:textId="77777777" w:rsidR="006C0D6C" w:rsidRPr="00BF3CDE" w:rsidRDefault="006C0D6C" w:rsidP="006C0D6C">
            <w:pPr>
              <w:widowControl w:val="0"/>
              <w:jc w:val="center"/>
              <w:rPr>
                <w:rFonts w:ascii="Verdana" w:hAnsi="Verdana" w:cs="Tahoma"/>
                <w:noProof/>
                <w:lang w:val="sr-Cyrl-CS"/>
              </w:rPr>
            </w:pPr>
            <w:r w:rsidRPr="00BF3CDE">
              <w:rPr>
                <w:rFonts w:ascii="Verdana" w:hAnsi="Verdana" w:cs="Tahoma"/>
                <w:noProof/>
                <w:lang w:val="sr-Cyrl-CS"/>
              </w:rPr>
              <w:t>1.276</w:t>
            </w:r>
          </w:p>
        </w:tc>
        <w:tc>
          <w:tcPr>
            <w:tcW w:w="1327" w:type="dxa"/>
          </w:tcPr>
          <w:p w14:paraId="1EFD1423" w14:textId="77777777" w:rsidR="006C0D6C" w:rsidRPr="00BF3CDE" w:rsidRDefault="006C0D6C" w:rsidP="006C0D6C">
            <w:pPr>
              <w:widowControl w:val="0"/>
              <w:jc w:val="center"/>
              <w:rPr>
                <w:rFonts w:ascii="Verdana" w:hAnsi="Verdana" w:cs="Tahoma"/>
                <w:noProof/>
                <w:lang w:val="sr-Cyrl-CS"/>
              </w:rPr>
            </w:pPr>
            <w:r w:rsidRPr="00BF3CDE">
              <w:rPr>
                <w:rFonts w:ascii="Verdana" w:hAnsi="Verdana" w:cs="Tahoma"/>
                <w:noProof/>
                <w:lang w:val="sr-Cyrl-CS"/>
              </w:rPr>
              <w:t>1.096</w:t>
            </w:r>
          </w:p>
        </w:tc>
      </w:tr>
    </w:tbl>
    <w:p w14:paraId="35AFA86F" w14:textId="77777777" w:rsidR="006C0D6C" w:rsidRPr="00BF3CDE" w:rsidRDefault="006C0D6C" w:rsidP="00740812">
      <w:pPr>
        <w:spacing w:after="120"/>
        <w:jc w:val="center"/>
        <w:rPr>
          <w:noProof/>
          <w:lang w:val="sr-Cyrl-CS"/>
        </w:rPr>
      </w:pPr>
      <w:r w:rsidRPr="00BF3CDE">
        <w:rPr>
          <w:noProof/>
          <w:lang w:val="sr-Latn-RS" w:eastAsia="sr-Latn-RS"/>
        </w:rPr>
        <w:drawing>
          <wp:inline distT="0" distB="0" distL="0" distR="0" wp14:anchorId="07F50597" wp14:editId="5DE4299A">
            <wp:extent cx="4210050" cy="2522526"/>
            <wp:effectExtent l="0" t="0" r="0" b="0"/>
            <wp:docPr id="676" name="Picture 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13252" cy="2524444"/>
                    </a:xfrm>
                    <a:prstGeom prst="rect">
                      <a:avLst/>
                    </a:prstGeom>
                    <a:noFill/>
                  </pic:spPr>
                </pic:pic>
              </a:graphicData>
            </a:graphic>
          </wp:inline>
        </w:drawing>
      </w:r>
    </w:p>
    <w:p w14:paraId="2EDD8C42" w14:textId="77777777" w:rsidR="006C0D6C" w:rsidRPr="00BF3CDE" w:rsidRDefault="006C0D6C" w:rsidP="00655CD0">
      <w:pPr>
        <w:pStyle w:val="Heading1"/>
        <w:numPr>
          <w:ilvl w:val="1"/>
          <w:numId w:val="6"/>
        </w:numPr>
        <w:spacing w:before="240" w:after="240"/>
        <w:jc w:val="left"/>
        <w:rPr>
          <w:rFonts w:asciiTheme="majorHAnsi" w:hAnsiTheme="majorHAnsi" w:cs="Tahoma"/>
          <w:i/>
          <w:noProof/>
          <w:color w:val="4F81BD"/>
          <w:sz w:val="22"/>
          <w:szCs w:val="18"/>
          <w:lang w:val="sr-Cyrl-CS"/>
        </w:rPr>
      </w:pPr>
      <w:bookmarkStart w:id="13" w:name="_Toc414356803"/>
      <w:r w:rsidRPr="00BF3CDE">
        <w:rPr>
          <w:rFonts w:asciiTheme="majorHAnsi" w:hAnsiTheme="majorHAnsi" w:cs="Tahoma"/>
          <w:i/>
          <w:noProof/>
          <w:color w:val="4F81BD"/>
          <w:sz w:val="22"/>
          <w:szCs w:val="18"/>
          <w:lang w:val="sr-Cyrl-CS"/>
        </w:rPr>
        <w:t>АКТИВНА ПРЕМИЈА ДРУШТВА</w:t>
      </w:r>
      <w:bookmarkEnd w:id="13"/>
    </w:p>
    <w:p w14:paraId="045A82F7" w14:textId="77777777" w:rsidR="006C0D6C" w:rsidRPr="00BF3CDE" w:rsidRDefault="006C0D6C" w:rsidP="00740812">
      <w:pPr>
        <w:spacing w:after="60"/>
        <w:ind w:firstLine="567"/>
        <w:jc w:val="both"/>
        <w:rPr>
          <w:rStyle w:val="Hyperlink"/>
          <w:noProof/>
          <w:color w:val="auto"/>
          <w:sz w:val="20"/>
          <w:szCs w:val="20"/>
          <w:lang w:val="sr-Cyrl-CS"/>
        </w:rPr>
      </w:pPr>
      <w:r w:rsidRPr="00BF3CDE">
        <w:rPr>
          <w:rStyle w:val="Hyperlink"/>
          <w:noProof/>
          <w:color w:val="auto"/>
          <w:sz w:val="20"/>
          <w:szCs w:val="20"/>
          <w:lang w:val="sr-Cyrl-CS"/>
        </w:rPr>
        <w:t>Активна премија реосигурања остварена у периоду 01.01.2014. – 31.12.2014. године износи 2.324.890 хиљадa динара, што је за 12,85% мање у односу на исти период претходне године, док је у односу на планирану вредност за 2014. годину мање за 10,58%.</w:t>
      </w:r>
    </w:p>
    <w:p w14:paraId="1F5F000B" w14:textId="77777777" w:rsidR="006C0D6C" w:rsidRPr="00BF3CDE" w:rsidRDefault="006C0D6C" w:rsidP="00740812">
      <w:pPr>
        <w:spacing w:after="60"/>
        <w:ind w:firstLine="851"/>
        <w:jc w:val="both"/>
        <w:rPr>
          <w:noProof/>
          <w:sz w:val="20"/>
          <w:szCs w:val="20"/>
          <w:lang w:val="sr-Cyrl-CS"/>
        </w:rPr>
      </w:pPr>
      <w:r w:rsidRPr="00BF3CDE">
        <w:rPr>
          <w:noProof/>
          <w:sz w:val="20"/>
          <w:szCs w:val="20"/>
          <w:lang w:val="sr-Cyrl-CS"/>
        </w:rPr>
        <w:t>Највећи пад активне премије реосигурања о</w:t>
      </w:r>
      <w:r w:rsidRPr="00BF3CDE">
        <w:rPr>
          <w:rStyle w:val="Hyperlink"/>
          <w:noProof/>
          <w:color w:val="auto"/>
          <w:sz w:val="20"/>
          <w:szCs w:val="20"/>
          <w:lang w:val="sr-Cyrl-CS"/>
        </w:rPr>
        <w:t xml:space="preserve">стварене у периоду 01.01.2014 – 31.12.2014. године у односу на исти период претходне године </w:t>
      </w:r>
      <w:r w:rsidRPr="00BF3CDE">
        <w:rPr>
          <w:noProof/>
          <w:sz w:val="20"/>
          <w:szCs w:val="20"/>
          <w:lang w:val="sr-Cyrl-CS"/>
        </w:rPr>
        <w:t>забележен је у следећим врстама осигурања:</w:t>
      </w:r>
    </w:p>
    <w:p w14:paraId="1A917652" w14:textId="77777777" w:rsidR="006C0D6C" w:rsidRPr="00BF3CDE" w:rsidRDefault="006C0D6C" w:rsidP="00655CD0">
      <w:pPr>
        <w:numPr>
          <w:ilvl w:val="0"/>
          <w:numId w:val="15"/>
        </w:numPr>
        <w:spacing w:after="0"/>
        <w:ind w:left="993" w:hanging="284"/>
        <w:jc w:val="both"/>
        <w:rPr>
          <w:rStyle w:val="Hyperlink"/>
          <w:noProof/>
          <w:color w:val="auto"/>
          <w:sz w:val="20"/>
          <w:szCs w:val="20"/>
          <w:lang w:val="sr-Cyrl-CS"/>
        </w:rPr>
      </w:pPr>
      <w:r w:rsidRPr="00BF3CDE">
        <w:rPr>
          <w:b/>
          <w:noProof/>
          <w:sz w:val="20"/>
          <w:szCs w:val="20"/>
          <w:lang w:val="sr-Cyrl-CS"/>
        </w:rPr>
        <w:t>врста 08</w:t>
      </w:r>
      <w:r w:rsidRPr="00BF3CDE">
        <w:rPr>
          <w:noProof/>
          <w:sz w:val="20"/>
          <w:szCs w:val="20"/>
          <w:lang w:val="sr-Cyrl-CS"/>
        </w:rPr>
        <w:t xml:space="preserve"> –</w:t>
      </w:r>
      <w:r w:rsidRPr="00BF3CDE">
        <w:rPr>
          <w:rStyle w:val="Hyperlink"/>
          <w:noProof/>
          <w:color w:val="auto"/>
          <w:sz w:val="20"/>
          <w:szCs w:val="20"/>
          <w:lang w:val="sr-Cyrl-CS"/>
        </w:rPr>
        <w:t xml:space="preserve"> осигурање имовине од пожара и других опасности</w:t>
      </w:r>
      <w:r w:rsidRPr="00BF3CDE">
        <w:rPr>
          <w:noProof/>
          <w:sz w:val="20"/>
          <w:szCs w:val="20"/>
          <w:lang w:val="sr-Cyrl-CS"/>
        </w:rPr>
        <w:t xml:space="preserve">, </w:t>
      </w:r>
      <w:r w:rsidRPr="00BF3CDE">
        <w:rPr>
          <w:rStyle w:val="Hyperlink"/>
          <w:noProof/>
          <w:color w:val="auto"/>
          <w:sz w:val="20"/>
          <w:szCs w:val="20"/>
          <w:lang w:val="sr-Cyrl-CS"/>
        </w:rPr>
        <w:t>где пад активне премије износи 278.462 хиљаде динара, односно 32,23%;</w:t>
      </w:r>
    </w:p>
    <w:p w14:paraId="5974F6D6" w14:textId="77777777" w:rsidR="006C0D6C" w:rsidRPr="00BF3CDE" w:rsidRDefault="006C0D6C" w:rsidP="006C0D6C">
      <w:pPr>
        <w:spacing w:after="0"/>
        <w:ind w:left="720"/>
        <w:jc w:val="both"/>
        <w:rPr>
          <w:noProof/>
          <w:sz w:val="6"/>
          <w:szCs w:val="6"/>
          <w:highlight w:val="yellow"/>
          <w:lang w:val="sr-Cyrl-CS"/>
        </w:rPr>
      </w:pPr>
    </w:p>
    <w:p w14:paraId="772E61C8" w14:textId="77777777" w:rsidR="006C0D6C" w:rsidRPr="00BF3CDE" w:rsidRDefault="006C0D6C" w:rsidP="00655CD0">
      <w:pPr>
        <w:numPr>
          <w:ilvl w:val="0"/>
          <w:numId w:val="15"/>
        </w:numPr>
        <w:spacing w:after="0"/>
        <w:ind w:left="993" w:hanging="284"/>
        <w:jc w:val="both"/>
        <w:rPr>
          <w:rStyle w:val="Hyperlink"/>
          <w:noProof/>
          <w:color w:val="auto"/>
          <w:sz w:val="20"/>
          <w:szCs w:val="20"/>
          <w:lang w:val="sr-Cyrl-CS"/>
        </w:rPr>
      </w:pPr>
      <w:r w:rsidRPr="00BF3CDE">
        <w:rPr>
          <w:b/>
          <w:noProof/>
          <w:sz w:val="20"/>
          <w:szCs w:val="20"/>
          <w:lang w:val="sr-Cyrl-CS"/>
        </w:rPr>
        <w:t>врста 09</w:t>
      </w:r>
      <w:r w:rsidRPr="00BF3CDE">
        <w:rPr>
          <w:noProof/>
          <w:sz w:val="20"/>
          <w:szCs w:val="20"/>
          <w:lang w:val="sr-Cyrl-CS"/>
        </w:rPr>
        <w:t xml:space="preserve"> – остала осигурања имовине,</w:t>
      </w:r>
      <w:r w:rsidRPr="00BF3CDE">
        <w:rPr>
          <w:rStyle w:val="Hyperlink"/>
          <w:noProof/>
          <w:color w:val="auto"/>
          <w:sz w:val="20"/>
          <w:szCs w:val="20"/>
          <w:lang w:val="sr-Cyrl-CS"/>
        </w:rPr>
        <w:t xml:space="preserve"> где пад активне премије износи 80.206 хиљадa динара, односно 8,77%.</w:t>
      </w:r>
    </w:p>
    <w:p w14:paraId="496A2107" w14:textId="77777777" w:rsidR="006C0D6C" w:rsidRPr="00BF3CDE" w:rsidRDefault="006C0D6C" w:rsidP="006C0D6C">
      <w:pPr>
        <w:spacing w:after="0"/>
        <w:ind w:left="720"/>
        <w:jc w:val="both"/>
        <w:rPr>
          <w:rStyle w:val="Hyperlink"/>
          <w:noProof/>
          <w:color w:val="auto"/>
          <w:sz w:val="10"/>
          <w:szCs w:val="10"/>
          <w:highlight w:val="yellow"/>
          <w:lang w:val="sr-Cyrl-CS"/>
        </w:rPr>
      </w:pPr>
    </w:p>
    <w:p w14:paraId="0781EEA0" w14:textId="77777777" w:rsidR="006C0D6C" w:rsidRPr="00BF3CDE" w:rsidRDefault="006C0D6C" w:rsidP="00740812">
      <w:pPr>
        <w:spacing w:after="0"/>
        <w:ind w:firstLine="709"/>
        <w:jc w:val="both"/>
        <w:rPr>
          <w:rStyle w:val="Hyperlink"/>
          <w:noProof/>
          <w:color w:val="FF0000"/>
          <w:sz w:val="20"/>
          <w:szCs w:val="20"/>
          <w:lang w:val="sr-Cyrl-CS"/>
        </w:rPr>
      </w:pPr>
      <w:r w:rsidRPr="00BF3CDE">
        <w:rPr>
          <w:rStyle w:val="Hyperlink"/>
          <w:noProof/>
          <w:color w:val="auto"/>
          <w:sz w:val="20"/>
          <w:szCs w:val="20"/>
          <w:lang w:val="sr-Cyrl-CS"/>
        </w:rPr>
        <w:t>У</w:t>
      </w:r>
      <w:r w:rsidR="00740812" w:rsidRPr="00BF3CDE">
        <w:rPr>
          <w:rStyle w:val="Hyperlink"/>
          <w:noProof/>
          <w:color w:val="auto"/>
          <w:sz w:val="20"/>
          <w:szCs w:val="20"/>
          <w:lang w:val="sr-Cyrl-CS"/>
        </w:rPr>
        <w:t xml:space="preserve"> </w:t>
      </w:r>
      <w:r w:rsidRPr="00BF3CDE">
        <w:rPr>
          <w:rStyle w:val="Hyperlink"/>
          <w:noProof/>
          <w:color w:val="auto"/>
          <w:sz w:val="20"/>
          <w:szCs w:val="20"/>
          <w:lang w:val="sr-Cyrl-CS"/>
        </w:rPr>
        <w:t>врстама</w:t>
      </w:r>
      <w:r w:rsidR="00740812" w:rsidRPr="00BF3CDE">
        <w:rPr>
          <w:rStyle w:val="Hyperlink"/>
          <w:noProof/>
          <w:color w:val="auto"/>
          <w:sz w:val="20"/>
          <w:szCs w:val="20"/>
          <w:lang w:val="sr-Cyrl-CS"/>
        </w:rPr>
        <w:t xml:space="preserve"> </w:t>
      </w:r>
      <w:r w:rsidRPr="00BF3CDE">
        <w:rPr>
          <w:rStyle w:val="Hyperlink"/>
          <w:noProof/>
          <w:color w:val="auto"/>
          <w:sz w:val="20"/>
          <w:szCs w:val="20"/>
          <w:lang w:val="sr-Cyrl-CS"/>
        </w:rPr>
        <w:t>08</w:t>
      </w:r>
      <w:r w:rsidR="00740812" w:rsidRPr="00BF3CDE">
        <w:rPr>
          <w:rStyle w:val="Hyperlink"/>
          <w:noProof/>
          <w:color w:val="auto"/>
          <w:sz w:val="20"/>
          <w:szCs w:val="20"/>
          <w:lang w:val="sr-Cyrl-CS"/>
        </w:rPr>
        <w:t xml:space="preserve"> </w:t>
      </w:r>
      <w:r w:rsidRPr="00BF3CDE">
        <w:rPr>
          <w:rStyle w:val="Hyperlink"/>
          <w:noProof/>
          <w:color w:val="auto"/>
          <w:sz w:val="20"/>
          <w:szCs w:val="20"/>
          <w:lang w:val="sr-Cyrl-CS"/>
        </w:rPr>
        <w:t>и</w:t>
      </w:r>
      <w:r w:rsidR="00740812" w:rsidRPr="00BF3CDE">
        <w:rPr>
          <w:rStyle w:val="Hyperlink"/>
          <w:noProof/>
          <w:color w:val="auto"/>
          <w:sz w:val="20"/>
          <w:szCs w:val="20"/>
          <w:lang w:val="sr-Cyrl-CS"/>
        </w:rPr>
        <w:t xml:space="preserve"> </w:t>
      </w:r>
      <w:r w:rsidRPr="00BF3CDE">
        <w:rPr>
          <w:rStyle w:val="Hyperlink"/>
          <w:noProof/>
          <w:color w:val="auto"/>
          <w:sz w:val="20"/>
          <w:szCs w:val="20"/>
          <w:lang w:val="sr-Cyrl-CS"/>
        </w:rPr>
        <w:t>09</w:t>
      </w:r>
      <w:r w:rsidR="00740812" w:rsidRPr="00BF3CDE">
        <w:rPr>
          <w:rStyle w:val="Hyperlink"/>
          <w:noProof/>
          <w:color w:val="auto"/>
          <w:sz w:val="20"/>
          <w:szCs w:val="20"/>
          <w:lang w:val="sr-Cyrl-CS"/>
        </w:rPr>
        <w:t xml:space="preserve"> </w:t>
      </w:r>
      <w:r w:rsidRPr="00BF3CDE">
        <w:rPr>
          <w:rStyle w:val="Hyperlink"/>
          <w:noProof/>
          <w:color w:val="auto"/>
          <w:sz w:val="20"/>
          <w:szCs w:val="20"/>
          <w:lang w:val="sr-Cyrl-CS"/>
        </w:rPr>
        <w:t>пад</w:t>
      </w:r>
      <w:r w:rsidR="00740812" w:rsidRPr="00BF3CDE">
        <w:rPr>
          <w:rStyle w:val="Hyperlink"/>
          <w:noProof/>
          <w:color w:val="auto"/>
          <w:sz w:val="20"/>
          <w:szCs w:val="20"/>
          <w:lang w:val="sr-Cyrl-CS"/>
        </w:rPr>
        <w:t xml:space="preserve"> </w:t>
      </w:r>
      <w:r w:rsidRPr="00BF3CDE">
        <w:rPr>
          <w:rStyle w:val="Hyperlink"/>
          <w:noProof/>
          <w:color w:val="auto"/>
          <w:sz w:val="20"/>
          <w:szCs w:val="20"/>
          <w:lang w:val="sr-Cyrl-CS"/>
        </w:rPr>
        <w:t>премије</w:t>
      </w:r>
      <w:r w:rsidR="00740812" w:rsidRPr="00BF3CDE">
        <w:rPr>
          <w:rStyle w:val="Hyperlink"/>
          <w:noProof/>
          <w:color w:val="auto"/>
          <w:sz w:val="20"/>
          <w:szCs w:val="20"/>
          <w:lang w:val="sr-Cyrl-CS"/>
        </w:rPr>
        <w:t xml:space="preserve"> </w:t>
      </w:r>
      <w:r w:rsidRPr="00BF3CDE">
        <w:rPr>
          <w:rStyle w:val="Hyperlink"/>
          <w:noProof/>
          <w:color w:val="auto"/>
          <w:sz w:val="20"/>
          <w:szCs w:val="20"/>
          <w:lang w:val="sr-Cyrl-CS"/>
        </w:rPr>
        <w:t>узрокован</w:t>
      </w:r>
      <w:r w:rsidR="00740812" w:rsidRPr="00BF3CDE">
        <w:rPr>
          <w:rStyle w:val="Hyperlink"/>
          <w:noProof/>
          <w:color w:val="auto"/>
          <w:sz w:val="20"/>
          <w:szCs w:val="20"/>
          <w:lang w:val="sr-Cyrl-CS"/>
        </w:rPr>
        <w:t xml:space="preserve"> </w:t>
      </w:r>
      <w:r w:rsidRPr="00BF3CDE">
        <w:rPr>
          <w:rStyle w:val="Hyperlink"/>
          <w:noProof/>
          <w:color w:val="auto"/>
          <w:sz w:val="20"/>
          <w:szCs w:val="20"/>
          <w:lang w:val="sr-Cyrl-CS"/>
        </w:rPr>
        <w:t>је</w:t>
      </w:r>
      <w:r w:rsidR="00740812" w:rsidRPr="00BF3CDE">
        <w:rPr>
          <w:rStyle w:val="Hyperlink"/>
          <w:noProof/>
          <w:color w:val="auto"/>
          <w:sz w:val="20"/>
          <w:szCs w:val="20"/>
          <w:lang w:val="sr-Cyrl-CS"/>
        </w:rPr>
        <w:t xml:space="preserve"> </w:t>
      </w:r>
      <w:r w:rsidRPr="00BF3CDE">
        <w:rPr>
          <w:rStyle w:val="Hyperlink"/>
          <w:noProof/>
          <w:color w:val="auto"/>
          <w:sz w:val="20"/>
          <w:szCs w:val="20"/>
          <w:lang w:val="sr-Cyrl-CS"/>
        </w:rPr>
        <w:t>првенствено</w:t>
      </w:r>
      <w:r w:rsidR="00740812" w:rsidRPr="00BF3CDE">
        <w:rPr>
          <w:rStyle w:val="Hyperlink"/>
          <w:noProof/>
          <w:color w:val="auto"/>
          <w:sz w:val="20"/>
          <w:szCs w:val="20"/>
          <w:lang w:val="sr-Cyrl-CS"/>
        </w:rPr>
        <w:t xml:space="preserve"> </w:t>
      </w:r>
      <w:r w:rsidRPr="00BF3CDE">
        <w:rPr>
          <w:rStyle w:val="Hyperlink"/>
          <w:noProof/>
          <w:color w:val="auto"/>
          <w:sz w:val="20"/>
          <w:szCs w:val="20"/>
          <w:lang w:val="sr-Cyrl-CS"/>
        </w:rPr>
        <w:t>падом</w:t>
      </w:r>
      <w:r w:rsidR="00740812" w:rsidRPr="00BF3CDE">
        <w:rPr>
          <w:rStyle w:val="Hyperlink"/>
          <w:noProof/>
          <w:color w:val="auto"/>
          <w:sz w:val="20"/>
          <w:szCs w:val="20"/>
          <w:lang w:val="sr-Cyrl-CS"/>
        </w:rPr>
        <w:t xml:space="preserve"> </w:t>
      </w:r>
      <w:r w:rsidRPr="00BF3CDE">
        <w:rPr>
          <w:rStyle w:val="Hyperlink"/>
          <w:noProof/>
          <w:color w:val="auto"/>
          <w:sz w:val="20"/>
          <w:szCs w:val="20"/>
          <w:lang w:val="sr-Cyrl-CS"/>
        </w:rPr>
        <w:t>премије</w:t>
      </w:r>
      <w:r w:rsidR="00740812" w:rsidRPr="00BF3CDE">
        <w:rPr>
          <w:rStyle w:val="Hyperlink"/>
          <w:noProof/>
          <w:color w:val="auto"/>
          <w:sz w:val="20"/>
          <w:szCs w:val="20"/>
          <w:lang w:val="sr-Cyrl-CS"/>
        </w:rPr>
        <w:t xml:space="preserve"> </w:t>
      </w:r>
      <w:r w:rsidRPr="00BF3CDE">
        <w:rPr>
          <w:rStyle w:val="Hyperlink"/>
          <w:noProof/>
          <w:color w:val="auto"/>
          <w:sz w:val="20"/>
          <w:szCs w:val="20"/>
          <w:lang w:val="sr-Cyrl-CS"/>
        </w:rPr>
        <w:t>реосигурања</w:t>
      </w:r>
      <w:r w:rsidR="00740812" w:rsidRPr="00BF3CDE">
        <w:rPr>
          <w:rStyle w:val="Hyperlink"/>
          <w:noProof/>
          <w:color w:val="auto"/>
          <w:sz w:val="20"/>
          <w:szCs w:val="20"/>
          <w:lang w:val="sr-Cyrl-CS"/>
        </w:rPr>
        <w:t xml:space="preserve"> </w:t>
      </w:r>
      <w:r w:rsidRPr="00BF3CDE">
        <w:rPr>
          <w:rStyle w:val="Hyperlink"/>
          <w:noProof/>
          <w:color w:val="auto"/>
          <w:sz w:val="20"/>
          <w:szCs w:val="20"/>
          <w:lang w:val="sr-Cyrl-CS"/>
        </w:rPr>
        <w:t>по</w:t>
      </w:r>
      <w:r w:rsidR="00740812" w:rsidRPr="00BF3CDE">
        <w:rPr>
          <w:rStyle w:val="Hyperlink"/>
          <w:noProof/>
          <w:color w:val="auto"/>
          <w:sz w:val="20"/>
          <w:szCs w:val="20"/>
          <w:lang w:val="sr-Cyrl-CS"/>
        </w:rPr>
        <w:t xml:space="preserve"> </w:t>
      </w:r>
      <w:r w:rsidRPr="00BF3CDE">
        <w:rPr>
          <w:rStyle w:val="Hyperlink"/>
          <w:noProof/>
          <w:color w:val="auto"/>
          <w:sz w:val="20"/>
          <w:szCs w:val="20"/>
          <w:lang w:val="sr-Cyrl-CS"/>
        </w:rPr>
        <w:t>Уговору</w:t>
      </w:r>
      <w:r w:rsidR="00740812" w:rsidRPr="00BF3CDE">
        <w:rPr>
          <w:rStyle w:val="Hyperlink"/>
          <w:noProof/>
          <w:color w:val="auto"/>
          <w:sz w:val="20"/>
          <w:szCs w:val="20"/>
          <w:lang w:val="sr-Cyrl-CS"/>
        </w:rPr>
        <w:t xml:space="preserve"> </w:t>
      </w:r>
      <w:r w:rsidRPr="00BF3CDE">
        <w:rPr>
          <w:rStyle w:val="Hyperlink"/>
          <w:noProof/>
          <w:color w:val="auto"/>
          <w:sz w:val="20"/>
          <w:szCs w:val="20"/>
          <w:lang w:val="sr-Cyrl-CS"/>
        </w:rPr>
        <w:t>о ексцедентном реосигурању имовинских ризика, и то за ризике ЕПС-а. Наиме, у 2014. години Компанија Дунав осигурање је као чланица конзорцијума осигурала 66% ризика ЕПС-а y првих шест месеци, тако да је смањена и премија пренета у реосигурање. У периоду од 13.10.-31.12.2014. ризик ЕПС-а (РЕИК Колубара) у портфељу Компаније Дунав био је осигурани са учешћем у конзорцијуму 84% али ова измена није значајно утицала на повећање премије у четвртом кварталу, имајући у виду изостанак из покрића осталих великих ризика.</w:t>
      </w:r>
    </w:p>
    <w:p w14:paraId="1EAC24E0" w14:textId="77777777" w:rsidR="006C0D6C" w:rsidRPr="00BF3CDE" w:rsidRDefault="006C0D6C" w:rsidP="006C0D6C">
      <w:pPr>
        <w:spacing w:after="0"/>
        <w:jc w:val="both"/>
        <w:rPr>
          <w:rStyle w:val="Hyperlink"/>
          <w:noProof/>
          <w:color w:val="auto"/>
          <w:sz w:val="10"/>
          <w:szCs w:val="10"/>
          <w:highlight w:val="yellow"/>
          <w:lang w:val="sr-Cyrl-CS"/>
        </w:rPr>
      </w:pPr>
    </w:p>
    <w:p w14:paraId="4D0F7A6B" w14:textId="77777777" w:rsidR="006C0D6C" w:rsidRPr="00BF3CDE" w:rsidRDefault="006C0D6C" w:rsidP="006C0D6C">
      <w:pPr>
        <w:spacing w:after="0"/>
        <w:ind w:firstLine="851"/>
        <w:jc w:val="both"/>
        <w:rPr>
          <w:rStyle w:val="Hyperlink"/>
          <w:noProof/>
          <w:color w:val="auto"/>
          <w:sz w:val="20"/>
          <w:szCs w:val="20"/>
          <w:lang w:val="sr-Cyrl-CS"/>
        </w:rPr>
      </w:pPr>
      <w:r w:rsidRPr="00BF3CDE">
        <w:rPr>
          <w:rStyle w:val="Hyperlink"/>
          <w:noProof/>
          <w:color w:val="auto"/>
          <w:sz w:val="20"/>
          <w:szCs w:val="20"/>
          <w:lang w:val="sr-Cyrl-CS"/>
        </w:rPr>
        <w:t>Такође, од 01.07.2014. године, у портфељу Компаније Дунав осигурање нису хидроелектране и термоелектране, што је условило пад премије осигурања, па самим тим и премије реосигурања. Наведени ризици били су реосигурани и Уговором о ексцедентном реосигурању имовинских ризика и факултативним уговорима о реосигурању.</w:t>
      </w:r>
    </w:p>
    <w:p w14:paraId="65D83AED" w14:textId="77777777" w:rsidR="006C0D6C" w:rsidRPr="00BF3CDE" w:rsidRDefault="006C0D6C" w:rsidP="006C0D6C">
      <w:pPr>
        <w:spacing w:after="0"/>
        <w:ind w:firstLine="706"/>
        <w:jc w:val="both"/>
        <w:rPr>
          <w:rStyle w:val="Hyperlink"/>
          <w:noProof/>
          <w:color w:val="auto"/>
          <w:sz w:val="20"/>
          <w:szCs w:val="20"/>
          <w:lang w:val="sr-Cyrl-CS"/>
        </w:rPr>
      </w:pPr>
      <w:r w:rsidRPr="00BF3CDE">
        <w:rPr>
          <w:rStyle w:val="Hyperlink"/>
          <w:noProof/>
          <w:color w:val="auto"/>
          <w:sz w:val="20"/>
          <w:szCs w:val="20"/>
          <w:lang w:val="sr-Cyrl-CS"/>
        </w:rPr>
        <w:lastRenderedPageBreak/>
        <w:t>У наведеним врстама нису успостављена реосигуравајућа покрића Компаније Дунав осигурање која су уговарана ранијих година (заштита имовинских ризика у самопридржају Компаније Дунав осигурање, пољопривреда).</w:t>
      </w:r>
    </w:p>
    <w:p w14:paraId="3359910E" w14:textId="77777777" w:rsidR="006C0D6C" w:rsidRPr="00BF3CDE" w:rsidRDefault="006C0D6C" w:rsidP="006C0D6C">
      <w:pPr>
        <w:spacing w:after="0"/>
        <w:jc w:val="both"/>
        <w:rPr>
          <w:rStyle w:val="Hyperlink"/>
          <w:noProof/>
          <w:color w:val="auto"/>
          <w:sz w:val="10"/>
          <w:szCs w:val="10"/>
          <w:lang w:val="sr-Cyrl-CS"/>
        </w:rPr>
      </w:pPr>
    </w:p>
    <w:p w14:paraId="0E1EA2B3" w14:textId="77777777" w:rsidR="006C0D6C" w:rsidRPr="00BF3CDE" w:rsidRDefault="006C0D6C" w:rsidP="006C0D6C">
      <w:pPr>
        <w:spacing w:after="0"/>
        <w:ind w:left="851"/>
        <w:jc w:val="both"/>
        <w:rPr>
          <w:rStyle w:val="Hyperlink"/>
          <w:noProof/>
          <w:color w:val="auto"/>
          <w:sz w:val="20"/>
          <w:szCs w:val="20"/>
          <w:lang w:val="sr-Cyrl-CS"/>
        </w:rPr>
      </w:pPr>
      <w:r w:rsidRPr="00BF3CDE">
        <w:rPr>
          <w:rStyle w:val="Hyperlink"/>
          <w:noProof/>
          <w:color w:val="auto"/>
          <w:sz w:val="20"/>
          <w:szCs w:val="20"/>
          <w:lang w:val="sr-Cyrl-CS"/>
        </w:rPr>
        <w:t>Додатни пад премије реосигурања изазвало је необнављање, односно откази</w:t>
      </w:r>
    </w:p>
    <w:p w14:paraId="485473FC" w14:textId="77777777" w:rsidR="006C0D6C" w:rsidRPr="00BF3CDE" w:rsidRDefault="006C0D6C" w:rsidP="006C0D6C">
      <w:pPr>
        <w:spacing w:after="0"/>
        <w:jc w:val="both"/>
        <w:rPr>
          <w:rStyle w:val="Hyperlink"/>
          <w:noProof/>
          <w:color w:val="auto"/>
          <w:sz w:val="20"/>
          <w:szCs w:val="20"/>
          <w:lang w:val="sr-Cyrl-CS"/>
        </w:rPr>
      </w:pPr>
      <w:r w:rsidRPr="00BF3CDE">
        <w:rPr>
          <w:rStyle w:val="Hyperlink"/>
          <w:noProof/>
          <w:color w:val="auto"/>
          <w:sz w:val="20"/>
          <w:szCs w:val="20"/>
          <w:lang w:val="sr-Cyrl-CS"/>
        </w:rPr>
        <w:t>имовинских покрића цедената изван Дунав групе:</w:t>
      </w:r>
    </w:p>
    <w:p w14:paraId="6AF264E8" w14:textId="77777777" w:rsidR="006C0D6C" w:rsidRPr="00BF3CDE" w:rsidRDefault="006C0D6C" w:rsidP="00655CD0">
      <w:pPr>
        <w:pStyle w:val="ListParagraph"/>
        <w:numPr>
          <w:ilvl w:val="0"/>
          <w:numId w:val="29"/>
        </w:numPr>
        <w:spacing w:before="60" w:after="60"/>
        <w:ind w:left="851" w:firstLine="0"/>
        <w:contextualSpacing w:val="0"/>
        <w:jc w:val="both"/>
        <w:rPr>
          <w:rStyle w:val="Hyperlink"/>
          <w:noProof/>
          <w:color w:val="auto"/>
          <w:sz w:val="20"/>
          <w:szCs w:val="20"/>
          <w:lang w:val="sr-Cyrl-CS"/>
        </w:rPr>
      </w:pPr>
      <w:r w:rsidRPr="00BF3CDE">
        <w:rPr>
          <w:rStyle w:val="Hyperlink"/>
          <w:noProof/>
          <w:color w:val="auto"/>
          <w:sz w:val="20"/>
          <w:szCs w:val="20"/>
          <w:lang w:val="sr-Cyrl-CS"/>
        </w:rPr>
        <w:t xml:space="preserve">цедент Ас осигурање није обновио ексцедентно реосигурање имовинских ризика почев од 01.01.2014. године, док је </w:t>
      </w:r>
    </w:p>
    <w:p w14:paraId="70161ABB" w14:textId="77777777" w:rsidR="006C0D6C" w:rsidRPr="00BF3CDE" w:rsidRDefault="006C0D6C" w:rsidP="00655CD0">
      <w:pPr>
        <w:pStyle w:val="ListParagraph"/>
        <w:numPr>
          <w:ilvl w:val="0"/>
          <w:numId w:val="29"/>
        </w:numPr>
        <w:tabs>
          <w:tab w:val="left" w:pos="1418"/>
        </w:tabs>
        <w:spacing w:before="60" w:after="60"/>
        <w:ind w:left="851" w:firstLine="0"/>
        <w:contextualSpacing w:val="0"/>
        <w:jc w:val="both"/>
        <w:rPr>
          <w:rStyle w:val="Hyperlink"/>
          <w:noProof/>
          <w:color w:val="auto"/>
          <w:sz w:val="20"/>
          <w:szCs w:val="20"/>
          <w:lang w:val="sr-Cyrl-CS"/>
        </w:rPr>
      </w:pPr>
      <w:r w:rsidRPr="00BF3CDE">
        <w:rPr>
          <w:rStyle w:val="Hyperlink"/>
          <w:noProof/>
          <w:color w:val="auto"/>
          <w:sz w:val="20"/>
          <w:szCs w:val="20"/>
          <w:lang w:val="sr-Cyrl-CS"/>
        </w:rPr>
        <w:t>цедент Триглав осигурање отказао све аутоматске уговоре о реосигурању почев од 01.04.2014. године.</w:t>
      </w:r>
    </w:p>
    <w:p w14:paraId="1B0C5AEB" w14:textId="77777777" w:rsidR="006C0D6C" w:rsidRPr="00BF3CDE" w:rsidRDefault="006C0D6C" w:rsidP="006C0D6C">
      <w:pPr>
        <w:spacing w:after="0"/>
        <w:jc w:val="both"/>
        <w:rPr>
          <w:noProof/>
          <w:sz w:val="10"/>
          <w:szCs w:val="10"/>
          <w:highlight w:val="yellow"/>
          <w:lang w:val="sr-Cyrl-CS"/>
        </w:rPr>
      </w:pPr>
    </w:p>
    <w:p w14:paraId="44089AE6" w14:textId="77777777" w:rsidR="006C0D6C" w:rsidRPr="00BF3CDE" w:rsidRDefault="006C0D6C" w:rsidP="00655CD0">
      <w:pPr>
        <w:numPr>
          <w:ilvl w:val="0"/>
          <w:numId w:val="15"/>
        </w:numPr>
        <w:spacing w:after="60" w:line="240" w:lineRule="auto"/>
        <w:ind w:left="851" w:firstLine="0"/>
        <w:jc w:val="both"/>
        <w:rPr>
          <w:noProof/>
          <w:sz w:val="20"/>
          <w:szCs w:val="20"/>
          <w:lang w:val="sr-Cyrl-CS"/>
        </w:rPr>
      </w:pPr>
      <w:r w:rsidRPr="00BF3CDE">
        <w:rPr>
          <w:b/>
          <w:noProof/>
          <w:sz w:val="20"/>
          <w:szCs w:val="20"/>
          <w:lang w:val="sr-Cyrl-CS"/>
        </w:rPr>
        <w:t>врста 11</w:t>
      </w:r>
      <w:r w:rsidRPr="00BF3CDE">
        <w:rPr>
          <w:noProof/>
          <w:sz w:val="20"/>
          <w:szCs w:val="20"/>
          <w:lang w:val="sr-Cyrl-CS"/>
        </w:rPr>
        <w:t xml:space="preserve"> – осигурање од одговорности због употребе ваздухоплова, где пад активне премије износи 31.298 хиљада динара, односно 29,19%.</w:t>
      </w:r>
    </w:p>
    <w:p w14:paraId="192B45DE" w14:textId="77777777" w:rsidR="006C0D6C" w:rsidRDefault="006C0D6C" w:rsidP="00740812">
      <w:pPr>
        <w:spacing w:after="60" w:line="240" w:lineRule="auto"/>
        <w:ind w:left="851"/>
        <w:jc w:val="both"/>
        <w:rPr>
          <w:noProof/>
          <w:sz w:val="20"/>
          <w:szCs w:val="20"/>
          <w:lang w:val="sr-Latn-RS"/>
        </w:rPr>
      </w:pPr>
      <w:r w:rsidRPr="00BF3CDE">
        <w:rPr>
          <w:noProof/>
          <w:sz w:val="20"/>
          <w:szCs w:val="20"/>
          <w:lang w:val="sr-Cyrl-CS"/>
        </w:rPr>
        <w:t>Пад премије у врсти 11 је последица остварених попуста, односно снижења премије реосигурања авиоодговорности (СМАТСА, Пилотска академија, AIR SERBIA) и необнављања, односно отказа покрића од стране осигураника по портфељу лаке авијације и</w:t>
      </w:r>
    </w:p>
    <w:p w14:paraId="64ADC69F" w14:textId="77777777" w:rsidR="009B1CE0" w:rsidRPr="009B1CE0" w:rsidRDefault="009B1CE0" w:rsidP="009B1CE0">
      <w:pPr>
        <w:spacing w:after="60" w:line="240" w:lineRule="auto"/>
        <w:jc w:val="both"/>
        <w:rPr>
          <w:noProof/>
          <w:sz w:val="14"/>
          <w:szCs w:val="14"/>
          <w:lang w:val="sr-Latn-RS"/>
        </w:rPr>
      </w:pPr>
    </w:p>
    <w:p w14:paraId="2C242719" w14:textId="77777777" w:rsidR="006C0D6C" w:rsidRPr="00BF3CDE" w:rsidRDefault="006C0D6C" w:rsidP="00655CD0">
      <w:pPr>
        <w:pStyle w:val="ListParagraph"/>
        <w:numPr>
          <w:ilvl w:val="0"/>
          <w:numId w:val="15"/>
        </w:numPr>
        <w:spacing w:after="0"/>
        <w:ind w:left="851" w:firstLine="0"/>
        <w:jc w:val="both"/>
        <w:rPr>
          <w:noProof/>
          <w:sz w:val="20"/>
          <w:szCs w:val="20"/>
          <w:lang w:val="sr-Cyrl-CS"/>
        </w:rPr>
      </w:pPr>
      <w:r w:rsidRPr="00BF3CDE">
        <w:rPr>
          <w:b/>
          <w:noProof/>
          <w:sz w:val="20"/>
          <w:szCs w:val="20"/>
          <w:lang w:val="sr-Cyrl-CS"/>
        </w:rPr>
        <w:t>врста 10</w:t>
      </w:r>
      <w:r w:rsidRPr="00BF3CDE">
        <w:rPr>
          <w:noProof/>
          <w:sz w:val="20"/>
          <w:szCs w:val="20"/>
          <w:lang w:val="sr-Cyrl-CS"/>
        </w:rPr>
        <w:t xml:space="preserve"> – осигурање од одговорности због употребе моторних возила, где пад активне премије износи 19.029 хиљада динара, </w:t>
      </w:r>
      <w:r w:rsidRPr="00BF3CDE">
        <w:rPr>
          <w:rStyle w:val="Hyperlink"/>
          <w:noProof/>
          <w:color w:val="auto"/>
          <w:sz w:val="20"/>
          <w:szCs w:val="20"/>
          <w:lang w:val="sr-Cyrl-CS"/>
        </w:rPr>
        <w:t>односно</w:t>
      </w:r>
      <w:r w:rsidRPr="00BF3CDE">
        <w:rPr>
          <w:noProof/>
          <w:sz w:val="20"/>
          <w:szCs w:val="20"/>
          <w:lang w:val="sr-Cyrl-CS"/>
        </w:rPr>
        <w:t xml:space="preserve"> 12,08%.</w:t>
      </w:r>
    </w:p>
    <w:p w14:paraId="01FCAE92" w14:textId="77777777" w:rsidR="006C0D6C" w:rsidRPr="00BF3CDE" w:rsidRDefault="006C0D6C" w:rsidP="006C0D6C">
      <w:pPr>
        <w:pStyle w:val="ListParagraph"/>
        <w:spacing w:after="120"/>
        <w:jc w:val="both"/>
        <w:rPr>
          <w:rStyle w:val="Hyperlink"/>
          <w:noProof/>
          <w:color w:val="auto"/>
          <w:sz w:val="6"/>
          <w:szCs w:val="6"/>
          <w:highlight w:val="yellow"/>
          <w:lang w:val="sr-Cyrl-CS"/>
        </w:rPr>
      </w:pPr>
    </w:p>
    <w:p w14:paraId="55C1CB43" w14:textId="77777777" w:rsidR="006C0D6C" w:rsidRPr="00BF3CDE" w:rsidRDefault="006C0D6C" w:rsidP="006C0D6C">
      <w:pPr>
        <w:pStyle w:val="ListParagraph"/>
        <w:spacing w:after="120"/>
        <w:ind w:left="851"/>
        <w:jc w:val="both"/>
        <w:rPr>
          <w:noProof/>
          <w:sz w:val="20"/>
          <w:szCs w:val="20"/>
          <w:lang w:val="sr-Cyrl-CS"/>
        </w:rPr>
      </w:pPr>
      <w:r w:rsidRPr="00BF3CDE">
        <w:rPr>
          <w:noProof/>
          <w:sz w:val="20"/>
          <w:szCs w:val="20"/>
          <w:lang w:val="sr-Cyrl-CS"/>
        </w:rPr>
        <w:t>Узрок пад премије у врсти 10 је уговарање краткорочног покрића од 3 месеца у 2014. години за портфељ аутоодговорности Компаније Дунав осигурање.</w:t>
      </w:r>
    </w:p>
    <w:p w14:paraId="069FBA56" w14:textId="77777777" w:rsidR="006C0D6C" w:rsidRPr="00BF3CDE" w:rsidRDefault="006C0D6C" w:rsidP="006C0D6C">
      <w:pPr>
        <w:spacing w:after="240" w:line="240" w:lineRule="auto"/>
        <w:ind w:right="-142"/>
        <w:jc w:val="center"/>
        <w:rPr>
          <w:rFonts w:ascii="Verdana" w:hAnsi="Verdana" w:cs="Tahoma"/>
          <w:b/>
          <w:i/>
          <w:noProof/>
          <w:sz w:val="20"/>
          <w:szCs w:val="20"/>
          <w:bdr w:val="none" w:sz="0" w:space="0" w:color="auto" w:frame="1"/>
          <w:lang w:val="sr-Cyrl-CS"/>
        </w:rPr>
      </w:pPr>
      <w:r w:rsidRPr="00BF3CDE">
        <w:rPr>
          <w:rFonts w:ascii="Verdana" w:hAnsi="Verdana" w:cs="Tahoma"/>
          <w:b/>
          <w:i/>
          <w:noProof/>
          <w:sz w:val="20"/>
          <w:szCs w:val="20"/>
          <w:bdr w:val="none" w:sz="0" w:space="0" w:color="auto" w:frame="1"/>
          <w:lang w:val="sr-Cyrl-CS"/>
        </w:rPr>
        <w:t>Активна премија Друштва</w:t>
      </w:r>
      <w:r w:rsidRPr="00BF3CDE">
        <w:rPr>
          <w:rStyle w:val="Hyperlink"/>
          <w:noProof/>
          <w:color w:val="auto"/>
          <w:sz w:val="20"/>
          <w:szCs w:val="20"/>
          <w:lang w:val="sr-Cyrl-CS"/>
        </w:rPr>
        <w:t xml:space="preserve"> </w:t>
      </w:r>
      <w:r w:rsidRPr="00BF3CDE">
        <w:rPr>
          <w:rFonts w:ascii="Verdana" w:hAnsi="Verdana" w:cs="Tahoma"/>
          <w:b/>
          <w:i/>
          <w:noProof/>
          <w:sz w:val="20"/>
          <w:szCs w:val="20"/>
          <w:bdr w:val="none" w:sz="0" w:space="0" w:color="auto" w:frame="1"/>
          <w:lang w:val="sr-Cyrl-CS"/>
        </w:rPr>
        <w:t>у хиљадама динара</w:t>
      </w:r>
    </w:p>
    <w:tbl>
      <w:tblPr>
        <w:tblStyle w:val="MediumList1-Accent11"/>
        <w:tblW w:w="9288" w:type="dxa"/>
        <w:tblLayout w:type="fixed"/>
        <w:tblLook w:val="0420" w:firstRow="1" w:lastRow="0" w:firstColumn="0" w:lastColumn="0" w:noHBand="0" w:noVBand="1"/>
      </w:tblPr>
      <w:tblGrid>
        <w:gridCol w:w="1326"/>
        <w:gridCol w:w="1327"/>
        <w:gridCol w:w="1327"/>
        <w:gridCol w:w="1327"/>
        <w:gridCol w:w="1327"/>
        <w:gridCol w:w="1327"/>
        <w:gridCol w:w="1327"/>
      </w:tblGrid>
      <w:tr w:rsidR="006C0D6C" w:rsidRPr="00BF3CDE" w14:paraId="030AF348" w14:textId="77777777" w:rsidTr="006C0D6C">
        <w:trPr>
          <w:cnfStyle w:val="100000000000" w:firstRow="1" w:lastRow="0" w:firstColumn="0" w:lastColumn="0" w:oddVBand="0" w:evenVBand="0" w:oddHBand="0" w:evenHBand="0" w:firstRowFirstColumn="0" w:firstRowLastColumn="0" w:lastRowFirstColumn="0" w:lastRowLastColumn="0"/>
          <w:trHeight w:val="219"/>
        </w:trPr>
        <w:tc>
          <w:tcPr>
            <w:tcW w:w="1326" w:type="dxa"/>
          </w:tcPr>
          <w:p w14:paraId="38BC3C6D" w14:textId="77777777" w:rsidR="006C0D6C" w:rsidRPr="00BF3CDE" w:rsidRDefault="006C0D6C" w:rsidP="006C0D6C">
            <w:pPr>
              <w:widowControl w:val="0"/>
              <w:ind w:right="-62"/>
              <w:jc w:val="center"/>
              <w:rPr>
                <w:rFonts w:ascii="Verdana" w:hAnsi="Verdana" w:cs="Tahoma"/>
                <w:b/>
                <w:noProof/>
                <w:sz w:val="18"/>
                <w:szCs w:val="18"/>
                <w:lang w:val="sr-Cyrl-CS"/>
              </w:rPr>
            </w:pPr>
            <w:r w:rsidRPr="00BF3CDE">
              <w:rPr>
                <w:rFonts w:ascii="Verdana" w:hAnsi="Verdana" w:cs="Tahoma"/>
                <w:b/>
                <w:noProof/>
                <w:sz w:val="18"/>
                <w:szCs w:val="18"/>
                <w:lang w:val="sr-Cyrl-CS"/>
              </w:rPr>
              <w:t>2008</w:t>
            </w:r>
          </w:p>
        </w:tc>
        <w:tc>
          <w:tcPr>
            <w:tcW w:w="1327" w:type="dxa"/>
          </w:tcPr>
          <w:p w14:paraId="2866EA81" w14:textId="77777777" w:rsidR="006C0D6C" w:rsidRPr="00BF3CDE" w:rsidRDefault="006C0D6C" w:rsidP="006C0D6C">
            <w:pPr>
              <w:widowControl w:val="0"/>
              <w:ind w:right="-62"/>
              <w:jc w:val="center"/>
              <w:rPr>
                <w:rFonts w:ascii="Verdana" w:hAnsi="Verdana" w:cs="Tahoma"/>
                <w:b/>
                <w:noProof/>
                <w:sz w:val="18"/>
                <w:szCs w:val="18"/>
                <w:lang w:val="sr-Cyrl-CS"/>
              </w:rPr>
            </w:pPr>
            <w:r w:rsidRPr="00BF3CDE">
              <w:rPr>
                <w:rFonts w:ascii="Verdana" w:hAnsi="Verdana" w:cs="Tahoma"/>
                <w:b/>
                <w:noProof/>
                <w:sz w:val="18"/>
                <w:szCs w:val="18"/>
                <w:lang w:val="sr-Cyrl-CS"/>
              </w:rPr>
              <w:t>2009</w:t>
            </w:r>
          </w:p>
        </w:tc>
        <w:tc>
          <w:tcPr>
            <w:tcW w:w="1327" w:type="dxa"/>
          </w:tcPr>
          <w:p w14:paraId="0F3F2697" w14:textId="77777777" w:rsidR="006C0D6C" w:rsidRPr="00BF3CDE" w:rsidRDefault="006C0D6C" w:rsidP="006C0D6C">
            <w:pPr>
              <w:widowControl w:val="0"/>
              <w:ind w:right="-62"/>
              <w:jc w:val="center"/>
              <w:rPr>
                <w:rFonts w:ascii="Verdana" w:hAnsi="Verdana" w:cs="Tahoma"/>
                <w:b/>
                <w:noProof/>
                <w:sz w:val="18"/>
                <w:szCs w:val="18"/>
                <w:lang w:val="sr-Cyrl-CS"/>
              </w:rPr>
            </w:pPr>
            <w:r w:rsidRPr="00BF3CDE">
              <w:rPr>
                <w:rFonts w:ascii="Verdana" w:hAnsi="Verdana" w:cs="Tahoma"/>
                <w:b/>
                <w:noProof/>
                <w:sz w:val="18"/>
                <w:szCs w:val="18"/>
                <w:lang w:val="sr-Cyrl-CS"/>
              </w:rPr>
              <w:t>2010</w:t>
            </w:r>
          </w:p>
        </w:tc>
        <w:tc>
          <w:tcPr>
            <w:tcW w:w="1327" w:type="dxa"/>
          </w:tcPr>
          <w:p w14:paraId="04B82C87" w14:textId="77777777" w:rsidR="006C0D6C" w:rsidRPr="00BF3CDE" w:rsidRDefault="006C0D6C" w:rsidP="006C0D6C">
            <w:pPr>
              <w:widowControl w:val="0"/>
              <w:ind w:right="-62"/>
              <w:jc w:val="center"/>
              <w:rPr>
                <w:rFonts w:ascii="Verdana" w:hAnsi="Verdana" w:cs="Tahoma"/>
                <w:b/>
                <w:noProof/>
                <w:sz w:val="18"/>
                <w:szCs w:val="18"/>
                <w:lang w:val="sr-Cyrl-CS"/>
              </w:rPr>
            </w:pPr>
            <w:r w:rsidRPr="00BF3CDE">
              <w:rPr>
                <w:rFonts w:ascii="Verdana" w:hAnsi="Verdana" w:cs="Tahoma"/>
                <w:b/>
                <w:noProof/>
                <w:sz w:val="18"/>
                <w:szCs w:val="18"/>
                <w:lang w:val="sr-Cyrl-CS"/>
              </w:rPr>
              <w:t>2011</w:t>
            </w:r>
          </w:p>
        </w:tc>
        <w:tc>
          <w:tcPr>
            <w:tcW w:w="1327" w:type="dxa"/>
          </w:tcPr>
          <w:p w14:paraId="2890D6F7" w14:textId="77777777" w:rsidR="006C0D6C" w:rsidRPr="00BF3CDE" w:rsidRDefault="006C0D6C" w:rsidP="006C0D6C">
            <w:pPr>
              <w:widowControl w:val="0"/>
              <w:ind w:right="-62"/>
              <w:jc w:val="center"/>
              <w:rPr>
                <w:rFonts w:ascii="Verdana" w:hAnsi="Verdana" w:cs="Tahoma"/>
                <w:b/>
                <w:noProof/>
                <w:sz w:val="18"/>
                <w:szCs w:val="18"/>
                <w:lang w:val="sr-Cyrl-CS"/>
              </w:rPr>
            </w:pPr>
            <w:r w:rsidRPr="00BF3CDE">
              <w:rPr>
                <w:rFonts w:ascii="Verdana" w:hAnsi="Verdana" w:cs="Tahoma"/>
                <w:b/>
                <w:noProof/>
                <w:sz w:val="18"/>
                <w:szCs w:val="18"/>
                <w:lang w:val="sr-Cyrl-CS"/>
              </w:rPr>
              <w:t>2012</w:t>
            </w:r>
          </w:p>
        </w:tc>
        <w:tc>
          <w:tcPr>
            <w:tcW w:w="1327" w:type="dxa"/>
          </w:tcPr>
          <w:p w14:paraId="579383BE" w14:textId="77777777" w:rsidR="006C0D6C" w:rsidRPr="00BF3CDE" w:rsidRDefault="006C0D6C" w:rsidP="006C0D6C">
            <w:pPr>
              <w:widowControl w:val="0"/>
              <w:ind w:right="-62"/>
              <w:jc w:val="center"/>
              <w:rPr>
                <w:rFonts w:ascii="Verdana" w:hAnsi="Verdana" w:cs="Tahoma"/>
                <w:b/>
                <w:noProof/>
                <w:sz w:val="18"/>
                <w:szCs w:val="18"/>
                <w:lang w:val="sr-Cyrl-CS"/>
              </w:rPr>
            </w:pPr>
            <w:r w:rsidRPr="00BF3CDE">
              <w:rPr>
                <w:rFonts w:ascii="Verdana" w:hAnsi="Verdana" w:cs="Tahoma"/>
                <w:b/>
                <w:noProof/>
                <w:sz w:val="18"/>
                <w:szCs w:val="18"/>
                <w:lang w:val="sr-Cyrl-CS"/>
              </w:rPr>
              <w:t>2013</w:t>
            </w:r>
          </w:p>
        </w:tc>
        <w:tc>
          <w:tcPr>
            <w:tcW w:w="1327" w:type="dxa"/>
          </w:tcPr>
          <w:p w14:paraId="5131EAD6" w14:textId="77777777" w:rsidR="006C0D6C" w:rsidRPr="00BF3CDE" w:rsidRDefault="006C0D6C" w:rsidP="006C0D6C">
            <w:pPr>
              <w:widowControl w:val="0"/>
              <w:ind w:right="-62"/>
              <w:jc w:val="center"/>
              <w:rPr>
                <w:rFonts w:ascii="Verdana" w:hAnsi="Verdana" w:cs="Tahoma"/>
                <w:b/>
                <w:noProof/>
                <w:sz w:val="18"/>
                <w:szCs w:val="18"/>
                <w:lang w:val="sr-Cyrl-CS"/>
              </w:rPr>
            </w:pPr>
            <w:r w:rsidRPr="00BF3CDE">
              <w:rPr>
                <w:rFonts w:ascii="Verdana" w:hAnsi="Verdana" w:cs="Tahoma"/>
                <w:b/>
                <w:noProof/>
                <w:sz w:val="18"/>
                <w:szCs w:val="18"/>
                <w:lang w:val="sr-Cyrl-CS"/>
              </w:rPr>
              <w:t>2014</w:t>
            </w:r>
          </w:p>
        </w:tc>
      </w:tr>
      <w:tr w:rsidR="006C0D6C" w:rsidRPr="00BF3CDE" w14:paraId="30A9C5F0" w14:textId="77777777" w:rsidTr="006C0D6C">
        <w:trPr>
          <w:cnfStyle w:val="000000100000" w:firstRow="0" w:lastRow="0" w:firstColumn="0" w:lastColumn="0" w:oddVBand="0" w:evenVBand="0" w:oddHBand="1" w:evenHBand="0" w:firstRowFirstColumn="0" w:firstRowLastColumn="0" w:lastRowFirstColumn="0" w:lastRowLastColumn="0"/>
          <w:trHeight w:val="233"/>
        </w:trPr>
        <w:tc>
          <w:tcPr>
            <w:tcW w:w="1326" w:type="dxa"/>
          </w:tcPr>
          <w:p w14:paraId="5623B4F9" w14:textId="77777777" w:rsidR="006C0D6C" w:rsidRPr="00BF3CDE" w:rsidRDefault="006C0D6C" w:rsidP="006C0D6C">
            <w:pPr>
              <w:jc w:val="center"/>
              <w:rPr>
                <w:rFonts w:ascii="Verdana" w:hAnsi="Verdana"/>
                <w:noProof/>
                <w:sz w:val="18"/>
                <w:szCs w:val="18"/>
                <w:lang w:val="sr-Cyrl-CS"/>
              </w:rPr>
            </w:pPr>
            <w:r w:rsidRPr="00BF3CDE">
              <w:rPr>
                <w:rFonts w:ascii="Verdana" w:hAnsi="Verdana"/>
                <w:noProof/>
                <w:sz w:val="18"/>
                <w:szCs w:val="18"/>
                <w:lang w:val="sr-Cyrl-CS"/>
              </w:rPr>
              <w:t>3.308.540</w:t>
            </w:r>
          </w:p>
        </w:tc>
        <w:tc>
          <w:tcPr>
            <w:tcW w:w="1327" w:type="dxa"/>
          </w:tcPr>
          <w:p w14:paraId="32E2878E" w14:textId="77777777" w:rsidR="006C0D6C" w:rsidRPr="00BF3CDE" w:rsidRDefault="006C0D6C" w:rsidP="006C0D6C">
            <w:pPr>
              <w:jc w:val="center"/>
              <w:rPr>
                <w:rFonts w:ascii="Verdana" w:hAnsi="Verdana"/>
                <w:noProof/>
                <w:sz w:val="18"/>
                <w:szCs w:val="18"/>
                <w:lang w:val="sr-Cyrl-CS"/>
              </w:rPr>
            </w:pPr>
            <w:r w:rsidRPr="00BF3CDE">
              <w:rPr>
                <w:rFonts w:ascii="Verdana" w:hAnsi="Verdana"/>
                <w:noProof/>
                <w:sz w:val="18"/>
                <w:szCs w:val="18"/>
                <w:lang w:val="sr-Cyrl-CS"/>
              </w:rPr>
              <w:t>3.687.046</w:t>
            </w:r>
          </w:p>
        </w:tc>
        <w:tc>
          <w:tcPr>
            <w:tcW w:w="1327" w:type="dxa"/>
          </w:tcPr>
          <w:p w14:paraId="37772DED" w14:textId="77777777" w:rsidR="006C0D6C" w:rsidRPr="00BF3CDE" w:rsidRDefault="006C0D6C" w:rsidP="006C0D6C">
            <w:pPr>
              <w:jc w:val="center"/>
              <w:rPr>
                <w:rFonts w:ascii="Verdana" w:hAnsi="Verdana"/>
                <w:noProof/>
                <w:sz w:val="18"/>
                <w:szCs w:val="18"/>
                <w:lang w:val="sr-Cyrl-CS"/>
              </w:rPr>
            </w:pPr>
            <w:r w:rsidRPr="00BF3CDE">
              <w:rPr>
                <w:rFonts w:ascii="Verdana" w:hAnsi="Verdana"/>
                <w:noProof/>
                <w:sz w:val="18"/>
                <w:szCs w:val="18"/>
                <w:lang w:val="sr-Cyrl-CS"/>
              </w:rPr>
              <w:t>3.137.998</w:t>
            </w:r>
          </w:p>
        </w:tc>
        <w:tc>
          <w:tcPr>
            <w:tcW w:w="1327" w:type="dxa"/>
          </w:tcPr>
          <w:p w14:paraId="7229A0AE" w14:textId="77777777" w:rsidR="006C0D6C" w:rsidRPr="00BF3CDE" w:rsidRDefault="006C0D6C" w:rsidP="006C0D6C">
            <w:pPr>
              <w:jc w:val="center"/>
              <w:rPr>
                <w:rFonts w:ascii="Verdana" w:hAnsi="Verdana"/>
                <w:noProof/>
                <w:sz w:val="18"/>
                <w:szCs w:val="18"/>
                <w:lang w:val="sr-Cyrl-CS"/>
              </w:rPr>
            </w:pPr>
            <w:r w:rsidRPr="00BF3CDE">
              <w:rPr>
                <w:rFonts w:ascii="Verdana" w:hAnsi="Verdana"/>
                <w:noProof/>
                <w:sz w:val="18"/>
                <w:szCs w:val="18"/>
                <w:lang w:val="sr-Cyrl-CS"/>
              </w:rPr>
              <w:t>3.132.319</w:t>
            </w:r>
          </w:p>
        </w:tc>
        <w:tc>
          <w:tcPr>
            <w:tcW w:w="1327" w:type="dxa"/>
          </w:tcPr>
          <w:p w14:paraId="42062D45" w14:textId="77777777" w:rsidR="006C0D6C" w:rsidRPr="00BF3CDE" w:rsidRDefault="006C0D6C" w:rsidP="006C0D6C">
            <w:pPr>
              <w:jc w:val="center"/>
              <w:rPr>
                <w:rFonts w:ascii="Verdana" w:hAnsi="Verdana"/>
                <w:noProof/>
                <w:sz w:val="18"/>
                <w:szCs w:val="18"/>
                <w:lang w:val="sr-Cyrl-CS"/>
              </w:rPr>
            </w:pPr>
            <w:r w:rsidRPr="00BF3CDE">
              <w:rPr>
                <w:rFonts w:ascii="Verdana" w:hAnsi="Verdana"/>
                <w:noProof/>
                <w:sz w:val="18"/>
                <w:szCs w:val="18"/>
                <w:lang w:val="sr-Cyrl-CS"/>
              </w:rPr>
              <w:t>3.069.915</w:t>
            </w:r>
          </w:p>
        </w:tc>
        <w:tc>
          <w:tcPr>
            <w:tcW w:w="1327" w:type="dxa"/>
          </w:tcPr>
          <w:p w14:paraId="020385DD" w14:textId="77777777" w:rsidR="006C0D6C" w:rsidRPr="00BF3CDE" w:rsidRDefault="006C0D6C" w:rsidP="006C0D6C">
            <w:pPr>
              <w:jc w:val="center"/>
              <w:rPr>
                <w:rFonts w:ascii="Verdana" w:hAnsi="Verdana"/>
                <w:noProof/>
                <w:sz w:val="18"/>
                <w:szCs w:val="18"/>
                <w:lang w:val="sr-Cyrl-CS"/>
              </w:rPr>
            </w:pPr>
            <w:r w:rsidRPr="00BF3CDE">
              <w:rPr>
                <w:rFonts w:ascii="Verdana" w:hAnsi="Verdana"/>
                <w:noProof/>
                <w:sz w:val="18"/>
                <w:szCs w:val="18"/>
                <w:lang w:val="sr-Cyrl-CS"/>
              </w:rPr>
              <w:t>2.667.750</w:t>
            </w:r>
          </w:p>
        </w:tc>
        <w:tc>
          <w:tcPr>
            <w:tcW w:w="1327" w:type="dxa"/>
          </w:tcPr>
          <w:p w14:paraId="5C3321EF" w14:textId="77777777" w:rsidR="006C0D6C" w:rsidRPr="00BF3CDE" w:rsidRDefault="006C0D6C" w:rsidP="006C0D6C">
            <w:pPr>
              <w:jc w:val="center"/>
              <w:rPr>
                <w:rFonts w:ascii="Verdana" w:hAnsi="Verdana"/>
                <w:noProof/>
                <w:sz w:val="18"/>
                <w:szCs w:val="18"/>
                <w:lang w:val="sr-Cyrl-CS"/>
              </w:rPr>
            </w:pPr>
            <w:r w:rsidRPr="00BF3CDE">
              <w:rPr>
                <w:rFonts w:ascii="Verdana" w:hAnsi="Verdana"/>
                <w:noProof/>
                <w:sz w:val="18"/>
                <w:szCs w:val="18"/>
                <w:lang w:val="sr-Cyrl-CS"/>
              </w:rPr>
              <w:t>2.324.890</w:t>
            </w:r>
          </w:p>
        </w:tc>
      </w:tr>
    </w:tbl>
    <w:p w14:paraId="7C1B592F" w14:textId="77777777" w:rsidR="006C0D6C" w:rsidRPr="00BF3CDE" w:rsidRDefault="006C0D6C" w:rsidP="006C0D6C">
      <w:pPr>
        <w:spacing w:after="0"/>
        <w:ind w:firstLine="851"/>
        <w:rPr>
          <w:noProof/>
          <w:sz w:val="10"/>
          <w:szCs w:val="10"/>
          <w:lang w:val="sr-Cyrl-CS"/>
        </w:rPr>
      </w:pPr>
      <w:bookmarkStart w:id="14" w:name="_Toc319489028"/>
    </w:p>
    <w:p w14:paraId="4039477A" w14:textId="77777777" w:rsidR="006C0D6C" w:rsidRPr="00BF3CDE" w:rsidRDefault="006C0D6C" w:rsidP="006C0D6C">
      <w:pPr>
        <w:spacing w:after="0"/>
        <w:ind w:firstLine="851"/>
        <w:rPr>
          <w:noProof/>
          <w:sz w:val="20"/>
          <w:szCs w:val="20"/>
          <w:lang w:val="sr-Cyrl-CS"/>
        </w:rPr>
      </w:pPr>
      <w:r w:rsidRPr="00BF3CDE">
        <w:rPr>
          <w:noProof/>
          <w:sz w:val="20"/>
          <w:szCs w:val="20"/>
          <w:lang w:val="sr-Cyrl-CS"/>
        </w:rPr>
        <w:t>Реосигуравајуће покриће порфеља аутокаска Компаније Дунав осигурање је било укључено у план за 2014. годину као квотно реосигурање у односу Компанија Дунав осигурање: Дунав Ре 90:10. Имајући у виду да наведено покриће није реализовано, дошло је до одступања остварених од планских вредности.</w:t>
      </w:r>
    </w:p>
    <w:p w14:paraId="7077E045" w14:textId="77777777" w:rsidR="00740812" w:rsidRPr="00BF3CDE" w:rsidRDefault="00740812" w:rsidP="006C0D6C">
      <w:pPr>
        <w:pStyle w:val="ListParagraph"/>
        <w:spacing w:after="120"/>
        <w:ind w:left="0" w:firstLine="851"/>
        <w:jc w:val="both"/>
        <w:rPr>
          <w:noProof/>
          <w:sz w:val="10"/>
          <w:szCs w:val="10"/>
          <w:lang w:val="sr-Cyrl-CS"/>
        </w:rPr>
      </w:pPr>
    </w:p>
    <w:p w14:paraId="2CC48C7C" w14:textId="6BE5A9BE" w:rsidR="006C0D6C" w:rsidRPr="00BF3CDE" w:rsidRDefault="006C0D6C" w:rsidP="00740812">
      <w:pPr>
        <w:spacing w:before="120" w:after="120" w:line="240" w:lineRule="auto"/>
        <w:ind w:right="-142"/>
        <w:jc w:val="center"/>
        <w:rPr>
          <w:rFonts w:ascii="Verdana" w:hAnsi="Verdana" w:cs="Tahoma"/>
          <w:b/>
          <w:i/>
          <w:noProof/>
          <w:sz w:val="20"/>
          <w:szCs w:val="20"/>
          <w:bdr w:val="none" w:sz="0" w:space="0" w:color="auto" w:frame="1"/>
          <w:lang w:val="sr-Cyrl-CS"/>
        </w:rPr>
      </w:pPr>
      <w:r w:rsidRPr="00BF3CDE">
        <w:rPr>
          <w:rFonts w:ascii="Verdana" w:hAnsi="Verdana" w:cs="Tahoma"/>
          <w:b/>
          <w:i/>
          <w:noProof/>
          <w:sz w:val="20"/>
          <w:szCs w:val="20"/>
          <w:bdr w:val="none" w:sz="0" w:space="0" w:color="auto" w:frame="1"/>
          <w:lang w:val="sr-Cyrl-CS"/>
        </w:rPr>
        <w:t>Активна премија Друштва по регионима</w:t>
      </w:r>
      <w:bookmarkEnd w:id="14"/>
    </w:p>
    <w:p w14:paraId="0B4E4C77" w14:textId="77777777" w:rsidR="006C0D6C" w:rsidRPr="00BF3CDE" w:rsidRDefault="006C0D6C" w:rsidP="00740812">
      <w:pPr>
        <w:spacing w:after="0"/>
        <w:ind w:firstLine="567"/>
        <w:jc w:val="both"/>
        <w:rPr>
          <w:rStyle w:val="Hyperlink"/>
          <w:noProof/>
          <w:color w:val="auto"/>
          <w:sz w:val="20"/>
          <w:szCs w:val="20"/>
          <w:lang w:val="sr-Cyrl-CS"/>
        </w:rPr>
      </w:pPr>
      <w:r w:rsidRPr="00BF3CDE">
        <w:rPr>
          <w:rStyle w:val="Hyperlink"/>
          <w:noProof/>
          <w:color w:val="auto"/>
          <w:sz w:val="20"/>
          <w:szCs w:val="20"/>
          <w:lang w:val="sr-Cyrl-CS"/>
        </w:rPr>
        <w:t>Са аспекта територијалног порекла најзначајнији извор премије реосигурања у периоду 01.01.2014. – 31.12.2014. године је територија Србије, са 90,35% удела у укупној активној премији реосигурања, после које следе Еx Yu регион, Европа и Азија.</w:t>
      </w:r>
    </w:p>
    <w:p w14:paraId="55D8156B" w14:textId="77777777" w:rsidR="006C0D6C" w:rsidRPr="00BF3CDE" w:rsidRDefault="006C0D6C" w:rsidP="00740812">
      <w:pPr>
        <w:spacing w:after="120"/>
        <w:ind w:right="-142"/>
        <w:jc w:val="center"/>
        <w:rPr>
          <w:rFonts w:ascii="Verdana" w:hAnsi="Verdana" w:cs="Tahoma"/>
          <w:b/>
          <w:i/>
          <w:noProof/>
          <w:sz w:val="20"/>
          <w:szCs w:val="20"/>
          <w:bdr w:val="none" w:sz="0" w:space="0" w:color="auto" w:frame="1"/>
          <w:lang w:val="sr-Cyrl-CS"/>
        </w:rPr>
      </w:pPr>
      <w:r w:rsidRPr="00BF3CDE">
        <w:rPr>
          <w:rFonts w:ascii="Verdana" w:hAnsi="Verdana" w:cs="Tahoma"/>
          <w:b/>
          <w:i/>
          <w:noProof/>
          <w:sz w:val="20"/>
          <w:szCs w:val="20"/>
          <w:bdr w:val="none" w:sz="0" w:space="0" w:color="auto" w:frame="1"/>
          <w:lang w:val="sr-Cyrl-CS"/>
        </w:rPr>
        <w:t>Активна премија по регионима у хиљадама динара</w:t>
      </w:r>
    </w:p>
    <w:tbl>
      <w:tblPr>
        <w:tblStyle w:val="MediumList1-Accent11"/>
        <w:tblW w:w="9625" w:type="dxa"/>
        <w:tblLayout w:type="fixed"/>
        <w:tblLook w:val="0420" w:firstRow="1" w:lastRow="0" w:firstColumn="0" w:lastColumn="0" w:noHBand="0" w:noVBand="1"/>
      </w:tblPr>
      <w:tblGrid>
        <w:gridCol w:w="1101"/>
        <w:gridCol w:w="1275"/>
        <w:gridCol w:w="1276"/>
        <w:gridCol w:w="1179"/>
        <w:gridCol w:w="1210"/>
        <w:gridCol w:w="1201"/>
        <w:gridCol w:w="1173"/>
        <w:gridCol w:w="1210"/>
      </w:tblGrid>
      <w:tr w:rsidR="006C0D6C" w:rsidRPr="00BF3CDE" w14:paraId="4A749F71" w14:textId="77777777" w:rsidTr="006C0D6C">
        <w:trPr>
          <w:cnfStyle w:val="100000000000" w:firstRow="1" w:lastRow="0" w:firstColumn="0" w:lastColumn="0" w:oddVBand="0" w:evenVBand="0" w:oddHBand="0" w:evenHBand="0" w:firstRowFirstColumn="0" w:firstRowLastColumn="0" w:lastRowFirstColumn="0" w:lastRowLastColumn="0"/>
          <w:trHeight w:val="263"/>
        </w:trPr>
        <w:tc>
          <w:tcPr>
            <w:tcW w:w="1101" w:type="dxa"/>
          </w:tcPr>
          <w:p w14:paraId="5DBA9FCF" w14:textId="77777777" w:rsidR="006C0D6C" w:rsidRPr="00BF3CDE" w:rsidRDefault="006C0D6C" w:rsidP="006C0D6C">
            <w:pPr>
              <w:widowControl w:val="0"/>
              <w:jc w:val="center"/>
              <w:rPr>
                <w:rFonts w:ascii="Verdana" w:hAnsi="Verdana" w:cs="Tahoma"/>
                <w:b/>
                <w:noProof/>
                <w:sz w:val="18"/>
                <w:szCs w:val="18"/>
                <w:lang w:val="sr-Cyrl-CS"/>
              </w:rPr>
            </w:pPr>
          </w:p>
        </w:tc>
        <w:tc>
          <w:tcPr>
            <w:tcW w:w="1275" w:type="dxa"/>
          </w:tcPr>
          <w:p w14:paraId="5B919E4A" w14:textId="77777777" w:rsidR="006C0D6C" w:rsidRPr="00BF3CDE" w:rsidRDefault="006C0D6C" w:rsidP="006C0D6C">
            <w:pPr>
              <w:widowControl w:val="0"/>
              <w:jc w:val="center"/>
              <w:rPr>
                <w:rFonts w:ascii="Verdana" w:hAnsi="Verdana" w:cs="Tahoma"/>
                <w:b/>
                <w:noProof/>
                <w:sz w:val="18"/>
                <w:szCs w:val="18"/>
                <w:lang w:val="sr-Cyrl-CS"/>
              </w:rPr>
            </w:pPr>
            <w:r w:rsidRPr="00BF3CDE">
              <w:rPr>
                <w:rFonts w:ascii="Verdana" w:hAnsi="Verdana" w:cs="Tahoma"/>
                <w:b/>
                <w:noProof/>
                <w:sz w:val="18"/>
                <w:szCs w:val="18"/>
                <w:lang w:val="sr-Cyrl-CS"/>
              </w:rPr>
              <w:t>2008</w:t>
            </w:r>
          </w:p>
        </w:tc>
        <w:tc>
          <w:tcPr>
            <w:tcW w:w="1276" w:type="dxa"/>
          </w:tcPr>
          <w:p w14:paraId="7C7271C5" w14:textId="77777777" w:rsidR="006C0D6C" w:rsidRPr="00BF3CDE" w:rsidRDefault="006C0D6C" w:rsidP="006C0D6C">
            <w:pPr>
              <w:widowControl w:val="0"/>
              <w:jc w:val="right"/>
              <w:rPr>
                <w:rFonts w:ascii="Verdana" w:hAnsi="Verdana" w:cs="Tahoma"/>
                <w:b/>
                <w:noProof/>
                <w:sz w:val="18"/>
                <w:szCs w:val="18"/>
                <w:lang w:val="sr-Cyrl-CS"/>
              </w:rPr>
            </w:pPr>
            <w:r w:rsidRPr="00BF3CDE">
              <w:rPr>
                <w:rFonts w:ascii="Verdana" w:hAnsi="Verdana" w:cs="Tahoma"/>
                <w:b/>
                <w:noProof/>
                <w:sz w:val="18"/>
                <w:szCs w:val="18"/>
                <w:lang w:val="sr-Cyrl-CS"/>
              </w:rPr>
              <w:t>2009</w:t>
            </w:r>
          </w:p>
        </w:tc>
        <w:tc>
          <w:tcPr>
            <w:tcW w:w="1179" w:type="dxa"/>
          </w:tcPr>
          <w:p w14:paraId="4D837A31" w14:textId="77777777" w:rsidR="006C0D6C" w:rsidRPr="00BF3CDE" w:rsidRDefault="006C0D6C" w:rsidP="006C0D6C">
            <w:pPr>
              <w:widowControl w:val="0"/>
              <w:jc w:val="center"/>
              <w:rPr>
                <w:rFonts w:ascii="Verdana" w:hAnsi="Verdana" w:cs="Tahoma"/>
                <w:b/>
                <w:noProof/>
                <w:sz w:val="18"/>
                <w:szCs w:val="18"/>
                <w:lang w:val="sr-Cyrl-CS"/>
              </w:rPr>
            </w:pPr>
            <w:r w:rsidRPr="00BF3CDE">
              <w:rPr>
                <w:rFonts w:ascii="Verdana" w:hAnsi="Verdana" w:cs="Tahoma"/>
                <w:b/>
                <w:noProof/>
                <w:sz w:val="18"/>
                <w:szCs w:val="18"/>
                <w:lang w:val="sr-Cyrl-CS"/>
              </w:rPr>
              <w:t>2010</w:t>
            </w:r>
          </w:p>
        </w:tc>
        <w:tc>
          <w:tcPr>
            <w:tcW w:w="1210" w:type="dxa"/>
          </w:tcPr>
          <w:p w14:paraId="47F38BBB" w14:textId="77777777" w:rsidR="006C0D6C" w:rsidRPr="00BF3CDE" w:rsidRDefault="006C0D6C" w:rsidP="006C0D6C">
            <w:pPr>
              <w:widowControl w:val="0"/>
              <w:jc w:val="center"/>
              <w:rPr>
                <w:rFonts w:ascii="Verdana" w:hAnsi="Verdana" w:cs="Tahoma"/>
                <w:b/>
                <w:noProof/>
                <w:sz w:val="18"/>
                <w:szCs w:val="18"/>
                <w:lang w:val="sr-Cyrl-CS"/>
              </w:rPr>
            </w:pPr>
            <w:r w:rsidRPr="00BF3CDE">
              <w:rPr>
                <w:rFonts w:ascii="Verdana" w:hAnsi="Verdana" w:cs="Tahoma"/>
                <w:b/>
                <w:noProof/>
                <w:sz w:val="18"/>
                <w:szCs w:val="18"/>
                <w:lang w:val="sr-Cyrl-CS"/>
              </w:rPr>
              <w:t>2011</w:t>
            </w:r>
          </w:p>
        </w:tc>
        <w:tc>
          <w:tcPr>
            <w:tcW w:w="1201" w:type="dxa"/>
          </w:tcPr>
          <w:p w14:paraId="65446E48" w14:textId="77777777" w:rsidR="006C0D6C" w:rsidRPr="00BF3CDE" w:rsidRDefault="006C0D6C" w:rsidP="006C0D6C">
            <w:pPr>
              <w:widowControl w:val="0"/>
              <w:jc w:val="center"/>
              <w:rPr>
                <w:rFonts w:ascii="Verdana" w:hAnsi="Verdana" w:cs="Tahoma"/>
                <w:b/>
                <w:noProof/>
                <w:sz w:val="18"/>
                <w:szCs w:val="18"/>
                <w:lang w:val="sr-Cyrl-CS"/>
              </w:rPr>
            </w:pPr>
            <w:r w:rsidRPr="00BF3CDE">
              <w:rPr>
                <w:rFonts w:ascii="Verdana" w:hAnsi="Verdana" w:cs="Tahoma"/>
                <w:b/>
                <w:noProof/>
                <w:sz w:val="18"/>
                <w:szCs w:val="18"/>
                <w:lang w:val="sr-Cyrl-CS"/>
              </w:rPr>
              <w:t>2012</w:t>
            </w:r>
          </w:p>
        </w:tc>
        <w:tc>
          <w:tcPr>
            <w:tcW w:w="1173" w:type="dxa"/>
          </w:tcPr>
          <w:p w14:paraId="0D47A8D6" w14:textId="77777777" w:rsidR="006C0D6C" w:rsidRPr="00BF3CDE" w:rsidRDefault="006C0D6C" w:rsidP="006C0D6C">
            <w:pPr>
              <w:widowControl w:val="0"/>
              <w:jc w:val="center"/>
              <w:rPr>
                <w:rFonts w:ascii="Verdana" w:hAnsi="Verdana" w:cs="Tahoma"/>
                <w:b/>
                <w:noProof/>
                <w:sz w:val="18"/>
                <w:szCs w:val="18"/>
                <w:lang w:val="sr-Cyrl-CS"/>
              </w:rPr>
            </w:pPr>
            <w:r w:rsidRPr="00BF3CDE">
              <w:rPr>
                <w:rFonts w:ascii="Verdana" w:hAnsi="Verdana" w:cs="Tahoma"/>
                <w:b/>
                <w:noProof/>
                <w:sz w:val="18"/>
                <w:szCs w:val="18"/>
                <w:lang w:val="sr-Cyrl-CS"/>
              </w:rPr>
              <w:t>2013</w:t>
            </w:r>
          </w:p>
        </w:tc>
        <w:tc>
          <w:tcPr>
            <w:tcW w:w="1210" w:type="dxa"/>
          </w:tcPr>
          <w:p w14:paraId="1124C3B5" w14:textId="77777777" w:rsidR="006C0D6C" w:rsidRPr="00BF3CDE" w:rsidRDefault="006C0D6C" w:rsidP="006C0D6C">
            <w:pPr>
              <w:widowControl w:val="0"/>
              <w:jc w:val="center"/>
              <w:rPr>
                <w:rFonts w:ascii="Verdana" w:hAnsi="Verdana" w:cs="Tahoma"/>
                <w:b/>
                <w:noProof/>
                <w:sz w:val="18"/>
                <w:szCs w:val="18"/>
                <w:lang w:val="sr-Cyrl-CS"/>
              </w:rPr>
            </w:pPr>
            <w:r w:rsidRPr="00BF3CDE">
              <w:rPr>
                <w:rFonts w:ascii="Verdana" w:hAnsi="Verdana" w:cs="Tahoma"/>
                <w:b/>
                <w:noProof/>
                <w:sz w:val="18"/>
                <w:szCs w:val="18"/>
                <w:lang w:val="sr-Cyrl-CS"/>
              </w:rPr>
              <w:t>2014</w:t>
            </w:r>
          </w:p>
        </w:tc>
      </w:tr>
      <w:tr w:rsidR="006C0D6C" w:rsidRPr="00BF3CDE" w14:paraId="3D66170D" w14:textId="77777777" w:rsidTr="006C0D6C">
        <w:trPr>
          <w:cnfStyle w:val="000000100000" w:firstRow="0" w:lastRow="0" w:firstColumn="0" w:lastColumn="0" w:oddVBand="0" w:evenVBand="0" w:oddHBand="1" w:evenHBand="0" w:firstRowFirstColumn="0" w:firstRowLastColumn="0" w:lastRowFirstColumn="0" w:lastRowLastColumn="0"/>
          <w:trHeight w:val="212"/>
        </w:trPr>
        <w:tc>
          <w:tcPr>
            <w:tcW w:w="1101" w:type="dxa"/>
          </w:tcPr>
          <w:p w14:paraId="77157DBA" w14:textId="77777777" w:rsidR="006C0D6C" w:rsidRPr="00BF3CDE" w:rsidRDefault="006C0D6C" w:rsidP="006C0D6C">
            <w:pPr>
              <w:widowControl w:val="0"/>
              <w:rPr>
                <w:rFonts w:ascii="Verdana" w:hAnsi="Verdana" w:cs="Tahoma"/>
                <w:b/>
                <w:noProof/>
                <w:sz w:val="18"/>
                <w:szCs w:val="18"/>
                <w:lang w:val="sr-Cyrl-CS"/>
              </w:rPr>
            </w:pPr>
            <w:r w:rsidRPr="00BF3CDE">
              <w:rPr>
                <w:rFonts w:ascii="Verdana" w:hAnsi="Verdana" w:cs="Tahoma"/>
                <w:b/>
                <w:noProof/>
                <w:sz w:val="18"/>
                <w:szCs w:val="18"/>
                <w:lang w:val="sr-Cyrl-CS"/>
              </w:rPr>
              <w:t>Србија</w:t>
            </w:r>
          </w:p>
        </w:tc>
        <w:tc>
          <w:tcPr>
            <w:tcW w:w="1275" w:type="dxa"/>
            <w:vAlign w:val="center"/>
          </w:tcPr>
          <w:p w14:paraId="0E8533F2" w14:textId="77777777" w:rsidR="006C0D6C" w:rsidRPr="00BF3CDE" w:rsidRDefault="006C0D6C" w:rsidP="006C0D6C">
            <w:pPr>
              <w:rPr>
                <w:rFonts w:ascii="Verdana" w:hAnsi="Verdana"/>
                <w:noProof/>
                <w:sz w:val="18"/>
                <w:szCs w:val="18"/>
                <w:lang w:val="sr-Cyrl-CS"/>
              </w:rPr>
            </w:pPr>
            <w:r w:rsidRPr="00BF3CDE">
              <w:rPr>
                <w:rFonts w:ascii="Verdana" w:hAnsi="Verdana"/>
                <w:noProof/>
                <w:sz w:val="18"/>
                <w:szCs w:val="18"/>
                <w:lang w:val="sr-Cyrl-CS"/>
              </w:rPr>
              <w:t>2.713.003</w:t>
            </w:r>
          </w:p>
        </w:tc>
        <w:tc>
          <w:tcPr>
            <w:tcW w:w="1276" w:type="dxa"/>
            <w:vAlign w:val="center"/>
          </w:tcPr>
          <w:p w14:paraId="272689A2" w14:textId="77777777" w:rsidR="006C0D6C" w:rsidRPr="00BF3CDE" w:rsidRDefault="006C0D6C" w:rsidP="006C0D6C">
            <w:pPr>
              <w:rPr>
                <w:rFonts w:ascii="Verdana" w:hAnsi="Verdana"/>
                <w:noProof/>
                <w:sz w:val="18"/>
                <w:szCs w:val="18"/>
                <w:lang w:val="sr-Cyrl-CS"/>
              </w:rPr>
            </w:pPr>
            <w:r w:rsidRPr="00BF3CDE">
              <w:rPr>
                <w:rFonts w:ascii="Verdana" w:hAnsi="Verdana"/>
                <w:noProof/>
                <w:sz w:val="18"/>
                <w:szCs w:val="18"/>
                <w:lang w:val="sr-Cyrl-CS"/>
              </w:rPr>
              <w:t>3.137.778</w:t>
            </w:r>
          </w:p>
        </w:tc>
        <w:tc>
          <w:tcPr>
            <w:tcW w:w="1179" w:type="dxa"/>
            <w:vAlign w:val="center"/>
          </w:tcPr>
          <w:p w14:paraId="0C7AC09B" w14:textId="77777777" w:rsidR="006C0D6C" w:rsidRPr="00BF3CDE" w:rsidRDefault="006C0D6C" w:rsidP="006C0D6C">
            <w:pPr>
              <w:jc w:val="right"/>
              <w:rPr>
                <w:rFonts w:ascii="Verdana" w:hAnsi="Verdana"/>
                <w:noProof/>
                <w:sz w:val="18"/>
                <w:szCs w:val="18"/>
                <w:lang w:val="sr-Cyrl-CS"/>
              </w:rPr>
            </w:pPr>
            <w:r w:rsidRPr="00BF3CDE">
              <w:rPr>
                <w:rFonts w:ascii="Verdana" w:hAnsi="Verdana"/>
                <w:noProof/>
                <w:sz w:val="18"/>
                <w:szCs w:val="18"/>
                <w:lang w:val="sr-Cyrl-CS"/>
              </w:rPr>
              <w:t>2.604.538</w:t>
            </w:r>
          </w:p>
        </w:tc>
        <w:tc>
          <w:tcPr>
            <w:tcW w:w="1210" w:type="dxa"/>
            <w:vAlign w:val="center"/>
          </w:tcPr>
          <w:p w14:paraId="5C3BA8FD" w14:textId="77777777" w:rsidR="006C0D6C" w:rsidRPr="00BF3CDE" w:rsidRDefault="006C0D6C" w:rsidP="006C0D6C">
            <w:pPr>
              <w:jc w:val="right"/>
              <w:rPr>
                <w:rFonts w:ascii="Verdana" w:hAnsi="Verdana"/>
                <w:noProof/>
                <w:sz w:val="18"/>
                <w:szCs w:val="18"/>
                <w:lang w:val="sr-Cyrl-CS"/>
              </w:rPr>
            </w:pPr>
            <w:r w:rsidRPr="00BF3CDE">
              <w:rPr>
                <w:rFonts w:ascii="Verdana" w:hAnsi="Verdana"/>
                <w:noProof/>
                <w:sz w:val="18"/>
                <w:szCs w:val="18"/>
                <w:lang w:val="sr-Cyrl-CS"/>
              </w:rPr>
              <w:t>2.691.946</w:t>
            </w:r>
          </w:p>
        </w:tc>
        <w:tc>
          <w:tcPr>
            <w:tcW w:w="1201" w:type="dxa"/>
            <w:vAlign w:val="center"/>
          </w:tcPr>
          <w:p w14:paraId="77CED1F7" w14:textId="77777777" w:rsidR="006C0D6C" w:rsidRPr="00BF3CDE" w:rsidRDefault="006C0D6C" w:rsidP="006C0D6C">
            <w:pPr>
              <w:jc w:val="right"/>
              <w:rPr>
                <w:rFonts w:ascii="Verdana" w:hAnsi="Verdana"/>
                <w:noProof/>
                <w:sz w:val="18"/>
                <w:szCs w:val="18"/>
                <w:lang w:val="sr-Cyrl-CS"/>
              </w:rPr>
            </w:pPr>
            <w:r w:rsidRPr="00BF3CDE">
              <w:rPr>
                <w:rFonts w:ascii="Verdana" w:hAnsi="Verdana"/>
                <w:noProof/>
                <w:sz w:val="18"/>
                <w:szCs w:val="18"/>
                <w:lang w:val="sr-Cyrl-CS"/>
              </w:rPr>
              <w:t>2.688.842</w:t>
            </w:r>
          </w:p>
        </w:tc>
        <w:tc>
          <w:tcPr>
            <w:tcW w:w="1173" w:type="dxa"/>
            <w:vAlign w:val="center"/>
          </w:tcPr>
          <w:p w14:paraId="5459EBB0" w14:textId="77777777" w:rsidR="006C0D6C" w:rsidRPr="00BF3CDE" w:rsidRDefault="006C0D6C" w:rsidP="006C0D6C">
            <w:pPr>
              <w:jc w:val="right"/>
              <w:rPr>
                <w:rFonts w:ascii="Verdana" w:hAnsi="Verdana"/>
                <w:noProof/>
                <w:sz w:val="18"/>
                <w:szCs w:val="18"/>
                <w:lang w:val="sr-Cyrl-CS"/>
              </w:rPr>
            </w:pPr>
            <w:r w:rsidRPr="00BF3CDE">
              <w:rPr>
                <w:rFonts w:ascii="Verdana" w:hAnsi="Verdana"/>
                <w:noProof/>
                <w:sz w:val="18"/>
                <w:szCs w:val="18"/>
                <w:lang w:val="sr-Cyrl-CS"/>
              </w:rPr>
              <w:t>2.434.047</w:t>
            </w:r>
          </w:p>
        </w:tc>
        <w:tc>
          <w:tcPr>
            <w:tcW w:w="1210" w:type="dxa"/>
            <w:vAlign w:val="center"/>
          </w:tcPr>
          <w:p w14:paraId="18B39BA0" w14:textId="77777777" w:rsidR="006C0D6C" w:rsidRPr="00BF3CDE" w:rsidRDefault="006C0D6C" w:rsidP="006C0D6C">
            <w:pPr>
              <w:jc w:val="right"/>
              <w:rPr>
                <w:rFonts w:ascii="Verdana" w:hAnsi="Verdana"/>
                <w:noProof/>
                <w:sz w:val="18"/>
                <w:szCs w:val="18"/>
                <w:lang w:val="sr-Cyrl-CS"/>
              </w:rPr>
            </w:pPr>
            <w:r w:rsidRPr="00BF3CDE">
              <w:rPr>
                <w:rFonts w:ascii="Verdana" w:hAnsi="Verdana"/>
                <w:noProof/>
                <w:sz w:val="18"/>
                <w:szCs w:val="18"/>
                <w:lang w:val="sr-Cyrl-CS"/>
              </w:rPr>
              <w:t>2.100.620</w:t>
            </w:r>
          </w:p>
        </w:tc>
      </w:tr>
      <w:tr w:rsidR="006C0D6C" w:rsidRPr="00BF3CDE" w14:paraId="41190FB1" w14:textId="77777777" w:rsidTr="006C0D6C">
        <w:trPr>
          <w:trHeight w:val="274"/>
        </w:trPr>
        <w:tc>
          <w:tcPr>
            <w:tcW w:w="1101" w:type="dxa"/>
          </w:tcPr>
          <w:p w14:paraId="108F23F8" w14:textId="77777777" w:rsidR="006C0D6C" w:rsidRPr="00BF3CDE" w:rsidRDefault="006C0D6C" w:rsidP="006C0D6C">
            <w:pPr>
              <w:widowControl w:val="0"/>
              <w:rPr>
                <w:rFonts w:ascii="Verdana" w:hAnsi="Verdana" w:cs="Tahoma"/>
                <w:b/>
                <w:noProof/>
                <w:sz w:val="18"/>
                <w:szCs w:val="18"/>
                <w:lang w:val="sr-Cyrl-CS"/>
              </w:rPr>
            </w:pPr>
            <w:r w:rsidRPr="00BF3CDE">
              <w:rPr>
                <w:rFonts w:ascii="Verdana" w:hAnsi="Verdana" w:cs="Tahoma"/>
                <w:b/>
                <w:noProof/>
                <w:sz w:val="18"/>
                <w:szCs w:val="18"/>
                <w:lang w:val="sr-Cyrl-CS"/>
              </w:rPr>
              <w:t>Ex Yu</w:t>
            </w:r>
          </w:p>
        </w:tc>
        <w:tc>
          <w:tcPr>
            <w:tcW w:w="1275" w:type="dxa"/>
            <w:vAlign w:val="center"/>
          </w:tcPr>
          <w:p w14:paraId="5E639731" w14:textId="77777777" w:rsidR="006C0D6C" w:rsidRPr="00BF3CDE" w:rsidRDefault="006C0D6C" w:rsidP="006C0D6C">
            <w:pPr>
              <w:jc w:val="right"/>
              <w:rPr>
                <w:rFonts w:ascii="Verdana" w:hAnsi="Verdana"/>
                <w:noProof/>
                <w:sz w:val="18"/>
                <w:szCs w:val="18"/>
                <w:lang w:val="sr-Cyrl-CS"/>
              </w:rPr>
            </w:pPr>
            <w:r w:rsidRPr="00BF3CDE">
              <w:rPr>
                <w:rFonts w:ascii="Verdana" w:hAnsi="Verdana"/>
                <w:noProof/>
                <w:sz w:val="18"/>
                <w:szCs w:val="18"/>
                <w:lang w:val="sr-Cyrl-CS"/>
              </w:rPr>
              <w:t>198.512</w:t>
            </w:r>
          </w:p>
        </w:tc>
        <w:tc>
          <w:tcPr>
            <w:tcW w:w="1276" w:type="dxa"/>
            <w:vAlign w:val="center"/>
          </w:tcPr>
          <w:p w14:paraId="2DAC1230" w14:textId="77777777" w:rsidR="006C0D6C" w:rsidRPr="00BF3CDE" w:rsidRDefault="006C0D6C" w:rsidP="006C0D6C">
            <w:pPr>
              <w:jc w:val="right"/>
              <w:rPr>
                <w:rFonts w:ascii="Verdana" w:hAnsi="Verdana"/>
                <w:noProof/>
                <w:sz w:val="18"/>
                <w:szCs w:val="18"/>
                <w:lang w:val="sr-Cyrl-CS"/>
              </w:rPr>
            </w:pPr>
            <w:r w:rsidRPr="00BF3CDE">
              <w:rPr>
                <w:rFonts w:ascii="Verdana" w:hAnsi="Verdana"/>
                <w:noProof/>
                <w:sz w:val="18"/>
                <w:szCs w:val="18"/>
                <w:lang w:val="sr-Cyrl-CS"/>
              </w:rPr>
              <w:t>183.700</w:t>
            </w:r>
          </w:p>
        </w:tc>
        <w:tc>
          <w:tcPr>
            <w:tcW w:w="1179" w:type="dxa"/>
            <w:vAlign w:val="center"/>
          </w:tcPr>
          <w:p w14:paraId="3D4277AE" w14:textId="77777777" w:rsidR="006C0D6C" w:rsidRPr="00BF3CDE" w:rsidRDefault="006C0D6C" w:rsidP="006C0D6C">
            <w:pPr>
              <w:jc w:val="right"/>
              <w:rPr>
                <w:rFonts w:ascii="Verdana" w:hAnsi="Verdana"/>
                <w:noProof/>
                <w:sz w:val="18"/>
                <w:szCs w:val="18"/>
                <w:lang w:val="sr-Cyrl-CS"/>
              </w:rPr>
            </w:pPr>
            <w:r w:rsidRPr="00BF3CDE">
              <w:rPr>
                <w:rFonts w:ascii="Verdana" w:hAnsi="Verdana"/>
                <w:noProof/>
                <w:sz w:val="18"/>
                <w:szCs w:val="18"/>
                <w:lang w:val="sr-Cyrl-CS"/>
              </w:rPr>
              <w:t>219.660</w:t>
            </w:r>
          </w:p>
        </w:tc>
        <w:tc>
          <w:tcPr>
            <w:tcW w:w="1210" w:type="dxa"/>
            <w:vAlign w:val="center"/>
          </w:tcPr>
          <w:p w14:paraId="39F6298D" w14:textId="77777777" w:rsidR="006C0D6C" w:rsidRPr="00BF3CDE" w:rsidRDefault="006C0D6C" w:rsidP="006C0D6C">
            <w:pPr>
              <w:jc w:val="right"/>
              <w:rPr>
                <w:rFonts w:ascii="Verdana" w:hAnsi="Verdana"/>
                <w:noProof/>
                <w:sz w:val="18"/>
                <w:szCs w:val="18"/>
                <w:lang w:val="sr-Cyrl-CS"/>
              </w:rPr>
            </w:pPr>
            <w:r w:rsidRPr="00BF3CDE">
              <w:rPr>
                <w:rFonts w:ascii="Verdana" w:hAnsi="Verdana"/>
                <w:noProof/>
                <w:sz w:val="18"/>
                <w:szCs w:val="18"/>
                <w:lang w:val="sr-Cyrl-CS"/>
              </w:rPr>
              <w:t>214.312</w:t>
            </w:r>
          </w:p>
        </w:tc>
        <w:tc>
          <w:tcPr>
            <w:tcW w:w="1201" w:type="dxa"/>
            <w:vAlign w:val="center"/>
          </w:tcPr>
          <w:p w14:paraId="33A4C9CF" w14:textId="77777777" w:rsidR="006C0D6C" w:rsidRPr="00BF3CDE" w:rsidRDefault="006C0D6C" w:rsidP="006C0D6C">
            <w:pPr>
              <w:jc w:val="right"/>
              <w:rPr>
                <w:rFonts w:ascii="Verdana" w:hAnsi="Verdana"/>
                <w:noProof/>
                <w:sz w:val="18"/>
                <w:szCs w:val="18"/>
                <w:lang w:val="sr-Cyrl-CS"/>
              </w:rPr>
            </w:pPr>
            <w:r w:rsidRPr="00BF3CDE">
              <w:rPr>
                <w:rFonts w:ascii="Verdana" w:hAnsi="Verdana"/>
                <w:noProof/>
                <w:sz w:val="18"/>
                <w:szCs w:val="18"/>
                <w:lang w:val="sr-Cyrl-CS"/>
              </w:rPr>
              <w:t>186.979</w:t>
            </w:r>
          </w:p>
        </w:tc>
        <w:tc>
          <w:tcPr>
            <w:tcW w:w="1173" w:type="dxa"/>
            <w:vAlign w:val="center"/>
          </w:tcPr>
          <w:p w14:paraId="53DEDDE5" w14:textId="77777777" w:rsidR="006C0D6C" w:rsidRPr="00BF3CDE" w:rsidRDefault="006C0D6C" w:rsidP="006C0D6C">
            <w:pPr>
              <w:jc w:val="right"/>
              <w:rPr>
                <w:rFonts w:ascii="Verdana" w:hAnsi="Verdana"/>
                <w:noProof/>
                <w:sz w:val="18"/>
                <w:szCs w:val="18"/>
                <w:lang w:val="sr-Cyrl-CS"/>
              </w:rPr>
            </w:pPr>
            <w:r w:rsidRPr="00BF3CDE">
              <w:rPr>
                <w:rFonts w:ascii="Verdana" w:hAnsi="Verdana"/>
                <w:noProof/>
                <w:sz w:val="18"/>
                <w:szCs w:val="18"/>
                <w:lang w:val="sr-Cyrl-CS"/>
              </w:rPr>
              <w:t>170.413</w:t>
            </w:r>
          </w:p>
        </w:tc>
        <w:tc>
          <w:tcPr>
            <w:tcW w:w="1210" w:type="dxa"/>
            <w:vAlign w:val="center"/>
          </w:tcPr>
          <w:p w14:paraId="27F36FE9" w14:textId="77777777" w:rsidR="006C0D6C" w:rsidRPr="00BF3CDE" w:rsidRDefault="006C0D6C" w:rsidP="006C0D6C">
            <w:pPr>
              <w:jc w:val="right"/>
              <w:rPr>
                <w:rFonts w:ascii="Verdana" w:hAnsi="Verdana"/>
                <w:noProof/>
                <w:sz w:val="18"/>
                <w:szCs w:val="18"/>
                <w:lang w:val="sr-Cyrl-CS"/>
              </w:rPr>
            </w:pPr>
            <w:r w:rsidRPr="00BF3CDE">
              <w:rPr>
                <w:rFonts w:ascii="Verdana" w:hAnsi="Verdana"/>
                <w:noProof/>
                <w:sz w:val="18"/>
                <w:szCs w:val="18"/>
                <w:lang w:val="sr-Cyrl-CS"/>
              </w:rPr>
              <w:t>175.522</w:t>
            </w:r>
          </w:p>
        </w:tc>
      </w:tr>
      <w:tr w:rsidR="006C0D6C" w:rsidRPr="00BF3CDE" w14:paraId="05C02AE2" w14:textId="77777777" w:rsidTr="006C0D6C">
        <w:trPr>
          <w:cnfStyle w:val="000000100000" w:firstRow="0" w:lastRow="0" w:firstColumn="0" w:lastColumn="0" w:oddVBand="0" w:evenVBand="0" w:oddHBand="1" w:evenHBand="0" w:firstRowFirstColumn="0" w:firstRowLastColumn="0" w:lastRowFirstColumn="0" w:lastRowLastColumn="0"/>
          <w:trHeight w:val="274"/>
        </w:trPr>
        <w:tc>
          <w:tcPr>
            <w:tcW w:w="1101" w:type="dxa"/>
          </w:tcPr>
          <w:p w14:paraId="797BCF2A" w14:textId="77777777" w:rsidR="006C0D6C" w:rsidRPr="00BF3CDE" w:rsidRDefault="006C0D6C" w:rsidP="006C0D6C">
            <w:pPr>
              <w:widowControl w:val="0"/>
              <w:rPr>
                <w:rFonts w:ascii="Verdana" w:hAnsi="Verdana" w:cs="Tahoma"/>
                <w:b/>
                <w:noProof/>
                <w:sz w:val="18"/>
                <w:szCs w:val="18"/>
                <w:lang w:val="sr-Cyrl-CS"/>
              </w:rPr>
            </w:pPr>
            <w:r w:rsidRPr="00BF3CDE">
              <w:rPr>
                <w:rFonts w:ascii="Verdana" w:hAnsi="Verdana" w:cs="Tahoma"/>
                <w:b/>
                <w:noProof/>
                <w:sz w:val="18"/>
                <w:szCs w:val="18"/>
                <w:lang w:val="sr-Cyrl-CS"/>
              </w:rPr>
              <w:t>Европа</w:t>
            </w:r>
          </w:p>
        </w:tc>
        <w:tc>
          <w:tcPr>
            <w:tcW w:w="1275" w:type="dxa"/>
            <w:vAlign w:val="center"/>
          </w:tcPr>
          <w:p w14:paraId="1DC7849B" w14:textId="77777777" w:rsidR="006C0D6C" w:rsidRPr="00BF3CDE" w:rsidRDefault="006C0D6C" w:rsidP="006C0D6C">
            <w:pPr>
              <w:jc w:val="right"/>
              <w:rPr>
                <w:rFonts w:ascii="Verdana" w:hAnsi="Verdana"/>
                <w:noProof/>
                <w:sz w:val="18"/>
                <w:szCs w:val="18"/>
                <w:lang w:val="sr-Cyrl-CS"/>
              </w:rPr>
            </w:pPr>
            <w:r w:rsidRPr="00BF3CDE">
              <w:rPr>
                <w:rFonts w:ascii="Verdana" w:hAnsi="Verdana"/>
                <w:noProof/>
                <w:sz w:val="18"/>
                <w:szCs w:val="18"/>
                <w:lang w:val="sr-Cyrl-CS"/>
              </w:rPr>
              <w:t>132.342</w:t>
            </w:r>
          </w:p>
        </w:tc>
        <w:tc>
          <w:tcPr>
            <w:tcW w:w="1276" w:type="dxa"/>
            <w:vAlign w:val="center"/>
          </w:tcPr>
          <w:p w14:paraId="0A36FC03" w14:textId="77777777" w:rsidR="006C0D6C" w:rsidRPr="00BF3CDE" w:rsidRDefault="006C0D6C" w:rsidP="006C0D6C">
            <w:pPr>
              <w:jc w:val="right"/>
              <w:rPr>
                <w:rFonts w:ascii="Verdana" w:hAnsi="Verdana"/>
                <w:noProof/>
                <w:sz w:val="18"/>
                <w:szCs w:val="18"/>
                <w:lang w:val="sr-Cyrl-CS"/>
              </w:rPr>
            </w:pPr>
            <w:r w:rsidRPr="00BF3CDE">
              <w:rPr>
                <w:rFonts w:ascii="Verdana" w:hAnsi="Verdana"/>
                <w:noProof/>
                <w:sz w:val="18"/>
                <w:szCs w:val="18"/>
                <w:lang w:val="sr-Cyrl-CS"/>
              </w:rPr>
              <w:t>173.250</w:t>
            </w:r>
          </w:p>
        </w:tc>
        <w:tc>
          <w:tcPr>
            <w:tcW w:w="1179" w:type="dxa"/>
            <w:vAlign w:val="center"/>
          </w:tcPr>
          <w:p w14:paraId="7A6EC06D" w14:textId="77777777" w:rsidR="006C0D6C" w:rsidRPr="00BF3CDE" w:rsidRDefault="006C0D6C" w:rsidP="006C0D6C">
            <w:pPr>
              <w:jc w:val="right"/>
              <w:rPr>
                <w:rFonts w:ascii="Verdana" w:hAnsi="Verdana"/>
                <w:noProof/>
                <w:sz w:val="18"/>
                <w:szCs w:val="18"/>
                <w:lang w:val="sr-Cyrl-CS"/>
              </w:rPr>
            </w:pPr>
            <w:r w:rsidRPr="00BF3CDE">
              <w:rPr>
                <w:rFonts w:ascii="Verdana" w:hAnsi="Verdana"/>
                <w:noProof/>
                <w:sz w:val="18"/>
                <w:szCs w:val="18"/>
                <w:lang w:val="sr-Cyrl-CS"/>
              </w:rPr>
              <w:t>111.713</w:t>
            </w:r>
          </w:p>
        </w:tc>
        <w:tc>
          <w:tcPr>
            <w:tcW w:w="1210" w:type="dxa"/>
            <w:vAlign w:val="center"/>
          </w:tcPr>
          <w:p w14:paraId="05D8FE6D" w14:textId="77777777" w:rsidR="006C0D6C" w:rsidRPr="00BF3CDE" w:rsidRDefault="006C0D6C" w:rsidP="006C0D6C">
            <w:pPr>
              <w:jc w:val="right"/>
              <w:rPr>
                <w:rFonts w:ascii="Verdana" w:hAnsi="Verdana"/>
                <w:noProof/>
                <w:sz w:val="18"/>
                <w:szCs w:val="18"/>
                <w:lang w:val="sr-Cyrl-CS"/>
              </w:rPr>
            </w:pPr>
            <w:r w:rsidRPr="00BF3CDE">
              <w:rPr>
                <w:rFonts w:ascii="Verdana" w:hAnsi="Verdana"/>
                <w:noProof/>
                <w:sz w:val="18"/>
                <w:szCs w:val="18"/>
                <w:lang w:val="sr-Cyrl-CS"/>
              </w:rPr>
              <w:t>52.689</w:t>
            </w:r>
          </w:p>
        </w:tc>
        <w:tc>
          <w:tcPr>
            <w:tcW w:w="1201" w:type="dxa"/>
            <w:vAlign w:val="center"/>
          </w:tcPr>
          <w:p w14:paraId="70A55391" w14:textId="77777777" w:rsidR="006C0D6C" w:rsidRPr="00BF3CDE" w:rsidRDefault="006C0D6C" w:rsidP="006C0D6C">
            <w:pPr>
              <w:jc w:val="right"/>
              <w:rPr>
                <w:rFonts w:ascii="Verdana" w:hAnsi="Verdana"/>
                <w:noProof/>
                <w:sz w:val="18"/>
                <w:szCs w:val="18"/>
                <w:lang w:val="sr-Cyrl-CS"/>
              </w:rPr>
            </w:pPr>
            <w:r w:rsidRPr="00BF3CDE">
              <w:rPr>
                <w:rFonts w:ascii="Verdana" w:hAnsi="Verdana"/>
                <w:noProof/>
                <w:sz w:val="18"/>
                <w:szCs w:val="18"/>
                <w:lang w:val="sr-Cyrl-CS"/>
              </w:rPr>
              <w:t>35.952</w:t>
            </w:r>
          </w:p>
        </w:tc>
        <w:tc>
          <w:tcPr>
            <w:tcW w:w="1173" w:type="dxa"/>
            <w:vAlign w:val="center"/>
          </w:tcPr>
          <w:p w14:paraId="1183D5D1" w14:textId="77777777" w:rsidR="006C0D6C" w:rsidRPr="00BF3CDE" w:rsidRDefault="006C0D6C" w:rsidP="006C0D6C">
            <w:pPr>
              <w:jc w:val="right"/>
              <w:rPr>
                <w:rFonts w:ascii="Verdana" w:hAnsi="Verdana"/>
                <w:noProof/>
                <w:sz w:val="18"/>
                <w:szCs w:val="18"/>
                <w:lang w:val="sr-Cyrl-CS"/>
              </w:rPr>
            </w:pPr>
            <w:r w:rsidRPr="00BF3CDE">
              <w:rPr>
                <w:rFonts w:ascii="Verdana" w:hAnsi="Verdana"/>
                <w:noProof/>
                <w:sz w:val="18"/>
                <w:szCs w:val="18"/>
                <w:lang w:val="sr-Cyrl-CS"/>
              </w:rPr>
              <w:t>36,199</w:t>
            </w:r>
          </w:p>
        </w:tc>
        <w:tc>
          <w:tcPr>
            <w:tcW w:w="1210" w:type="dxa"/>
            <w:vAlign w:val="center"/>
          </w:tcPr>
          <w:p w14:paraId="09AE7B63" w14:textId="77777777" w:rsidR="006C0D6C" w:rsidRPr="00BF3CDE" w:rsidRDefault="006C0D6C" w:rsidP="006C0D6C">
            <w:pPr>
              <w:jc w:val="right"/>
              <w:rPr>
                <w:rFonts w:ascii="Verdana" w:hAnsi="Verdana"/>
                <w:noProof/>
                <w:sz w:val="18"/>
                <w:szCs w:val="18"/>
                <w:lang w:val="sr-Cyrl-CS"/>
              </w:rPr>
            </w:pPr>
            <w:r w:rsidRPr="00BF3CDE">
              <w:rPr>
                <w:rFonts w:ascii="Verdana" w:hAnsi="Verdana"/>
                <w:noProof/>
                <w:sz w:val="18"/>
                <w:szCs w:val="18"/>
                <w:lang w:val="sr-Cyrl-CS"/>
              </w:rPr>
              <w:t>43.957</w:t>
            </w:r>
          </w:p>
        </w:tc>
      </w:tr>
      <w:tr w:rsidR="006C0D6C" w:rsidRPr="00BF3CDE" w14:paraId="2EB069CE" w14:textId="77777777" w:rsidTr="006C0D6C">
        <w:trPr>
          <w:trHeight w:val="274"/>
        </w:trPr>
        <w:tc>
          <w:tcPr>
            <w:tcW w:w="1101" w:type="dxa"/>
          </w:tcPr>
          <w:p w14:paraId="3839D022" w14:textId="77777777" w:rsidR="006C0D6C" w:rsidRPr="00BF3CDE" w:rsidRDefault="006C0D6C" w:rsidP="006C0D6C">
            <w:pPr>
              <w:widowControl w:val="0"/>
              <w:rPr>
                <w:rFonts w:ascii="Verdana" w:hAnsi="Verdana" w:cs="Tahoma"/>
                <w:b/>
                <w:noProof/>
                <w:sz w:val="18"/>
                <w:szCs w:val="18"/>
                <w:lang w:val="sr-Cyrl-CS"/>
              </w:rPr>
            </w:pPr>
            <w:r w:rsidRPr="00BF3CDE">
              <w:rPr>
                <w:rFonts w:ascii="Verdana" w:hAnsi="Verdana" w:cs="Tahoma"/>
                <w:b/>
                <w:noProof/>
                <w:sz w:val="18"/>
                <w:szCs w:val="18"/>
                <w:lang w:val="sr-Cyrl-CS"/>
              </w:rPr>
              <w:t>Азија</w:t>
            </w:r>
          </w:p>
        </w:tc>
        <w:tc>
          <w:tcPr>
            <w:tcW w:w="1275" w:type="dxa"/>
            <w:vAlign w:val="center"/>
          </w:tcPr>
          <w:p w14:paraId="1CF26C64" w14:textId="77777777" w:rsidR="006C0D6C" w:rsidRPr="00BF3CDE" w:rsidRDefault="006C0D6C" w:rsidP="006C0D6C">
            <w:pPr>
              <w:jc w:val="right"/>
              <w:rPr>
                <w:rFonts w:ascii="Verdana" w:hAnsi="Verdana"/>
                <w:noProof/>
                <w:sz w:val="18"/>
                <w:szCs w:val="18"/>
                <w:lang w:val="sr-Cyrl-CS"/>
              </w:rPr>
            </w:pPr>
            <w:r w:rsidRPr="00BF3CDE">
              <w:rPr>
                <w:rFonts w:ascii="Verdana" w:hAnsi="Verdana"/>
                <w:noProof/>
                <w:sz w:val="18"/>
                <w:szCs w:val="18"/>
                <w:lang w:val="sr-Cyrl-CS"/>
              </w:rPr>
              <w:t>264.683</w:t>
            </w:r>
          </w:p>
        </w:tc>
        <w:tc>
          <w:tcPr>
            <w:tcW w:w="1276" w:type="dxa"/>
            <w:vAlign w:val="center"/>
          </w:tcPr>
          <w:p w14:paraId="1B34E91C" w14:textId="77777777" w:rsidR="006C0D6C" w:rsidRPr="00BF3CDE" w:rsidRDefault="006C0D6C" w:rsidP="006C0D6C">
            <w:pPr>
              <w:jc w:val="right"/>
              <w:rPr>
                <w:rFonts w:ascii="Verdana" w:hAnsi="Verdana"/>
                <w:noProof/>
                <w:sz w:val="18"/>
                <w:szCs w:val="18"/>
                <w:lang w:val="sr-Cyrl-CS"/>
              </w:rPr>
            </w:pPr>
            <w:r w:rsidRPr="00BF3CDE">
              <w:rPr>
                <w:rFonts w:ascii="Verdana" w:hAnsi="Verdana"/>
                <w:noProof/>
                <w:sz w:val="18"/>
                <w:szCs w:val="18"/>
                <w:lang w:val="sr-Cyrl-CS"/>
              </w:rPr>
              <w:t>192.318</w:t>
            </w:r>
          </w:p>
        </w:tc>
        <w:tc>
          <w:tcPr>
            <w:tcW w:w="1179" w:type="dxa"/>
            <w:vAlign w:val="center"/>
          </w:tcPr>
          <w:p w14:paraId="57DF942A" w14:textId="77777777" w:rsidR="006C0D6C" w:rsidRPr="00BF3CDE" w:rsidRDefault="006C0D6C" w:rsidP="006C0D6C">
            <w:pPr>
              <w:jc w:val="right"/>
              <w:rPr>
                <w:rFonts w:ascii="Verdana" w:hAnsi="Verdana"/>
                <w:noProof/>
                <w:sz w:val="18"/>
                <w:szCs w:val="18"/>
                <w:lang w:val="sr-Cyrl-CS"/>
              </w:rPr>
            </w:pPr>
            <w:r w:rsidRPr="00BF3CDE">
              <w:rPr>
                <w:rFonts w:ascii="Verdana" w:hAnsi="Verdana"/>
                <w:noProof/>
                <w:sz w:val="18"/>
                <w:szCs w:val="18"/>
                <w:lang w:val="sr-Cyrl-CS"/>
              </w:rPr>
              <w:t>202.087</w:t>
            </w:r>
          </w:p>
        </w:tc>
        <w:tc>
          <w:tcPr>
            <w:tcW w:w="1210" w:type="dxa"/>
            <w:vAlign w:val="center"/>
          </w:tcPr>
          <w:p w14:paraId="3743E38E" w14:textId="77777777" w:rsidR="006C0D6C" w:rsidRPr="00BF3CDE" w:rsidRDefault="006C0D6C" w:rsidP="006C0D6C">
            <w:pPr>
              <w:jc w:val="right"/>
              <w:rPr>
                <w:rFonts w:ascii="Verdana" w:hAnsi="Verdana"/>
                <w:noProof/>
                <w:sz w:val="18"/>
                <w:szCs w:val="18"/>
                <w:lang w:val="sr-Cyrl-CS"/>
              </w:rPr>
            </w:pPr>
            <w:r w:rsidRPr="00BF3CDE">
              <w:rPr>
                <w:rFonts w:ascii="Verdana" w:hAnsi="Verdana"/>
                <w:noProof/>
                <w:sz w:val="18"/>
                <w:szCs w:val="18"/>
                <w:lang w:val="sr-Cyrl-CS"/>
              </w:rPr>
              <w:t>173.372</w:t>
            </w:r>
          </w:p>
        </w:tc>
        <w:tc>
          <w:tcPr>
            <w:tcW w:w="1201" w:type="dxa"/>
            <w:vAlign w:val="center"/>
          </w:tcPr>
          <w:p w14:paraId="427D7F53" w14:textId="77777777" w:rsidR="006C0D6C" w:rsidRPr="00BF3CDE" w:rsidRDefault="006C0D6C" w:rsidP="006C0D6C">
            <w:pPr>
              <w:jc w:val="right"/>
              <w:rPr>
                <w:rFonts w:ascii="Verdana" w:hAnsi="Verdana"/>
                <w:noProof/>
                <w:sz w:val="18"/>
                <w:szCs w:val="18"/>
                <w:lang w:val="sr-Cyrl-CS"/>
              </w:rPr>
            </w:pPr>
            <w:r w:rsidRPr="00BF3CDE">
              <w:rPr>
                <w:rFonts w:ascii="Verdana" w:hAnsi="Verdana"/>
                <w:noProof/>
                <w:sz w:val="18"/>
                <w:szCs w:val="18"/>
                <w:lang w:val="sr-Cyrl-CS"/>
              </w:rPr>
              <w:t>158.141</w:t>
            </w:r>
          </w:p>
        </w:tc>
        <w:tc>
          <w:tcPr>
            <w:tcW w:w="1173" w:type="dxa"/>
            <w:vAlign w:val="center"/>
          </w:tcPr>
          <w:p w14:paraId="638A6A98" w14:textId="77777777" w:rsidR="006C0D6C" w:rsidRPr="00BF3CDE" w:rsidRDefault="006C0D6C" w:rsidP="006C0D6C">
            <w:pPr>
              <w:jc w:val="right"/>
              <w:rPr>
                <w:rFonts w:ascii="Verdana" w:hAnsi="Verdana"/>
                <w:noProof/>
                <w:sz w:val="18"/>
                <w:szCs w:val="18"/>
                <w:lang w:val="sr-Cyrl-CS"/>
              </w:rPr>
            </w:pPr>
            <w:r w:rsidRPr="00BF3CDE">
              <w:rPr>
                <w:rFonts w:ascii="Verdana" w:hAnsi="Verdana"/>
                <w:noProof/>
                <w:sz w:val="18"/>
                <w:szCs w:val="18"/>
                <w:lang w:val="sr-Cyrl-CS"/>
              </w:rPr>
              <w:t>27.091</w:t>
            </w:r>
          </w:p>
        </w:tc>
        <w:tc>
          <w:tcPr>
            <w:tcW w:w="1210" w:type="dxa"/>
            <w:vAlign w:val="center"/>
          </w:tcPr>
          <w:p w14:paraId="50282215" w14:textId="77777777" w:rsidR="006C0D6C" w:rsidRPr="00BF3CDE" w:rsidRDefault="006C0D6C" w:rsidP="006C0D6C">
            <w:pPr>
              <w:jc w:val="right"/>
              <w:rPr>
                <w:rFonts w:ascii="Verdana" w:hAnsi="Verdana"/>
                <w:noProof/>
                <w:sz w:val="18"/>
                <w:szCs w:val="18"/>
                <w:lang w:val="sr-Cyrl-CS"/>
              </w:rPr>
            </w:pPr>
            <w:r w:rsidRPr="00BF3CDE">
              <w:rPr>
                <w:rFonts w:ascii="Verdana" w:hAnsi="Verdana"/>
                <w:noProof/>
                <w:sz w:val="18"/>
                <w:szCs w:val="18"/>
                <w:lang w:val="sr-Cyrl-CS"/>
              </w:rPr>
              <w:t>4.790</w:t>
            </w:r>
          </w:p>
        </w:tc>
      </w:tr>
    </w:tbl>
    <w:p w14:paraId="40D7C613" w14:textId="77777777" w:rsidR="006C0D6C" w:rsidRPr="00BF3CDE" w:rsidRDefault="006C0D6C" w:rsidP="006C0D6C">
      <w:pPr>
        <w:spacing w:after="120" w:line="240" w:lineRule="auto"/>
        <w:ind w:firstLine="567"/>
        <w:jc w:val="both"/>
        <w:rPr>
          <w:rStyle w:val="Hyperlink"/>
          <w:noProof/>
          <w:color w:val="auto"/>
          <w:sz w:val="6"/>
          <w:szCs w:val="6"/>
          <w:lang w:val="sr-Cyrl-CS"/>
        </w:rPr>
      </w:pPr>
    </w:p>
    <w:p w14:paraId="30D69042" w14:textId="77777777" w:rsidR="006C0D6C" w:rsidRDefault="006C0D6C" w:rsidP="00740812">
      <w:pPr>
        <w:spacing w:after="120" w:line="240" w:lineRule="auto"/>
        <w:ind w:firstLine="567"/>
        <w:jc w:val="both"/>
        <w:rPr>
          <w:rStyle w:val="Hyperlink"/>
          <w:noProof/>
          <w:color w:val="auto"/>
          <w:sz w:val="20"/>
          <w:szCs w:val="20"/>
          <w:lang w:val="sr-Latn-RS"/>
        </w:rPr>
      </w:pPr>
      <w:r w:rsidRPr="00BF3CDE">
        <w:rPr>
          <w:rStyle w:val="Hyperlink"/>
          <w:noProof/>
          <w:color w:val="auto"/>
          <w:sz w:val="20"/>
          <w:szCs w:val="20"/>
          <w:lang w:val="sr-Cyrl-CS"/>
        </w:rPr>
        <w:t>Премија реосигурања остварена са тржишта Србије у периоду 01.01.2014 – 31.12.2014. године, мања је у односу на исти п</w:t>
      </w:r>
      <w:r w:rsidR="00740812" w:rsidRPr="00BF3CDE">
        <w:rPr>
          <w:rStyle w:val="Hyperlink"/>
          <w:noProof/>
          <w:color w:val="auto"/>
          <w:sz w:val="20"/>
          <w:szCs w:val="20"/>
          <w:lang w:val="sr-Cyrl-CS"/>
        </w:rPr>
        <w:t xml:space="preserve">ериод прошле године за 13,70%. </w:t>
      </w:r>
    </w:p>
    <w:p w14:paraId="79A9B17A" w14:textId="77777777" w:rsidR="009B1CE0" w:rsidRDefault="009B1CE0" w:rsidP="00740812">
      <w:pPr>
        <w:spacing w:after="120" w:line="240" w:lineRule="auto"/>
        <w:ind w:firstLine="567"/>
        <w:jc w:val="both"/>
        <w:rPr>
          <w:rStyle w:val="Hyperlink"/>
          <w:noProof/>
          <w:color w:val="auto"/>
          <w:sz w:val="20"/>
          <w:szCs w:val="20"/>
          <w:lang w:val="sr-Latn-RS"/>
        </w:rPr>
      </w:pPr>
    </w:p>
    <w:p w14:paraId="7E0A8EDA" w14:textId="77777777" w:rsidR="009B1CE0" w:rsidRDefault="009B1CE0" w:rsidP="00740812">
      <w:pPr>
        <w:spacing w:after="120" w:line="240" w:lineRule="auto"/>
        <w:ind w:firstLine="567"/>
        <w:jc w:val="both"/>
        <w:rPr>
          <w:rStyle w:val="Hyperlink"/>
          <w:noProof/>
          <w:color w:val="auto"/>
          <w:sz w:val="20"/>
          <w:szCs w:val="20"/>
          <w:lang w:val="sr-Latn-RS"/>
        </w:rPr>
      </w:pPr>
    </w:p>
    <w:p w14:paraId="761732DC" w14:textId="77777777" w:rsidR="009B1CE0" w:rsidRPr="009B1CE0" w:rsidRDefault="009B1CE0" w:rsidP="00740812">
      <w:pPr>
        <w:spacing w:after="120" w:line="240" w:lineRule="auto"/>
        <w:ind w:firstLine="567"/>
        <w:jc w:val="both"/>
        <w:rPr>
          <w:rStyle w:val="Hyperlink"/>
          <w:noProof/>
          <w:color w:val="auto"/>
          <w:sz w:val="20"/>
          <w:szCs w:val="20"/>
          <w:lang w:val="sr-Latn-RS"/>
        </w:rPr>
      </w:pPr>
    </w:p>
    <w:tbl>
      <w:tblPr>
        <w:tblpPr w:leftFromText="180" w:rightFromText="180" w:vertAnchor="text" w:horzAnchor="page" w:tblpX="7927" w:tblpY="200"/>
        <w:tblW w:w="3160" w:type="dxa"/>
        <w:tblLook w:val="04A0" w:firstRow="1" w:lastRow="0" w:firstColumn="1" w:lastColumn="0" w:noHBand="0" w:noVBand="1"/>
      </w:tblPr>
      <w:tblGrid>
        <w:gridCol w:w="2367"/>
        <w:gridCol w:w="793"/>
      </w:tblGrid>
      <w:tr w:rsidR="006C0D6C" w:rsidRPr="00BF3CDE" w14:paraId="06F7E2B5" w14:textId="77777777" w:rsidTr="00740812">
        <w:trPr>
          <w:trHeight w:val="283"/>
        </w:trPr>
        <w:tc>
          <w:tcPr>
            <w:tcW w:w="2367" w:type="dxa"/>
            <w:tcBorders>
              <w:top w:val="nil"/>
              <w:left w:val="nil"/>
              <w:bottom w:val="nil"/>
              <w:right w:val="nil"/>
            </w:tcBorders>
            <w:shd w:val="clear" w:color="auto" w:fill="auto"/>
            <w:vAlign w:val="center"/>
            <w:hideMark/>
          </w:tcPr>
          <w:p w14:paraId="32690726" w14:textId="77777777" w:rsidR="006C0D6C" w:rsidRPr="00BF3CDE" w:rsidRDefault="006C0D6C" w:rsidP="00740812">
            <w:pPr>
              <w:spacing w:after="0" w:line="240" w:lineRule="auto"/>
              <w:rPr>
                <w:rFonts w:ascii="Verdana" w:hAnsi="Verdana" w:cs="Arial"/>
                <w:noProof/>
                <w:color w:val="000000"/>
                <w:sz w:val="14"/>
                <w:szCs w:val="14"/>
                <w:lang w:val="sr-Cyrl-CS"/>
              </w:rPr>
            </w:pPr>
            <w:r w:rsidRPr="00BF3CDE">
              <w:rPr>
                <w:rFonts w:ascii="Verdana" w:hAnsi="Verdana" w:cs="Arial"/>
                <w:noProof/>
                <w:color w:val="000000"/>
                <w:sz w:val="14"/>
                <w:szCs w:val="14"/>
                <w:lang w:val="sr-Cyrl-CS"/>
              </w:rPr>
              <w:lastRenderedPageBreak/>
              <w:t>DUNAV OSIGURANJE</w:t>
            </w:r>
          </w:p>
        </w:tc>
        <w:tc>
          <w:tcPr>
            <w:tcW w:w="793" w:type="dxa"/>
            <w:tcBorders>
              <w:top w:val="nil"/>
              <w:left w:val="nil"/>
              <w:bottom w:val="nil"/>
              <w:right w:val="nil"/>
            </w:tcBorders>
            <w:shd w:val="clear" w:color="auto" w:fill="auto"/>
            <w:noWrap/>
            <w:vAlign w:val="center"/>
            <w:hideMark/>
          </w:tcPr>
          <w:p w14:paraId="0244081D" w14:textId="77777777" w:rsidR="006C0D6C" w:rsidRPr="00BF3CDE" w:rsidRDefault="006C0D6C" w:rsidP="00740812">
            <w:pPr>
              <w:spacing w:after="0" w:line="240" w:lineRule="auto"/>
              <w:jc w:val="center"/>
              <w:rPr>
                <w:rFonts w:ascii="Verdana" w:hAnsi="Verdana" w:cs="Arial"/>
                <w:noProof/>
                <w:color w:val="000000"/>
                <w:sz w:val="14"/>
                <w:szCs w:val="14"/>
                <w:lang w:val="sr-Cyrl-CS"/>
              </w:rPr>
            </w:pPr>
            <w:r w:rsidRPr="00BF3CDE">
              <w:rPr>
                <w:rFonts w:ascii="Verdana" w:hAnsi="Verdana" w:cs="Arial"/>
                <w:noProof/>
                <w:color w:val="000000"/>
                <w:sz w:val="14"/>
                <w:szCs w:val="14"/>
                <w:lang w:val="sr-Cyrl-CS"/>
              </w:rPr>
              <w:t>39,72%</w:t>
            </w:r>
          </w:p>
        </w:tc>
      </w:tr>
      <w:tr w:rsidR="006C0D6C" w:rsidRPr="00BF3CDE" w14:paraId="7BB6152D" w14:textId="77777777" w:rsidTr="00740812">
        <w:trPr>
          <w:trHeight w:val="283"/>
        </w:trPr>
        <w:tc>
          <w:tcPr>
            <w:tcW w:w="2367" w:type="dxa"/>
            <w:tcBorders>
              <w:top w:val="nil"/>
              <w:left w:val="nil"/>
              <w:bottom w:val="nil"/>
              <w:right w:val="nil"/>
            </w:tcBorders>
            <w:shd w:val="clear" w:color="auto" w:fill="auto"/>
            <w:vAlign w:val="center"/>
            <w:hideMark/>
          </w:tcPr>
          <w:p w14:paraId="6EC0E6A3" w14:textId="77777777" w:rsidR="006C0D6C" w:rsidRPr="00BF3CDE" w:rsidRDefault="006C0D6C" w:rsidP="00740812">
            <w:pPr>
              <w:spacing w:after="0" w:line="240" w:lineRule="auto"/>
              <w:rPr>
                <w:rFonts w:ascii="Verdana" w:hAnsi="Verdana" w:cs="Arial"/>
                <w:noProof/>
                <w:color w:val="000000"/>
                <w:sz w:val="14"/>
                <w:szCs w:val="14"/>
                <w:lang w:val="sr-Cyrl-CS"/>
              </w:rPr>
            </w:pPr>
            <w:r w:rsidRPr="00BF3CDE">
              <w:rPr>
                <w:rFonts w:ascii="Verdana" w:hAnsi="Verdana" w:cs="Arial"/>
                <w:noProof/>
                <w:color w:val="000000"/>
                <w:sz w:val="14"/>
                <w:szCs w:val="14"/>
                <w:lang w:val="sr-Cyrl-CS"/>
              </w:rPr>
              <w:t>SOGAZ</w:t>
            </w:r>
          </w:p>
        </w:tc>
        <w:tc>
          <w:tcPr>
            <w:tcW w:w="793" w:type="dxa"/>
            <w:tcBorders>
              <w:top w:val="nil"/>
              <w:left w:val="nil"/>
              <w:bottom w:val="nil"/>
              <w:right w:val="nil"/>
            </w:tcBorders>
            <w:shd w:val="clear" w:color="auto" w:fill="auto"/>
            <w:noWrap/>
            <w:vAlign w:val="center"/>
            <w:hideMark/>
          </w:tcPr>
          <w:p w14:paraId="795CE47A" w14:textId="77777777" w:rsidR="006C0D6C" w:rsidRPr="00BF3CDE" w:rsidRDefault="006C0D6C" w:rsidP="00740812">
            <w:pPr>
              <w:spacing w:after="0" w:line="240" w:lineRule="auto"/>
              <w:jc w:val="center"/>
              <w:rPr>
                <w:rFonts w:ascii="Verdana" w:hAnsi="Verdana" w:cs="Arial"/>
                <w:noProof/>
                <w:color w:val="000000"/>
                <w:sz w:val="14"/>
                <w:szCs w:val="14"/>
                <w:lang w:val="sr-Cyrl-CS"/>
              </w:rPr>
            </w:pPr>
            <w:r w:rsidRPr="00BF3CDE">
              <w:rPr>
                <w:rFonts w:ascii="Verdana" w:hAnsi="Verdana" w:cs="Arial"/>
                <w:noProof/>
                <w:color w:val="000000"/>
                <w:sz w:val="14"/>
                <w:szCs w:val="14"/>
                <w:lang w:val="sr-Cyrl-CS"/>
              </w:rPr>
              <w:t>21,46%</w:t>
            </w:r>
          </w:p>
        </w:tc>
      </w:tr>
      <w:tr w:rsidR="006C0D6C" w:rsidRPr="00BF3CDE" w14:paraId="7C89101B" w14:textId="77777777" w:rsidTr="00740812">
        <w:trPr>
          <w:trHeight w:val="283"/>
        </w:trPr>
        <w:tc>
          <w:tcPr>
            <w:tcW w:w="2367" w:type="dxa"/>
            <w:tcBorders>
              <w:top w:val="nil"/>
              <w:left w:val="nil"/>
              <w:bottom w:val="nil"/>
              <w:right w:val="nil"/>
            </w:tcBorders>
            <w:shd w:val="clear" w:color="auto" w:fill="auto"/>
            <w:vAlign w:val="center"/>
            <w:hideMark/>
          </w:tcPr>
          <w:p w14:paraId="13575F1A" w14:textId="77777777" w:rsidR="006C0D6C" w:rsidRPr="00C41649" w:rsidRDefault="006C0D6C" w:rsidP="00740812">
            <w:pPr>
              <w:spacing w:after="0" w:line="240" w:lineRule="auto"/>
              <w:rPr>
                <w:rFonts w:ascii="Verdana" w:hAnsi="Verdana" w:cs="Arial"/>
                <w:noProof/>
                <w:color w:val="000000"/>
                <w:sz w:val="14"/>
                <w:szCs w:val="14"/>
                <w:lang w:val="sr-Cyrl-CS"/>
              </w:rPr>
            </w:pPr>
            <w:r w:rsidRPr="00C41649">
              <w:rPr>
                <w:rFonts w:ascii="Verdana" w:hAnsi="Verdana" w:cs="Arial"/>
                <w:noProof/>
                <w:color w:val="000000"/>
                <w:sz w:val="14"/>
                <w:szCs w:val="14"/>
                <w:lang w:val="sr-Cyrl-CS"/>
              </w:rPr>
              <w:t>TRIGLAV OSIGURANJE</w:t>
            </w:r>
          </w:p>
        </w:tc>
        <w:tc>
          <w:tcPr>
            <w:tcW w:w="793" w:type="dxa"/>
            <w:tcBorders>
              <w:top w:val="nil"/>
              <w:left w:val="nil"/>
              <w:bottom w:val="nil"/>
              <w:right w:val="nil"/>
            </w:tcBorders>
            <w:shd w:val="clear" w:color="auto" w:fill="auto"/>
            <w:noWrap/>
            <w:vAlign w:val="center"/>
            <w:hideMark/>
          </w:tcPr>
          <w:p w14:paraId="19E836BF" w14:textId="77777777" w:rsidR="006C0D6C" w:rsidRPr="00C41649" w:rsidRDefault="006C0D6C" w:rsidP="00740812">
            <w:pPr>
              <w:spacing w:after="0" w:line="240" w:lineRule="auto"/>
              <w:jc w:val="center"/>
              <w:rPr>
                <w:rFonts w:ascii="Verdana" w:hAnsi="Verdana" w:cs="Arial"/>
                <w:noProof/>
                <w:color w:val="000000"/>
                <w:sz w:val="14"/>
                <w:szCs w:val="14"/>
                <w:lang w:val="sr-Cyrl-CS"/>
              </w:rPr>
            </w:pPr>
            <w:r w:rsidRPr="00C41649">
              <w:rPr>
                <w:rFonts w:ascii="Verdana" w:hAnsi="Verdana" w:cs="Arial"/>
                <w:noProof/>
                <w:color w:val="000000"/>
                <w:sz w:val="14"/>
                <w:szCs w:val="14"/>
                <w:lang w:val="sr-Cyrl-CS"/>
              </w:rPr>
              <w:t>7,96%</w:t>
            </w:r>
          </w:p>
        </w:tc>
      </w:tr>
      <w:tr w:rsidR="006C0D6C" w:rsidRPr="00BF3CDE" w14:paraId="027F1C58" w14:textId="77777777" w:rsidTr="00740812">
        <w:trPr>
          <w:trHeight w:val="283"/>
        </w:trPr>
        <w:tc>
          <w:tcPr>
            <w:tcW w:w="2367" w:type="dxa"/>
            <w:tcBorders>
              <w:top w:val="nil"/>
              <w:left w:val="nil"/>
              <w:bottom w:val="nil"/>
              <w:right w:val="nil"/>
            </w:tcBorders>
            <w:shd w:val="clear" w:color="auto" w:fill="auto"/>
            <w:vAlign w:val="center"/>
            <w:hideMark/>
          </w:tcPr>
          <w:p w14:paraId="313BCA08" w14:textId="77777777" w:rsidR="006C0D6C" w:rsidRPr="00C41649" w:rsidRDefault="006C0D6C" w:rsidP="00740812">
            <w:pPr>
              <w:spacing w:after="0" w:line="240" w:lineRule="auto"/>
              <w:rPr>
                <w:rFonts w:ascii="Verdana" w:hAnsi="Verdana" w:cs="Arial"/>
                <w:noProof/>
                <w:color w:val="000000"/>
                <w:sz w:val="14"/>
                <w:szCs w:val="14"/>
                <w:lang w:val="sr-Cyrl-CS"/>
              </w:rPr>
            </w:pPr>
            <w:r w:rsidRPr="00C41649">
              <w:rPr>
                <w:rFonts w:ascii="Verdana" w:hAnsi="Verdana" w:cs="Arial"/>
                <w:noProof/>
                <w:color w:val="000000"/>
                <w:sz w:val="14"/>
                <w:szCs w:val="14"/>
                <w:lang w:val="sr-Cyrl-CS"/>
              </w:rPr>
              <w:t>SAVA OSIGURANJE</w:t>
            </w:r>
          </w:p>
        </w:tc>
        <w:tc>
          <w:tcPr>
            <w:tcW w:w="793" w:type="dxa"/>
            <w:tcBorders>
              <w:top w:val="nil"/>
              <w:left w:val="nil"/>
              <w:bottom w:val="nil"/>
              <w:right w:val="nil"/>
            </w:tcBorders>
            <w:shd w:val="clear" w:color="auto" w:fill="auto"/>
            <w:noWrap/>
            <w:vAlign w:val="center"/>
            <w:hideMark/>
          </w:tcPr>
          <w:p w14:paraId="5DC24FE0" w14:textId="77777777" w:rsidR="006C0D6C" w:rsidRPr="00C41649" w:rsidRDefault="006C0D6C" w:rsidP="00740812">
            <w:pPr>
              <w:spacing w:after="0" w:line="240" w:lineRule="auto"/>
              <w:jc w:val="center"/>
              <w:rPr>
                <w:rFonts w:ascii="Verdana" w:hAnsi="Verdana" w:cs="Arial"/>
                <w:noProof/>
                <w:color w:val="000000"/>
                <w:sz w:val="14"/>
                <w:szCs w:val="14"/>
                <w:lang w:val="sr-Cyrl-CS"/>
              </w:rPr>
            </w:pPr>
            <w:r w:rsidRPr="00C41649">
              <w:rPr>
                <w:rFonts w:ascii="Verdana" w:hAnsi="Verdana" w:cs="Arial"/>
                <w:noProof/>
                <w:color w:val="000000"/>
                <w:sz w:val="14"/>
                <w:szCs w:val="14"/>
                <w:lang w:val="sr-Cyrl-CS"/>
              </w:rPr>
              <w:t>4,88%</w:t>
            </w:r>
          </w:p>
        </w:tc>
      </w:tr>
      <w:tr w:rsidR="006C0D6C" w:rsidRPr="00BF3CDE" w14:paraId="5B250C9B" w14:textId="77777777" w:rsidTr="00740812">
        <w:trPr>
          <w:trHeight w:val="283"/>
        </w:trPr>
        <w:tc>
          <w:tcPr>
            <w:tcW w:w="2367" w:type="dxa"/>
            <w:tcBorders>
              <w:top w:val="nil"/>
              <w:left w:val="nil"/>
              <w:bottom w:val="nil"/>
              <w:right w:val="nil"/>
            </w:tcBorders>
            <w:shd w:val="clear" w:color="auto" w:fill="auto"/>
            <w:vAlign w:val="center"/>
            <w:hideMark/>
          </w:tcPr>
          <w:p w14:paraId="616F18E2" w14:textId="77777777" w:rsidR="006C0D6C" w:rsidRPr="00C41649" w:rsidRDefault="006C0D6C" w:rsidP="00740812">
            <w:pPr>
              <w:spacing w:after="0" w:line="240" w:lineRule="auto"/>
              <w:rPr>
                <w:rFonts w:ascii="Verdana" w:hAnsi="Verdana" w:cs="Arial"/>
                <w:noProof/>
                <w:color w:val="000000"/>
                <w:sz w:val="14"/>
                <w:szCs w:val="14"/>
                <w:lang w:val="sr-Cyrl-CS"/>
              </w:rPr>
            </w:pPr>
            <w:r w:rsidRPr="00C41649">
              <w:rPr>
                <w:rFonts w:ascii="Verdana" w:hAnsi="Verdana" w:cs="Arial"/>
                <w:noProof/>
                <w:color w:val="000000"/>
                <w:sz w:val="14"/>
                <w:szCs w:val="14"/>
                <w:lang w:val="sr-Cyrl-CS"/>
              </w:rPr>
              <w:t>UNIQA NEŽIVOTNO OSIGURANJE</w:t>
            </w:r>
          </w:p>
        </w:tc>
        <w:tc>
          <w:tcPr>
            <w:tcW w:w="793" w:type="dxa"/>
            <w:tcBorders>
              <w:top w:val="nil"/>
              <w:left w:val="nil"/>
              <w:bottom w:val="nil"/>
              <w:right w:val="nil"/>
            </w:tcBorders>
            <w:shd w:val="clear" w:color="auto" w:fill="auto"/>
            <w:noWrap/>
            <w:vAlign w:val="center"/>
            <w:hideMark/>
          </w:tcPr>
          <w:p w14:paraId="7E1A89CA" w14:textId="77777777" w:rsidR="006C0D6C" w:rsidRPr="00C41649" w:rsidRDefault="006C0D6C" w:rsidP="00740812">
            <w:pPr>
              <w:spacing w:after="0" w:line="240" w:lineRule="auto"/>
              <w:jc w:val="center"/>
              <w:rPr>
                <w:rFonts w:ascii="Verdana" w:hAnsi="Verdana" w:cs="Arial"/>
                <w:noProof/>
                <w:color w:val="000000"/>
                <w:sz w:val="14"/>
                <w:szCs w:val="14"/>
                <w:lang w:val="sr-Cyrl-CS"/>
              </w:rPr>
            </w:pPr>
            <w:r w:rsidRPr="00C41649">
              <w:rPr>
                <w:rFonts w:ascii="Verdana" w:hAnsi="Verdana" w:cs="Arial"/>
                <w:noProof/>
                <w:color w:val="000000"/>
                <w:sz w:val="14"/>
                <w:szCs w:val="14"/>
                <w:lang w:val="sr-Cyrl-CS"/>
              </w:rPr>
              <w:t>4,07%</w:t>
            </w:r>
          </w:p>
        </w:tc>
      </w:tr>
      <w:tr w:rsidR="006C0D6C" w:rsidRPr="00BF3CDE" w14:paraId="0566E9CA" w14:textId="77777777" w:rsidTr="00740812">
        <w:trPr>
          <w:trHeight w:val="283"/>
        </w:trPr>
        <w:tc>
          <w:tcPr>
            <w:tcW w:w="2367" w:type="dxa"/>
            <w:tcBorders>
              <w:top w:val="nil"/>
              <w:left w:val="nil"/>
              <w:bottom w:val="nil"/>
              <w:right w:val="nil"/>
            </w:tcBorders>
            <w:shd w:val="clear" w:color="auto" w:fill="auto"/>
            <w:vAlign w:val="center"/>
            <w:hideMark/>
          </w:tcPr>
          <w:p w14:paraId="37618AD3" w14:textId="77777777" w:rsidR="006C0D6C" w:rsidRPr="00C41649" w:rsidRDefault="006C0D6C" w:rsidP="00740812">
            <w:pPr>
              <w:spacing w:after="0" w:line="240" w:lineRule="auto"/>
              <w:rPr>
                <w:rFonts w:ascii="Verdana" w:hAnsi="Verdana" w:cs="Arial"/>
                <w:noProof/>
                <w:color w:val="000000"/>
                <w:sz w:val="14"/>
                <w:szCs w:val="14"/>
                <w:lang w:val="sr-Cyrl-CS"/>
              </w:rPr>
            </w:pPr>
            <w:r w:rsidRPr="00C41649">
              <w:rPr>
                <w:rFonts w:ascii="Verdana" w:hAnsi="Verdana" w:cs="Arial"/>
                <w:noProof/>
                <w:color w:val="000000"/>
                <w:sz w:val="14"/>
                <w:szCs w:val="14"/>
                <w:lang w:val="sr-Cyrl-CS"/>
              </w:rPr>
              <w:t>GRAWE OSIGURANJE</w:t>
            </w:r>
          </w:p>
        </w:tc>
        <w:tc>
          <w:tcPr>
            <w:tcW w:w="793" w:type="dxa"/>
            <w:tcBorders>
              <w:top w:val="nil"/>
              <w:left w:val="nil"/>
              <w:bottom w:val="nil"/>
              <w:right w:val="nil"/>
            </w:tcBorders>
            <w:shd w:val="clear" w:color="auto" w:fill="auto"/>
            <w:noWrap/>
            <w:vAlign w:val="center"/>
            <w:hideMark/>
          </w:tcPr>
          <w:p w14:paraId="34178570" w14:textId="77777777" w:rsidR="006C0D6C" w:rsidRPr="00C41649" w:rsidRDefault="006C0D6C" w:rsidP="00740812">
            <w:pPr>
              <w:spacing w:after="0" w:line="240" w:lineRule="auto"/>
              <w:jc w:val="center"/>
              <w:rPr>
                <w:rFonts w:ascii="Verdana" w:hAnsi="Verdana" w:cs="Arial"/>
                <w:noProof/>
                <w:color w:val="000000"/>
                <w:sz w:val="14"/>
                <w:szCs w:val="14"/>
                <w:lang w:val="sr-Cyrl-CS"/>
              </w:rPr>
            </w:pPr>
            <w:r w:rsidRPr="00C41649">
              <w:rPr>
                <w:rFonts w:ascii="Verdana" w:hAnsi="Verdana" w:cs="Arial"/>
                <w:noProof/>
                <w:color w:val="000000"/>
                <w:sz w:val="14"/>
                <w:szCs w:val="14"/>
                <w:lang w:val="sr-Cyrl-CS"/>
              </w:rPr>
              <w:t>3,58%</w:t>
            </w:r>
          </w:p>
        </w:tc>
      </w:tr>
      <w:tr w:rsidR="006C0D6C" w:rsidRPr="00BF3CDE" w14:paraId="3EF5BAE1" w14:textId="77777777" w:rsidTr="00740812">
        <w:trPr>
          <w:trHeight w:val="283"/>
        </w:trPr>
        <w:tc>
          <w:tcPr>
            <w:tcW w:w="2367" w:type="dxa"/>
            <w:tcBorders>
              <w:top w:val="nil"/>
              <w:left w:val="nil"/>
              <w:bottom w:val="nil"/>
              <w:right w:val="nil"/>
            </w:tcBorders>
            <w:shd w:val="clear" w:color="auto" w:fill="auto"/>
            <w:vAlign w:val="center"/>
            <w:hideMark/>
          </w:tcPr>
          <w:p w14:paraId="5823A487" w14:textId="77777777" w:rsidR="006C0D6C" w:rsidRPr="00C41649" w:rsidRDefault="006C0D6C" w:rsidP="00740812">
            <w:pPr>
              <w:spacing w:after="0" w:line="240" w:lineRule="auto"/>
              <w:rPr>
                <w:rFonts w:ascii="Verdana" w:hAnsi="Verdana" w:cs="Arial"/>
                <w:noProof/>
                <w:color w:val="000000"/>
                <w:sz w:val="14"/>
                <w:szCs w:val="14"/>
                <w:lang w:val="sr-Cyrl-CS"/>
              </w:rPr>
            </w:pPr>
            <w:r w:rsidRPr="00C41649">
              <w:rPr>
                <w:rFonts w:ascii="Verdana" w:hAnsi="Verdana" w:cs="Arial"/>
                <w:noProof/>
                <w:color w:val="000000"/>
                <w:sz w:val="14"/>
                <w:szCs w:val="14"/>
                <w:lang w:val="sr-Cyrl-CS"/>
              </w:rPr>
              <w:t>UDRUŽENJE OSIGURAVAČA SRBIJE</w:t>
            </w:r>
          </w:p>
        </w:tc>
        <w:tc>
          <w:tcPr>
            <w:tcW w:w="793" w:type="dxa"/>
            <w:tcBorders>
              <w:top w:val="nil"/>
              <w:left w:val="nil"/>
              <w:bottom w:val="nil"/>
              <w:right w:val="nil"/>
            </w:tcBorders>
            <w:shd w:val="clear" w:color="auto" w:fill="auto"/>
            <w:noWrap/>
            <w:vAlign w:val="center"/>
            <w:hideMark/>
          </w:tcPr>
          <w:p w14:paraId="6A6BA715" w14:textId="77777777" w:rsidR="006C0D6C" w:rsidRPr="00C41649" w:rsidRDefault="006C0D6C" w:rsidP="00740812">
            <w:pPr>
              <w:spacing w:after="0" w:line="240" w:lineRule="auto"/>
              <w:jc w:val="center"/>
              <w:rPr>
                <w:rFonts w:ascii="Verdana" w:hAnsi="Verdana" w:cs="Arial"/>
                <w:noProof/>
                <w:color w:val="000000"/>
                <w:sz w:val="14"/>
                <w:szCs w:val="14"/>
                <w:lang w:val="sr-Cyrl-CS"/>
              </w:rPr>
            </w:pPr>
            <w:r w:rsidRPr="00C41649">
              <w:rPr>
                <w:rFonts w:ascii="Verdana" w:hAnsi="Verdana" w:cs="Arial"/>
                <w:noProof/>
                <w:color w:val="000000"/>
                <w:sz w:val="14"/>
                <w:szCs w:val="14"/>
                <w:lang w:val="sr-Cyrl-CS"/>
              </w:rPr>
              <w:t>2,96%</w:t>
            </w:r>
          </w:p>
        </w:tc>
      </w:tr>
      <w:tr w:rsidR="006C0D6C" w:rsidRPr="00BF3CDE" w14:paraId="7157EC59" w14:textId="77777777" w:rsidTr="00740812">
        <w:trPr>
          <w:trHeight w:val="283"/>
        </w:trPr>
        <w:tc>
          <w:tcPr>
            <w:tcW w:w="2367" w:type="dxa"/>
            <w:tcBorders>
              <w:top w:val="nil"/>
              <w:left w:val="nil"/>
              <w:bottom w:val="nil"/>
              <w:right w:val="nil"/>
            </w:tcBorders>
            <w:shd w:val="clear" w:color="auto" w:fill="auto"/>
            <w:vAlign w:val="center"/>
            <w:hideMark/>
          </w:tcPr>
          <w:p w14:paraId="740F12F1" w14:textId="77777777" w:rsidR="006C0D6C" w:rsidRPr="00C41649" w:rsidRDefault="006C0D6C" w:rsidP="00740812">
            <w:pPr>
              <w:spacing w:after="0" w:line="240" w:lineRule="auto"/>
              <w:rPr>
                <w:rFonts w:ascii="Verdana" w:hAnsi="Verdana" w:cs="Arial"/>
                <w:noProof/>
                <w:color w:val="000000"/>
                <w:sz w:val="14"/>
                <w:szCs w:val="14"/>
                <w:lang w:val="sr-Cyrl-CS"/>
              </w:rPr>
            </w:pPr>
            <w:r w:rsidRPr="00C41649">
              <w:rPr>
                <w:rFonts w:ascii="Verdana" w:hAnsi="Verdana" w:cs="Arial"/>
                <w:noProof/>
                <w:color w:val="000000"/>
                <w:sz w:val="14"/>
                <w:szCs w:val="14"/>
                <w:lang w:val="sr-Cyrl-CS"/>
              </w:rPr>
              <w:t>MERKUR OSIGURANJE</w:t>
            </w:r>
          </w:p>
        </w:tc>
        <w:tc>
          <w:tcPr>
            <w:tcW w:w="793" w:type="dxa"/>
            <w:tcBorders>
              <w:top w:val="nil"/>
              <w:left w:val="nil"/>
              <w:bottom w:val="nil"/>
              <w:right w:val="nil"/>
            </w:tcBorders>
            <w:shd w:val="clear" w:color="auto" w:fill="auto"/>
            <w:noWrap/>
            <w:vAlign w:val="center"/>
            <w:hideMark/>
          </w:tcPr>
          <w:p w14:paraId="01569327" w14:textId="77777777" w:rsidR="006C0D6C" w:rsidRPr="00C41649" w:rsidRDefault="006C0D6C" w:rsidP="00740812">
            <w:pPr>
              <w:spacing w:after="0" w:line="240" w:lineRule="auto"/>
              <w:jc w:val="center"/>
              <w:rPr>
                <w:rFonts w:ascii="Verdana" w:hAnsi="Verdana" w:cs="Arial"/>
                <w:noProof/>
                <w:color w:val="000000"/>
                <w:sz w:val="14"/>
                <w:szCs w:val="14"/>
                <w:lang w:val="sr-Cyrl-CS"/>
              </w:rPr>
            </w:pPr>
            <w:r w:rsidRPr="00C41649">
              <w:rPr>
                <w:rFonts w:ascii="Verdana" w:hAnsi="Verdana" w:cs="Arial"/>
                <w:noProof/>
                <w:color w:val="000000"/>
                <w:sz w:val="14"/>
                <w:szCs w:val="14"/>
                <w:lang w:val="sr-Cyrl-CS"/>
              </w:rPr>
              <w:t>2,07%</w:t>
            </w:r>
          </w:p>
        </w:tc>
      </w:tr>
      <w:tr w:rsidR="006C0D6C" w:rsidRPr="00BF3CDE" w14:paraId="69253BDF" w14:textId="77777777" w:rsidTr="00740812">
        <w:trPr>
          <w:trHeight w:val="283"/>
        </w:trPr>
        <w:tc>
          <w:tcPr>
            <w:tcW w:w="2367" w:type="dxa"/>
            <w:tcBorders>
              <w:top w:val="nil"/>
              <w:left w:val="nil"/>
              <w:bottom w:val="nil"/>
              <w:right w:val="nil"/>
            </w:tcBorders>
            <w:shd w:val="clear" w:color="auto" w:fill="auto"/>
            <w:vAlign w:val="center"/>
            <w:hideMark/>
          </w:tcPr>
          <w:p w14:paraId="5513007A" w14:textId="77777777" w:rsidR="006C0D6C" w:rsidRPr="00C41649" w:rsidRDefault="006C0D6C" w:rsidP="00740812">
            <w:pPr>
              <w:spacing w:after="0" w:line="240" w:lineRule="auto"/>
              <w:rPr>
                <w:rFonts w:ascii="Verdana" w:hAnsi="Verdana" w:cs="Arial"/>
                <w:noProof/>
                <w:color w:val="000000"/>
                <w:sz w:val="14"/>
                <w:szCs w:val="14"/>
                <w:lang w:val="sr-Cyrl-CS"/>
              </w:rPr>
            </w:pPr>
            <w:r w:rsidRPr="00C41649">
              <w:rPr>
                <w:rFonts w:ascii="Verdana" w:hAnsi="Verdana" w:cs="Arial"/>
                <w:noProof/>
                <w:color w:val="000000"/>
                <w:sz w:val="14"/>
                <w:szCs w:val="14"/>
                <w:lang w:val="sr-Cyrl-CS"/>
              </w:rPr>
              <w:t>WIENER RE</w:t>
            </w:r>
          </w:p>
        </w:tc>
        <w:tc>
          <w:tcPr>
            <w:tcW w:w="793" w:type="dxa"/>
            <w:tcBorders>
              <w:top w:val="nil"/>
              <w:left w:val="nil"/>
              <w:bottom w:val="nil"/>
              <w:right w:val="nil"/>
            </w:tcBorders>
            <w:shd w:val="clear" w:color="auto" w:fill="auto"/>
            <w:noWrap/>
            <w:vAlign w:val="center"/>
            <w:hideMark/>
          </w:tcPr>
          <w:p w14:paraId="55062E26" w14:textId="77777777" w:rsidR="006C0D6C" w:rsidRPr="00C41649" w:rsidRDefault="006C0D6C" w:rsidP="00740812">
            <w:pPr>
              <w:spacing w:after="0" w:line="240" w:lineRule="auto"/>
              <w:jc w:val="center"/>
              <w:rPr>
                <w:rFonts w:ascii="Verdana" w:hAnsi="Verdana" w:cs="Arial"/>
                <w:noProof/>
                <w:color w:val="000000"/>
                <w:sz w:val="14"/>
                <w:szCs w:val="14"/>
                <w:lang w:val="sr-Cyrl-CS"/>
              </w:rPr>
            </w:pPr>
            <w:r w:rsidRPr="00C41649">
              <w:rPr>
                <w:rFonts w:ascii="Verdana" w:hAnsi="Verdana" w:cs="Arial"/>
                <w:noProof/>
                <w:color w:val="000000"/>
                <w:sz w:val="14"/>
                <w:szCs w:val="14"/>
                <w:lang w:val="sr-Cyrl-CS"/>
              </w:rPr>
              <w:t>0,74%</w:t>
            </w:r>
          </w:p>
        </w:tc>
      </w:tr>
      <w:tr w:rsidR="006C0D6C" w:rsidRPr="00BF3CDE" w14:paraId="583B4C35" w14:textId="77777777" w:rsidTr="00740812">
        <w:trPr>
          <w:trHeight w:val="283"/>
        </w:trPr>
        <w:tc>
          <w:tcPr>
            <w:tcW w:w="2367" w:type="dxa"/>
            <w:tcBorders>
              <w:top w:val="nil"/>
              <w:left w:val="nil"/>
              <w:bottom w:val="nil"/>
              <w:right w:val="nil"/>
            </w:tcBorders>
            <w:shd w:val="clear" w:color="auto" w:fill="auto"/>
            <w:vAlign w:val="center"/>
            <w:hideMark/>
          </w:tcPr>
          <w:p w14:paraId="5476D292" w14:textId="77777777" w:rsidR="006C0D6C" w:rsidRPr="00C41649" w:rsidRDefault="006C0D6C" w:rsidP="00740812">
            <w:pPr>
              <w:spacing w:after="0" w:line="240" w:lineRule="auto"/>
              <w:rPr>
                <w:rFonts w:ascii="Verdana" w:hAnsi="Verdana" w:cs="Arial"/>
                <w:noProof/>
                <w:color w:val="000000"/>
                <w:sz w:val="14"/>
                <w:szCs w:val="14"/>
                <w:lang w:val="sr-Cyrl-CS"/>
              </w:rPr>
            </w:pPr>
            <w:r w:rsidRPr="00C41649">
              <w:rPr>
                <w:rFonts w:ascii="Verdana" w:hAnsi="Verdana" w:cs="Arial"/>
                <w:noProof/>
                <w:color w:val="000000"/>
                <w:sz w:val="14"/>
                <w:szCs w:val="14"/>
                <w:lang w:val="sr-Cyrl-CS"/>
              </w:rPr>
              <w:t>UNIQA ŽIVOTNO OSIGURANJE</w:t>
            </w:r>
          </w:p>
        </w:tc>
        <w:tc>
          <w:tcPr>
            <w:tcW w:w="793" w:type="dxa"/>
            <w:tcBorders>
              <w:top w:val="nil"/>
              <w:left w:val="nil"/>
              <w:bottom w:val="nil"/>
              <w:right w:val="nil"/>
            </w:tcBorders>
            <w:shd w:val="clear" w:color="auto" w:fill="auto"/>
            <w:noWrap/>
            <w:vAlign w:val="center"/>
            <w:hideMark/>
          </w:tcPr>
          <w:p w14:paraId="6D790ED7" w14:textId="77777777" w:rsidR="006C0D6C" w:rsidRPr="00C41649" w:rsidRDefault="006C0D6C" w:rsidP="00740812">
            <w:pPr>
              <w:spacing w:after="0" w:line="240" w:lineRule="auto"/>
              <w:jc w:val="center"/>
              <w:rPr>
                <w:rFonts w:ascii="Verdana" w:hAnsi="Verdana" w:cs="Arial"/>
                <w:noProof/>
                <w:color w:val="000000"/>
                <w:sz w:val="14"/>
                <w:szCs w:val="14"/>
                <w:lang w:val="sr-Cyrl-CS"/>
              </w:rPr>
            </w:pPr>
            <w:r w:rsidRPr="00C41649">
              <w:rPr>
                <w:rFonts w:ascii="Verdana" w:hAnsi="Verdana" w:cs="Arial"/>
                <w:noProof/>
                <w:color w:val="000000"/>
                <w:sz w:val="14"/>
                <w:szCs w:val="14"/>
                <w:lang w:val="sr-Cyrl-CS"/>
              </w:rPr>
              <w:t>0,65%</w:t>
            </w:r>
          </w:p>
        </w:tc>
      </w:tr>
      <w:tr w:rsidR="006C0D6C" w:rsidRPr="00BF3CDE" w14:paraId="358E1F82" w14:textId="77777777" w:rsidTr="00740812">
        <w:trPr>
          <w:trHeight w:val="283"/>
        </w:trPr>
        <w:tc>
          <w:tcPr>
            <w:tcW w:w="2367" w:type="dxa"/>
            <w:tcBorders>
              <w:top w:val="nil"/>
              <w:left w:val="nil"/>
              <w:bottom w:val="nil"/>
              <w:right w:val="nil"/>
            </w:tcBorders>
            <w:shd w:val="clear" w:color="auto" w:fill="auto"/>
            <w:vAlign w:val="center"/>
            <w:hideMark/>
          </w:tcPr>
          <w:p w14:paraId="75E78210" w14:textId="77777777" w:rsidR="006C0D6C" w:rsidRPr="00C41649" w:rsidRDefault="006C0D6C" w:rsidP="00740812">
            <w:pPr>
              <w:spacing w:after="0" w:line="240" w:lineRule="auto"/>
              <w:rPr>
                <w:rFonts w:ascii="Verdana" w:hAnsi="Verdana" w:cs="Arial"/>
                <w:noProof/>
                <w:color w:val="000000"/>
                <w:sz w:val="14"/>
                <w:szCs w:val="14"/>
                <w:lang w:val="sr-Cyrl-CS"/>
              </w:rPr>
            </w:pPr>
            <w:r w:rsidRPr="00C41649">
              <w:rPr>
                <w:rFonts w:ascii="Verdana" w:hAnsi="Verdana" w:cs="Arial"/>
                <w:noProof/>
                <w:color w:val="000000"/>
                <w:sz w:val="14"/>
                <w:szCs w:val="14"/>
                <w:lang w:val="sr-Cyrl-CS"/>
              </w:rPr>
              <w:t>MILENIJUM OSIGURANJE</w:t>
            </w:r>
          </w:p>
        </w:tc>
        <w:tc>
          <w:tcPr>
            <w:tcW w:w="793" w:type="dxa"/>
            <w:tcBorders>
              <w:top w:val="nil"/>
              <w:left w:val="nil"/>
              <w:bottom w:val="nil"/>
              <w:right w:val="nil"/>
            </w:tcBorders>
            <w:shd w:val="clear" w:color="auto" w:fill="auto"/>
            <w:noWrap/>
            <w:vAlign w:val="center"/>
            <w:hideMark/>
          </w:tcPr>
          <w:p w14:paraId="4D75A6D5" w14:textId="77777777" w:rsidR="006C0D6C" w:rsidRPr="00C41649" w:rsidRDefault="006C0D6C" w:rsidP="00740812">
            <w:pPr>
              <w:spacing w:after="0" w:line="240" w:lineRule="auto"/>
              <w:jc w:val="center"/>
              <w:rPr>
                <w:rFonts w:ascii="Verdana" w:hAnsi="Verdana" w:cs="Arial"/>
                <w:noProof/>
                <w:color w:val="000000"/>
                <w:sz w:val="14"/>
                <w:szCs w:val="14"/>
                <w:lang w:val="sr-Cyrl-CS"/>
              </w:rPr>
            </w:pPr>
            <w:r w:rsidRPr="00C41649">
              <w:rPr>
                <w:rFonts w:ascii="Verdana" w:hAnsi="Verdana" w:cs="Arial"/>
                <w:noProof/>
                <w:color w:val="000000"/>
                <w:sz w:val="14"/>
                <w:szCs w:val="14"/>
                <w:lang w:val="sr-Cyrl-CS"/>
              </w:rPr>
              <w:t>0,61%</w:t>
            </w:r>
          </w:p>
        </w:tc>
      </w:tr>
      <w:tr w:rsidR="006C0D6C" w:rsidRPr="00BF3CDE" w14:paraId="7502BCF2" w14:textId="77777777" w:rsidTr="00740812">
        <w:trPr>
          <w:trHeight w:val="283"/>
        </w:trPr>
        <w:tc>
          <w:tcPr>
            <w:tcW w:w="2367" w:type="dxa"/>
            <w:tcBorders>
              <w:top w:val="nil"/>
              <w:left w:val="nil"/>
              <w:bottom w:val="nil"/>
              <w:right w:val="nil"/>
            </w:tcBorders>
            <w:shd w:val="clear" w:color="auto" w:fill="auto"/>
            <w:vAlign w:val="center"/>
            <w:hideMark/>
          </w:tcPr>
          <w:p w14:paraId="285B87CF" w14:textId="77777777" w:rsidR="006C0D6C" w:rsidRPr="00C41649" w:rsidRDefault="006C0D6C" w:rsidP="00740812">
            <w:pPr>
              <w:spacing w:after="0" w:line="240" w:lineRule="auto"/>
              <w:rPr>
                <w:rFonts w:ascii="Verdana" w:hAnsi="Verdana" w:cs="Arial"/>
                <w:noProof/>
                <w:color w:val="000000"/>
                <w:sz w:val="14"/>
                <w:szCs w:val="14"/>
                <w:lang w:val="sr-Cyrl-CS"/>
              </w:rPr>
            </w:pPr>
            <w:r w:rsidRPr="00C41649">
              <w:rPr>
                <w:rFonts w:ascii="Verdana" w:hAnsi="Verdana" w:cs="Arial"/>
                <w:noProof/>
                <w:color w:val="000000"/>
                <w:sz w:val="14"/>
                <w:szCs w:val="14"/>
                <w:lang w:val="sr-Cyrl-CS"/>
              </w:rPr>
              <w:t>AS OSIGURANJE</w:t>
            </w:r>
          </w:p>
        </w:tc>
        <w:tc>
          <w:tcPr>
            <w:tcW w:w="793" w:type="dxa"/>
            <w:tcBorders>
              <w:top w:val="nil"/>
              <w:left w:val="nil"/>
              <w:bottom w:val="nil"/>
              <w:right w:val="nil"/>
            </w:tcBorders>
            <w:shd w:val="clear" w:color="auto" w:fill="auto"/>
            <w:noWrap/>
            <w:vAlign w:val="center"/>
            <w:hideMark/>
          </w:tcPr>
          <w:p w14:paraId="5A75D1E9" w14:textId="77777777" w:rsidR="006C0D6C" w:rsidRPr="00C41649" w:rsidRDefault="006C0D6C" w:rsidP="00740812">
            <w:pPr>
              <w:spacing w:after="0" w:line="240" w:lineRule="auto"/>
              <w:jc w:val="center"/>
              <w:rPr>
                <w:rFonts w:ascii="Verdana" w:hAnsi="Verdana" w:cs="Arial"/>
                <w:noProof/>
                <w:color w:val="000000"/>
                <w:sz w:val="14"/>
                <w:szCs w:val="14"/>
                <w:lang w:val="sr-Cyrl-CS"/>
              </w:rPr>
            </w:pPr>
            <w:r w:rsidRPr="00C41649">
              <w:rPr>
                <w:rFonts w:ascii="Verdana" w:hAnsi="Verdana" w:cs="Arial"/>
                <w:noProof/>
                <w:color w:val="000000"/>
                <w:sz w:val="14"/>
                <w:szCs w:val="14"/>
                <w:lang w:val="sr-Cyrl-CS"/>
              </w:rPr>
              <w:t>0,50%</w:t>
            </w:r>
          </w:p>
        </w:tc>
      </w:tr>
      <w:tr w:rsidR="006C0D6C" w:rsidRPr="00BF3CDE" w14:paraId="4BB661EA" w14:textId="77777777" w:rsidTr="00740812">
        <w:trPr>
          <w:trHeight w:val="283"/>
        </w:trPr>
        <w:tc>
          <w:tcPr>
            <w:tcW w:w="2367" w:type="dxa"/>
            <w:tcBorders>
              <w:top w:val="nil"/>
              <w:left w:val="nil"/>
              <w:bottom w:val="nil"/>
              <w:right w:val="nil"/>
            </w:tcBorders>
            <w:shd w:val="clear" w:color="auto" w:fill="auto"/>
            <w:vAlign w:val="center"/>
          </w:tcPr>
          <w:p w14:paraId="05177FF0" w14:textId="77777777" w:rsidR="006C0D6C" w:rsidRPr="00C41649" w:rsidRDefault="006C0D6C" w:rsidP="00740812">
            <w:pPr>
              <w:spacing w:after="0" w:line="240" w:lineRule="auto"/>
              <w:rPr>
                <w:rFonts w:ascii="Verdana" w:hAnsi="Verdana" w:cs="Arial"/>
                <w:noProof/>
                <w:color w:val="000000"/>
                <w:sz w:val="14"/>
                <w:szCs w:val="14"/>
                <w:lang w:val="sr-Cyrl-CS"/>
              </w:rPr>
            </w:pPr>
            <w:r w:rsidRPr="00C41649">
              <w:rPr>
                <w:rFonts w:ascii="Verdana" w:hAnsi="Verdana" w:cs="Arial"/>
                <w:noProof/>
                <w:color w:val="000000"/>
                <w:sz w:val="14"/>
                <w:szCs w:val="14"/>
                <w:lang w:val="sr-Cyrl-CS"/>
              </w:rPr>
              <w:t>AMS OSIGURANJE</w:t>
            </w:r>
          </w:p>
        </w:tc>
        <w:tc>
          <w:tcPr>
            <w:tcW w:w="793" w:type="dxa"/>
            <w:tcBorders>
              <w:top w:val="nil"/>
              <w:left w:val="nil"/>
              <w:bottom w:val="nil"/>
              <w:right w:val="nil"/>
            </w:tcBorders>
            <w:shd w:val="clear" w:color="auto" w:fill="auto"/>
            <w:noWrap/>
            <w:vAlign w:val="center"/>
          </w:tcPr>
          <w:p w14:paraId="7193BC94" w14:textId="77777777" w:rsidR="006C0D6C" w:rsidRPr="00C41649" w:rsidRDefault="006C0D6C" w:rsidP="00740812">
            <w:pPr>
              <w:spacing w:after="0" w:line="240" w:lineRule="auto"/>
              <w:jc w:val="center"/>
              <w:rPr>
                <w:rFonts w:ascii="Verdana" w:hAnsi="Verdana" w:cs="Arial"/>
                <w:noProof/>
                <w:color w:val="000000"/>
                <w:sz w:val="14"/>
                <w:szCs w:val="14"/>
                <w:lang w:val="sr-Cyrl-CS"/>
              </w:rPr>
            </w:pPr>
            <w:r w:rsidRPr="00C41649">
              <w:rPr>
                <w:rFonts w:ascii="Verdana" w:hAnsi="Verdana" w:cs="Arial"/>
                <w:noProof/>
                <w:color w:val="000000"/>
                <w:sz w:val="14"/>
                <w:szCs w:val="14"/>
                <w:lang w:val="sr-Cyrl-CS"/>
              </w:rPr>
              <w:t>0,34%</w:t>
            </w:r>
          </w:p>
        </w:tc>
      </w:tr>
      <w:tr w:rsidR="006C0D6C" w:rsidRPr="00BF3CDE" w14:paraId="414BA023" w14:textId="77777777" w:rsidTr="00740812">
        <w:trPr>
          <w:trHeight w:val="283"/>
        </w:trPr>
        <w:tc>
          <w:tcPr>
            <w:tcW w:w="2367" w:type="dxa"/>
            <w:tcBorders>
              <w:top w:val="nil"/>
              <w:left w:val="nil"/>
              <w:bottom w:val="nil"/>
              <w:right w:val="nil"/>
            </w:tcBorders>
            <w:shd w:val="clear" w:color="auto" w:fill="auto"/>
            <w:vAlign w:val="center"/>
          </w:tcPr>
          <w:p w14:paraId="2ED73A6E" w14:textId="77777777" w:rsidR="006C0D6C" w:rsidRPr="00C41649" w:rsidRDefault="006C0D6C" w:rsidP="00740812">
            <w:pPr>
              <w:spacing w:after="0" w:line="240" w:lineRule="auto"/>
              <w:rPr>
                <w:rFonts w:ascii="Verdana" w:hAnsi="Verdana" w:cs="Arial"/>
                <w:noProof/>
                <w:color w:val="000000"/>
                <w:sz w:val="14"/>
                <w:szCs w:val="14"/>
                <w:lang w:val="sr-Cyrl-CS"/>
              </w:rPr>
            </w:pPr>
            <w:r w:rsidRPr="00C41649">
              <w:rPr>
                <w:rFonts w:ascii="Verdana" w:hAnsi="Verdana" w:cs="Arial"/>
                <w:noProof/>
                <w:color w:val="000000"/>
                <w:sz w:val="14"/>
                <w:szCs w:val="14"/>
                <w:lang w:val="sr-Cyrl-CS"/>
              </w:rPr>
              <w:t>ENEROPROJEKT GARANT OSIGURANJE</w:t>
            </w:r>
          </w:p>
        </w:tc>
        <w:tc>
          <w:tcPr>
            <w:tcW w:w="793" w:type="dxa"/>
            <w:tcBorders>
              <w:top w:val="nil"/>
              <w:left w:val="nil"/>
              <w:bottom w:val="nil"/>
              <w:right w:val="nil"/>
            </w:tcBorders>
            <w:shd w:val="clear" w:color="auto" w:fill="auto"/>
            <w:noWrap/>
            <w:vAlign w:val="center"/>
          </w:tcPr>
          <w:p w14:paraId="11E9616F" w14:textId="77777777" w:rsidR="006C0D6C" w:rsidRPr="00C41649" w:rsidRDefault="006C0D6C" w:rsidP="00740812">
            <w:pPr>
              <w:spacing w:after="0" w:line="240" w:lineRule="auto"/>
              <w:jc w:val="center"/>
              <w:rPr>
                <w:rFonts w:ascii="Verdana" w:hAnsi="Verdana" w:cs="Arial"/>
                <w:noProof/>
                <w:color w:val="000000"/>
                <w:sz w:val="14"/>
                <w:szCs w:val="14"/>
                <w:lang w:val="sr-Cyrl-CS"/>
              </w:rPr>
            </w:pPr>
            <w:r w:rsidRPr="00C41649">
              <w:rPr>
                <w:rFonts w:ascii="Verdana" w:hAnsi="Verdana" w:cs="Arial"/>
                <w:noProof/>
                <w:color w:val="000000"/>
                <w:sz w:val="14"/>
                <w:szCs w:val="14"/>
                <w:lang w:val="sr-Cyrl-CS"/>
              </w:rPr>
              <w:t>0,31%</w:t>
            </w:r>
          </w:p>
        </w:tc>
      </w:tr>
      <w:tr w:rsidR="006C0D6C" w:rsidRPr="00BF3CDE" w14:paraId="0D5E05B3" w14:textId="77777777" w:rsidTr="00740812">
        <w:trPr>
          <w:trHeight w:val="283"/>
        </w:trPr>
        <w:tc>
          <w:tcPr>
            <w:tcW w:w="2367" w:type="dxa"/>
            <w:tcBorders>
              <w:top w:val="nil"/>
              <w:left w:val="nil"/>
              <w:bottom w:val="nil"/>
              <w:right w:val="nil"/>
            </w:tcBorders>
            <w:shd w:val="clear" w:color="auto" w:fill="auto"/>
            <w:vAlign w:val="center"/>
          </w:tcPr>
          <w:p w14:paraId="0D4B3D21" w14:textId="77777777" w:rsidR="006C0D6C" w:rsidRPr="00C41649" w:rsidRDefault="006C0D6C" w:rsidP="00740812">
            <w:pPr>
              <w:spacing w:after="0" w:line="240" w:lineRule="auto"/>
              <w:rPr>
                <w:rFonts w:ascii="Verdana" w:hAnsi="Verdana" w:cs="Arial"/>
                <w:noProof/>
                <w:color w:val="000000"/>
                <w:sz w:val="14"/>
                <w:szCs w:val="14"/>
                <w:lang w:val="sr-Cyrl-CS"/>
              </w:rPr>
            </w:pPr>
            <w:r w:rsidRPr="00C41649">
              <w:rPr>
                <w:rFonts w:ascii="Verdana" w:hAnsi="Verdana" w:cs="Arial"/>
                <w:noProof/>
                <w:color w:val="000000"/>
                <w:sz w:val="14"/>
                <w:szCs w:val="14"/>
                <w:lang w:val="sr-Cyrl-CS"/>
              </w:rPr>
              <w:t>GLOBOS OSIGURANJE</w:t>
            </w:r>
          </w:p>
        </w:tc>
        <w:tc>
          <w:tcPr>
            <w:tcW w:w="793" w:type="dxa"/>
            <w:tcBorders>
              <w:top w:val="nil"/>
              <w:left w:val="nil"/>
              <w:bottom w:val="nil"/>
              <w:right w:val="nil"/>
            </w:tcBorders>
            <w:shd w:val="clear" w:color="auto" w:fill="auto"/>
            <w:noWrap/>
            <w:vAlign w:val="center"/>
          </w:tcPr>
          <w:p w14:paraId="1A74C95F" w14:textId="77777777" w:rsidR="006C0D6C" w:rsidRPr="00C41649" w:rsidRDefault="006C0D6C" w:rsidP="00740812">
            <w:pPr>
              <w:spacing w:after="0" w:line="240" w:lineRule="auto"/>
              <w:jc w:val="center"/>
              <w:rPr>
                <w:rFonts w:ascii="Verdana" w:hAnsi="Verdana" w:cs="Arial"/>
                <w:noProof/>
                <w:color w:val="000000"/>
                <w:sz w:val="14"/>
                <w:szCs w:val="14"/>
                <w:lang w:val="sr-Cyrl-CS"/>
              </w:rPr>
            </w:pPr>
            <w:r w:rsidRPr="00C41649">
              <w:rPr>
                <w:rFonts w:ascii="Verdana" w:hAnsi="Verdana" w:cs="Arial"/>
                <w:noProof/>
                <w:color w:val="000000"/>
                <w:sz w:val="14"/>
                <w:szCs w:val="14"/>
                <w:lang w:val="sr-Cyrl-CS"/>
              </w:rPr>
              <w:t>0,25%</w:t>
            </w:r>
          </w:p>
        </w:tc>
      </w:tr>
      <w:tr w:rsidR="006C0D6C" w:rsidRPr="00BF3CDE" w14:paraId="286989C3" w14:textId="77777777" w:rsidTr="00740812">
        <w:trPr>
          <w:trHeight w:val="283"/>
        </w:trPr>
        <w:tc>
          <w:tcPr>
            <w:tcW w:w="2367" w:type="dxa"/>
            <w:tcBorders>
              <w:top w:val="nil"/>
              <w:left w:val="nil"/>
              <w:bottom w:val="nil"/>
              <w:right w:val="nil"/>
            </w:tcBorders>
            <w:shd w:val="clear" w:color="auto" w:fill="auto"/>
            <w:vAlign w:val="center"/>
          </w:tcPr>
          <w:p w14:paraId="6B0D62BD" w14:textId="77777777" w:rsidR="006C0D6C" w:rsidRPr="00C41649" w:rsidRDefault="006C0D6C" w:rsidP="00740812">
            <w:pPr>
              <w:spacing w:after="0" w:line="240" w:lineRule="auto"/>
              <w:rPr>
                <w:rFonts w:ascii="Verdana" w:hAnsi="Verdana" w:cs="Arial"/>
                <w:noProof/>
                <w:color w:val="000000"/>
                <w:sz w:val="14"/>
                <w:szCs w:val="14"/>
                <w:lang w:val="sr-Cyrl-CS"/>
              </w:rPr>
            </w:pPr>
            <w:r w:rsidRPr="00C41649">
              <w:rPr>
                <w:rFonts w:ascii="Verdana" w:hAnsi="Verdana" w:cs="Arial"/>
                <w:noProof/>
                <w:color w:val="000000"/>
                <w:sz w:val="14"/>
                <w:szCs w:val="14"/>
                <w:lang w:val="sr-Cyrl-CS"/>
              </w:rPr>
              <w:t>NEŽIVOTNO OSIGURANJE BASLER</w:t>
            </w:r>
          </w:p>
        </w:tc>
        <w:tc>
          <w:tcPr>
            <w:tcW w:w="793" w:type="dxa"/>
            <w:tcBorders>
              <w:top w:val="nil"/>
              <w:left w:val="nil"/>
              <w:bottom w:val="nil"/>
              <w:right w:val="nil"/>
            </w:tcBorders>
            <w:shd w:val="clear" w:color="auto" w:fill="auto"/>
            <w:noWrap/>
            <w:vAlign w:val="center"/>
          </w:tcPr>
          <w:p w14:paraId="7B91EE22" w14:textId="77777777" w:rsidR="006C0D6C" w:rsidRPr="00C41649" w:rsidRDefault="006C0D6C" w:rsidP="00740812">
            <w:pPr>
              <w:spacing w:after="0" w:line="240" w:lineRule="auto"/>
              <w:jc w:val="center"/>
              <w:rPr>
                <w:rFonts w:ascii="Verdana" w:hAnsi="Verdana" w:cs="Arial"/>
                <w:noProof/>
                <w:color w:val="000000"/>
                <w:sz w:val="14"/>
                <w:szCs w:val="14"/>
                <w:lang w:val="sr-Cyrl-CS"/>
              </w:rPr>
            </w:pPr>
            <w:r w:rsidRPr="00C41649">
              <w:rPr>
                <w:rFonts w:ascii="Verdana" w:hAnsi="Verdana" w:cs="Arial"/>
                <w:noProof/>
                <w:color w:val="000000"/>
                <w:sz w:val="14"/>
                <w:szCs w:val="14"/>
                <w:lang w:val="sr-Cyrl-CS"/>
              </w:rPr>
              <w:t>0,11%</w:t>
            </w:r>
          </w:p>
        </w:tc>
      </w:tr>
      <w:tr w:rsidR="006C0D6C" w:rsidRPr="00BF3CDE" w14:paraId="59D85170" w14:textId="77777777" w:rsidTr="00740812">
        <w:trPr>
          <w:trHeight w:val="283"/>
        </w:trPr>
        <w:tc>
          <w:tcPr>
            <w:tcW w:w="2367" w:type="dxa"/>
            <w:tcBorders>
              <w:top w:val="nil"/>
              <w:left w:val="nil"/>
              <w:bottom w:val="nil"/>
              <w:right w:val="nil"/>
            </w:tcBorders>
            <w:shd w:val="clear" w:color="auto" w:fill="auto"/>
            <w:vAlign w:val="center"/>
          </w:tcPr>
          <w:p w14:paraId="73D6B79B" w14:textId="77777777" w:rsidR="006C0D6C" w:rsidRPr="00C41649" w:rsidRDefault="006C0D6C" w:rsidP="00740812">
            <w:pPr>
              <w:spacing w:after="0" w:line="240" w:lineRule="auto"/>
              <w:rPr>
                <w:rFonts w:ascii="Verdana" w:hAnsi="Verdana" w:cs="Arial"/>
                <w:noProof/>
                <w:color w:val="000000"/>
                <w:sz w:val="14"/>
                <w:szCs w:val="14"/>
                <w:lang w:val="sr-Cyrl-CS"/>
              </w:rPr>
            </w:pPr>
            <w:r w:rsidRPr="00C41649">
              <w:rPr>
                <w:rFonts w:ascii="Verdana" w:hAnsi="Verdana" w:cs="Arial"/>
                <w:noProof/>
                <w:color w:val="000000"/>
                <w:sz w:val="14"/>
                <w:szCs w:val="14"/>
                <w:lang w:val="sr-Cyrl-CS"/>
              </w:rPr>
              <w:t>ŽIVOTNO OSIGURANJE BASLER</w:t>
            </w:r>
          </w:p>
        </w:tc>
        <w:tc>
          <w:tcPr>
            <w:tcW w:w="793" w:type="dxa"/>
            <w:tcBorders>
              <w:top w:val="nil"/>
              <w:left w:val="nil"/>
              <w:bottom w:val="nil"/>
              <w:right w:val="nil"/>
            </w:tcBorders>
            <w:shd w:val="clear" w:color="auto" w:fill="auto"/>
            <w:noWrap/>
            <w:vAlign w:val="center"/>
          </w:tcPr>
          <w:p w14:paraId="0F4EB73D" w14:textId="77777777" w:rsidR="006C0D6C" w:rsidRPr="00C41649" w:rsidRDefault="006C0D6C" w:rsidP="00740812">
            <w:pPr>
              <w:spacing w:after="0" w:line="240" w:lineRule="auto"/>
              <w:jc w:val="center"/>
              <w:rPr>
                <w:rFonts w:ascii="Verdana" w:hAnsi="Verdana" w:cs="Arial"/>
                <w:noProof/>
                <w:color w:val="000000"/>
                <w:sz w:val="14"/>
                <w:szCs w:val="14"/>
                <w:lang w:val="sr-Cyrl-CS"/>
              </w:rPr>
            </w:pPr>
            <w:r w:rsidRPr="00C41649">
              <w:rPr>
                <w:rFonts w:ascii="Verdana" w:hAnsi="Verdana" w:cs="Arial"/>
                <w:noProof/>
                <w:color w:val="000000"/>
                <w:sz w:val="14"/>
                <w:szCs w:val="14"/>
                <w:lang w:val="sr-Cyrl-CS"/>
              </w:rPr>
              <w:t>0,07%</w:t>
            </w:r>
          </w:p>
        </w:tc>
      </w:tr>
      <w:tr w:rsidR="006C0D6C" w:rsidRPr="00BF3CDE" w14:paraId="238A2D8B" w14:textId="77777777" w:rsidTr="00740812">
        <w:trPr>
          <w:trHeight w:val="283"/>
        </w:trPr>
        <w:tc>
          <w:tcPr>
            <w:tcW w:w="2367" w:type="dxa"/>
            <w:tcBorders>
              <w:top w:val="nil"/>
              <w:left w:val="nil"/>
              <w:bottom w:val="nil"/>
              <w:right w:val="nil"/>
            </w:tcBorders>
            <w:shd w:val="clear" w:color="auto" w:fill="auto"/>
            <w:vAlign w:val="center"/>
          </w:tcPr>
          <w:p w14:paraId="5AB90AF4" w14:textId="77777777" w:rsidR="006C0D6C" w:rsidRPr="00C41649" w:rsidRDefault="006C0D6C" w:rsidP="00740812">
            <w:pPr>
              <w:spacing w:after="0" w:line="240" w:lineRule="auto"/>
              <w:rPr>
                <w:rFonts w:ascii="Verdana" w:hAnsi="Verdana" w:cs="Arial"/>
                <w:noProof/>
                <w:color w:val="000000"/>
                <w:sz w:val="14"/>
                <w:szCs w:val="14"/>
                <w:lang w:val="sr-Cyrl-CS"/>
              </w:rPr>
            </w:pPr>
            <w:r w:rsidRPr="00C41649">
              <w:rPr>
                <w:rFonts w:ascii="Verdana" w:hAnsi="Verdana" w:cs="Arial"/>
                <w:noProof/>
                <w:color w:val="000000"/>
                <w:sz w:val="14"/>
                <w:szCs w:val="14"/>
                <w:lang w:val="sr-Cyrl-CS"/>
              </w:rPr>
              <w:t>SOCIETE GENERALE OSIGURANJE</w:t>
            </w:r>
          </w:p>
        </w:tc>
        <w:tc>
          <w:tcPr>
            <w:tcW w:w="793" w:type="dxa"/>
            <w:tcBorders>
              <w:top w:val="nil"/>
              <w:left w:val="nil"/>
              <w:bottom w:val="nil"/>
              <w:right w:val="nil"/>
            </w:tcBorders>
            <w:shd w:val="clear" w:color="auto" w:fill="auto"/>
            <w:noWrap/>
            <w:vAlign w:val="center"/>
          </w:tcPr>
          <w:p w14:paraId="07E6279C" w14:textId="77777777" w:rsidR="006C0D6C" w:rsidRPr="00C41649" w:rsidRDefault="006C0D6C" w:rsidP="00740812">
            <w:pPr>
              <w:spacing w:after="0" w:line="240" w:lineRule="auto"/>
              <w:jc w:val="center"/>
              <w:rPr>
                <w:rFonts w:ascii="Verdana" w:hAnsi="Verdana" w:cs="Arial"/>
                <w:noProof/>
                <w:color w:val="000000"/>
                <w:sz w:val="14"/>
                <w:szCs w:val="14"/>
                <w:lang w:val="sr-Cyrl-CS"/>
              </w:rPr>
            </w:pPr>
            <w:r w:rsidRPr="00C41649">
              <w:rPr>
                <w:rFonts w:ascii="Verdana" w:hAnsi="Verdana" w:cs="Arial"/>
                <w:noProof/>
                <w:color w:val="000000"/>
                <w:sz w:val="14"/>
                <w:szCs w:val="14"/>
                <w:lang w:val="sr-Cyrl-CS"/>
              </w:rPr>
              <w:t>0,03%</w:t>
            </w:r>
          </w:p>
        </w:tc>
      </w:tr>
      <w:tr w:rsidR="006C0D6C" w:rsidRPr="00BF3CDE" w14:paraId="567A87B1" w14:textId="77777777" w:rsidTr="00740812">
        <w:trPr>
          <w:trHeight w:val="283"/>
        </w:trPr>
        <w:tc>
          <w:tcPr>
            <w:tcW w:w="2367" w:type="dxa"/>
            <w:tcBorders>
              <w:top w:val="nil"/>
              <w:left w:val="nil"/>
              <w:bottom w:val="nil"/>
              <w:right w:val="nil"/>
            </w:tcBorders>
            <w:shd w:val="clear" w:color="auto" w:fill="auto"/>
            <w:vAlign w:val="center"/>
          </w:tcPr>
          <w:p w14:paraId="0701E4DF" w14:textId="77777777" w:rsidR="006C0D6C" w:rsidRPr="00C41649" w:rsidRDefault="006C0D6C" w:rsidP="00740812">
            <w:pPr>
              <w:spacing w:after="0" w:line="240" w:lineRule="auto"/>
              <w:rPr>
                <w:rFonts w:ascii="Verdana" w:hAnsi="Verdana" w:cs="Arial"/>
                <w:noProof/>
                <w:color w:val="000000"/>
                <w:sz w:val="14"/>
                <w:szCs w:val="14"/>
                <w:lang w:val="sr-Cyrl-CS"/>
              </w:rPr>
            </w:pPr>
            <w:r w:rsidRPr="00C41649">
              <w:rPr>
                <w:rFonts w:ascii="Verdana" w:hAnsi="Verdana" w:cs="Arial"/>
                <w:noProof/>
                <w:color w:val="000000"/>
                <w:sz w:val="14"/>
                <w:szCs w:val="14"/>
                <w:lang w:val="sr-Cyrl-CS"/>
              </w:rPr>
              <w:t>METLIFE ŽIVOTNO OSIGURANJE</w:t>
            </w:r>
          </w:p>
        </w:tc>
        <w:tc>
          <w:tcPr>
            <w:tcW w:w="793" w:type="dxa"/>
            <w:tcBorders>
              <w:top w:val="nil"/>
              <w:left w:val="nil"/>
              <w:bottom w:val="nil"/>
              <w:right w:val="nil"/>
            </w:tcBorders>
            <w:shd w:val="clear" w:color="auto" w:fill="auto"/>
            <w:noWrap/>
            <w:vAlign w:val="center"/>
          </w:tcPr>
          <w:p w14:paraId="6EB5FB67" w14:textId="77777777" w:rsidR="006C0D6C" w:rsidRPr="00C41649" w:rsidRDefault="006C0D6C" w:rsidP="00740812">
            <w:pPr>
              <w:spacing w:after="0" w:line="240" w:lineRule="auto"/>
              <w:jc w:val="center"/>
              <w:rPr>
                <w:rFonts w:ascii="Verdana" w:hAnsi="Verdana" w:cs="Arial"/>
                <w:noProof/>
                <w:color w:val="000000"/>
                <w:sz w:val="14"/>
                <w:szCs w:val="14"/>
                <w:lang w:val="sr-Cyrl-CS"/>
              </w:rPr>
            </w:pPr>
            <w:r w:rsidRPr="00C41649">
              <w:rPr>
                <w:rFonts w:ascii="Verdana" w:hAnsi="Verdana" w:cs="Arial"/>
                <w:noProof/>
                <w:color w:val="000000"/>
                <w:sz w:val="14"/>
                <w:szCs w:val="14"/>
                <w:lang w:val="sr-Cyrl-CS"/>
              </w:rPr>
              <w:t>0,02%</w:t>
            </w:r>
          </w:p>
        </w:tc>
      </w:tr>
      <w:tr w:rsidR="006C0D6C" w:rsidRPr="00BF3CDE" w14:paraId="009A188E" w14:textId="77777777" w:rsidTr="00740812">
        <w:trPr>
          <w:trHeight w:val="283"/>
        </w:trPr>
        <w:tc>
          <w:tcPr>
            <w:tcW w:w="2367" w:type="dxa"/>
            <w:tcBorders>
              <w:top w:val="nil"/>
              <w:left w:val="nil"/>
              <w:bottom w:val="nil"/>
              <w:right w:val="nil"/>
            </w:tcBorders>
            <w:shd w:val="clear" w:color="auto" w:fill="auto"/>
            <w:vAlign w:val="center"/>
          </w:tcPr>
          <w:p w14:paraId="35B47315" w14:textId="77777777" w:rsidR="006C0D6C" w:rsidRPr="00C41649" w:rsidRDefault="006C0D6C" w:rsidP="00740812">
            <w:pPr>
              <w:spacing w:after="0" w:line="240" w:lineRule="auto"/>
              <w:rPr>
                <w:rFonts w:ascii="Verdana" w:hAnsi="Verdana" w:cs="Arial"/>
                <w:noProof/>
                <w:color w:val="000000"/>
                <w:sz w:val="14"/>
                <w:szCs w:val="14"/>
                <w:lang w:val="sr-Cyrl-CS"/>
              </w:rPr>
            </w:pPr>
            <w:r w:rsidRPr="00C41649">
              <w:rPr>
                <w:rFonts w:ascii="Verdana" w:hAnsi="Verdana" w:cs="Arial"/>
                <w:noProof/>
                <w:color w:val="000000"/>
                <w:sz w:val="14"/>
                <w:szCs w:val="14"/>
                <w:lang w:val="sr-Cyrl-CS"/>
              </w:rPr>
              <w:t>SAVA ŽIVOTNO OSIGURANJE</w:t>
            </w:r>
          </w:p>
        </w:tc>
        <w:tc>
          <w:tcPr>
            <w:tcW w:w="793" w:type="dxa"/>
            <w:tcBorders>
              <w:top w:val="nil"/>
              <w:left w:val="nil"/>
              <w:bottom w:val="nil"/>
              <w:right w:val="nil"/>
            </w:tcBorders>
            <w:shd w:val="clear" w:color="auto" w:fill="auto"/>
            <w:noWrap/>
            <w:vAlign w:val="center"/>
          </w:tcPr>
          <w:p w14:paraId="66AFC80A" w14:textId="77777777" w:rsidR="006C0D6C" w:rsidRPr="00C41649" w:rsidRDefault="006C0D6C" w:rsidP="00740812">
            <w:pPr>
              <w:spacing w:after="0" w:line="240" w:lineRule="auto"/>
              <w:jc w:val="center"/>
              <w:rPr>
                <w:rFonts w:ascii="Verdana" w:hAnsi="Verdana" w:cs="Arial"/>
                <w:noProof/>
                <w:color w:val="000000"/>
                <w:sz w:val="14"/>
                <w:szCs w:val="14"/>
                <w:lang w:val="sr-Cyrl-CS"/>
              </w:rPr>
            </w:pPr>
            <w:r w:rsidRPr="00C41649">
              <w:rPr>
                <w:rFonts w:ascii="Verdana" w:hAnsi="Verdana" w:cs="Arial"/>
                <w:noProof/>
                <w:color w:val="000000"/>
                <w:sz w:val="14"/>
                <w:szCs w:val="14"/>
                <w:lang w:val="sr-Cyrl-CS"/>
              </w:rPr>
              <w:t>0,02%</w:t>
            </w:r>
          </w:p>
        </w:tc>
      </w:tr>
      <w:tr w:rsidR="006C0D6C" w:rsidRPr="00BF3CDE" w14:paraId="04E154EC" w14:textId="77777777" w:rsidTr="00740812">
        <w:trPr>
          <w:trHeight w:val="283"/>
        </w:trPr>
        <w:tc>
          <w:tcPr>
            <w:tcW w:w="2367" w:type="dxa"/>
            <w:tcBorders>
              <w:top w:val="nil"/>
              <w:left w:val="nil"/>
              <w:bottom w:val="nil"/>
              <w:right w:val="nil"/>
            </w:tcBorders>
            <w:shd w:val="clear" w:color="auto" w:fill="auto"/>
            <w:vAlign w:val="center"/>
          </w:tcPr>
          <w:p w14:paraId="32ACA8CC" w14:textId="77777777" w:rsidR="006C0D6C" w:rsidRPr="00C41649" w:rsidRDefault="006C0D6C" w:rsidP="00740812">
            <w:pPr>
              <w:spacing w:after="0" w:line="240" w:lineRule="auto"/>
              <w:rPr>
                <w:rFonts w:ascii="Verdana" w:hAnsi="Verdana" w:cs="Arial"/>
                <w:noProof/>
                <w:color w:val="000000"/>
                <w:sz w:val="14"/>
                <w:szCs w:val="14"/>
                <w:lang w:val="sr-Cyrl-CS"/>
              </w:rPr>
            </w:pPr>
            <w:r w:rsidRPr="00C41649">
              <w:rPr>
                <w:rFonts w:ascii="Verdana" w:hAnsi="Verdana" w:cs="Arial"/>
                <w:noProof/>
                <w:color w:val="000000"/>
                <w:sz w:val="14"/>
                <w:szCs w:val="14"/>
                <w:lang w:val="sr-Cyrl-CS"/>
              </w:rPr>
              <w:t>GENERALI OSIGURANJE</w:t>
            </w:r>
          </w:p>
        </w:tc>
        <w:tc>
          <w:tcPr>
            <w:tcW w:w="793" w:type="dxa"/>
            <w:tcBorders>
              <w:top w:val="nil"/>
              <w:left w:val="nil"/>
              <w:bottom w:val="nil"/>
              <w:right w:val="nil"/>
            </w:tcBorders>
            <w:shd w:val="clear" w:color="auto" w:fill="auto"/>
            <w:noWrap/>
            <w:vAlign w:val="center"/>
          </w:tcPr>
          <w:p w14:paraId="24D47035" w14:textId="77777777" w:rsidR="006C0D6C" w:rsidRPr="00C41649" w:rsidRDefault="006C0D6C" w:rsidP="00740812">
            <w:pPr>
              <w:spacing w:after="0" w:line="240" w:lineRule="auto"/>
              <w:jc w:val="center"/>
              <w:rPr>
                <w:rFonts w:ascii="Verdana" w:hAnsi="Verdana" w:cs="Arial"/>
                <w:noProof/>
                <w:color w:val="000000"/>
                <w:sz w:val="14"/>
                <w:szCs w:val="14"/>
                <w:lang w:val="sr-Cyrl-CS"/>
              </w:rPr>
            </w:pPr>
            <w:r w:rsidRPr="00C41649">
              <w:rPr>
                <w:rFonts w:ascii="Verdana" w:hAnsi="Verdana" w:cs="Arial"/>
                <w:noProof/>
                <w:color w:val="000000"/>
                <w:sz w:val="14"/>
                <w:szCs w:val="14"/>
                <w:lang w:val="sr-Cyrl-CS"/>
              </w:rPr>
              <w:t>0,01%</w:t>
            </w:r>
          </w:p>
        </w:tc>
      </w:tr>
    </w:tbl>
    <w:p w14:paraId="53838B48" w14:textId="77777777" w:rsidR="006C0D6C" w:rsidRPr="00BF3CDE" w:rsidRDefault="006C0D6C" w:rsidP="006C0D6C">
      <w:pPr>
        <w:rPr>
          <w:rFonts w:ascii="Verdana" w:hAnsi="Verdana" w:cs="Arial"/>
          <w:noProof/>
          <w:color w:val="000000"/>
          <w:sz w:val="14"/>
          <w:szCs w:val="14"/>
          <w:lang w:val="sr-Cyrl-CS"/>
        </w:rPr>
      </w:pPr>
      <w:r w:rsidRPr="00BF3CDE">
        <w:rPr>
          <w:rFonts w:ascii="Verdana" w:hAnsi="Verdana" w:cs="Arial"/>
          <w:noProof/>
          <w:color w:val="000000"/>
          <w:sz w:val="14"/>
          <w:szCs w:val="14"/>
          <w:lang w:val="sr-Latn-RS" w:eastAsia="sr-Latn-RS"/>
        </w:rPr>
        <w:drawing>
          <wp:inline distT="0" distB="0" distL="0" distR="0" wp14:anchorId="151CD82F" wp14:editId="0E9E3162">
            <wp:extent cx="4010025" cy="4133850"/>
            <wp:effectExtent l="0" t="0" r="0" b="0"/>
            <wp:docPr id="677" name="Chart 67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8832B6C" w14:textId="77777777" w:rsidR="006C0D6C" w:rsidRPr="00BF3CDE" w:rsidRDefault="006C0D6C" w:rsidP="006C0D6C">
      <w:pPr>
        <w:spacing w:after="120" w:line="240" w:lineRule="auto"/>
        <w:ind w:right="-142" w:firstLine="567"/>
        <w:jc w:val="center"/>
        <w:rPr>
          <w:rFonts w:ascii="Verdana" w:hAnsi="Verdana" w:cs="Tahoma"/>
          <w:b/>
          <w:i/>
          <w:noProof/>
          <w:bdr w:val="none" w:sz="0" w:space="0" w:color="auto" w:frame="1"/>
          <w:lang w:val="sr-Cyrl-CS"/>
        </w:rPr>
      </w:pPr>
      <w:r w:rsidRPr="00BF3CDE">
        <w:rPr>
          <w:rFonts w:ascii="Verdana" w:hAnsi="Verdana" w:cs="Tahoma"/>
          <w:b/>
          <w:i/>
          <w:noProof/>
          <w:bdr w:val="none" w:sz="0" w:space="0" w:color="auto" w:frame="1"/>
          <w:lang w:val="sr-Cyrl-CS"/>
        </w:rPr>
        <w:t xml:space="preserve">Активна премија по Цедентима – Србија у хиљадама динара </w:t>
      </w:r>
      <w:r w:rsidRPr="00BF3CDE">
        <w:rPr>
          <w:noProof/>
          <w:bdr w:val="none" w:sz="0" w:space="0" w:color="auto" w:frame="1"/>
          <w:lang w:val="sr-Cyrl-CS"/>
        </w:rPr>
        <w:fldChar w:fldCharType="begin"/>
      </w:r>
      <w:r w:rsidRPr="00BF3CDE">
        <w:rPr>
          <w:noProof/>
          <w:bdr w:val="none" w:sz="0" w:space="0" w:color="auto" w:frame="1"/>
          <w:lang w:val="sr-Cyrl-CS"/>
        </w:rPr>
        <w:instrText xml:space="preserve"> LINK Excel.Sheet.12 "C:\\Users\\s.stoiljkovic.INTERNAL\\Documents\\IZVESTAJI\\Izvestaj o poslovanju\\IZVESTAJI\\IZVESTAJ 31.12.2014\\Slike izvestaj 31.12.2014.xlsx" "aktivna premija Srbija!R53C3:R74C5" \a \f 4 \h  \* MERGEFORMAT </w:instrText>
      </w:r>
      <w:r w:rsidRPr="00BF3CDE">
        <w:rPr>
          <w:noProof/>
          <w:bdr w:val="none" w:sz="0" w:space="0" w:color="auto" w:frame="1"/>
          <w:lang w:val="sr-Cyrl-CS"/>
        </w:rPr>
        <w:fldChar w:fldCharType="separate"/>
      </w:r>
    </w:p>
    <w:tbl>
      <w:tblPr>
        <w:tblW w:w="6769" w:type="dxa"/>
        <w:jc w:val="center"/>
        <w:tblLook w:val="04A0" w:firstRow="1" w:lastRow="0" w:firstColumn="1" w:lastColumn="0" w:noHBand="0" w:noVBand="1"/>
      </w:tblPr>
      <w:tblGrid>
        <w:gridCol w:w="3400"/>
        <w:gridCol w:w="1349"/>
        <w:gridCol w:w="2020"/>
      </w:tblGrid>
      <w:tr w:rsidR="006C0D6C" w:rsidRPr="00BF3CDE" w14:paraId="35E0F6CB" w14:textId="77777777" w:rsidTr="006E3225">
        <w:trPr>
          <w:trHeight w:val="454"/>
          <w:jc w:val="center"/>
        </w:trPr>
        <w:tc>
          <w:tcPr>
            <w:tcW w:w="3400" w:type="dxa"/>
            <w:tcBorders>
              <w:top w:val="single" w:sz="4" w:space="0" w:color="4F81BD"/>
              <w:left w:val="nil"/>
              <w:bottom w:val="single" w:sz="4" w:space="0" w:color="4F81BD"/>
              <w:right w:val="nil"/>
            </w:tcBorders>
            <w:shd w:val="clear" w:color="auto" w:fill="auto"/>
            <w:noWrap/>
            <w:vAlign w:val="center"/>
            <w:hideMark/>
          </w:tcPr>
          <w:p w14:paraId="5B25C3B8" w14:textId="77777777" w:rsidR="006C0D6C" w:rsidRPr="00BF3CDE" w:rsidRDefault="006C0D6C" w:rsidP="006C0D6C">
            <w:pPr>
              <w:spacing w:after="0" w:line="240" w:lineRule="auto"/>
              <w:jc w:val="center"/>
              <w:rPr>
                <w:rFonts w:eastAsiaTheme="majorEastAsia" w:cstheme="majorBidi"/>
                <w:b/>
                <w:bCs/>
                <w:noProof/>
                <w:sz w:val="16"/>
                <w:szCs w:val="16"/>
                <w:lang w:val="sr-Cyrl-CS"/>
              </w:rPr>
            </w:pPr>
            <w:r w:rsidRPr="00BF3CDE">
              <w:rPr>
                <w:rFonts w:eastAsiaTheme="majorEastAsia" w:cstheme="majorBidi"/>
                <w:b/>
                <w:bCs/>
                <w:noProof/>
                <w:sz w:val="16"/>
                <w:szCs w:val="16"/>
                <w:lang w:val="sr-Cyrl-CS"/>
              </w:rPr>
              <w:t>Цедент</w:t>
            </w:r>
          </w:p>
        </w:tc>
        <w:tc>
          <w:tcPr>
            <w:tcW w:w="1349" w:type="dxa"/>
            <w:tcBorders>
              <w:top w:val="single" w:sz="4" w:space="0" w:color="4F81BD"/>
              <w:left w:val="nil"/>
              <w:bottom w:val="single" w:sz="4" w:space="0" w:color="4F81BD"/>
              <w:right w:val="nil"/>
            </w:tcBorders>
            <w:shd w:val="clear" w:color="auto" w:fill="auto"/>
            <w:vAlign w:val="center"/>
            <w:hideMark/>
          </w:tcPr>
          <w:p w14:paraId="52D262DA" w14:textId="77777777" w:rsidR="006C0D6C" w:rsidRPr="00BF3CDE" w:rsidRDefault="006C0D6C" w:rsidP="006C0D6C">
            <w:pPr>
              <w:spacing w:after="0" w:line="240" w:lineRule="auto"/>
              <w:jc w:val="center"/>
              <w:rPr>
                <w:rFonts w:asciiTheme="majorHAnsi" w:eastAsiaTheme="majorEastAsia" w:hAnsiTheme="majorHAnsi" w:cstheme="majorBidi"/>
                <w:b/>
                <w:bCs/>
                <w:noProof/>
                <w:sz w:val="16"/>
                <w:szCs w:val="16"/>
                <w:lang w:val="sr-Cyrl-CS"/>
              </w:rPr>
            </w:pPr>
            <w:r w:rsidRPr="00BF3CDE">
              <w:rPr>
                <w:rFonts w:asciiTheme="majorHAnsi" w:eastAsiaTheme="majorEastAsia" w:hAnsiTheme="majorHAnsi" w:cstheme="majorBidi"/>
                <w:b/>
                <w:bCs/>
                <w:noProof/>
                <w:sz w:val="16"/>
                <w:szCs w:val="16"/>
                <w:lang w:val="sr-Cyrl-CS"/>
              </w:rPr>
              <w:t>Активана премија</w:t>
            </w:r>
          </w:p>
        </w:tc>
        <w:tc>
          <w:tcPr>
            <w:tcW w:w="2020" w:type="dxa"/>
            <w:tcBorders>
              <w:top w:val="single" w:sz="4" w:space="0" w:color="4F81BD"/>
              <w:left w:val="nil"/>
              <w:bottom w:val="single" w:sz="4" w:space="0" w:color="4F81BD"/>
              <w:right w:val="nil"/>
            </w:tcBorders>
            <w:shd w:val="clear" w:color="auto" w:fill="auto"/>
            <w:vAlign w:val="center"/>
            <w:hideMark/>
          </w:tcPr>
          <w:p w14:paraId="6C272C72" w14:textId="77777777" w:rsidR="006C0D6C" w:rsidRPr="00BF3CDE" w:rsidRDefault="006C0D6C" w:rsidP="006C0D6C">
            <w:pPr>
              <w:spacing w:after="0" w:line="240" w:lineRule="auto"/>
              <w:jc w:val="center"/>
              <w:rPr>
                <w:rFonts w:asciiTheme="majorHAnsi" w:eastAsiaTheme="majorEastAsia" w:hAnsiTheme="majorHAnsi" w:cstheme="majorBidi"/>
                <w:b/>
                <w:bCs/>
                <w:noProof/>
                <w:sz w:val="16"/>
                <w:szCs w:val="16"/>
                <w:lang w:val="sr-Cyrl-CS"/>
              </w:rPr>
            </w:pPr>
            <w:r w:rsidRPr="00BF3CDE">
              <w:rPr>
                <w:rFonts w:asciiTheme="majorHAnsi" w:eastAsiaTheme="majorEastAsia" w:hAnsiTheme="majorHAnsi" w:cstheme="majorBidi"/>
                <w:b/>
                <w:bCs/>
                <w:noProof/>
                <w:sz w:val="16"/>
                <w:szCs w:val="16"/>
                <w:lang w:val="sr-Cyrl-CS"/>
              </w:rPr>
              <w:t>Учешће у укупној активној премији</w:t>
            </w:r>
          </w:p>
        </w:tc>
      </w:tr>
      <w:tr w:rsidR="006C0D6C" w:rsidRPr="00BF3CDE" w14:paraId="3C4964CB" w14:textId="77777777" w:rsidTr="006E3225">
        <w:trPr>
          <w:trHeight w:val="283"/>
          <w:jc w:val="center"/>
        </w:trPr>
        <w:tc>
          <w:tcPr>
            <w:tcW w:w="3400" w:type="dxa"/>
            <w:tcBorders>
              <w:top w:val="nil"/>
              <w:left w:val="nil"/>
              <w:bottom w:val="nil"/>
              <w:right w:val="nil"/>
            </w:tcBorders>
            <w:shd w:val="clear" w:color="DCE6F1" w:fill="DCE6F1"/>
            <w:noWrap/>
            <w:vAlign w:val="center"/>
            <w:hideMark/>
          </w:tcPr>
          <w:p w14:paraId="12689A72" w14:textId="77777777" w:rsidR="006C0D6C" w:rsidRPr="00BF3CDE" w:rsidRDefault="006C0D6C" w:rsidP="006C0D6C">
            <w:pPr>
              <w:spacing w:after="0" w:line="240" w:lineRule="auto"/>
              <w:rPr>
                <w:rFonts w:ascii="Verdana" w:eastAsia="Times New Roman" w:hAnsi="Verdana" w:cs="Arial"/>
                <w:noProof/>
                <w:color w:val="000000"/>
                <w:sz w:val="14"/>
                <w:szCs w:val="14"/>
                <w:lang w:val="sr-Cyrl-CS"/>
              </w:rPr>
            </w:pPr>
            <w:r w:rsidRPr="00BF3CDE">
              <w:rPr>
                <w:rFonts w:ascii="Verdana" w:eastAsia="Times New Roman" w:hAnsi="Verdana" w:cs="Arial"/>
                <w:noProof/>
                <w:color w:val="000000"/>
                <w:sz w:val="14"/>
                <w:szCs w:val="14"/>
                <w:lang w:val="sr-Cyrl-CS"/>
              </w:rPr>
              <w:t>DUNAV OSIGURANJE</w:t>
            </w:r>
          </w:p>
        </w:tc>
        <w:tc>
          <w:tcPr>
            <w:tcW w:w="1349" w:type="dxa"/>
            <w:tcBorders>
              <w:top w:val="nil"/>
              <w:left w:val="nil"/>
              <w:bottom w:val="nil"/>
              <w:right w:val="nil"/>
            </w:tcBorders>
            <w:shd w:val="clear" w:color="DCE6F1" w:fill="DCE6F1"/>
            <w:noWrap/>
            <w:vAlign w:val="center"/>
            <w:hideMark/>
          </w:tcPr>
          <w:p w14:paraId="51F9D2F1"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923.333</w:t>
            </w:r>
          </w:p>
        </w:tc>
        <w:tc>
          <w:tcPr>
            <w:tcW w:w="2020" w:type="dxa"/>
            <w:tcBorders>
              <w:top w:val="nil"/>
              <w:left w:val="nil"/>
              <w:bottom w:val="nil"/>
              <w:right w:val="nil"/>
            </w:tcBorders>
            <w:shd w:val="clear" w:color="DCE6F1" w:fill="DCE6F1"/>
            <w:noWrap/>
            <w:vAlign w:val="center"/>
            <w:hideMark/>
          </w:tcPr>
          <w:p w14:paraId="781E44FC"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39,72%</w:t>
            </w:r>
          </w:p>
        </w:tc>
      </w:tr>
      <w:tr w:rsidR="006C0D6C" w:rsidRPr="00BF3CDE" w14:paraId="39211A80" w14:textId="77777777" w:rsidTr="006E3225">
        <w:trPr>
          <w:trHeight w:val="283"/>
          <w:jc w:val="center"/>
        </w:trPr>
        <w:tc>
          <w:tcPr>
            <w:tcW w:w="3400" w:type="dxa"/>
            <w:tcBorders>
              <w:top w:val="nil"/>
              <w:left w:val="nil"/>
              <w:bottom w:val="nil"/>
              <w:right w:val="nil"/>
            </w:tcBorders>
            <w:shd w:val="clear" w:color="auto" w:fill="auto"/>
            <w:noWrap/>
            <w:vAlign w:val="center"/>
            <w:hideMark/>
          </w:tcPr>
          <w:p w14:paraId="66AC934A" w14:textId="77777777" w:rsidR="006C0D6C" w:rsidRPr="00BF3CDE" w:rsidRDefault="006C0D6C" w:rsidP="006C0D6C">
            <w:pPr>
              <w:spacing w:after="0" w:line="240" w:lineRule="auto"/>
              <w:rPr>
                <w:rFonts w:ascii="Verdana" w:eastAsia="Times New Roman" w:hAnsi="Verdana" w:cs="Arial"/>
                <w:noProof/>
                <w:color w:val="000000"/>
                <w:sz w:val="14"/>
                <w:szCs w:val="14"/>
                <w:lang w:val="sr-Cyrl-CS"/>
              </w:rPr>
            </w:pPr>
            <w:r w:rsidRPr="00BF3CDE">
              <w:rPr>
                <w:rFonts w:ascii="Verdana" w:eastAsia="Times New Roman" w:hAnsi="Verdana" w:cs="Arial"/>
                <w:noProof/>
                <w:color w:val="000000"/>
                <w:sz w:val="14"/>
                <w:szCs w:val="14"/>
                <w:lang w:val="sr-Cyrl-CS"/>
              </w:rPr>
              <w:t>SOGAZ</w:t>
            </w:r>
          </w:p>
        </w:tc>
        <w:tc>
          <w:tcPr>
            <w:tcW w:w="1349" w:type="dxa"/>
            <w:tcBorders>
              <w:top w:val="nil"/>
              <w:left w:val="nil"/>
              <w:bottom w:val="nil"/>
              <w:right w:val="nil"/>
            </w:tcBorders>
            <w:shd w:val="clear" w:color="auto" w:fill="auto"/>
            <w:noWrap/>
            <w:vAlign w:val="center"/>
            <w:hideMark/>
          </w:tcPr>
          <w:p w14:paraId="059B6C08"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498.994</w:t>
            </w:r>
          </w:p>
        </w:tc>
        <w:tc>
          <w:tcPr>
            <w:tcW w:w="2020" w:type="dxa"/>
            <w:tcBorders>
              <w:top w:val="nil"/>
              <w:left w:val="nil"/>
              <w:bottom w:val="nil"/>
              <w:right w:val="nil"/>
            </w:tcBorders>
            <w:shd w:val="clear" w:color="auto" w:fill="auto"/>
            <w:noWrap/>
            <w:vAlign w:val="center"/>
            <w:hideMark/>
          </w:tcPr>
          <w:p w14:paraId="368C22D5"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21,46%</w:t>
            </w:r>
          </w:p>
        </w:tc>
      </w:tr>
      <w:tr w:rsidR="006C0D6C" w:rsidRPr="00BF3CDE" w14:paraId="3959532C" w14:textId="77777777" w:rsidTr="006E3225">
        <w:trPr>
          <w:trHeight w:val="283"/>
          <w:jc w:val="center"/>
        </w:trPr>
        <w:tc>
          <w:tcPr>
            <w:tcW w:w="3400" w:type="dxa"/>
            <w:tcBorders>
              <w:top w:val="nil"/>
              <w:left w:val="nil"/>
              <w:bottom w:val="nil"/>
              <w:right w:val="nil"/>
            </w:tcBorders>
            <w:shd w:val="clear" w:color="DCE6F1" w:fill="DCE6F1"/>
            <w:noWrap/>
            <w:vAlign w:val="center"/>
            <w:hideMark/>
          </w:tcPr>
          <w:p w14:paraId="4602612A" w14:textId="77777777" w:rsidR="006C0D6C" w:rsidRPr="00BF3CDE" w:rsidRDefault="006C0D6C" w:rsidP="006C0D6C">
            <w:pPr>
              <w:spacing w:after="0" w:line="240" w:lineRule="auto"/>
              <w:rPr>
                <w:rFonts w:ascii="Verdana" w:eastAsia="Times New Roman" w:hAnsi="Verdana" w:cs="Arial"/>
                <w:noProof/>
                <w:color w:val="000000"/>
                <w:sz w:val="14"/>
                <w:szCs w:val="14"/>
                <w:lang w:val="sr-Cyrl-CS"/>
              </w:rPr>
            </w:pPr>
            <w:r w:rsidRPr="00BF3CDE">
              <w:rPr>
                <w:rFonts w:ascii="Verdana" w:eastAsia="Times New Roman" w:hAnsi="Verdana" w:cs="Arial"/>
                <w:noProof/>
                <w:color w:val="000000"/>
                <w:sz w:val="14"/>
                <w:szCs w:val="14"/>
                <w:lang w:val="sr-Cyrl-CS"/>
              </w:rPr>
              <w:t>TRIGLAV OSIGURANJE</w:t>
            </w:r>
          </w:p>
        </w:tc>
        <w:tc>
          <w:tcPr>
            <w:tcW w:w="1349" w:type="dxa"/>
            <w:tcBorders>
              <w:top w:val="nil"/>
              <w:left w:val="nil"/>
              <w:bottom w:val="nil"/>
              <w:right w:val="nil"/>
            </w:tcBorders>
            <w:shd w:val="clear" w:color="DCE6F1" w:fill="DCE6F1"/>
            <w:noWrap/>
            <w:vAlign w:val="center"/>
            <w:hideMark/>
          </w:tcPr>
          <w:p w14:paraId="645658BB"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184.984</w:t>
            </w:r>
          </w:p>
        </w:tc>
        <w:tc>
          <w:tcPr>
            <w:tcW w:w="2020" w:type="dxa"/>
            <w:tcBorders>
              <w:top w:val="nil"/>
              <w:left w:val="nil"/>
              <w:bottom w:val="nil"/>
              <w:right w:val="nil"/>
            </w:tcBorders>
            <w:shd w:val="clear" w:color="DCE6F1" w:fill="DCE6F1"/>
            <w:noWrap/>
            <w:vAlign w:val="center"/>
            <w:hideMark/>
          </w:tcPr>
          <w:p w14:paraId="5F96DAEB"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7,96%</w:t>
            </w:r>
          </w:p>
        </w:tc>
      </w:tr>
      <w:tr w:rsidR="006C0D6C" w:rsidRPr="00BF3CDE" w14:paraId="71D21961" w14:textId="77777777" w:rsidTr="006E3225">
        <w:trPr>
          <w:trHeight w:val="283"/>
          <w:jc w:val="center"/>
        </w:trPr>
        <w:tc>
          <w:tcPr>
            <w:tcW w:w="3400" w:type="dxa"/>
            <w:tcBorders>
              <w:top w:val="nil"/>
              <w:left w:val="nil"/>
              <w:bottom w:val="nil"/>
              <w:right w:val="nil"/>
            </w:tcBorders>
            <w:shd w:val="clear" w:color="auto" w:fill="auto"/>
            <w:noWrap/>
            <w:vAlign w:val="center"/>
            <w:hideMark/>
          </w:tcPr>
          <w:p w14:paraId="32D884BE" w14:textId="77777777" w:rsidR="006C0D6C" w:rsidRPr="00BF3CDE" w:rsidRDefault="006C0D6C" w:rsidP="006C0D6C">
            <w:pPr>
              <w:spacing w:after="0" w:line="240" w:lineRule="auto"/>
              <w:rPr>
                <w:rFonts w:ascii="Verdana" w:eastAsia="Times New Roman" w:hAnsi="Verdana" w:cs="Arial"/>
                <w:noProof/>
                <w:color w:val="000000"/>
                <w:sz w:val="14"/>
                <w:szCs w:val="14"/>
                <w:lang w:val="sr-Cyrl-CS"/>
              </w:rPr>
            </w:pPr>
            <w:r w:rsidRPr="00BF3CDE">
              <w:rPr>
                <w:rFonts w:ascii="Verdana" w:eastAsia="Times New Roman" w:hAnsi="Verdana" w:cs="Arial"/>
                <w:noProof/>
                <w:color w:val="000000"/>
                <w:sz w:val="14"/>
                <w:szCs w:val="14"/>
                <w:lang w:val="sr-Cyrl-CS"/>
              </w:rPr>
              <w:t>SAVA OSIGURANJE</w:t>
            </w:r>
          </w:p>
        </w:tc>
        <w:tc>
          <w:tcPr>
            <w:tcW w:w="1349" w:type="dxa"/>
            <w:tcBorders>
              <w:top w:val="nil"/>
              <w:left w:val="nil"/>
              <w:bottom w:val="nil"/>
              <w:right w:val="nil"/>
            </w:tcBorders>
            <w:shd w:val="clear" w:color="auto" w:fill="auto"/>
            <w:noWrap/>
            <w:vAlign w:val="center"/>
            <w:hideMark/>
          </w:tcPr>
          <w:p w14:paraId="37694AFC"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113.423</w:t>
            </w:r>
          </w:p>
        </w:tc>
        <w:tc>
          <w:tcPr>
            <w:tcW w:w="2020" w:type="dxa"/>
            <w:tcBorders>
              <w:top w:val="nil"/>
              <w:left w:val="nil"/>
              <w:bottom w:val="nil"/>
              <w:right w:val="nil"/>
            </w:tcBorders>
            <w:shd w:val="clear" w:color="auto" w:fill="auto"/>
            <w:noWrap/>
            <w:vAlign w:val="center"/>
            <w:hideMark/>
          </w:tcPr>
          <w:p w14:paraId="5D6E76D8"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4,88%</w:t>
            </w:r>
          </w:p>
        </w:tc>
      </w:tr>
      <w:tr w:rsidR="006C0D6C" w:rsidRPr="00BF3CDE" w14:paraId="6B3B3636" w14:textId="77777777" w:rsidTr="006E3225">
        <w:trPr>
          <w:trHeight w:val="283"/>
          <w:jc w:val="center"/>
        </w:trPr>
        <w:tc>
          <w:tcPr>
            <w:tcW w:w="3400" w:type="dxa"/>
            <w:tcBorders>
              <w:top w:val="nil"/>
              <w:left w:val="nil"/>
              <w:bottom w:val="nil"/>
              <w:right w:val="nil"/>
            </w:tcBorders>
            <w:shd w:val="clear" w:color="DCE6F1" w:fill="DCE6F1"/>
            <w:noWrap/>
            <w:vAlign w:val="center"/>
            <w:hideMark/>
          </w:tcPr>
          <w:p w14:paraId="24248112" w14:textId="77777777" w:rsidR="006C0D6C" w:rsidRPr="00BF3CDE" w:rsidRDefault="006C0D6C" w:rsidP="006C0D6C">
            <w:pPr>
              <w:spacing w:after="0" w:line="240" w:lineRule="auto"/>
              <w:rPr>
                <w:rFonts w:ascii="Verdana" w:eastAsia="Times New Roman" w:hAnsi="Verdana" w:cs="Arial"/>
                <w:noProof/>
                <w:color w:val="000000"/>
                <w:sz w:val="14"/>
                <w:szCs w:val="14"/>
                <w:lang w:val="sr-Cyrl-CS"/>
              </w:rPr>
            </w:pPr>
            <w:r w:rsidRPr="00BF3CDE">
              <w:rPr>
                <w:rFonts w:ascii="Verdana" w:eastAsia="Times New Roman" w:hAnsi="Verdana" w:cs="Arial"/>
                <w:noProof/>
                <w:color w:val="000000"/>
                <w:sz w:val="14"/>
                <w:szCs w:val="14"/>
                <w:lang w:val="sr-Cyrl-CS"/>
              </w:rPr>
              <w:t>UNIQA NEŽIVOTNO OSIGURANJE</w:t>
            </w:r>
          </w:p>
        </w:tc>
        <w:tc>
          <w:tcPr>
            <w:tcW w:w="1349" w:type="dxa"/>
            <w:tcBorders>
              <w:top w:val="nil"/>
              <w:left w:val="nil"/>
              <w:bottom w:val="nil"/>
              <w:right w:val="nil"/>
            </w:tcBorders>
            <w:shd w:val="clear" w:color="DCE6F1" w:fill="DCE6F1"/>
            <w:noWrap/>
            <w:vAlign w:val="center"/>
            <w:hideMark/>
          </w:tcPr>
          <w:p w14:paraId="2778597F"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94.509</w:t>
            </w:r>
          </w:p>
        </w:tc>
        <w:tc>
          <w:tcPr>
            <w:tcW w:w="2020" w:type="dxa"/>
            <w:tcBorders>
              <w:top w:val="nil"/>
              <w:left w:val="nil"/>
              <w:bottom w:val="nil"/>
              <w:right w:val="nil"/>
            </w:tcBorders>
            <w:shd w:val="clear" w:color="DCE6F1" w:fill="DCE6F1"/>
            <w:noWrap/>
            <w:vAlign w:val="center"/>
            <w:hideMark/>
          </w:tcPr>
          <w:p w14:paraId="4F0E1B54"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4,07%</w:t>
            </w:r>
          </w:p>
        </w:tc>
      </w:tr>
      <w:tr w:rsidR="006C0D6C" w:rsidRPr="00BF3CDE" w14:paraId="7A6A01F8" w14:textId="77777777" w:rsidTr="006E3225">
        <w:trPr>
          <w:trHeight w:val="283"/>
          <w:jc w:val="center"/>
        </w:trPr>
        <w:tc>
          <w:tcPr>
            <w:tcW w:w="3400" w:type="dxa"/>
            <w:tcBorders>
              <w:top w:val="nil"/>
              <w:left w:val="nil"/>
              <w:bottom w:val="nil"/>
              <w:right w:val="nil"/>
            </w:tcBorders>
            <w:shd w:val="clear" w:color="auto" w:fill="auto"/>
            <w:noWrap/>
            <w:vAlign w:val="center"/>
            <w:hideMark/>
          </w:tcPr>
          <w:p w14:paraId="599BA782" w14:textId="77777777" w:rsidR="006C0D6C" w:rsidRPr="00BF3CDE" w:rsidRDefault="006C0D6C" w:rsidP="006C0D6C">
            <w:pPr>
              <w:spacing w:after="0" w:line="240" w:lineRule="auto"/>
              <w:rPr>
                <w:rFonts w:ascii="Verdana" w:eastAsia="Times New Roman" w:hAnsi="Verdana" w:cs="Arial"/>
                <w:noProof/>
                <w:color w:val="000000"/>
                <w:sz w:val="14"/>
                <w:szCs w:val="14"/>
                <w:lang w:val="sr-Cyrl-CS"/>
              </w:rPr>
            </w:pPr>
            <w:r w:rsidRPr="00BF3CDE">
              <w:rPr>
                <w:rFonts w:ascii="Verdana" w:eastAsia="Times New Roman" w:hAnsi="Verdana" w:cs="Arial"/>
                <w:noProof/>
                <w:color w:val="000000"/>
                <w:sz w:val="14"/>
                <w:szCs w:val="14"/>
                <w:lang w:val="sr-Cyrl-CS"/>
              </w:rPr>
              <w:t>GRAWE OSIGURANJE</w:t>
            </w:r>
          </w:p>
        </w:tc>
        <w:tc>
          <w:tcPr>
            <w:tcW w:w="1349" w:type="dxa"/>
            <w:tcBorders>
              <w:top w:val="nil"/>
              <w:left w:val="nil"/>
              <w:bottom w:val="nil"/>
              <w:right w:val="nil"/>
            </w:tcBorders>
            <w:shd w:val="clear" w:color="auto" w:fill="auto"/>
            <w:noWrap/>
            <w:vAlign w:val="center"/>
            <w:hideMark/>
          </w:tcPr>
          <w:p w14:paraId="437603AA"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83.220</w:t>
            </w:r>
          </w:p>
        </w:tc>
        <w:tc>
          <w:tcPr>
            <w:tcW w:w="2020" w:type="dxa"/>
            <w:tcBorders>
              <w:top w:val="nil"/>
              <w:left w:val="nil"/>
              <w:bottom w:val="nil"/>
              <w:right w:val="nil"/>
            </w:tcBorders>
            <w:shd w:val="clear" w:color="auto" w:fill="auto"/>
            <w:noWrap/>
            <w:vAlign w:val="center"/>
            <w:hideMark/>
          </w:tcPr>
          <w:p w14:paraId="217757A4"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3,58%</w:t>
            </w:r>
          </w:p>
        </w:tc>
      </w:tr>
      <w:tr w:rsidR="006C0D6C" w:rsidRPr="00BF3CDE" w14:paraId="4B1FE152" w14:textId="77777777" w:rsidTr="006E3225">
        <w:trPr>
          <w:trHeight w:val="283"/>
          <w:jc w:val="center"/>
        </w:trPr>
        <w:tc>
          <w:tcPr>
            <w:tcW w:w="3400" w:type="dxa"/>
            <w:tcBorders>
              <w:top w:val="nil"/>
              <w:left w:val="nil"/>
              <w:bottom w:val="nil"/>
              <w:right w:val="nil"/>
            </w:tcBorders>
            <w:shd w:val="clear" w:color="DCE6F1" w:fill="DCE6F1"/>
            <w:noWrap/>
            <w:vAlign w:val="center"/>
            <w:hideMark/>
          </w:tcPr>
          <w:p w14:paraId="4FDA8DAA" w14:textId="77777777" w:rsidR="006C0D6C" w:rsidRPr="00BF3CDE" w:rsidRDefault="006C0D6C" w:rsidP="006C0D6C">
            <w:pPr>
              <w:spacing w:after="0" w:line="240" w:lineRule="auto"/>
              <w:rPr>
                <w:rFonts w:ascii="Verdana" w:eastAsia="Times New Roman" w:hAnsi="Verdana" w:cs="Arial"/>
                <w:noProof/>
                <w:color w:val="000000"/>
                <w:sz w:val="14"/>
                <w:szCs w:val="14"/>
                <w:lang w:val="sr-Cyrl-CS"/>
              </w:rPr>
            </w:pPr>
            <w:r w:rsidRPr="00BF3CDE">
              <w:rPr>
                <w:rFonts w:ascii="Verdana" w:eastAsia="Times New Roman" w:hAnsi="Verdana" w:cs="Arial"/>
                <w:noProof/>
                <w:color w:val="000000"/>
                <w:sz w:val="14"/>
                <w:szCs w:val="14"/>
                <w:lang w:val="sr-Cyrl-CS"/>
              </w:rPr>
              <w:t>UDRUŽENJE OSIGURAVAČA SRBIJE</w:t>
            </w:r>
          </w:p>
        </w:tc>
        <w:tc>
          <w:tcPr>
            <w:tcW w:w="1349" w:type="dxa"/>
            <w:tcBorders>
              <w:top w:val="nil"/>
              <w:left w:val="nil"/>
              <w:bottom w:val="nil"/>
              <w:right w:val="nil"/>
            </w:tcBorders>
            <w:shd w:val="clear" w:color="DCE6F1" w:fill="DCE6F1"/>
            <w:noWrap/>
            <w:vAlign w:val="center"/>
            <w:hideMark/>
          </w:tcPr>
          <w:p w14:paraId="0E79954B"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68.858</w:t>
            </w:r>
          </w:p>
        </w:tc>
        <w:tc>
          <w:tcPr>
            <w:tcW w:w="2020" w:type="dxa"/>
            <w:tcBorders>
              <w:top w:val="nil"/>
              <w:left w:val="nil"/>
              <w:bottom w:val="nil"/>
              <w:right w:val="nil"/>
            </w:tcBorders>
            <w:shd w:val="clear" w:color="DCE6F1" w:fill="DCE6F1"/>
            <w:noWrap/>
            <w:vAlign w:val="center"/>
            <w:hideMark/>
          </w:tcPr>
          <w:p w14:paraId="69610C40"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2,96%</w:t>
            </w:r>
          </w:p>
        </w:tc>
      </w:tr>
      <w:tr w:rsidR="006C0D6C" w:rsidRPr="00BF3CDE" w14:paraId="14D2251B" w14:textId="77777777" w:rsidTr="006E3225">
        <w:trPr>
          <w:trHeight w:val="283"/>
          <w:jc w:val="center"/>
        </w:trPr>
        <w:tc>
          <w:tcPr>
            <w:tcW w:w="3400" w:type="dxa"/>
            <w:tcBorders>
              <w:top w:val="nil"/>
              <w:left w:val="nil"/>
              <w:bottom w:val="nil"/>
              <w:right w:val="nil"/>
            </w:tcBorders>
            <w:shd w:val="clear" w:color="auto" w:fill="auto"/>
            <w:noWrap/>
            <w:vAlign w:val="center"/>
            <w:hideMark/>
          </w:tcPr>
          <w:p w14:paraId="2113DA1D" w14:textId="77777777" w:rsidR="006C0D6C" w:rsidRPr="00BF3CDE" w:rsidRDefault="006C0D6C" w:rsidP="006C0D6C">
            <w:pPr>
              <w:spacing w:after="0" w:line="240" w:lineRule="auto"/>
              <w:rPr>
                <w:rFonts w:ascii="Verdana" w:eastAsia="Times New Roman" w:hAnsi="Verdana" w:cs="Arial"/>
                <w:noProof/>
                <w:color w:val="000000"/>
                <w:sz w:val="14"/>
                <w:szCs w:val="14"/>
                <w:lang w:val="sr-Cyrl-CS"/>
              </w:rPr>
            </w:pPr>
            <w:r w:rsidRPr="00BF3CDE">
              <w:rPr>
                <w:rFonts w:ascii="Verdana" w:eastAsia="Times New Roman" w:hAnsi="Verdana" w:cs="Arial"/>
                <w:noProof/>
                <w:color w:val="000000"/>
                <w:sz w:val="14"/>
                <w:szCs w:val="14"/>
                <w:lang w:val="sr-Cyrl-CS"/>
              </w:rPr>
              <w:t>MERKUR OSIGURANJE</w:t>
            </w:r>
          </w:p>
        </w:tc>
        <w:tc>
          <w:tcPr>
            <w:tcW w:w="1349" w:type="dxa"/>
            <w:tcBorders>
              <w:top w:val="nil"/>
              <w:left w:val="nil"/>
              <w:bottom w:val="nil"/>
              <w:right w:val="nil"/>
            </w:tcBorders>
            <w:shd w:val="clear" w:color="auto" w:fill="auto"/>
            <w:noWrap/>
            <w:vAlign w:val="center"/>
            <w:hideMark/>
          </w:tcPr>
          <w:p w14:paraId="11A33D6A"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48.198</w:t>
            </w:r>
          </w:p>
        </w:tc>
        <w:tc>
          <w:tcPr>
            <w:tcW w:w="2020" w:type="dxa"/>
            <w:tcBorders>
              <w:top w:val="nil"/>
              <w:left w:val="nil"/>
              <w:bottom w:val="nil"/>
              <w:right w:val="nil"/>
            </w:tcBorders>
            <w:shd w:val="clear" w:color="auto" w:fill="auto"/>
            <w:noWrap/>
            <w:vAlign w:val="center"/>
            <w:hideMark/>
          </w:tcPr>
          <w:p w14:paraId="3E77CBCC"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2,07%</w:t>
            </w:r>
          </w:p>
        </w:tc>
      </w:tr>
      <w:tr w:rsidR="006C0D6C" w:rsidRPr="00BF3CDE" w14:paraId="4A0F854D" w14:textId="77777777" w:rsidTr="006E3225">
        <w:trPr>
          <w:trHeight w:val="283"/>
          <w:jc w:val="center"/>
        </w:trPr>
        <w:tc>
          <w:tcPr>
            <w:tcW w:w="3400" w:type="dxa"/>
            <w:tcBorders>
              <w:top w:val="nil"/>
              <w:left w:val="nil"/>
              <w:bottom w:val="nil"/>
              <w:right w:val="nil"/>
            </w:tcBorders>
            <w:shd w:val="clear" w:color="DCE6F1" w:fill="DCE6F1"/>
            <w:noWrap/>
            <w:vAlign w:val="center"/>
            <w:hideMark/>
          </w:tcPr>
          <w:p w14:paraId="5CE64809" w14:textId="77777777" w:rsidR="006C0D6C" w:rsidRPr="00BF3CDE" w:rsidRDefault="006C0D6C" w:rsidP="006C0D6C">
            <w:pPr>
              <w:spacing w:after="0" w:line="240" w:lineRule="auto"/>
              <w:rPr>
                <w:rFonts w:ascii="Verdana" w:eastAsia="Times New Roman" w:hAnsi="Verdana" w:cs="Arial"/>
                <w:noProof/>
                <w:color w:val="000000"/>
                <w:sz w:val="14"/>
                <w:szCs w:val="14"/>
                <w:lang w:val="sr-Cyrl-CS"/>
              </w:rPr>
            </w:pPr>
            <w:r w:rsidRPr="00BF3CDE">
              <w:rPr>
                <w:rFonts w:ascii="Verdana" w:eastAsia="Times New Roman" w:hAnsi="Verdana" w:cs="Arial"/>
                <w:noProof/>
                <w:color w:val="000000"/>
                <w:sz w:val="14"/>
                <w:szCs w:val="14"/>
                <w:lang w:val="sr-Cyrl-CS"/>
              </w:rPr>
              <w:t>WIENER RE</w:t>
            </w:r>
          </w:p>
        </w:tc>
        <w:tc>
          <w:tcPr>
            <w:tcW w:w="1349" w:type="dxa"/>
            <w:tcBorders>
              <w:top w:val="nil"/>
              <w:left w:val="nil"/>
              <w:bottom w:val="nil"/>
              <w:right w:val="nil"/>
            </w:tcBorders>
            <w:shd w:val="clear" w:color="DCE6F1" w:fill="DCE6F1"/>
            <w:noWrap/>
            <w:vAlign w:val="center"/>
            <w:hideMark/>
          </w:tcPr>
          <w:p w14:paraId="09666933"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17.232</w:t>
            </w:r>
          </w:p>
        </w:tc>
        <w:tc>
          <w:tcPr>
            <w:tcW w:w="2020" w:type="dxa"/>
            <w:tcBorders>
              <w:top w:val="nil"/>
              <w:left w:val="nil"/>
              <w:bottom w:val="nil"/>
              <w:right w:val="nil"/>
            </w:tcBorders>
            <w:shd w:val="clear" w:color="DCE6F1" w:fill="DCE6F1"/>
            <w:noWrap/>
            <w:vAlign w:val="center"/>
            <w:hideMark/>
          </w:tcPr>
          <w:p w14:paraId="38DE7A88"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0,74%</w:t>
            </w:r>
          </w:p>
        </w:tc>
      </w:tr>
      <w:tr w:rsidR="006C0D6C" w:rsidRPr="00BF3CDE" w14:paraId="49A1CB2B" w14:textId="77777777" w:rsidTr="006E3225">
        <w:trPr>
          <w:trHeight w:val="283"/>
          <w:jc w:val="center"/>
        </w:trPr>
        <w:tc>
          <w:tcPr>
            <w:tcW w:w="3400" w:type="dxa"/>
            <w:tcBorders>
              <w:top w:val="nil"/>
              <w:left w:val="nil"/>
              <w:bottom w:val="nil"/>
              <w:right w:val="nil"/>
            </w:tcBorders>
            <w:shd w:val="clear" w:color="auto" w:fill="auto"/>
            <w:noWrap/>
            <w:vAlign w:val="center"/>
            <w:hideMark/>
          </w:tcPr>
          <w:p w14:paraId="5079C944" w14:textId="77777777" w:rsidR="006C0D6C" w:rsidRPr="00BF3CDE" w:rsidRDefault="006C0D6C" w:rsidP="006C0D6C">
            <w:pPr>
              <w:spacing w:after="0" w:line="240" w:lineRule="auto"/>
              <w:rPr>
                <w:rFonts w:ascii="Verdana" w:eastAsia="Times New Roman" w:hAnsi="Verdana" w:cs="Arial"/>
                <w:noProof/>
                <w:color w:val="000000"/>
                <w:sz w:val="14"/>
                <w:szCs w:val="14"/>
                <w:lang w:val="sr-Cyrl-CS"/>
              </w:rPr>
            </w:pPr>
            <w:r w:rsidRPr="00BF3CDE">
              <w:rPr>
                <w:rFonts w:ascii="Verdana" w:eastAsia="Times New Roman" w:hAnsi="Verdana" w:cs="Arial"/>
                <w:noProof/>
                <w:color w:val="000000"/>
                <w:sz w:val="14"/>
                <w:szCs w:val="14"/>
                <w:lang w:val="sr-Cyrl-CS"/>
              </w:rPr>
              <w:t>UNIQA ŽIVOTNO OSIGURANJE</w:t>
            </w:r>
          </w:p>
        </w:tc>
        <w:tc>
          <w:tcPr>
            <w:tcW w:w="1349" w:type="dxa"/>
            <w:tcBorders>
              <w:top w:val="nil"/>
              <w:left w:val="nil"/>
              <w:bottom w:val="nil"/>
              <w:right w:val="nil"/>
            </w:tcBorders>
            <w:shd w:val="clear" w:color="auto" w:fill="auto"/>
            <w:noWrap/>
            <w:vAlign w:val="center"/>
            <w:hideMark/>
          </w:tcPr>
          <w:p w14:paraId="6B2B1DED"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15.134</w:t>
            </w:r>
          </w:p>
        </w:tc>
        <w:tc>
          <w:tcPr>
            <w:tcW w:w="2020" w:type="dxa"/>
            <w:tcBorders>
              <w:top w:val="nil"/>
              <w:left w:val="nil"/>
              <w:bottom w:val="nil"/>
              <w:right w:val="nil"/>
            </w:tcBorders>
            <w:shd w:val="clear" w:color="auto" w:fill="auto"/>
            <w:noWrap/>
            <w:vAlign w:val="center"/>
            <w:hideMark/>
          </w:tcPr>
          <w:p w14:paraId="70280056"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0,65%</w:t>
            </w:r>
          </w:p>
        </w:tc>
      </w:tr>
      <w:tr w:rsidR="006C0D6C" w:rsidRPr="00BF3CDE" w14:paraId="56FD996A" w14:textId="77777777" w:rsidTr="006E3225">
        <w:trPr>
          <w:trHeight w:val="283"/>
          <w:jc w:val="center"/>
        </w:trPr>
        <w:tc>
          <w:tcPr>
            <w:tcW w:w="3400" w:type="dxa"/>
            <w:tcBorders>
              <w:top w:val="nil"/>
              <w:left w:val="nil"/>
              <w:bottom w:val="nil"/>
              <w:right w:val="nil"/>
            </w:tcBorders>
            <w:shd w:val="clear" w:color="DCE6F1" w:fill="DCE6F1"/>
            <w:noWrap/>
            <w:vAlign w:val="center"/>
            <w:hideMark/>
          </w:tcPr>
          <w:p w14:paraId="5EFC0810" w14:textId="77777777" w:rsidR="006C0D6C" w:rsidRPr="00BF3CDE" w:rsidRDefault="006C0D6C" w:rsidP="006C0D6C">
            <w:pPr>
              <w:spacing w:after="0" w:line="240" w:lineRule="auto"/>
              <w:rPr>
                <w:rFonts w:ascii="Verdana" w:eastAsia="Times New Roman" w:hAnsi="Verdana" w:cs="Arial"/>
                <w:noProof/>
                <w:color w:val="000000"/>
                <w:sz w:val="14"/>
                <w:szCs w:val="14"/>
                <w:lang w:val="sr-Cyrl-CS"/>
              </w:rPr>
            </w:pPr>
            <w:r w:rsidRPr="00BF3CDE">
              <w:rPr>
                <w:rFonts w:ascii="Verdana" w:eastAsia="Times New Roman" w:hAnsi="Verdana" w:cs="Arial"/>
                <w:noProof/>
                <w:color w:val="000000"/>
                <w:sz w:val="14"/>
                <w:szCs w:val="14"/>
                <w:lang w:val="sr-Cyrl-CS"/>
              </w:rPr>
              <w:t>MILENIJUM OSIGURANJE</w:t>
            </w:r>
          </w:p>
        </w:tc>
        <w:tc>
          <w:tcPr>
            <w:tcW w:w="1349" w:type="dxa"/>
            <w:tcBorders>
              <w:top w:val="nil"/>
              <w:left w:val="nil"/>
              <w:bottom w:val="nil"/>
              <w:right w:val="nil"/>
            </w:tcBorders>
            <w:shd w:val="clear" w:color="DCE6F1" w:fill="DCE6F1"/>
            <w:noWrap/>
            <w:vAlign w:val="center"/>
            <w:hideMark/>
          </w:tcPr>
          <w:p w14:paraId="05CE26AE"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14.209</w:t>
            </w:r>
          </w:p>
        </w:tc>
        <w:tc>
          <w:tcPr>
            <w:tcW w:w="2020" w:type="dxa"/>
            <w:tcBorders>
              <w:top w:val="nil"/>
              <w:left w:val="nil"/>
              <w:bottom w:val="nil"/>
              <w:right w:val="nil"/>
            </w:tcBorders>
            <w:shd w:val="clear" w:color="DCE6F1" w:fill="DCE6F1"/>
            <w:noWrap/>
            <w:vAlign w:val="center"/>
            <w:hideMark/>
          </w:tcPr>
          <w:p w14:paraId="50AEA505"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0,61%</w:t>
            </w:r>
          </w:p>
        </w:tc>
      </w:tr>
      <w:tr w:rsidR="006C0D6C" w:rsidRPr="00BF3CDE" w14:paraId="2AE1D58C" w14:textId="77777777" w:rsidTr="006E3225">
        <w:trPr>
          <w:trHeight w:val="283"/>
          <w:jc w:val="center"/>
        </w:trPr>
        <w:tc>
          <w:tcPr>
            <w:tcW w:w="3400" w:type="dxa"/>
            <w:tcBorders>
              <w:top w:val="nil"/>
              <w:left w:val="nil"/>
              <w:bottom w:val="nil"/>
              <w:right w:val="nil"/>
            </w:tcBorders>
            <w:shd w:val="clear" w:color="auto" w:fill="auto"/>
            <w:noWrap/>
            <w:vAlign w:val="center"/>
            <w:hideMark/>
          </w:tcPr>
          <w:p w14:paraId="59F3673A" w14:textId="77777777" w:rsidR="006C0D6C" w:rsidRPr="00BF3CDE" w:rsidRDefault="006C0D6C" w:rsidP="006C0D6C">
            <w:pPr>
              <w:spacing w:after="0" w:line="240" w:lineRule="auto"/>
              <w:rPr>
                <w:rFonts w:ascii="Verdana" w:eastAsia="Times New Roman" w:hAnsi="Verdana" w:cs="Arial"/>
                <w:noProof/>
                <w:color w:val="000000"/>
                <w:sz w:val="14"/>
                <w:szCs w:val="14"/>
                <w:lang w:val="sr-Cyrl-CS"/>
              </w:rPr>
            </w:pPr>
            <w:r w:rsidRPr="00BF3CDE">
              <w:rPr>
                <w:rFonts w:ascii="Verdana" w:eastAsia="Times New Roman" w:hAnsi="Verdana" w:cs="Arial"/>
                <w:noProof/>
                <w:color w:val="000000"/>
                <w:sz w:val="14"/>
                <w:szCs w:val="14"/>
                <w:lang w:val="sr-Cyrl-CS"/>
              </w:rPr>
              <w:t>AS OSIGURANJE</w:t>
            </w:r>
          </w:p>
        </w:tc>
        <w:tc>
          <w:tcPr>
            <w:tcW w:w="1349" w:type="dxa"/>
            <w:tcBorders>
              <w:top w:val="nil"/>
              <w:left w:val="nil"/>
              <w:bottom w:val="nil"/>
              <w:right w:val="nil"/>
            </w:tcBorders>
            <w:shd w:val="clear" w:color="auto" w:fill="auto"/>
            <w:noWrap/>
            <w:vAlign w:val="center"/>
            <w:hideMark/>
          </w:tcPr>
          <w:p w14:paraId="69CBEF3D"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11.682</w:t>
            </w:r>
          </w:p>
        </w:tc>
        <w:tc>
          <w:tcPr>
            <w:tcW w:w="2020" w:type="dxa"/>
            <w:tcBorders>
              <w:top w:val="nil"/>
              <w:left w:val="nil"/>
              <w:bottom w:val="nil"/>
              <w:right w:val="nil"/>
            </w:tcBorders>
            <w:shd w:val="clear" w:color="auto" w:fill="auto"/>
            <w:noWrap/>
            <w:vAlign w:val="center"/>
            <w:hideMark/>
          </w:tcPr>
          <w:p w14:paraId="4FA5E8D3"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0,50%</w:t>
            </w:r>
          </w:p>
        </w:tc>
      </w:tr>
      <w:tr w:rsidR="006C0D6C" w:rsidRPr="00BF3CDE" w14:paraId="5C618E40" w14:textId="77777777" w:rsidTr="006E3225">
        <w:trPr>
          <w:trHeight w:val="283"/>
          <w:jc w:val="center"/>
        </w:trPr>
        <w:tc>
          <w:tcPr>
            <w:tcW w:w="3400" w:type="dxa"/>
            <w:tcBorders>
              <w:top w:val="nil"/>
              <w:left w:val="nil"/>
              <w:bottom w:val="nil"/>
              <w:right w:val="nil"/>
            </w:tcBorders>
            <w:shd w:val="clear" w:color="DCE6F1" w:fill="DCE6F1"/>
            <w:noWrap/>
            <w:vAlign w:val="center"/>
            <w:hideMark/>
          </w:tcPr>
          <w:p w14:paraId="34CA2F1B" w14:textId="77777777" w:rsidR="006C0D6C" w:rsidRPr="00BF3CDE" w:rsidRDefault="006C0D6C" w:rsidP="006C0D6C">
            <w:pPr>
              <w:spacing w:after="0" w:line="240" w:lineRule="auto"/>
              <w:rPr>
                <w:rFonts w:ascii="Verdana" w:eastAsia="Times New Roman" w:hAnsi="Verdana" w:cs="Arial"/>
                <w:noProof/>
                <w:color w:val="000000"/>
                <w:sz w:val="14"/>
                <w:szCs w:val="14"/>
                <w:lang w:val="sr-Cyrl-CS"/>
              </w:rPr>
            </w:pPr>
            <w:r w:rsidRPr="00BF3CDE">
              <w:rPr>
                <w:rFonts w:ascii="Verdana" w:eastAsia="Times New Roman" w:hAnsi="Verdana" w:cs="Arial"/>
                <w:noProof/>
                <w:color w:val="000000"/>
                <w:sz w:val="14"/>
                <w:szCs w:val="14"/>
                <w:lang w:val="sr-Cyrl-CS"/>
              </w:rPr>
              <w:t>AMS OSIGURANJE</w:t>
            </w:r>
          </w:p>
        </w:tc>
        <w:tc>
          <w:tcPr>
            <w:tcW w:w="1349" w:type="dxa"/>
            <w:tcBorders>
              <w:top w:val="nil"/>
              <w:left w:val="nil"/>
              <w:bottom w:val="nil"/>
              <w:right w:val="nil"/>
            </w:tcBorders>
            <w:shd w:val="clear" w:color="DCE6F1" w:fill="DCE6F1"/>
            <w:noWrap/>
            <w:vAlign w:val="center"/>
            <w:hideMark/>
          </w:tcPr>
          <w:p w14:paraId="4B7DF114"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7.909</w:t>
            </w:r>
          </w:p>
        </w:tc>
        <w:tc>
          <w:tcPr>
            <w:tcW w:w="2020" w:type="dxa"/>
            <w:tcBorders>
              <w:top w:val="nil"/>
              <w:left w:val="nil"/>
              <w:bottom w:val="nil"/>
              <w:right w:val="nil"/>
            </w:tcBorders>
            <w:shd w:val="clear" w:color="DCE6F1" w:fill="DCE6F1"/>
            <w:noWrap/>
            <w:vAlign w:val="center"/>
            <w:hideMark/>
          </w:tcPr>
          <w:p w14:paraId="3996770A"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0,34%</w:t>
            </w:r>
          </w:p>
        </w:tc>
      </w:tr>
      <w:tr w:rsidR="006C0D6C" w:rsidRPr="00BF3CDE" w14:paraId="4C3560DB" w14:textId="77777777" w:rsidTr="006E3225">
        <w:trPr>
          <w:trHeight w:val="283"/>
          <w:jc w:val="center"/>
        </w:trPr>
        <w:tc>
          <w:tcPr>
            <w:tcW w:w="3400" w:type="dxa"/>
            <w:tcBorders>
              <w:top w:val="nil"/>
              <w:left w:val="nil"/>
              <w:bottom w:val="nil"/>
              <w:right w:val="nil"/>
            </w:tcBorders>
            <w:shd w:val="clear" w:color="auto" w:fill="auto"/>
            <w:noWrap/>
            <w:vAlign w:val="center"/>
            <w:hideMark/>
          </w:tcPr>
          <w:p w14:paraId="259B225D" w14:textId="77777777" w:rsidR="006C0D6C" w:rsidRPr="00BF3CDE" w:rsidRDefault="006C0D6C" w:rsidP="006C0D6C">
            <w:pPr>
              <w:spacing w:after="0" w:line="240" w:lineRule="auto"/>
              <w:rPr>
                <w:rFonts w:ascii="Verdana" w:eastAsia="Times New Roman" w:hAnsi="Verdana" w:cs="Arial"/>
                <w:noProof/>
                <w:color w:val="000000"/>
                <w:sz w:val="14"/>
                <w:szCs w:val="14"/>
                <w:lang w:val="sr-Cyrl-CS"/>
              </w:rPr>
            </w:pPr>
            <w:r w:rsidRPr="00BF3CDE">
              <w:rPr>
                <w:rFonts w:ascii="Verdana" w:eastAsia="Times New Roman" w:hAnsi="Verdana" w:cs="Arial"/>
                <w:noProof/>
                <w:color w:val="000000"/>
                <w:sz w:val="14"/>
                <w:szCs w:val="14"/>
                <w:lang w:val="sr-Cyrl-CS"/>
              </w:rPr>
              <w:t>ENEROPROJEKT GARANT OSIGURANJE</w:t>
            </w:r>
          </w:p>
        </w:tc>
        <w:tc>
          <w:tcPr>
            <w:tcW w:w="1349" w:type="dxa"/>
            <w:tcBorders>
              <w:top w:val="nil"/>
              <w:left w:val="nil"/>
              <w:bottom w:val="nil"/>
              <w:right w:val="nil"/>
            </w:tcBorders>
            <w:shd w:val="clear" w:color="auto" w:fill="auto"/>
            <w:noWrap/>
            <w:vAlign w:val="center"/>
            <w:hideMark/>
          </w:tcPr>
          <w:p w14:paraId="4B821FF4"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7.167</w:t>
            </w:r>
          </w:p>
        </w:tc>
        <w:tc>
          <w:tcPr>
            <w:tcW w:w="2020" w:type="dxa"/>
            <w:tcBorders>
              <w:top w:val="nil"/>
              <w:left w:val="nil"/>
              <w:bottom w:val="nil"/>
              <w:right w:val="nil"/>
            </w:tcBorders>
            <w:shd w:val="clear" w:color="auto" w:fill="auto"/>
            <w:noWrap/>
            <w:vAlign w:val="center"/>
            <w:hideMark/>
          </w:tcPr>
          <w:p w14:paraId="5A10A922"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0,31%</w:t>
            </w:r>
          </w:p>
        </w:tc>
      </w:tr>
      <w:tr w:rsidR="006C0D6C" w:rsidRPr="00BF3CDE" w14:paraId="3BA1BB4E" w14:textId="77777777" w:rsidTr="006E3225">
        <w:trPr>
          <w:trHeight w:val="283"/>
          <w:jc w:val="center"/>
        </w:trPr>
        <w:tc>
          <w:tcPr>
            <w:tcW w:w="3400" w:type="dxa"/>
            <w:tcBorders>
              <w:top w:val="nil"/>
              <w:left w:val="nil"/>
              <w:bottom w:val="nil"/>
              <w:right w:val="nil"/>
            </w:tcBorders>
            <w:shd w:val="clear" w:color="DCE6F1" w:fill="DCE6F1"/>
            <w:noWrap/>
            <w:vAlign w:val="center"/>
            <w:hideMark/>
          </w:tcPr>
          <w:p w14:paraId="36D193CA" w14:textId="77777777" w:rsidR="006C0D6C" w:rsidRPr="00BF3CDE" w:rsidRDefault="006C0D6C" w:rsidP="006C0D6C">
            <w:pPr>
              <w:spacing w:after="0" w:line="240" w:lineRule="auto"/>
              <w:rPr>
                <w:rFonts w:ascii="Verdana" w:eastAsia="Times New Roman" w:hAnsi="Verdana" w:cs="Arial"/>
                <w:noProof/>
                <w:color w:val="000000"/>
                <w:sz w:val="14"/>
                <w:szCs w:val="14"/>
                <w:lang w:val="sr-Cyrl-CS"/>
              </w:rPr>
            </w:pPr>
            <w:r w:rsidRPr="00BF3CDE">
              <w:rPr>
                <w:rFonts w:ascii="Verdana" w:eastAsia="Times New Roman" w:hAnsi="Verdana" w:cs="Arial"/>
                <w:noProof/>
                <w:color w:val="000000"/>
                <w:sz w:val="14"/>
                <w:szCs w:val="14"/>
                <w:lang w:val="sr-Cyrl-CS"/>
              </w:rPr>
              <w:t>GLOBOS OSIGURANJE</w:t>
            </w:r>
          </w:p>
        </w:tc>
        <w:tc>
          <w:tcPr>
            <w:tcW w:w="1349" w:type="dxa"/>
            <w:tcBorders>
              <w:top w:val="nil"/>
              <w:left w:val="nil"/>
              <w:bottom w:val="nil"/>
              <w:right w:val="nil"/>
            </w:tcBorders>
            <w:shd w:val="clear" w:color="DCE6F1" w:fill="DCE6F1"/>
            <w:noWrap/>
            <w:vAlign w:val="center"/>
            <w:hideMark/>
          </w:tcPr>
          <w:p w14:paraId="211F8B3F"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5.916</w:t>
            </w:r>
          </w:p>
        </w:tc>
        <w:tc>
          <w:tcPr>
            <w:tcW w:w="2020" w:type="dxa"/>
            <w:tcBorders>
              <w:top w:val="nil"/>
              <w:left w:val="nil"/>
              <w:bottom w:val="nil"/>
              <w:right w:val="nil"/>
            </w:tcBorders>
            <w:shd w:val="clear" w:color="DCE6F1" w:fill="DCE6F1"/>
            <w:noWrap/>
            <w:vAlign w:val="center"/>
            <w:hideMark/>
          </w:tcPr>
          <w:p w14:paraId="522DA1B7"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0,25%</w:t>
            </w:r>
          </w:p>
        </w:tc>
      </w:tr>
      <w:tr w:rsidR="006C0D6C" w:rsidRPr="00BF3CDE" w14:paraId="6300BE29" w14:textId="77777777" w:rsidTr="006E3225">
        <w:trPr>
          <w:trHeight w:val="283"/>
          <w:jc w:val="center"/>
        </w:trPr>
        <w:tc>
          <w:tcPr>
            <w:tcW w:w="3400" w:type="dxa"/>
            <w:tcBorders>
              <w:top w:val="nil"/>
              <w:left w:val="nil"/>
              <w:bottom w:val="nil"/>
              <w:right w:val="nil"/>
            </w:tcBorders>
            <w:shd w:val="clear" w:color="auto" w:fill="auto"/>
            <w:noWrap/>
            <w:vAlign w:val="center"/>
            <w:hideMark/>
          </w:tcPr>
          <w:p w14:paraId="469B604C" w14:textId="77777777" w:rsidR="006C0D6C" w:rsidRPr="00BF3CDE" w:rsidRDefault="006C0D6C" w:rsidP="006C0D6C">
            <w:pPr>
              <w:spacing w:after="0" w:line="240" w:lineRule="auto"/>
              <w:rPr>
                <w:rFonts w:ascii="Verdana" w:eastAsia="Times New Roman" w:hAnsi="Verdana" w:cs="Arial"/>
                <w:noProof/>
                <w:color w:val="000000"/>
                <w:sz w:val="14"/>
                <w:szCs w:val="14"/>
                <w:lang w:val="sr-Cyrl-CS"/>
              </w:rPr>
            </w:pPr>
            <w:r w:rsidRPr="00BF3CDE">
              <w:rPr>
                <w:rFonts w:ascii="Verdana" w:eastAsia="Times New Roman" w:hAnsi="Verdana" w:cs="Arial"/>
                <w:noProof/>
                <w:color w:val="000000"/>
                <w:sz w:val="14"/>
                <w:szCs w:val="14"/>
                <w:lang w:val="sr-Cyrl-CS"/>
              </w:rPr>
              <w:t>NEŽIVOTNO OSIGURANJE BASLER</w:t>
            </w:r>
          </w:p>
        </w:tc>
        <w:tc>
          <w:tcPr>
            <w:tcW w:w="1349" w:type="dxa"/>
            <w:tcBorders>
              <w:top w:val="nil"/>
              <w:left w:val="nil"/>
              <w:bottom w:val="nil"/>
              <w:right w:val="nil"/>
            </w:tcBorders>
            <w:shd w:val="clear" w:color="auto" w:fill="auto"/>
            <w:noWrap/>
            <w:vAlign w:val="center"/>
            <w:hideMark/>
          </w:tcPr>
          <w:p w14:paraId="51CA2FF4"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2.523</w:t>
            </w:r>
          </w:p>
        </w:tc>
        <w:tc>
          <w:tcPr>
            <w:tcW w:w="2020" w:type="dxa"/>
            <w:tcBorders>
              <w:top w:val="nil"/>
              <w:left w:val="nil"/>
              <w:bottom w:val="nil"/>
              <w:right w:val="nil"/>
            </w:tcBorders>
            <w:shd w:val="clear" w:color="auto" w:fill="auto"/>
            <w:noWrap/>
            <w:vAlign w:val="center"/>
            <w:hideMark/>
          </w:tcPr>
          <w:p w14:paraId="549E9681"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0,11%</w:t>
            </w:r>
          </w:p>
        </w:tc>
      </w:tr>
      <w:tr w:rsidR="006C0D6C" w:rsidRPr="00BF3CDE" w14:paraId="1241BEA1" w14:textId="77777777" w:rsidTr="006E3225">
        <w:trPr>
          <w:trHeight w:val="283"/>
          <w:jc w:val="center"/>
        </w:trPr>
        <w:tc>
          <w:tcPr>
            <w:tcW w:w="3400" w:type="dxa"/>
            <w:tcBorders>
              <w:top w:val="nil"/>
              <w:left w:val="nil"/>
              <w:bottom w:val="nil"/>
              <w:right w:val="nil"/>
            </w:tcBorders>
            <w:shd w:val="clear" w:color="DCE6F1" w:fill="DCE6F1"/>
            <w:noWrap/>
            <w:vAlign w:val="center"/>
            <w:hideMark/>
          </w:tcPr>
          <w:p w14:paraId="2E8C08EE" w14:textId="77777777" w:rsidR="006C0D6C" w:rsidRPr="00BF3CDE" w:rsidRDefault="006C0D6C" w:rsidP="006C0D6C">
            <w:pPr>
              <w:spacing w:after="0" w:line="240" w:lineRule="auto"/>
              <w:rPr>
                <w:rFonts w:ascii="Verdana" w:eastAsia="Times New Roman" w:hAnsi="Verdana" w:cs="Arial"/>
                <w:noProof/>
                <w:color w:val="000000"/>
                <w:sz w:val="14"/>
                <w:szCs w:val="14"/>
                <w:lang w:val="sr-Cyrl-CS"/>
              </w:rPr>
            </w:pPr>
            <w:r w:rsidRPr="00BF3CDE">
              <w:rPr>
                <w:rFonts w:ascii="Verdana" w:eastAsia="Times New Roman" w:hAnsi="Verdana" w:cs="Arial"/>
                <w:noProof/>
                <w:color w:val="000000"/>
                <w:sz w:val="14"/>
                <w:szCs w:val="14"/>
                <w:lang w:val="sr-Cyrl-CS"/>
              </w:rPr>
              <w:t>ŽIVOTNO OSIGURANJE BASLER</w:t>
            </w:r>
          </w:p>
        </w:tc>
        <w:tc>
          <w:tcPr>
            <w:tcW w:w="1349" w:type="dxa"/>
            <w:tcBorders>
              <w:top w:val="nil"/>
              <w:left w:val="nil"/>
              <w:bottom w:val="nil"/>
              <w:right w:val="nil"/>
            </w:tcBorders>
            <w:shd w:val="clear" w:color="DCE6F1" w:fill="DCE6F1"/>
            <w:noWrap/>
            <w:vAlign w:val="center"/>
            <w:hideMark/>
          </w:tcPr>
          <w:p w14:paraId="4D3F6ABA"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1.718</w:t>
            </w:r>
          </w:p>
        </w:tc>
        <w:tc>
          <w:tcPr>
            <w:tcW w:w="2020" w:type="dxa"/>
            <w:tcBorders>
              <w:top w:val="nil"/>
              <w:left w:val="nil"/>
              <w:bottom w:val="nil"/>
              <w:right w:val="nil"/>
            </w:tcBorders>
            <w:shd w:val="clear" w:color="DCE6F1" w:fill="DCE6F1"/>
            <w:noWrap/>
            <w:vAlign w:val="center"/>
            <w:hideMark/>
          </w:tcPr>
          <w:p w14:paraId="14EE3A5D"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0,07%</w:t>
            </w:r>
          </w:p>
        </w:tc>
      </w:tr>
      <w:tr w:rsidR="006C0D6C" w:rsidRPr="00BF3CDE" w14:paraId="46562843" w14:textId="77777777" w:rsidTr="006E3225">
        <w:trPr>
          <w:trHeight w:val="283"/>
          <w:jc w:val="center"/>
        </w:trPr>
        <w:tc>
          <w:tcPr>
            <w:tcW w:w="3400" w:type="dxa"/>
            <w:tcBorders>
              <w:top w:val="nil"/>
              <w:left w:val="nil"/>
              <w:bottom w:val="nil"/>
              <w:right w:val="nil"/>
            </w:tcBorders>
            <w:shd w:val="clear" w:color="auto" w:fill="auto"/>
            <w:noWrap/>
            <w:vAlign w:val="center"/>
            <w:hideMark/>
          </w:tcPr>
          <w:p w14:paraId="7F3AECD8" w14:textId="77777777" w:rsidR="006C0D6C" w:rsidRPr="00BF3CDE" w:rsidRDefault="006C0D6C" w:rsidP="006C0D6C">
            <w:pPr>
              <w:spacing w:after="0" w:line="240" w:lineRule="auto"/>
              <w:rPr>
                <w:rFonts w:ascii="Verdana" w:eastAsia="Times New Roman" w:hAnsi="Verdana" w:cs="Arial"/>
                <w:noProof/>
                <w:color w:val="000000"/>
                <w:sz w:val="14"/>
                <w:szCs w:val="14"/>
                <w:lang w:val="sr-Cyrl-CS"/>
              </w:rPr>
            </w:pPr>
            <w:r w:rsidRPr="00BF3CDE">
              <w:rPr>
                <w:rFonts w:ascii="Verdana" w:eastAsia="Times New Roman" w:hAnsi="Verdana" w:cs="Arial"/>
                <w:noProof/>
                <w:color w:val="000000"/>
                <w:sz w:val="14"/>
                <w:szCs w:val="14"/>
                <w:lang w:val="sr-Cyrl-CS"/>
              </w:rPr>
              <w:t>SOCIETE GENERALE OSIGURANJE</w:t>
            </w:r>
          </w:p>
        </w:tc>
        <w:tc>
          <w:tcPr>
            <w:tcW w:w="1349" w:type="dxa"/>
            <w:tcBorders>
              <w:top w:val="nil"/>
              <w:left w:val="nil"/>
              <w:bottom w:val="nil"/>
              <w:right w:val="nil"/>
            </w:tcBorders>
            <w:shd w:val="clear" w:color="auto" w:fill="auto"/>
            <w:noWrap/>
            <w:vAlign w:val="center"/>
            <w:hideMark/>
          </w:tcPr>
          <w:p w14:paraId="129D09D1"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635</w:t>
            </w:r>
          </w:p>
        </w:tc>
        <w:tc>
          <w:tcPr>
            <w:tcW w:w="2020" w:type="dxa"/>
            <w:tcBorders>
              <w:top w:val="nil"/>
              <w:left w:val="nil"/>
              <w:bottom w:val="nil"/>
              <w:right w:val="nil"/>
            </w:tcBorders>
            <w:shd w:val="clear" w:color="auto" w:fill="auto"/>
            <w:noWrap/>
            <w:vAlign w:val="center"/>
            <w:hideMark/>
          </w:tcPr>
          <w:p w14:paraId="2D8E4768"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0,03%</w:t>
            </w:r>
          </w:p>
        </w:tc>
      </w:tr>
      <w:tr w:rsidR="006C0D6C" w:rsidRPr="00BF3CDE" w14:paraId="71C2061A" w14:textId="77777777" w:rsidTr="006E3225">
        <w:trPr>
          <w:trHeight w:val="283"/>
          <w:jc w:val="center"/>
        </w:trPr>
        <w:tc>
          <w:tcPr>
            <w:tcW w:w="3400" w:type="dxa"/>
            <w:tcBorders>
              <w:top w:val="nil"/>
              <w:left w:val="nil"/>
              <w:bottom w:val="nil"/>
              <w:right w:val="nil"/>
            </w:tcBorders>
            <w:shd w:val="clear" w:color="DCE6F1" w:fill="DCE6F1"/>
            <w:noWrap/>
            <w:vAlign w:val="center"/>
            <w:hideMark/>
          </w:tcPr>
          <w:p w14:paraId="7253771E" w14:textId="77777777" w:rsidR="006C0D6C" w:rsidRPr="00BF3CDE" w:rsidRDefault="006C0D6C" w:rsidP="006C0D6C">
            <w:pPr>
              <w:spacing w:after="0" w:line="240" w:lineRule="auto"/>
              <w:rPr>
                <w:rFonts w:ascii="Verdana" w:eastAsia="Times New Roman" w:hAnsi="Verdana" w:cs="Arial"/>
                <w:noProof/>
                <w:color w:val="000000"/>
                <w:sz w:val="14"/>
                <w:szCs w:val="14"/>
                <w:lang w:val="sr-Cyrl-CS"/>
              </w:rPr>
            </w:pPr>
            <w:r w:rsidRPr="00BF3CDE">
              <w:rPr>
                <w:rFonts w:ascii="Verdana" w:eastAsia="Times New Roman" w:hAnsi="Verdana" w:cs="Arial"/>
                <w:noProof/>
                <w:color w:val="000000"/>
                <w:sz w:val="14"/>
                <w:szCs w:val="14"/>
                <w:lang w:val="sr-Cyrl-CS"/>
              </w:rPr>
              <w:t>METLIFE ŽIVOTNO OSIGURANJE</w:t>
            </w:r>
          </w:p>
        </w:tc>
        <w:tc>
          <w:tcPr>
            <w:tcW w:w="1349" w:type="dxa"/>
            <w:tcBorders>
              <w:top w:val="nil"/>
              <w:left w:val="nil"/>
              <w:bottom w:val="nil"/>
              <w:right w:val="nil"/>
            </w:tcBorders>
            <w:shd w:val="clear" w:color="DCE6F1" w:fill="DCE6F1"/>
            <w:noWrap/>
            <w:vAlign w:val="center"/>
            <w:hideMark/>
          </w:tcPr>
          <w:p w14:paraId="070D9F81"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465</w:t>
            </w:r>
          </w:p>
        </w:tc>
        <w:tc>
          <w:tcPr>
            <w:tcW w:w="2020" w:type="dxa"/>
            <w:tcBorders>
              <w:top w:val="nil"/>
              <w:left w:val="nil"/>
              <w:bottom w:val="nil"/>
              <w:right w:val="nil"/>
            </w:tcBorders>
            <w:shd w:val="clear" w:color="DCE6F1" w:fill="DCE6F1"/>
            <w:noWrap/>
            <w:vAlign w:val="center"/>
            <w:hideMark/>
          </w:tcPr>
          <w:p w14:paraId="30ACD707" w14:textId="77777777" w:rsidR="006C0D6C" w:rsidRPr="00BF3CDE" w:rsidRDefault="006C0D6C" w:rsidP="006C0D6C">
            <w:pPr>
              <w:spacing w:after="0" w:line="240" w:lineRule="auto"/>
              <w:jc w:val="center"/>
              <w:rPr>
                <w:rFonts w:asciiTheme="majorHAnsi" w:eastAsiaTheme="majorEastAsia" w:hAnsiTheme="majorHAnsi" w:cstheme="majorBidi"/>
                <w:noProof/>
                <w:sz w:val="14"/>
                <w:szCs w:val="14"/>
                <w:lang w:val="sr-Cyrl-CS"/>
              </w:rPr>
            </w:pPr>
            <w:r w:rsidRPr="00BF3CDE">
              <w:rPr>
                <w:rFonts w:asciiTheme="majorHAnsi" w:eastAsiaTheme="majorEastAsia" w:hAnsiTheme="majorHAnsi" w:cstheme="majorBidi"/>
                <w:noProof/>
                <w:sz w:val="14"/>
                <w:szCs w:val="14"/>
                <w:lang w:val="sr-Cyrl-CS"/>
              </w:rPr>
              <w:t>0,02%</w:t>
            </w:r>
          </w:p>
        </w:tc>
      </w:tr>
      <w:tr w:rsidR="006C0D6C" w:rsidRPr="00BF3CDE" w14:paraId="2B6147D8" w14:textId="77777777" w:rsidTr="006E3225">
        <w:trPr>
          <w:trHeight w:val="283"/>
          <w:jc w:val="center"/>
        </w:trPr>
        <w:tc>
          <w:tcPr>
            <w:tcW w:w="3400" w:type="dxa"/>
            <w:tcBorders>
              <w:top w:val="nil"/>
              <w:left w:val="nil"/>
              <w:bottom w:val="nil"/>
              <w:right w:val="nil"/>
            </w:tcBorders>
            <w:shd w:val="clear" w:color="auto" w:fill="auto"/>
            <w:noWrap/>
            <w:vAlign w:val="center"/>
            <w:hideMark/>
          </w:tcPr>
          <w:p w14:paraId="3B70F620" w14:textId="77777777" w:rsidR="006C0D6C" w:rsidRPr="00BF3CDE" w:rsidRDefault="006C0D6C" w:rsidP="006C0D6C">
            <w:pPr>
              <w:spacing w:after="0" w:line="240" w:lineRule="auto"/>
              <w:rPr>
                <w:rFonts w:ascii="Verdana" w:eastAsia="Times New Roman" w:hAnsi="Verdana" w:cs="Arial"/>
                <w:noProof/>
                <w:color w:val="000000"/>
                <w:sz w:val="14"/>
                <w:szCs w:val="14"/>
                <w:lang w:val="sr-Cyrl-CS"/>
              </w:rPr>
            </w:pPr>
            <w:r w:rsidRPr="00BF3CDE">
              <w:rPr>
                <w:rFonts w:ascii="Verdana" w:eastAsia="Times New Roman" w:hAnsi="Verdana" w:cs="Arial"/>
                <w:noProof/>
                <w:color w:val="000000"/>
                <w:sz w:val="14"/>
                <w:szCs w:val="14"/>
                <w:lang w:val="sr-Cyrl-CS"/>
              </w:rPr>
              <w:t>SAVA ŽIVOTNO OSIGURANJE</w:t>
            </w:r>
          </w:p>
        </w:tc>
        <w:tc>
          <w:tcPr>
            <w:tcW w:w="1349" w:type="dxa"/>
            <w:tcBorders>
              <w:top w:val="nil"/>
              <w:left w:val="nil"/>
              <w:bottom w:val="nil"/>
              <w:right w:val="nil"/>
            </w:tcBorders>
            <w:shd w:val="clear" w:color="auto" w:fill="auto"/>
            <w:noWrap/>
            <w:vAlign w:val="center"/>
            <w:hideMark/>
          </w:tcPr>
          <w:p w14:paraId="779F0C01" w14:textId="77777777" w:rsidR="006C0D6C" w:rsidRPr="00BF3CDE" w:rsidRDefault="006C0D6C" w:rsidP="006C0D6C">
            <w:pPr>
              <w:spacing w:after="0" w:line="240" w:lineRule="auto"/>
              <w:jc w:val="center"/>
              <w:rPr>
                <w:rFonts w:ascii="Verdana" w:eastAsia="Times New Roman" w:hAnsi="Verdana" w:cs="Times New Roman"/>
                <w:noProof/>
                <w:sz w:val="14"/>
                <w:szCs w:val="14"/>
                <w:lang w:val="sr-Cyrl-CS"/>
              </w:rPr>
            </w:pPr>
            <w:r w:rsidRPr="00BF3CDE">
              <w:rPr>
                <w:rFonts w:ascii="Verdana" w:eastAsia="Times New Roman" w:hAnsi="Verdana" w:cs="Times New Roman"/>
                <w:noProof/>
                <w:sz w:val="14"/>
                <w:szCs w:val="14"/>
                <w:lang w:val="sr-Cyrl-CS"/>
              </w:rPr>
              <w:t>377</w:t>
            </w:r>
          </w:p>
        </w:tc>
        <w:tc>
          <w:tcPr>
            <w:tcW w:w="2020" w:type="dxa"/>
            <w:tcBorders>
              <w:top w:val="nil"/>
              <w:left w:val="nil"/>
              <w:bottom w:val="nil"/>
              <w:right w:val="nil"/>
            </w:tcBorders>
            <w:shd w:val="clear" w:color="auto" w:fill="auto"/>
            <w:noWrap/>
            <w:vAlign w:val="center"/>
            <w:hideMark/>
          </w:tcPr>
          <w:p w14:paraId="2B9C6F29" w14:textId="77777777" w:rsidR="006C0D6C" w:rsidRPr="00BF3CDE" w:rsidRDefault="006C0D6C" w:rsidP="006C0D6C">
            <w:pPr>
              <w:spacing w:after="0" w:line="240" w:lineRule="auto"/>
              <w:jc w:val="center"/>
              <w:rPr>
                <w:rFonts w:ascii="Verdana" w:eastAsia="Times New Roman" w:hAnsi="Verdana" w:cs="Times New Roman"/>
                <w:noProof/>
                <w:sz w:val="14"/>
                <w:szCs w:val="14"/>
                <w:lang w:val="sr-Cyrl-CS"/>
              </w:rPr>
            </w:pPr>
            <w:r w:rsidRPr="00BF3CDE">
              <w:rPr>
                <w:rFonts w:ascii="Verdana" w:eastAsia="Times New Roman" w:hAnsi="Verdana" w:cs="Times New Roman"/>
                <w:noProof/>
                <w:sz w:val="14"/>
                <w:szCs w:val="14"/>
                <w:lang w:val="sr-Cyrl-CS"/>
              </w:rPr>
              <w:t>0,02%</w:t>
            </w:r>
          </w:p>
        </w:tc>
      </w:tr>
      <w:tr w:rsidR="006C0D6C" w:rsidRPr="00BF3CDE" w14:paraId="7D3BA079" w14:textId="77777777" w:rsidTr="006E3225">
        <w:trPr>
          <w:trHeight w:val="283"/>
          <w:jc w:val="center"/>
        </w:trPr>
        <w:tc>
          <w:tcPr>
            <w:tcW w:w="3400" w:type="dxa"/>
            <w:tcBorders>
              <w:top w:val="nil"/>
              <w:left w:val="nil"/>
              <w:bottom w:val="single" w:sz="4" w:space="0" w:color="4F81BD"/>
              <w:right w:val="nil"/>
            </w:tcBorders>
            <w:shd w:val="clear" w:color="DCE6F1" w:fill="DCE6F1"/>
            <w:noWrap/>
            <w:vAlign w:val="center"/>
            <w:hideMark/>
          </w:tcPr>
          <w:p w14:paraId="4E0DFC0A" w14:textId="77777777" w:rsidR="006C0D6C" w:rsidRPr="00BF3CDE" w:rsidRDefault="006C0D6C" w:rsidP="006C0D6C">
            <w:pPr>
              <w:spacing w:after="0" w:line="240" w:lineRule="auto"/>
              <w:rPr>
                <w:rFonts w:ascii="Verdana" w:eastAsia="Times New Roman" w:hAnsi="Verdana" w:cs="Arial"/>
                <w:noProof/>
                <w:color w:val="000000"/>
                <w:sz w:val="14"/>
                <w:szCs w:val="14"/>
                <w:lang w:val="sr-Cyrl-CS"/>
              </w:rPr>
            </w:pPr>
            <w:r w:rsidRPr="00BF3CDE">
              <w:rPr>
                <w:rFonts w:ascii="Verdana" w:eastAsia="Times New Roman" w:hAnsi="Verdana" w:cs="Arial"/>
                <w:noProof/>
                <w:color w:val="000000"/>
                <w:sz w:val="14"/>
                <w:szCs w:val="14"/>
                <w:lang w:val="sr-Cyrl-CS"/>
              </w:rPr>
              <w:t>GENERALI OSIGURANJE</w:t>
            </w:r>
          </w:p>
        </w:tc>
        <w:tc>
          <w:tcPr>
            <w:tcW w:w="1349" w:type="dxa"/>
            <w:tcBorders>
              <w:top w:val="nil"/>
              <w:left w:val="nil"/>
              <w:bottom w:val="single" w:sz="4" w:space="0" w:color="4F81BD"/>
              <w:right w:val="nil"/>
            </w:tcBorders>
            <w:shd w:val="clear" w:color="DCE6F1" w:fill="DCE6F1"/>
            <w:noWrap/>
            <w:vAlign w:val="center"/>
            <w:hideMark/>
          </w:tcPr>
          <w:p w14:paraId="098AEBEB" w14:textId="77777777" w:rsidR="006C0D6C" w:rsidRPr="00BF3CDE" w:rsidRDefault="006C0D6C" w:rsidP="006C0D6C">
            <w:pPr>
              <w:spacing w:after="0" w:line="240" w:lineRule="auto"/>
              <w:jc w:val="center"/>
              <w:rPr>
                <w:rFonts w:ascii="Verdana" w:eastAsia="Times New Roman" w:hAnsi="Verdana" w:cs="Times New Roman"/>
                <w:noProof/>
                <w:sz w:val="14"/>
                <w:szCs w:val="14"/>
                <w:lang w:val="sr-Cyrl-CS"/>
              </w:rPr>
            </w:pPr>
            <w:r w:rsidRPr="00BF3CDE">
              <w:rPr>
                <w:rFonts w:ascii="Verdana" w:eastAsia="Times New Roman" w:hAnsi="Verdana" w:cs="Times New Roman"/>
                <w:noProof/>
                <w:sz w:val="14"/>
                <w:szCs w:val="14"/>
                <w:lang w:val="sr-Cyrl-CS"/>
              </w:rPr>
              <w:t>133</w:t>
            </w:r>
          </w:p>
        </w:tc>
        <w:tc>
          <w:tcPr>
            <w:tcW w:w="2020" w:type="dxa"/>
            <w:tcBorders>
              <w:top w:val="nil"/>
              <w:left w:val="nil"/>
              <w:bottom w:val="single" w:sz="4" w:space="0" w:color="4F81BD"/>
              <w:right w:val="nil"/>
            </w:tcBorders>
            <w:shd w:val="clear" w:color="DCE6F1" w:fill="DCE6F1"/>
            <w:noWrap/>
            <w:vAlign w:val="center"/>
            <w:hideMark/>
          </w:tcPr>
          <w:p w14:paraId="31895982" w14:textId="77777777" w:rsidR="006C0D6C" w:rsidRPr="00BF3CDE" w:rsidRDefault="006C0D6C" w:rsidP="006C0D6C">
            <w:pPr>
              <w:spacing w:after="0" w:line="240" w:lineRule="auto"/>
              <w:jc w:val="center"/>
              <w:rPr>
                <w:rFonts w:ascii="Verdana" w:eastAsia="Times New Roman" w:hAnsi="Verdana" w:cs="Times New Roman"/>
                <w:noProof/>
                <w:sz w:val="14"/>
                <w:szCs w:val="14"/>
                <w:lang w:val="sr-Cyrl-CS"/>
              </w:rPr>
            </w:pPr>
            <w:r w:rsidRPr="00BF3CDE">
              <w:rPr>
                <w:rFonts w:ascii="Verdana" w:eastAsia="Times New Roman" w:hAnsi="Verdana" w:cs="Times New Roman"/>
                <w:noProof/>
                <w:sz w:val="14"/>
                <w:szCs w:val="14"/>
                <w:lang w:val="sr-Cyrl-CS"/>
              </w:rPr>
              <w:t>0,01%</w:t>
            </w:r>
          </w:p>
        </w:tc>
      </w:tr>
    </w:tbl>
    <w:p w14:paraId="73883066" w14:textId="77777777" w:rsidR="00740812" w:rsidRPr="00BF3CDE" w:rsidRDefault="006C0D6C" w:rsidP="006C0D6C">
      <w:pPr>
        <w:spacing w:after="120" w:line="240" w:lineRule="auto"/>
        <w:ind w:right="-142"/>
        <w:rPr>
          <w:rFonts w:ascii="Verdana" w:hAnsi="Verdana" w:cs="Tahoma"/>
          <w:b/>
          <w:i/>
          <w:noProof/>
          <w:bdr w:val="none" w:sz="0" w:space="0" w:color="auto" w:frame="1"/>
          <w:lang w:val="sr-Cyrl-CS"/>
        </w:rPr>
      </w:pPr>
      <w:r w:rsidRPr="00BF3CDE">
        <w:rPr>
          <w:rFonts w:ascii="Verdana" w:hAnsi="Verdana" w:cs="Tahoma"/>
          <w:b/>
          <w:i/>
          <w:noProof/>
          <w:bdr w:val="none" w:sz="0" w:space="0" w:color="auto" w:frame="1"/>
          <w:lang w:val="sr-Cyrl-CS"/>
        </w:rPr>
        <w:fldChar w:fldCharType="end"/>
      </w:r>
    </w:p>
    <w:tbl>
      <w:tblPr>
        <w:tblStyle w:val="TableGrid"/>
        <w:tblW w:w="978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0"/>
        <w:gridCol w:w="3412"/>
      </w:tblGrid>
      <w:tr w:rsidR="00740812" w:rsidRPr="00BF3CDE" w14:paraId="191D9EA6" w14:textId="77777777" w:rsidTr="00740812">
        <w:tc>
          <w:tcPr>
            <w:tcW w:w="6521" w:type="dxa"/>
          </w:tcPr>
          <w:p w14:paraId="4AB5AF5E" w14:textId="77777777" w:rsidR="00740812" w:rsidRPr="00BF3CDE" w:rsidRDefault="00740812" w:rsidP="006C0D6C">
            <w:pPr>
              <w:spacing w:after="120"/>
              <w:ind w:right="-142"/>
              <w:rPr>
                <w:rFonts w:ascii="Verdana" w:hAnsi="Verdana" w:cs="Tahoma"/>
                <w:b/>
                <w:i/>
                <w:noProof/>
                <w:bdr w:val="none" w:sz="0" w:space="0" w:color="auto" w:frame="1"/>
                <w:lang w:val="sr-Cyrl-CS"/>
              </w:rPr>
            </w:pPr>
            <w:r w:rsidRPr="00BF3CDE">
              <w:rPr>
                <w:noProof/>
                <w:lang w:val="sr-Latn-RS" w:eastAsia="sr-Latn-RS"/>
              </w:rPr>
              <w:lastRenderedPageBreak/>
              <w:drawing>
                <wp:inline distT="0" distB="0" distL="0" distR="0" wp14:anchorId="65D939D1" wp14:editId="598BF020">
                  <wp:extent cx="3952875" cy="3724275"/>
                  <wp:effectExtent l="0" t="0" r="0" b="0"/>
                  <wp:docPr id="678" name="Chart 67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3261" w:type="dxa"/>
          </w:tcPr>
          <w:p w14:paraId="37157BCC" w14:textId="77777777" w:rsidR="00740812" w:rsidRPr="00BF3CDE" w:rsidRDefault="00740812">
            <w:pPr>
              <w:rPr>
                <w:noProof/>
                <w:lang w:val="sr-Cyrl-CS"/>
              </w:rPr>
            </w:pPr>
          </w:p>
          <w:tbl>
            <w:tblPr>
              <w:tblpPr w:leftFromText="180" w:rightFromText="180" w:vertAnchor="text" w:horzAnchor="margin" w:tblpXSpec="right" w:tblpY="-1"/>
              <w:tblW w:w="3196" w:type="dxa"/>
              <w:tblLook w:val="04A0" w:firstRow="1" w:lastRow="0" w:firstColumn="1" w:lastColumn="0" w:noHBand="0" w:noVBand="1"/>
            </w:tblPr>
            <w:tblGrid>
              <w:gridCol w:w="2218"/>
              <w:gridCol w:w="978"/>
            </w:tblGrid>
            <w:tr w:rsidR="00740812" w:rsidRPr="00BF3CDE" w14:paraId="5A6746D3" w14:textId="77777777" w:rsidTr="000A6BB2">
              <w:trPr>
                <w:trHeight w:val="312"/>
              </w:trPr>
              <w:tc>
                <w:tcPr>
                  <w:tcW w:w="2218" w:type="dxa"/>
                  <w:tcBorders>
                    <w:top w:val="nil"/>
                    <w:left w:val="nil"/>
                    <w:bottom w:val="nil"/>
                    <w:right w:val="nil"/>
                  </w:tcBorders>
                  <w:shd w:val="clear" w:color="auto" w:fill="auto"/>
                  <w:vAlign w:val="center"/>
                  <w:hideMark/>
                </w:tcPr>
                <w:p w14:paraId="4E3B01FF" w14:textId="77777777" w:rsidR="006E3225" w:rsidRPr="00BF3CDE" w:rsidRDefault="006E3225" w:rsidP="00740812">
                  <w:pPr>
                    <w:spacing w:after="0" w:line="240" w:lineRule="auto"/>
                    <w:rPr>
                      <w:rFonts w:ascii="Verdana" w:hAnsi="Verdana"/>
                      <w:noProof/>
                      <w:color w:val="000000"/>
                      <w:sz w:val="14"/>
                      <w:szCs w:val="14"/>
                      <w:lang w:val="sr-Cyrl-CS"/>
                    </w:rPr>
                  </w:pPr>
                </w:p>
                <w:p w14:paraId="48C87904" w14:textId="77777777" w:rsidR="00740812" w:rsidRPr="00BF3CDE" w:rsidRDefault="00740812" w:rsidP="00740812">
                  <w:pPr>
                    <w:spacing w:after="0" w:line="240" w:lineRule="auto"/>
                    <w:rPr>
                      <w:rFonts w:ascii="Verdana" w:hAnsi="Verdana"/>
                      <w:noProof/>
                      <w:color w:val="000000"/>
                      <w:sz w:val="14"/>
                      <w:szCs w:val="14"/>
                      <w:lang w:val="sr-Cyrl-CS"/>
                    </w:rPr>
                  </w:pPr>
                  <w:r w:rsidRPr="00BF3CDE">
                    <w:rPr>
                      <w:rFonts w:ascii="Verdana" w:hAnsi="Verdana"/>
                      <w:noProof/>
                      <w:color w:val="000000"/>
                      <w:sz w:val="14"/>
                      <w:szCs w:val="14"/>
                      <w:lang w:val="sr-Cyrl-CS"/>
                    </w:rPr>
                    <w:t>DUNAV OSIGURANJE BANJA LUKA</w:t>
                  </w:r>
                </w:p>
              </w:tc>
              <w:tc>
                <w:tcPr>
                  <w:tcW w:w="978" w:type="dxa"/>
                  <w:tcBorders>
                    <w:top w:val="nil"/>
                    <w:left w:val="nil"/>
                    <w:bottom w:val="nil"/>
                    <w:right w:val="nil"/>
                  </w:tcBorders>
                  <w:shd w:val="clear" w:color="auto" w:fill="auto"/>
                  <w:noWrap/>
                  <w:vAlign w:val="center"/>
                  <w:hideMark/>
                </w:tcPr>
                <w:p w14:paraId="4DD75F13" w14:textId="77777777" w:rsidR="00740812" w:rsidRPr="00BF3CDE" w:rsidRDefault="00740812" w:rsidP="00740812">
                  <w:pPr>
                    <w:spacing w:after="0" w:line="240" w:lineRule="auto"/>
                    <w:jc w:val="center"/>
                    <w:rPr>
                      <w:rFonts w:ascii="Verdana" w:hAnsi="Verdana"/>
                      <w:noProof/>
                      <w:color w:val="000000"/>
                      <w:sz w:val="14"/>
                      <w:szCs w:val="14"/>
                      <w:lang w:val="sr-Cyrl-CS"/>
                    </w:rPr>
                  </w:pPr>
                  <w:r w:rsidRPr="00BF3CDE">
                    <w:rPr>
                      <w:rFonts w:ascii="Verdana" w:hAnsi="Verdana"/>
                      <w:noProof/>
                      <w:color w:val="000000"/>
                      <w:sz w:val="14"/>
                      <w:szCs w:val="14"/>
                      <w:lang w:val="sr-Cyrl-CS"/>
                    </w:rPr>
                    <w:t>2,11%</w:t>
                  </w:r>
                </w:p>
              </w:tc>
            </w:tr>
            <w:tr w:rsidR="00740812" w:rsidRPr="00BF3CDE" w14:paraId="5FBF268A" w14:textId="77777777" w:rsidTr="000A6BB2">
              <w:trPr>
                <w:trHeight w:val="312"/>
              </w:trPr>
              <w:tc>
                <w:tcPr>
                  <w:tcW w:w="2218" w:type="dxa"/>
                  <w:tcBorders>
                    <w:top w:val="nil"/>
                    <w:left w:val="nil"/>
                    <w:bottom w:val="nil"/>
                    <w:right w:val="nil"/>
                  </w:tcBorders>
                  <w:shd w:val="clear" w:color="auto" w:fill="auto"/>
                  <w:vAlign w:val="center"/>
                  <w:hideMark/>
                </w:tcPr>
                <w:p w14:paraId="4714EE35" w14:textId="77777777" w:rsidR="00740812" w:rsidRPr="00BF3CDE" w:rsidRDefault="00740812" w:rsidP="00740812">
                  <w:pPr>
                    <w:spacing w:after="0" w:line="240" w:lineRule="auto"/>
                    <w:rPr>
                      <w:rFonts w:ascii="Verdana" w:hAnsi="Verdana"/>
                      <w:noProof/>
                      <w:color w:val="000000"/>
                      <w:sz w:val="14"/>
                      <w:szCs w:val="14"/>
                      <w:lang w:val="sr-Cyrl-CS"/>
                    </w:rPr>
                  </w:pPr>
                  <w:r w:rsidRPr="00BF3CDE">
                    <w:rPr>
                      <w:rFonts w:ascii="Verdana" w:hAnsi="Verdana"/>
                      <w:noProof/>
                      <w:color w:val="000000"/>
                      <w:sz w:val="14"/>
                      <w:szCs w:val="14"/>
                      <w:lang w:val="sr-Cyrl-CS"/>
                    </w:rPr>
                    <w:t>TRIGLAV RE</w:t>
                  </w:r>
                </w:p>
              </w:tc>
              <w:tc>
                <w:tcPr>
                  <w:tcW w:w="978" w:type="dxa"/>
                  <w:tcBorders>
                    <w:top w:val="nil"/>
                    <w:left w:val="nil"/>
                    <w:bottom w:val="nil"/>
                    <w:right w:val="nil"/>
                  </w:tcBorders>
                  <w:shd w:val="clear" w:color="auto" w:fill="auto"/>
                  <w:noWrap/>
                  <w:vAlign w:val="center"/>
                  <w:hideMark/>
                </w:tcPr>
                <w:p w14:paraId="09035421" w14:textId="77777777" w:rsidR="00740812" w:rsidRPr="00BF3CDE" w:rsidRDefault="00740812" w:rsidP="00740812">
                  <w:pPr>
                    <w:spacing w:after="0" w:line="240" w:lineRule="auto"/>
                    <w:jc w:val="center"/>
                    <w:rPr>
                      <w:rFonts w:ascii="Verdana" w:hAnsi="Verdana"/>
                      <w:noProof/>
                      <w:color w:val="000000"/>
                      <w:sz w:val="14"/>
                      <w:szCs w:val="14"/>
                      <w:lang w:val="sr-Cyrl-CS"/>
                    </w:rPr>
                  </w:pPr>
                  <w:r w:rsidRPr="00BF3CDE">
                    <w:rPr>
                      <w:rFonts w:ascii="Verdana" w:hAnsi="Verdana"/>
                      <w:noProof/>
                      <w:color w:val="000000"/>
                      <w:sz w:val="14"/>
                      <w:szCs w:val="14"/>
                      <w:lang w:val="sr-Cyrl-CS"/>
                    </w:rPr>
                    <w:t>1,91%</w:t>
                  </w:r>
                </w:p>
              </w:tc>
            </w:tr>
            <w:tr w:rsidR="00740812" w:rsidRPr="00BF3CDE" w14:paraId="4DC2CB04" w14:textId="77777777" w:rsidTr="000A6BB2">
              <w:trPr>
                <w:trHeight w:val="312"/>
              </w:trPr>
              <w:tc>
                <w:tcPr>
                  <w:tcW w:w="2218" w:type="dxa"/>
                  <w:tcBorders>
                    <w:top w:val="nil"/>
                    <w:left w:val="nil"/>
                    <w:bottom w:val="nil"/>
                    <w:right w:val="nil"/>
                  </w:tcBorders>
                  <w:shd w:val="clear" w:color="auto" w:fill="auto"/>
                  <w:vAlign w:val="center"/>
                  <w:hideMark/>
                </w:tcPr>
                <w:p w14:paraId="433670F2" w14:textId="77777777" w:rsidR="00740812" w:rsidRPr="00BF3CDE" w:rsidRDefault="00740812" w:rsidP="00740812">
                  <w:pPr>
                    <w:spacing w:after="0" w:line="240" w:lineRule="auto"/>
                    <w:rPr>
                      <w:rFonts w:ascii="Verdana" w:hAnsi="Verdana"/>
                      <w:noProof/>
                      <w:color w:val="000000"/>
                      <w:sz w:val="14"/>
                      <w:szCs w:val="14"/>
                      <w:lang w:val="sr-Cyrl-CS"/>
                    </w:rPr>
                  </w:pPr>
                  <w:r w:rsidRPr="00BF3CDE">
                    <w:rPr>
                      <w:rFonts w:ascii="Verdana" w:hAnsi="Verdana"/>
                      <w:noProof/>
                      <w:color w:val="000000"/>
                      <w:sz w:val="14"/>
                      <w:szCs w:val="14"/>
                      <w:lang w:val="sr-Cyrl-CS"/>
                    </w:rPr>
                    <w:t>DEVK VERSICHERUNGEN</w:t>
                  </w:r>
                </w:p>
              </w:tc>
              <w:tc>
                <w:tcPr>
                  <w:tcW w:w="978" w:type="dxa"/>
                  <w:tcBorders>
                    <w:top w:val="nil"/>
                    <w:left w:val="nil"/>
                    <w:bottom w:val="nil"/>
                    <w:right w:val="nil"/>
                  </w:tcBorders>
                  <w:shd w:val="clear" w:color="auto" w:fill="auto"/>
                  <w:noWrap/>
                  <w:vAlign w:val="center"/>
                  <w:hideMark/>
                </w:tcPr>
                <w:p w14:paraId="1A97D493" w14:textId="77777777" w:rsidR="00740812" w:rsidRPr="00BF3CDE" w:rsidRDefault="00740812" w:rsidP="00740812">
                  <w:pPr>
                    <w:spacing w:after="0" w:line="240" w:lineRule="auto"/>
                    <w:jc w:val="center"/>
                    <w:rPr>
                      <w:rFonts w:ascii="Verdana" w:hAnsi="Verdana"/>
                      <w:noProof/>
                      <w:color w:val="000000"/>
                      <w:sz w:val="14"/>
                      <w:szCs w:val="14"/>
                      <w:lang w:val="sr-Cyrl-CS"/>
                    </w:rPr>
                  </w:pPr>
                  <w:r w:rsidRPr="00BF3CDE">
                    <w:rPr>
                      <w:rFonts w:ascii="Verdana" w:hAnsi="Verdana"/>
                      <w:noProof/>
                      <w:color w:val="000000"/>
                      <w:sz w:val="14"/>
                      <w:szCs w:val="14"/>
                      <w:lang w:val="sr-Cyrl-CS"/>
                    </w:rPr>
                    <w:t>1,73%</w:t>
                  </w:r>
                </w:p>
              </w:tc>
            </w:tr>
            <w:tr w:rsidR="00740812" w:rsidRPr="00BF3CDE" w14:paraId="75D87ED7" w14:textId="77777777" w:rsidTr="000A6BB2">
              <w:trPr>
                <w:trHeight w:val="312"/>
              </w:trPr>
              <w:tc>
                <w:tcPr>
                  <w:tcW w:w="2218" w:type="dxa"/>
                  <w:tcBorders>
                    <w:top w:val="nil"/>
                    <w:left w:val="nil"/>
                    <w:bottom w:val="nil"/>
                    <w:right w:val="nil"/>
                  </w:tcBorders>
                  <w:shd w:val="clear" w:color="auto" w:fill="auto"/>
                  <w:vAlign w:val="center"/>
                  <w:hideMark/>
                </w:tcPr>
                <w:p w14:paraId="44F33A76" w14:textId="77777777" w:rsidR="00740812" w:rsidRPr="00BF3CDE" w:rsidRDefault="00740812" w:rsidP="00740812">
                  <w:pPr>
                    <w:spacing w:after="0" w:line="240" w:lineRule="auto"/>
                    <w:rPr>
                      <w:rFonts w:ascii="Verdana" w:hAnsi="Verdana"/>
                      <w:noProof/>
                      <w:color w:val="000000"/>
                      <w:sz w:val="14"/>
                      <w:szCs w:val="14"/>
                      <w:lang w:val="sr-Cyrl-CS"/>
                    </w:rPr>
                  </w:pPr>
                  <w:r w:rsidRPr="00BF3CDE">
                    <w:rPr>
                      <w:rFonts w:ascii="Verdana" w:hAnsi="Verdana"/>
                      <w:noProof/>
                      <w:color w:val="000000"/>
                      <w:sz w:val="14"/>
                      <w:szCs w:val="14"/>
                      <w:lang w:val="sr-Cyrl-CS"/>
                    </w:rPr>
                    <w:t>BOSNA RE</w:t>
                  </w:r>
                </w:p>
              </w:tc>
              <w:tc>
                <w:tcPr>
                  <w:tcW w:w="978" w:type="dxa"/>
                  <w:tcBorders>
                    <w:top w:val="nil"/>
                    <w:left w:val="nil"/>
                    <w:bottom w:val="nil"/>
                    <w:right w:val="nil"/>
                  </w:tcBorders>
                  <w:shd w:val="clear" w:color="auto" w:fill="auto"/>
                  <w:noWrap/>
                  <w:vAlign w:val="center"/>
                  <w:hideMark/>
                </w:tcPr>
                <w:p w14:paraId="42168AD2" w14:textId="77777777" w:rsidR="00740812" w:rsidRPr="00BF3CDE" w:rsidRDefault="00740812" w:rsidP="00740812">
                  <w:pPr>
                    <w:spacing w:after="0" w:line="240" w:lineRule="auto"/>
                    <w:jc w:val="center"/>
                    <w:rPr>
                      <w:rFonts w:ascii="Verdana" w:hAnsi="Verdana"/>
                      <w:noProof/>
                      <w:color w:val="000000"/>
                      <w:sz w:val="14"/>
                      <w:szCs w:val="14"/>
                      <w:lang w:val="sr-Cyrl-CS"/>
                    </w:rPr>
                  </w:pPr>
                  <w:r w:rsidRPr="00BF3CDE">
                    <w:rPr>
                      <w:rFonts w:ascii="Verdana" w:hAnsi="Verdana"/>
                      <w:noProof/>
                      <w:color w:val="000000"/>
                      <w:sz w:val="14"/>
                      <w:szCs w:val="14"/>
                      <w:lang w:val="sr-Cyrl-CS"/>
                    </w:rPr>
                    <w:t>1,28%</w:t>
                  </w:r>
                </w:p>
              </w:tc>
            </w:tr>
            <w:tr w:rsidR="00740812" w:rsidRPr="00BF3CDE" w14:paraId="58F7F51C" w14:textId="77777777" w:rsidTr="000A6BB2">
              <w:trPr>
                <w:trHeight w:val="312"/>
              </w:trPr>
              <w:tc>
                <w:tcPr>
                  <w:tcW w:w="2218" w:type="dxa"/>
                  <w:tcBorders>
                    <w:top w:val="nil"/>
                    <w:left w:val="nil"/>
                    <w:bottom w:val="nil"/>
                    <w:right w:val="nil"/>
                  </w:tcBorders>
                  <w:shd w:val="clear" w:color="auto" w:fill="auto"/>
                  <w:vAlign w:val="center"/>
                  <w:hideMark/>
                </w:tcPr>
                <w:p w14:paraId="0D86F52C" w14:textId="77777777" w:rsidR="00740812" w:rsidRPr="00BF3CDE" w:rsidRDefault="00740812" w:rsidP="00740812">
                  <w:pPr>
                    <w:spacing w:after="0" w:line="240" w:lineRule="auto"/>
                    <w:rPr>
                      <w:rFonts w:ascii="Verdana" w:hAnsi="Verdana"/>
                      <w:noProof/>
                      <w:color w:val="000000"/>
                      <w:sz w:val="14"/>
                      <w:szCs w:val="14"/>
                      <w:lang w:val="sr-Cyrl-CS"/>
                    </w:rPr>
                  </w:pPr>
                  <w:r w:rsidRPr="00BF3CDE">
                    <w:rPr>
                      <w:rFonts w:ascii="Verdana" w:hAnsi="Verdana"/>
                      <w:noProof/>
                      <w:color w:val="000000"/>
                      <w:sz w:val="14"/>
                      <w:szCs w:val="14"/>
                      <w:lang w:val="sr-Cyrl-CS"/>
                    </w:rPr>
                    <w:t>SAVA RE</w:t>
                  </w:r>
                </w:p>
              </w:tc>
              <w:tc>
                <w:tcPr>
                  <w:tcW w:w="978" w:type="dxa"/>
                  <w:tcBorders>
                    <w:top w:val="nil"/>
                    <w:left w:val="nil"/>
                    <w:bottom w:val="nil"/>
                    <w:right w:val="nil"/>
                  </w:tcBorders>
                  <w:shd w:val="clear" w:color="auto" w:fill="auto"/>
                  <w:noWrap/>
                  <w:vAlign w:val="center"/>
                  <w:hideMark/>
                </w:tcPr>
                <w:p w14:paraId="0D783E3A" w14:textId="77777777" w:rsidR="00740812" w:rsidRPr="00BF3CDE" w:rsidRDefault="00740812" w:rsidP="00740812">
                  <w:pPr>
                    <w:spacing w:after="0" w:line="240" w:lineRule="auto"/>
                    <w:jc w:val="center"/>
                    <w:rPr>
                      <w:rFonts w:ascii="Verdana" w:hAnsi="Verdana"/>
                      <w:noProof/>
                      <w:color w:val="000000"/>
                      <w:sz w:val="14"/>
                      <w:szCs w:val="14"/>
                      <w:lang w:val="sr-Cyrl-CS"/>
                    </w:rPr>
                  </w:pPr>
                  <w:r w:rsidRPr="00BF3CDE">
                    <w:rPr>
                      <w:rFonts w:ascii="Verdana" w:hAnsi="Verdana"/>
                      <w:noProof/>
                      <w:color w:val="000000"/>
                      <w:sz w:val="14"/>
                      <w:szCs w:val="14"/>
                      <w:lang w:val="sr-Cyrl-CS"/>
                    </w:rPr>
                    <w:t>1,09%</w:t>
                  </w:r>
                </w:p>
              </w:tc>
            </w:tr>
            <w:tr w:rsidR="00740812" w:rsidRPr="00BF3CDE" w14:paraId="74AE5CEC" w14:textId="77777777" w:rsidTr="000A6BB2">
              <w:trPr>
                <w:trHeight w:val="312"/>
              </w:trPr>
              <w:tc>
                <w:tcPr>
                  <w:tcW w:w="2218" w:type="dxa"/>
                  <w:tcBorders>
                    <w:top w:val="nil"/>
                    <w:left w:val="nil"/>
                    <w:bottom w:val="nil"/>
                    <w:right w:val="nil"/>
                  </w:tcBorders>
                  <w:shd w:val="clear" w:color="auto" w:fill="auto"/>
                  <w:vAlign w:val="center"/>
                  <w:hideMark/>
                </w:tcPr>
                <w:p w14:paraId="3B831C4C" w14:textId="77777777" w:rsidR="00740812" w:rsidRPr="00BF3CDE" w:rsidRDefault="00740812" w:rsidP="00740812">
                  <w:pPr>
                    <w:spacing w:after="0" w:line="240" w:lineRule="auto"/>
                    <w:rPr>
                      <w:rFonts w:ascii="Verdana" w:hAnsi="Verdana"/>
                      <w:noProof/>
                      <w:color w:val="000000"/>
                      <w:sz w:val="14"/>
                      <w:szCs w:val="14"/>
                      <w:lang w:val="sr-Cyrl-CS"/>
                    </w:rPr>
                  </w:pPr>
                  <w:r w:rsidRPr="00BF3CDE">
                    <w:rPr>
                      <w:rFonts w:ascii="Verdana" w:hAnsi="Verdana"/>
                      <w:noProof/>
                      <w:color w:val="000000"/>
                      <w:sz w:val="14"/>
                      <w:szCs w:val="14"/>
                      <w:lang w:val="sr-Cyrl-CS"/>
                    </w:rPr>
                    <w:t>CROATIA LLOYDS</w:t>
                  </w:r>
                </w:p>
              </w:tc>
              <w:tc>
                <w:tcPr>
                  <w:tcW w:w="978" w:type="dxa"/>
                  <w:tcBorders>
                    <w:top w:val="nil"/>
                    <w:left w:val="nil"/>
                    <w:bottom w:val="nil"/>
                    <w:right w:val="nil"/>
                  </w:tcBorders>
                  <w:shd w:val="clear" w:color="auto" w:fill="auto"/>
                  <w:noWrap/>
                  <w:vAlign w:val="center"/>
                  <w:hideMark/>
                </w:tcPr>
                <w:p w14:paraId="2FE16361" w14:textId="77777777" w:rsidR="00740812" w:rsidRPr="00BF3CDE" w:rsidRDefault="00740812" w:rsidP="00740812">
                  <w:pPr>
                    <w:spacing w:after="0" w:line="240" w:lineRule="auto"/>
                    <w:jc w:val="center"/>
                    <w:rPr>
                      <w:rFonts w:ascii="Verdana" w:hAnsi="Verdana"/>
                      <w:noProof/>
                      <w:color w:val="000000"/>
                      <w:sz w:val="14"/>
                      <w:szCs w:val="14"/>
                      <w:lang w:val="sr-Cyrl-CS"/>
                    </w:rPr>
                  </w:pPr>
                  <w:r w:rsidRPr="00BF3CDE">
                    <w:rPr>
                      <w:rFonts w:ascii="Verdana" w:hAnsi="Verdana"/>
                      <w:noProof/>
                      <w:color w:val="000000"/>
                      <w:sz w:val="14"/>
                      <w:szCs w:val="14"/>
                      <w:lang w:val="sr-Cyrl-CS"/>
                    </w:rPr>
                    <w:t>0,90%</w:t>
                  </w:r>
                </w:p>
              </w:tc>
            </w:tr>
            <w:tr w:rsidR="00740812" w:rsidRPr="00BF3CDE" w14:paraId="7FC485B1" w14:textId="77777777" w:rsidTr="000A6BB2">
              <w:trPr>
                <w:trHeight w:val="312"/>
              </w:trPr>
              <w:tc>
                <w:tcPr>
                  <w:tcW w:w="2218" w:type="dxa"/>
                  <w:tcBorders>
                    <w:top w:val="nil"/>
                    <w:left w:val="nil"/>
                    <w:bottom w:val="nil"/>
                    <w:right w:val="nil"/>
                  </w:tcBorders>
                  <w:shd w:val="clear" w:color="auto" w:fill="auto"/>
                  <w:vAlign w:val="center"/>
                  <w:hideMark/>
                </w:tcPr>
                <w:p w14:paraId="602FBE05" w14:textId="77777777" w:rsidR="00740812" w:rsidRPr="00BF3CDE" w:rsidRDefault="00740812" w:rsidP="00740812">
                  <w:pPr>
                    <w:spacing w:after="0" w:line="240" w:lineRule="auto"/>
                    <w:rPr>
                      <w:rFonts w:ascii="Verdana" w:hAnsi="Verdana"/>
                      <w:noProof/>
                      <w:color w:val="000000"/>
                      <w:sz w:val="14"/>
                      <w:szCs w:val="14"/>
                      <w:lang w:val="sr-Cyrl-CS"/>
                    </w:rPr>
                  </w:pPr>
                  <w:r w:rsidRPr="00BF3CDE">
                    <w:rPr>
                      <w:rFonts w:ascii="Verdana" w:hAnsi="Verdana"/>
                      <w:noProof/>
                      <w:color w:val="000000"/>
                      <w:sz w:val="14"/>
                      <w:szCs w:val="14"/>
                      <w:lang w:val="sr-Cyrl-CS"/>
                    </w:rPr>
                    <w:t>KOREAN RE</w:t>
                  </w:r>
                </w:p>
              </w:tc>
              <w:tc>
                <w:tcPr>
                  <w:tcW w:w="978" w:type="dxa"/>
                  <w:tcBorders>
                    <w:top w:val="nil"/>
                    <w:left w:val="nil"/>
                    <w:bottom w:val="nil"/>
                    <w:right w:val="nil"/>
                  </w:tcBorders>
                  <w:shd w:val="clear" w:color="auto" w:fill="auto"/>
                  <w:noWrap/>
                  <w:vAlign w:val="center"/>
                  <w:hideMark/>
                </w:tcPr>
                <w:p w14:paraId="2299C26D" w14:textId="77777777" w:rsidR="00740812" w:rsidRPr="00BF3CDE" w:rsidRDefault="00740812" w:rsidP="00740812">
                  <w:pPr>
                    <w:spacing w:after="0" w:line="240" w:lineRule="auto"/>
                    <w:jc w:val="center"/>
                    <w:rPr>
                      <w:rFonts w:ascii="Verdana" w:hAnsi="Verdana"/>
                      <w:noProof/>
                      <w:color w:val="000000"/>
                      <w:sz w:val="14"/>
                      <w:szCs w:val="14"/>
                      <w:lang w:val="sr-Cyrl-CS"/>
                    </w:rPr>
                  </w:pPr>
                  <w:r w:rsidRPr="00BF3CDE">
                    <w:rPr>
                      <w:rFonts w:ascii="Verdana" w:hAnsi="Verdana"/>
                      <w:noProof/>
                      <w:color w:val="000000"/>
                      <w:sz w:val="14"/>
                      <w:szCs w:val="14"/>
                      <w:lang w:val="sr-Cyrl-CS"/>
                    </w:rPr>
                    <w:t>0,20%</w:t>
                  </w:r>
                </w:p>
              </w:tc>
            </w:tr>
            <w:tr w:rsidR="00740812" w:rsidRPr="00BF3CDE" w14:paraId="3B8579F0" w14:textId="77777777" w:rsidTr="000A6BB2">
              <w:trPr>
                <w:trHeight w:val="312"/>
              </w:trPr>
              <w:tc>
                <w:tcPr>
                  <w:tcW w:w="2218" w:type="dxa"/>
                  <w:tcBorders>
                    <w:top w:val="nil"/>
                    <w:left w:val="nil"/>
                    <w:bottom w:val="nil"/>
                    <w:right w:val="nil"/>
                  </w:tcBorders>
                  <w:shd w:val="clear" w:color="auto" w:fill="auto"/>
                  <w:vAlign w:val="center"/>
                  <w:hideMark/>
                </w:tcPr>
                <w:p w14:paraId="3149DD0D" w14:textId="77777777" w:rsidR="00740812" w:rsidRPr="00BF3CDE" w:rsidRDefault="00740812" w:rsidP="00740812">
                  <w:pPr>
                    <w:spacing w:after="0" w:line="240" w:lineRule="auto"/>
                    <w:rPr>
                      <w:rFonts w:ascii="Verdana" w:hAnsi="Verdana"/>
                      <w:noProof/>
                      <w:color w:val="000000"/>
                      <w:sz w:val="14"/>
                      <w:szCs w:val="14"/>
                      <w:lang w:val="sr-Cyrl-CS"/>
                    </w:rPr>
                  </w:pPr>
                  <w:r w:rsidRPr="00BF3CDE">
                    <w:rPr>
                      <w:rFonts w:ascii="Verdana" w:hAnsi="Verdana"/>
                      <w:noProof/>
                      <w:color w:val="000000"/>
                      <w:sz w:val="14"/>
                      <w:szCs w:val="14"/>
                      <w:lang w:val="sr-Cyrl-CS"/>
                    </w:rPr>
                    <w:t>BRČKO GAS OSIGURANJE</w:t>
                  </w:r>
                </w:p>
              </w:tc>
              <w:tc>
                <w:tcPr>
                  <w:tcW w:w="978" w:type="dxa"/>
                  <w:tcBorders>
                    <w:top w:val="nil"/>
                    <w:left w:val="nil"/>
                    <w:bottom w:val="nil"/>
                    <w:right w:val="nil"/>
                  </w:tcBorders>
                  <w:shd w:val="clear" w:color="auto" w:fill="auto"/>
                  <w:noWrap/>
                  <w:vAlign w:val="center"/>
                  <w:hideMark/>
                </w:tcPr>
                <w:p w14:paraId="79B1F809" w14:textId="77777777" w:rsidR="00740812" w:rsidRPr="00BF3CDE" w:rsidRDefault="00740812" w:rsidP="00740812">
                  <w:pPr>
                    <w:spacing w:after="0" w:line="240" w:lineRule="auto"/>
                    <w:jc w:val="center"/>
                    <w:rPr>
                      <w:rFonts w:ascii="Verdana" w:hAnsi="Verdana"/>
                      <w:noProof/>
                      <w:color w:val="000000"/>
                      <w:sz w:val="14"/>
                      <w:szCs w:val="14"/>
                      <w:lang w:val="sr-Cyrl-CS"/>
                    </w:rPr>
                  </w:pPr>
                  <w:r w:rsidRPr="00BF3CDE">
                    <w:rPr>
                      <w:rFonts w:ascii="Verdana" w:hAnsi="Verdana"/>
                      <w:noProof/>
                      <w:color w:val="000000"/>
                      <w:sz w:val="14"/>
                      <w:szCs w:val="14"/>
                      <w:lang w:val="sr-Cyrl-CS"/>
                    </w:rPr>
                    <w:t>0,14%</w:t>
                  </w:r>
                </w:p>
              </w:tc>
            </w:tr>
            <w:tr w:rsidR="00740812" w:rsidRPr="00BF3CDE" w14:paraId="67D961E0" w14:textId="77777777" w:rsidTr="000A6BB2">
              <w:trPr>
                <w:trHeight w:val="312"/>
              </w:trPr>
              <w:tc>
                <w:tcPr>
                  <w:tcW w:w="2218" w:type="dxa"/>
                  <w:tcBorders>
                    <w:top w:val="nil"/>
                    <w:left w:val="nil"/>
                    <w:bottom w:val="nil"/>
                    <w:right w:val="nil"/>
                  </w:tcBorders>
                  <w:shd w:val="clear" w:color="auto" w:fill="auto"/>
                  <w:vAlign w:val="center"/>
                  <w:hideMark/>
                </w:tcPr>
                <w:p w14:paraId="0AA3D205" w14:textId="77777777" w:rsidR="00740812" w:rsidRPr="00BF3CDE" w:rsidRDefault="00740812" w:rsidP="00740812">
                  <w:pPr>
                    <w:spacing w:after="0" w:line="240" w:lineRule="auto"/>
                    <w:rPr>
                      <w:rFonts w:ascii="Verdana" w:hAnsi="Verdana"/>
                      <w:noProof/>
                      <w:color w:val="000000"/>
                      <w:sz w:val="14"/>
                      <w:szCs w:val="14"/>
                      <w:lang w:val="sr-Cyrl-CS"/>
                    </w:rPr>
                  </w:pPr>
                  <w:r w:rsidRPr="00BF3CDE">
                    <w:rPr>
                      <w:rFonts w:ascii="Verdana" w:hAnsi="Verdana"/>
                      <w:noProof/>
                      <w:color w:val="000000"/>
                      <w:sz w:val="14"/>
                      <w:szCs w:val="14"/>
                      <w:lang w:val="sr-Cyrl-CS"/>
                    </w:rPr>
                    <w:t>KAPITAL INSURANCE</w:t>
                  </w:r>
                </w:p>
              </w:tc>
              <w:tc>
                <w:tcPr>
                  <w:tcW w:w="978" w:type="dxa"/>
                  <w:tcBorders>
                    <w:top w:val="nil"/>
                    <w:left w:val="nil"/>
                    <w:bottom w:val="nil"/>
                    <w:right w:val="nil"/>
                  </w:tcBorders>
                  <w:shd w:val="clear" w:color="auto" w:fill="auto"/>
                  <w:noWrap/>
                  <w:vAlign w:val="center"/>
                  <w:hideMark/>
                </w:tcPr>
                <w:p w14:paraId="49BCB786" w14:textId="77777777" w:rsidR="00740812" w:rsidRPr="00BF3CDE" w:rsidRDefault="00740812" w:rsidP="00740812">
                  <w:pPr>
                    <w:spacing w:after="0" w:line="240" w:lineRule="auto"/>
                    <w:jc w:val="center"/>
                    <w:rPr>
                      <w:rFonts w:ascii="Verdana" w:hAnsi="Verdana"/>
                      <w:noProof/>
                      <w:color w:val="000000"/>
                      <w:sz w:val="14"/>
                      <w:szCs w:val="14"/>
                      <w:lang w:val="sr-Cyrl-CS"/>
                    </w:rPr>
                  </w:pPr>
                  <w:r w:rsidRPr="00BF3CDE">
                    <w:rPr>
                      <w:rFonts w:ascii="Verdana" w:hAnsi="Verdana"/>
                      <w:noProof/>
                      <w:color w:val="000000"/>
                      <w:sz w:val="14"/>
                      <w:szCs w:val="14"/>
                      <w:lang w:val="sr-Cyrl-CS"/>
                    </w:rPr>
                    <w:t>0,14%</w:t>
                  </w:r>
                </w:p>
              </w:tc>
            </w:tr>
            <w:tr w:rsidR="00740812" w:rsidRPr="00BF3CDE" w14:paraId="1C133E85" w14:textId="77777777" w:rsidTr="000A6BB2">
              <w:trPr>
                <w:trHeight w:val="312"/>
              </w:trPr>
              <w:tc>
                <w:tcPr>
                  <w:tcW w:w="2218" w:type="dxa"/>
                  <w:tcBorders>
                    <w:top w:val="nil"/>
                    <w:left w:val="nil"/>
                    <w:bottom w:val="nil"/>
                    <w:right w:val="nil"/>
                  </w:tcBorders>
                  <w:shd w:val="clear" w:color="auto" w:fill="auto"/>
                  <w:vAlign w:val="center"/>
                  <w:hideMark/>
                </w:tcPr>
                <w:p w14:paraId="198CB22F" w14:textId="77777777" w:rsidR="00740812" w:rsidRPr="00BF3CDE" w:rsidRDefault="00740812" w:rsidP="00740812">
                  <w:pPr>
                    <w:spacing w:after="0" w:line="240" w:lineRule="auto"/>
                    <w:rPr>
                      <w:rFonts w:ascii="Verdana" w:hAnsi="Verdana"/>
                      <w:noProof/>
                      <w:color w:val="000000"/>
                      <w:sz w:val="14"/>
                      <w:szCs w:val="14"/>
                      <w:lang w:val="sr-Cyrl-CS"/>
                    </w:rPr>
                  </w:pPr>
                  <w:r w:rsidRPr="00BF3CDE">
                    <w:rPr>
                      <w:rFonts w:ascii="Verdana" w:hAnsi="Verdana"/>
                      <w:noProof/>
                      <w:color w:val="000000"/>
                      <w:sz w:val="14"/>
                      <w:szCs w:val="14"/>
                      <w:lang w:val="sr-Cyrl-CS"/>
                    </w:rPr>
                    <w:t>BOBAR OSIGURANJE</w:t>
                  </w:r>
                </w:p>
              </w:tc>
              <w:tc>
                <w:tcPr>
                  <w:tcW w:w="978" w:type="dxa"/>
                  <w:tcBorders>
                    <w:top w:val="nil"/>
                    <w:left w:val="nil"/>
                    <w:bottom w:val="nil"/>
                    <w:right w:val="nil"/>
                  </w:tcBorders>
                  <w:shd w:val="clear" w:color="auto" w:fill="auto"/>
                  <w:noWrap/>
                  <w:vAlign w:val="center"/>
                  <w:hideMark/>
                </w:tcPr>
                <w:p w14:paraId="459C6674" w14:textId="77777777" w:rsidR="00740812" w:rsidRPr="00BF3CDE" w:rsidRDefault="00740812" w:rsidP="00740812">
                  <w:pPr>
                    <w:spacing w:after="0" w:line="240" w:lineRule="auto"/>
                    <w:jc w:val="center"/>
                    <w:rPr>
                      <w:rFonts w:ascii="Verdana" w:hAnsi="Verdana"/>
                      <w:noProof/>
                      <w:color w:val="000000"/>
                      <w:sz w:val="14"/>
                      <w:szCs w:val="14"/>
                      <w:lang w:val="sr-Cyrl-CS"/>
                    </w:rPr>
                  </w:pPr>
                  <w:r w:rsidRPr="00BF3CDE">
                    <w:rPr>
                      <w:rFonts w:ascii="Verdana" w:hAnsi="Verdana"/>
                      <w:noProof/>
                      <w:color w:val="000000"/>
                      <w:sz w:val="14"/>
                      <w:szCs w:val="14"/>
                      <w:lang w:val="sr-Cyrl-CS"/>
                    </w:rPr>
                    <w:t>0,12%</w:t>
                  </w:r>
                </w:p>
              </w:tc>
            </w:tr>
            <w:tr w:rsidR="00740812" w:rsidRPr="00BF3CDE" w14:paraId="399ED67B" w14:textId="77777777" w:rsidTr="000A6BB2">
              <w:trPr>
                <w:trHeight w:val="312"/>
              </w:trPr>
              <w:tc>
                <w:tcPr>
                  <w:tcW w:w="2218" w:type="dxa"/>
                  <w:tcBorders>
                    <w:top w:val="nil"/>
                    <w:left w:val="nil"/>
                    <w:bottom w:val="nil"/>
                    <w:right w:val="nil"/>
                  </w:tcBorders>
                  <w:shd w:val="clear" w:color="auto" w:fill="auto"/>
                  <w:vAlign w:val="center"/>
                  <w:hideMark/>
                </w:tcPr>
                <w:p w14:paraId="295227A5" w14:textId="77777777" w:rsidR="00740812" w:rsidRPr="00BF3CDE" w:rsidRDefault="00740812" w:rsidP="00740812">
                  <w:pPr>
                    <w:spacing w:after="0" w:line="240" w:lineRule="auto"/>
                    <w:rPr>
                      <w:rFonts w:ascii="Verdana" w:hAnsi="Verdana"/>
                      <w:noProof/>
                      <w:color w:val="000000"/>
                      <w:sz w:val="14"/>
                      <w:szCs w:val="14"/>
                      <w:lang w:val="sr-Cyrl-CS"/>
                    </w:rPr>
                  </w:pPr>
                  <w:r w:rsidRPr="00BF3CDE">
                    <w:rPr>
                      <w:rFonts w:ascii="Verdana" w:hAnsi="Verdana"/>
                      <w:noProof/>
                      <w:color w:val="000000"/>
                      <w:sz w:val="14"/>
                      <w:szCs w:val="14"/>
                      <w:lang w:val="sr-Cyrl-CS"/>
                    </w:rPr>
                    <w:t>UNITY RE</w:t>
                  </w:r>
                </w:p>
              </w:tc>
              <w:tc>
                <w:tcPr>
                  <w:tcW w:w="978" w:type="dxa"/>
                  <w:tcBorders>
                    <w:top w:val="nil"/>
                    <w:left w:val="nil"/>
                    <w:bottom w:val="nil"/>
                    <w:right w:val="nil"/>
                  </w:tcBorders>
                  <w:shd w:val="clear" w:color="auto" w:fill="auto"/>
                  <w:noWrap/>
                  <w:vAlign w:val="center"/>
                  <w:hideMark/>
                </w:tcPr>
                <w:p w14:paraId="4FC7A8AD" w14:textId="77777777" w:rsidR="00740812" w:rsidRPr="00BF3CDE" w:rsidRDefault="00740812" w:rsidP="00740812">
                  <w:pPr>
                    <w:spacing w:after="0" w:line="240" w:lineRule="auto"/>
                    <w:jc w:val="center"/>
                    <w:rPr>
                      <w:rFonts w:ascii="Verdana" w:hAnsi="Verdana"/>
                      <w:noProof/>
                      <w:color w:val="000000"/>
                      <w:sz w:val="14"/>
                      <w:szCs w:val="14"/>
                      <w:lang w:val="sr-Cyrl-CS"/>
                    </w:rPr>
                  </w:pPr>
                  <w:r w:rsidRPr="00BF3CDE">
                    <w:rPr>
                      <w:rFonts w:ascii="Verdana" w:hAnsi="Verdana"/>
                      <w:noProof/>
                      <w:color w:val="000000"/>
                      <w:sz w:val="14"/>
                      <w:szCs w:val="14"/>
                      <w:lang w:val="sr-Cyrl-CS"/>
                    </w:rPr>
                    <w:t>0,01%</w:t>
                  </w:r>
                </w:p>
              </w:tc>
            </w:tr>
            <w:tr w:rsidR="00740812" w:rsidRPr="00BF3CDE" w14:paraId="79D15A1F" w14:textId="77777777" w:rsidTr="000A6BB2">
              <w:trPr>
                <w:trHeight w:val="312"/>
              </w:trPr>
              <w:tc>
                <w:tcPr>
                  <w:tcW w:w="2218" w:type="dxa"/>
                  <w:tcBorders>
                    <w:top w:val="nil"/>
                    <w:left w:val="nil"/>
                    <w:bottom w:val="nil"/>
                    <w:right w:val="nil"/>
                  </w:tcBorders>
                  <w:shd w:val="clear" w:color="auto" w:fill="auto"/>
                  <w:vAlign w:val="center"/>
                  <w:hideMark/>
                </w:tcPr>
                <w:p w14:paraId="1D96FA29" w14:textId="77777777" w:rsidR="00740812" w:rsidRPr="00BF3CDE" w:rsidRDefault="00740812" w:rsidP="00740812">
                  <w:pPr>
                    <w:spacing w:after="0" w:line="240" w:lineRule="auto"/>
                    <w:rPr>
                      <w:rFonts w:ascii="Verdana" w:hAnsi="Verdana"/>
                      <w:noProof/>
                      <w:color w:val="000000"/>
                      <w:sz w:val="14"/>
                      <w:szCs w:val="14"/>
                      <w:lang w:val="sr-Cyrl-CS"/>
                    </w:rPr>
                  </w:pPr>
                  <w:r w:rsidRPr="00BF3CDE">
                    <w:rPr>
                      <w:rFonts w:ascii="Verdana" w:hAnsi="Verdana"/>
                      <w:noProof/>
                      <w:color w:val="000000"/>
                      <w:sz w:val="14"/>
                      <w:szCs w:val="14"/>
                      <w:lang w:val="sr-Cyrl-CS"/>
                    </w:rPr>
                    <w:t>OMAN</w:t>
                  </w:r>
                </w:p>
              </w:tc>
              <w:tc>
                <w:tcPr>
                  <w:tcW w:w="978" w:type="dxa"/>
                  <w:tcBorders>
                    <w:top w:val="nil"/>
                    <w:left w:val="nil"/>
                    <w:bottom w:val="nil"/>
                    <w:right w:val="nil"/>
                  </w:tcBorders>
                  <w:shd w:val="clear" w:color="auto" w:fill="auto"/>
                  <w:noWrap/>
                  <w:vAlign w:val="center"/>
                  <w:hideMark/>
                </w:tcPr>
                <w:p w14:paraId="4407C9B1" w14:textId="77777777" w:rsidR="00740812" w:rsidRPr="00BF3CDE" w:rsidRDefault="00740812" w:rsidP="00740812">
                  <w:pPr>
                    <w:spacing w:after="0" w:line="240" w:lineRule="auto"/>
                    <w:jc w:val="center"/>
                    <w:rPr>
                      <w:rFonts w:ascii="Verdana" w:hAnsi="Verdana"/>
                      <w:noProof/>
                      <w:color w:val="000000"/>
                      <w:sz w:val="14"/>
                      <w:szCs w:val="14"/>
                      <w:lang w:val="sr-Cyrl-CS"/>
                    </w:rPr>
                  </w:pPr>
                  <w:r w:rsidRPr="00BF3CDE">
                    <w:rPr>
                      <w:rFonts w:ascii="Verdana" w:hAnsi="Verdana"/>
                      <w:noProof/>
                      <w:color w:val="000000"/>
                      <w:sz w:val="14"/>
                      <w:szCs w:val="14"/>
                      <w:lang w:val="sr-Cyrl-CS"/>
                    </w:rPr>
                    <w:t>0,01%</w:t>
                  </w:r>
                </w:p>
              </w:tc>
            </w:tr>
            <w:tr w:rsidR="00740812" w:rsidRPr="00BF3CDE" w14:paraId="76252770" w14:textId="77777777" w:rsidTr="000A6BB2">
              <w:trPr>
                <w:trHeight w:val="312"/>
              </w:trPr>
              <w:tc>
                <w:tcPr>
                  <w:tcW w:w="2218" w:type="dxa"/>
                  <w:tcBorders>
                    <w:top w:val="nil"/>
                    <w:left w:val="nil"/>
                    <w:bottom w:val="nil"/>
                    <w:right w:val="nil"/>
                  </w:tcBorders>
                  <w:shd w:val="clear" w:color="auto" w:fill="auto"/>
                  <w:vAlign w:val="center"/>
                </w:tcPr>
                <w:p w14:paraId="6F7B5AC2" w14:textId="77777777" w:rsidR="00740812" w:rsidRPr="00BF3CDE" w:rsidRDefault="00740812" w:rsidP="00740812">
                  <w:pPr>
                    <w:spacing w:after="0" w:line="240" w:lineRule="auto"/>
                    <w:rPr>
                      <w:rFonts w:ascii="Verdana" w:hAnsi="Verdana"/>
                      <w:noProof/>
                      <w:color w:val="000000"/>
                      <w:sz w:val="14"/>
                      <w:szCs w:val="14"/>
                      <w:lang w:val="sr-Cyrl-CS"/>
                    </w:rPr>
                  </w:pPr>
                  <w:r w:rsidRPr="00BF3CDE">
                    <w:rPr>
                      <w:rFonts w:ascii="Verdana" w:hAnsi="Verdana"/>
                      <w:noProof/>
                      <w:color w:val="000000"/>
                      <w:sz w:val="14"/>
                      <w:szCs w:val="14"/>
                      <w:lang w:val="sr-Cyrl-CS"/>
                    </w:rPr>
                    <w:t>ORIENTAL INSURANCE</w:t>
                  </w:r>
                </w:p>
              </w:tc>
              <w:tc>
                <w:tcPr>
                  <w:tcW w:w="978" w:type="dxa"/>
                  <w:tcBorders>
                    <w:top w:val="nil"/>
                    <w:left w:val="nil"/>
                    <w:bottom w:val="nil"/>
                    <w:right w:val="nil"/>
                  </w:tcBorders>
                  <w:shd w:val="clear" w:color="auto" w:fill="auto"/>
                  <w:noWrap/>
                  <w:vAlign w:val="center"/>
                </w:tcPr>
                <w:p w14:paraId="6A55BC49" w14:textId="77777777" w:rsidR="00740812" w:rsidRPr="00BF3CDE" w:rsidRDefault="00740812" w:rsidP="00740812">
                  <w:pPr>
                    <w:spacing w:after="0" w:line="240" w:lineRule="auto"/>
                    <w:jc w:val="center"/>
                    <w:rPr>
                      <w:rFonts w:ascii="Verdana" w:hAnsi="Verdana"/>
                      <w:noProof/>
                      <w:color w:val="000000"/>
                      <w:sz w:val="14"/>
                      <w:szCs w:val="14"/>
                      <w:lang w:val="sr-Cyrl-CS"/>
                    </w:rPr>
                  </w:pPr>
                  <w:r w:rsidRPr="00BF3CDE">
                    <w:rPr>
                      <w:rFonts w:ascii="Verdana" w:hAnsi="Verdana"/>
                      <w:noProof/>
                      <w:color w:val="000000"/>
                      <w:sz w:val="14"/>
                      <w:szCs w:val="14"/>
                      <w:lang w:val="sr-Cyrl-CS"/>
                    </w:rPr>
                    <w:t>0,005%</w:t>
                  </w:r>
                </w:p>
              </w:tc>
            </w:tr>
            <w:tr w:rsidR="00740812" w:rsidRPr="00BF3CDE" w14:paraId="4C2FB95E" w14:textId="77777777" w:rsidTr="000A6BB2">
              <w:trPr>
                <w:trHeight w:val="312"/>
              </w:trPr>
              <w:tc>
                <w:tcPr>
                  <w:tcW w:w="2218" w:type="dxa"/>
                  <w:tcBorders>
                    <w:top w:val="nil"/>
                    <w:left w:val="nil"/>
                    <w:bottom w:val="nil"/>
                    <w:right w:val="nil"/>
                  </w:tcBorders>
                  <w:shd w:val="clear" w:color="auto" w:fill="auto"/>
                  <w:vAlign w:val="center"/>
                </w:tcPr>
                <w:p w14:paraId="0A66FB9C" w14:textId="77777777" w:rsidR="00740812" w:rsidRPr="00BF3CDE" w:rsidRDefault="00740812" w:rsidP="00740812">
                  <w:pPr>
                    <w:spacing w:after="0" w:line="240" w:lineRule="auto"/>
                    <w:rPr>
                      <w:rFonts w:ascii="Verdana" w:hAnsi="Verdana"/>
                      <w:noProof/>
                      <w:color w:val="000000"/>
                      <w:sz w:val="14"/>
                      <w:szCs w:val="14"/>
                      <w:lang w:val="sr-Cyrl-CS"/>
                    </w:rPr>
                  </w:pPr>
                  <w:r w:rsidRPr="00BF3CDE">
                    <w:rPr>
                      <w:rFonts w:ascii="Verdana" w:hAnsi="Verdana"/>
                      <w:noProof/>
                      <w:color w:val="000000"/>
                      <w:sz w:val="14"/>
                      <w:szCs w:val="14"/>
                      <w:lang w:val="sr-Cyrl-CS"/>
                    </w:rPr>
                    <w:t>AL KHAZNA</w:t>
                  </w:r>
                </w:p>
              </w:tc>
              <w:tc>
                <w:tcPr>
                  <w:tcW w:w="978" w:type="dxa"/>
                  <w:tcBorders>
                    <w:top w:val="nil"/>
                    <w:left w:val="nil"/>
                    <w:bottom w:val="nil"/>
                    <w:right w:val="nil"/>
                  </w:tcBorders>
                  <w:shd w:val="clear" w:color="auto" w:fill="auto"/>
                  <w:noWrap/>
                  <w:vAlign w:val="center"/>
                </w:tcPr>
                <w:p w14:paraId="2BCF5655" w14:textId="77777777" w:rsidR="00740812" w:rsidRPr="00BF3CDE" w:rsidRDefault="00740812" w:rsidP="00740812">
                  <w:pPr>
                    <w:spacing w:after="0" w:line="240" w:lineRule="auto"/>
                    <w:jc w:val="center"/>
                    <w:rPr>
                      <w:rFonts w:ascii="Verdana" w:hAnsi="Verdana"/>
                      <w:noProof/>
                      <w:color w:val="000000"/>
                      <w:sz w:val="14"/>
                      <w:szCs w:val="14"/>
                      <w:lang w:val="sr-Cyrl-CS"/>
                    </w:rPr>
                  </w:pPr>
                  <w:r w:rsidRPr="00BF3CDE">
                    <w:rPr>
                      <w:rFonts w:ascii="Verdana" w:hAnsi="Verdana"/>
                      <w:noProof/>
                      <w:color w:val="000000"/>
                      <w:sz w:val="14"/>
                      <w:szCs w:val="14"/>
                      <w:lang w:val="sr-Cyrl-CS"/>
                    </w:rPr>
                    <w:t>0,0001%</w:t>
                  </w:r>
                </w:p>
              </w:tc>
            </w:tr>
            <w:tr w:rsidR="00740812" w:rsidRPr="00BF3CDE" w14:paraId="7125C92E" w14:textId="77777777" w:rsidTr="000A6BB2">
              <w:trPr>
                <w:trHeight w:val="312"/>
              </w:trPr>
              <w:tc>
                <w:tcPr>
                  <w:tcW w:w="2218" w:type="dxa"/>
                  <w:tcBorders>
                    <w:top w:val="nil"/>
                    <w:left w:val="nil"/>
                    <w:bottom w:val="nil"/>
                    <w:right w:val="nil"/>
                  </w:tcBorders>
                  <w:shd w:val="clear" w:color="auto" w:fill="auto"/>
                  <w:vAlign w:val="center"/>
                </w:tcPr>
                <w:p w14:paraId="5DE737B8" w14:textId="77777777" w:rsidR="00740812" w:rsidRPr="00BF3CDE" w:rsidRDefault="00740812" w:rsidP="00740812">
                  <w:pPr>
                    <w:spacing w:after="0" w:line="240" w:lineRule="auto"/>
                    <w:rPr>
                      <w:rFonts w:ascii="Verdana" w:hAnsi="Verdana"/>
                      <w:noProof/>
                      <w:color w:val="000000"/>
                      <w:sz w:val="14"/>
                      <w:szCs w:val="14"/>
                      <w:lang w:val="sr-Cyrl-CS"/>
                    </w:rPr>
                  </w:pPr>
                  <w:r w:rsidRPr="00BF3CDE">
                    <w:rPr>
                      <w:rFonts w:ascii="Verdana" w:hAnsi="Verdana"/>
                      <w:noProof/>
                      <w:color w:val="000000"/>
                      <w:sz w:val="14"/>
                      <w:szCs w:val="14"/>
                      <w:lang w:val="sr-Cyrl-CS"/>
                    </w:rPr>
                    <w:t>POLISH RE</w:t>
                  </w:r>
                </w:p>
              </w:tc>
              <w:tc>
                <w:tcPr>
                  <w:tcW w:w="978" w:type="dxa"/>
                  <w:tcBorders>
                    <w:top w:val="nil"/>
                    <w:left w:val="nil"/>
                    <w:bottom w:val="nil"/>
                    <w:right w:val="nil"/>
                  </w:tcBorders>
                  <w:shd w:val="clear" w:color="auto" w:fill="auto"/>
                  <w:noWrap/>
                  <w:vAlign w:val="center"/>
                </w:tcPr>
                <w:p w14:paraId="0A516F41" w14:textId="77777777" w:rsidR="00740812" w:rsidRPr="00BF3CDE" w:rsidRDefault="00740812" w:rsidP="00740812">
                  <w:pPr>
                    <w:spacing w:after="0" w:line="240" w:lineRule="auto"/>
                    <w:jc w:val="center"/>
                    <w:rPr>
                      <w:rFonts w:ascii="Verdana" w:hAnsi="Verdana"/>
                      <w:noProof/>
                      <w:color w:val="000000"/>
                      <w:sz w:val="14"/>
                      <w:szCs w:val="14"/>
                      <w:lang w:val="sr-Cyrl-CS"/>
                    </w:rPr>
                  </w:pPr>
                  <w:r w:rsidRPr="00BF3CDE">
                    <w:rPr>
                      <w:rFonts w:ascii="Verdana" w:hAnsi="Verdana"/>
                      <w:noProof/>
                      <w:color w:val="000000"/>
                      <w:sz w:val="14"/>
                      <w:szCs w:val="14"/>
                      <w:lang w:val="sr-Cyrl-CS"/>
                    </w:rPr>
                    <w:t>0,00003%</w:t>
                  </w:r>
                </w:p>
              </w:tc>
            </w:tr>
          </w:tbl>
          <w:p w14:paraId="51A3EF3B" w14:textId="77777777" w:rsidR="00740812" w:rsidRPr="00BF3CDE" w:rsidRDefault="00740812" w:rsidP="006C0D6C">
            <w:pPr>
              <w:spacing w:after="120"/>
              <w:ind w:right="-142"/>
              <w:rPr>
                <w:rFonts w:ascii="Verdana" w:hAnsi="Verdana" w:cs="Tahoma"/>
                <w:b/>
                <w:i/>
                <w:noProof/>
                <w:bdr w:val="none" w:sz="0" w:space="0" w:color="auto" w:frame="1"/>
                <w:lang w:val="sr-Cyrl-CS"/>
              </w:rPr>
            </w:pPr>
          </w:p>
        </w:tc>
      </w:tr>
    </w:tbl>
    <w:p w14:paraId="205C1595" w14:textId="77777777" w:rsidR="006C0D6C" w:rsidRPr="00BF3CDE" w:rsidRDefault="006C0D6C" w:rsidP="006C0D6C">
      <w:pPr>
        <w:spacing w:after="120"/>
        <w:jc w:val="center"/>
        <w:rPr>
          <w:noProof/>
          <w:lang w:val="sr-Cyrl-CS"/>
        </w:rPr>
      </w:pPr>
      <w:r w:rsidRPr="00BF3CDE">
        <w:rPr>
          <w:rFonts w:ascii="Verdana" w:hAnsi="Verdana" w:cs="Tahoma"/>
          <w:b/>
          <w:i/>
          <w:noProof/>
          <w:sz w:val="20"/>
          <w:bdr w:val="none" w:sz="0" w:space="0" w:color="auto" w:frame="1"/>
          <w:lang w:val="sr-Cyrl-CS"/>
        </w:rPr>
        <w:t>Активна премија по инопартнерима у хиљадама динара</w:t>
      </w:r>
      <w:r w:rsidRPr="00BF3CDE">
        <w:rPr>
          <w:rStyle w:val="Hyperlink"/>
          <w:noProof/>
          <w:color w:val="auto"/>
          <w:sz w:val="20"/>
          <w:szCs w:val="20"/>
          <w:lang w:val="sr-Cyrl-CS"/>
        </w:rPr>
        <w:t xml:space="preserve"> </w:t>
      </w:r>
      <w:r w:rsidRPr="00BF3CDE">
        <w:rPr>
          <w:rStyle w:val="Hyperlink"/>
          <w:noProof/>
          <w:color w:val="auto"/>
          <w:sz w:val="20"/>
          <w:szCs w:val="20"/>
          <w:lang w:val="sr-Cyrl-CS"/>
        </w:rPr>
        <w:fldChar w:fldCharType="begin"/>
      </w:r>
      <w:r w:rsidRPr="00BF3CDE">
        <w:rPr>
          <w:rStyle w:val="Hyperlink"/>
          <w:noProof/>
          <w:color w:val="auto"/>
          <w:sz w:val="20"/>
          <w:szCs w:val="20"/>
          <w:lang w:val="sr-Cyrl-CS"/>
        </w:rPr>
        <w:instrText xml:space="preserve"> LINK Excel.Sheet.12 "C:\\Users\\s.stoiljkovic.INTERNAL\\Documents\\IZVESTAJI\\Izvestaj o poslovanju\\IZVESTAJI\\IZVESTAJ 31.12.2014\\Slike izvestaj 31.12.2014.xlsx" "aktivna premija inopartneri!R42C3:R57C5" \a \f 4 \h </w:instrText>
      </w:r>
      <w:r w:rsidRPr="00BF3CDE">
        <w:rPr>
          <w:rStyle w:val="Hyperlink"/>
          <w:noProof/>
          <w:color w:val="auto"/>
          <w:sz w:val="20"/>
          <w:szCs w:val="20"/>
          <w:lang w:val="sr-Cyrl-CS"/>
        </w:rPr>
        <w:fldChar w:fldCharType="separate"/>
      </w:r>
    </w:p>
    <w:tbl>
      <w:tblPr>
        <w:tblW w:w="7080" w:type="dxa"/>
        <w:jc w:val="center"/>
        <w:tblLook w:val="04A0" w:firstRow="1" w:lastRow="0" w:firstColumn="1" w:lastColumn="0" w:noHBand="0" w:noVBand="1"/>
      </w:tblPr>
      <w:tblGrid>
        <w:gridCol w:w="3400"/>
        <w:gridCol w:w="1640"/>
        <w:gridCol w:w="2040"/>
      </w:tblGrid>
      <w:tr w:rsidR="006C0D6C" w:rsidRPr="00BF3CDE" w14:paraId="0502D0E1" w14:textId="77777777" w:rsidTr="006E3225">
        <w:trPr>
          <w:trHeight w:val="340"/>
          <w:jc w:val="center"/>
        </w:trPr>
        <w:tc>
          <w:tcPr>
            <w:tcW w:w="3400" w:type="dxa"/>
            <w:tcBorders>
              <w:top w:val="single" w:sz="4" w:space="0" w:color="4F81BD"/>
              <w:left w:val="nil"/>
              <w:bottom w:val="single" w:sz="4" w:space="0" w:color="4F81BD"/>
              <w:right w:val="nil"/>
            </w:tcBorders>
            <w:shd w:val="clear" w:color="auto" w:fill="auto"/>
            <w:noWrap/>
            <w:vAlign w:val="center"/>
            <w:hideMark/>
          </w:tcPr>
          <w:p w14:paraId="07B4AF5A" w14:textId="77777777" w:rsidR="006C0D6C" w:rsidRPr="00BF3CDE" w:rsidRDefault="006C0D6C" w:rsidP="006C0D6C">
            <w:pPr>
              <w:spacing w:after="0" w:line="240" w:lineRule="auto"/>
              <w:jc w:val="center"/>
              <w:rPr>
                <w:rFonts w:ascii="Verdana" w:eastAsia="Times New Roman" w:hAnsi="Verdana" w:cs="Times New Roman"/>
                <w:b/>
                <w:bCs/>
                <w:noProof/>
                <w:sz w:val="18"/>
                <w:szCs w:val="18"/>
                <w:lang w:val="sr-Cyrl-CS"/>
              </w:rPr>
            </w:pPr>
            <w:r w:rsidRPr="00BF3CDE">
              <w:rPr>
                <w:rFonts w:ascii="Verdana" w:eastAsia="Times New Roman" w:hAnsi="Verdana" w:cs="Times New Roman"/>
                <w:b/>
                <w:bCs/>
                <w:noProof/>
                <w:sz w:val="18"/>
                <w:szCs w:val="18"/>
                <w:lang w:val="sr-Cyrl-CS"/>
              </w:rPr>
              <w:t>Инопартнер</w:t>
            </w:r>
          </w:p>
        </w:tc>
        <w:tc>
          <w:tcPr>
            <w:tcW w:w="1640" w:type="dxa"/>
            <w:tcBorders>
              <w:top w:val="single" w:sz="4" w:space="0" w:color="4F81BD"/>
              <w:left w:val="nil"/>
              <w:bottom w:val="single" w:sz="4" w:space="0" w:color="4F81BD"/>
              <w:right w:val="nil"/>
            </w:tcBorders>
            <w:shd w:val="clear" w:color="auto" w:fill="auto"/>
            <w:vAlign w:val="center"/>
            <w:hideMark/>
          </w:tcPr>
          <w:p w14:paraId="39B7C858" w14:textId="77777777" w:rsidR="006C0D6C" w:rsidRPr="00BF3CDE" w:rsidRDefault="006C0D6C" w:rsidP="006C0D6C">
            <w:pPr>
              <w:spacing w:after="0" w:line="240" w:lineRule="auto"/>
              <w:jc w:val="center"/>
              <w:rPr>
                <w:rFonts w:ascii="Verdana" w:eastAsia="Times New Roman" w:hAnsi="Verdana" w:cs="Times New Roman"/>
                <w:b/>
                <w:bCs/>
                <w:noProof/>
                <w:sz w:val="18"/>
                <w:szCs w:val="18"/>
                <w:lang w:val="sr-Cyrl-CS"/>
              </w:rPr>
            </w:pPr>
            <w:r w:rsidRPr="00BF3CDE">
              <w:rPr>
                <w:rFonts w:ascii="Verdana" w:eastAsia="Times New Roman" w:hAnsi="Verdana" w:cs="Times New Roman"/>
                <w:b/>
                <w:bCs/>
                <w:noProof/>
                <w:sz w:val="18"/>
                <w:szCs w:val="18"/>
                <w:lang w:val="sr-Cyrl-CS"/>
              </w:rPr>
              <w:t>Активна премија</w:t>
            </w:r>
          </w:p>
        </w:tc>
        <w:tc>
          <w:tcPr>
            <w:tcW w:w="2040" w:type="dxa"/>
            <w:tcBorders>
              <w:top w:val="single" w:sz="4" w:space="0" w:color="4F81BD"/>
              <w:left w:val="nil"/>
              <w:bottom w:val="single" w:sz="4" w:space="0" w:color="4F81BD"/>
              <w:right w:val="nil"/>
            </w:tcBorders>
            <w:shd w:val="clear" w:color="auto" w:fill="auto"/>
            <w:vAlign w:val="center"/>
            <w:hideMark/>
          </w:tcPr>
          <w:p w14:paraId="5A8D97BB" w14:textId="77777777" w:rsidR="006C0D6C" w:rsidRPr="00BF3CDE" w:rsidRDefault="006C0D6C" w:rsidP="006C0D6C">
            <w:pPr>
              <w:spacing w:after="0" w:line="240" w:lineRule="auto"/>
              <w:jc w:val="center"/>
              <w:rPr>
                <w:rFonts w:ascii="Verdana" w:eastAsia="Times New Roman" w:hAnsi="Verdana" w:cs="Times New Roman"/>
                <w:b/>
                <w:bCs/>
                <w:noProof/>
                <w:sz w:val="18"/>
                <w:szCs w:val="18"/>
                <w:lang w:val="sr-Cyrl-CS"/>
              </w:rPr>
            </w:pPr>
            <w:r w:rsidRPr="00BF3CDE">
              <w:rPr>
                <w:rFonts w:ascii="Verdana" w:eastAsia="Times New Roman" w:hAnsi="Verdana" w:cs="Times New Roman"/>
                <w:b/>
                <w:bCs/>
                <w:noProof/>
                <w:sz w:val="18"/>
                <w:szCs w:val="18"/>
                <w:lang w:val="sr-Cyrl-CS"/>
              </w:rPr>
              <w:t>Учешће у укупној активној премији</w:t>
            </w:r>
          </w:p>
        </w:tc>
      </w:tr>
      <w:tr w:rsidR="006C0D6C" w:rsidRPr="00BF3CDE" w14:paraId="3FCCA233" w14:textId="77777777" w:rsidTr="006E3225">
        <w:trPr>
          <w:trHeight w:val="227"/>
          <w:jc w:val="center"/>
        </w:trPr>
        <w:tc>
          <w:tcPr>
            <w:tcW w:w="3400" w:type="dxa"/>
            <w:tcBorders>
              <w:top w:val="nil"/>
              <w:left w:val="nil"/>
              <w:bottom w:val="nil"/>
              <w:right w:val="nil"/>
            </w:tcBorders>
            <w:shd w:val="clear" w:color="DCE6F1" w:fill="DCE6F1"/>
            <w:noWrap/>
            <w:vAlign w:val="center"/>
            <w:hideMark/>
          </w:tcPr>
          <w:p w14:paraId="58140973" w14:textId="77777777" w:rsidR="006C0D6C" w:rsidRPr="00BF3CDE" w:rsidRDefault="006C0D6C" w:rsidP="006C0D6C">
            <w:pPr>
              <w:spacing w:after="0" w:line="240" w:lineRule="auto"/>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DUNAV OSIGURANJE BANJA LUKA</w:t>
            </w:r>
          </w:p>
        </w:tc>
        <w:tc>
          <w:tcPr>
            <w:tcW w:w="1640" w:type="dxa"/>
            <w:tcBorders>
              <w:top w:val="nil"/>
              <w:left w:val="nil"/>
              <w:bottom w:val="nil"/>
              <w:right w:val="nil"/>
            </w:tcBorders>
            <w:shd w:val="clear" w:color="DCE6F1" w:fill="DCE6F1"/>
            <w:noWrap/>
            <w:vAlign w:val="center"/>
            <w:hideMark/>
          </w:tcPr>
          <w:p w14:paraId="13BB6615"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48.995</w:t>
            </w:r>
          </w:p>
        </w:tc>
        <w:tc>
          <w:tcPr>
            <w:tcW w:w="2040" w:type="dxa"/>
            <w:tcBorders>
              <w:top w:val="nil"/>
              <w:left w:val="nil"/>
              <w:bottom w:val="nil"/>
              <w:right w:val="nil"/>
            </w:tcBorders>
            <w:shd w:val="clear" w:color="DCE6F1" w:fill="DCE6F1"/>
            <w:noWrap/>
            <w:vAlign w:val="center"/>
            <w:hideMark/>
          </w:tcPr>
          <w:p w14:paraId="1747FD49"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2,11%</w:t>
            </w:r>
          </w:p>
        </w:tc>
      </w:tr>
      <w:tr w:rsidR="006C0D6C" w:rsidRPr="00BF3CDE" w14:paraId="5E3C194E" w14:textId="77777777" w:rsidTr="006E3225">
        <w:trPr>
          <w:trHeight w:val="227"/>
          <w:jc w:val="center"/>
        </w:trPr>
        <w:tc>
          <w:tcPr>
            <w:tcW w:w="3400" w:type="dxa"/>
            <w:tcBorders>
              <w:top w:val="nil"/>
              <w:left w:val="nil"/>
              <w:bottom w:val="nil"/>
              <w:right w:val="nil"/>
            </w:tcBorders>
            <w:shd w:val="clear" w:color="auto" w:fill="auto"/>
            <w:noWrap/>
            <w:vAlign w:val="center"/>
            <w:hideMark/>
          </w:tcPr>
          <w:p w14:paraId="28775FB6" w14:textId="77777777" w:rsidR="006C0D6C" w:rsidRPr="00BF3CDE" w:rsidRDefault="006C0D6C" w:rsidP="006C0D6C">
            <w:pPr>
              <w:spacing w:after="0" w:line="240" w:lineRule="auto"/>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TRIGLAV RE</w:t>
            </w:r>
          </w:p>
        </w:tc>
        <w:tc>
          <w:tcPr>
            <w:tcW w:w="1640" w:type="dxa"/>
            <w:tcBorders>
              <w:top w:val="nil"/>
              <w:left w:val="nil"/>
              <w:bottom w:val="nil"/>
              <w:right w:val="nil"/>
            </w:tcBorders>
            <w:shd w:val="clear" w:color="auto" w:fill="auto"/>
            <w:noWrap/>
            <w:vAlign w:val="center"/>
            <w:hideMark/>
          </w:tcPr>
          <w:p w14:paraId="069F9326"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44.339</w:t>
            </w:r>
          </w:p>
        </w:tc>
        <w:tc>
          <w:tcPr>
            <w:tcW w:w="2040" w:type="dxa"/>
            <w:tcBorders>
              <w:top w:val="nil"/>
              <w:left w:val="nil"/>
              <w:bottom w:val="nil"/>
              <w:right w:val="nil"/>
            </w:tcBorders>
            <w:shd w:val="clear" w:color="auto" w:fill="auto"/>
            <w:noWrap/>
            <w:vAlign w:val="center"/>
            <w:hideMark/>
          </w:tcPr>
          <w:p w14:paraId="32DCDDF7"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1,91%</w:t>
            </w:r>
          </w:p>
        </w:tc>
      </w:tr>
      <w:tr w:rsidR="006C0D6C" w:rsidRPr="00BF3CDE" w14:paraId="78FFA194" w14:textId="77777777" w:rsidTr="006E3225">
        <w:trPr>
          <w:trHeight w:val="227"/>
          <w:jc w:val="center"/>
        </w:trPr>
        <w:tc>
          <w:tcPr>
            <w:tcW w:w="3400" w:type="dxa"/>
            <w:tcBorders>
              <w:top w:val="nil"/>
              <w:left w:val="nil"/>
              <w:bottom w:val="nil"/>
              <w:right w:val="nil"/>
            </w:tcBorders>
            <w:shd w:val="clear" w:color="DCE6F1" w:fill="DCE6F1"/>
            <w:noWrap/>
            <w:vAlign w:val="center"/>
            <w:hideMark/>
          </w:tcPr>
          <w:p w14:paraId="42A3B79A" w14:textId="77777777" w:rsidR="006C0D6C" w:rsidRPr="00BF3CDE" w:rsidRDefault="006C0D6C" w:rsidP="006C0D6C">
            <w:pPr>
              <w:spacing w:after="0" w:line="240" w:lineRule="auto"/>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DEVK VERSICHERUNGEN</w:t>
            </w:r>
          </w:p>
        </w:tc>
        <w:tc>
          <w:tcPr>
            <w:tcW w:w="1640" w:type="dxa"/>
            <w:tcBorders>
              <w:top w:val="nil"/>
              <w:left w:val="nil"/>
              <w:bottom w:val="nil"/>
              <w:right w:val="nil"/>
            </w:tcBorders>
            <w:shd w:val="clear" w:color="DCE6F1" w:fill="DCE6F1"/>
            <w:noWrap/>
            <w:vAlign w:val="center"/>
            <w:hideMark/>
          </w:tcPr>
          <w:p w14:paraId="1DC768DD"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40.286</w:t>
            </w:r>
          </w:p>
        </w:tc>
        <w:tc>
          <w:tcPr>
            <w:tcW w:w="2040" w:type="dxa"/>
            <w:tcBorders>
              <w:top w:val="nil"/>
              <w:left w:val="nil"/>
              <w:bottom w:val="nil"/>
              <w:right w:val="nil"/>
            </w:tcBorders>
            <w:shd w:val="clear" w:color="DCE6F1" w:fill="DCE6F1"/>
            <w:noWrap/>
            <w:vAlign w:val="center"/>
            <w:hideMark/>
          </w:tcPr>
          <w:p w14:paraId="060E9891"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1,733%</w:t>
            </w:r>
          </w:p>
        </w:tc>
      </w:tr>
      <w:tr w:rsidR="006C0D6C" w:rsidRPr="00BF3CDE" w14:paraId="1F37D4EA" w14:textId="77777777" w:rsidTr="006E3225">
        <w:trPr>
          <w:trHeight w:val="227"/>
          <w:jc w:val="center"/>
        </w:trPr>
        <w:tc>
          <w:tcPr>
            <w:tcW w:w="3400" w:type="dxa"/>
            <w:tcBorders>
              <w:top w:val="nil"/>
              <w:left w:val="nil"/>
              <w:bottom w:val="nil"/>
              <w:right w:val="nil"/>
            </w:tcBorders>
            <w:shd w:val="clear" w:color="auto" w:fill="auto"/>
            <w:noWrap/>
            <w:vAlign w:val="center"/>
            <w:hideMark/>
          </w:tcPr>
          <w:p w14:paraId="01E69FBC" w14:textId="77777777" w:rsidR="006C0D6C" w:rsidRPr="00BF3CDE" w:rsidRDefault="006C0D6C" w:rsidP="006C0D6C">
            <w:pPr>
              <w:spacing w:after="0" w:line="240" w:lineRule="auto"/>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BOSNA RE</w:t>
            </w:r>
          </w:p>
        </w:tc>
        <w:tc>
          <w:tcPr>
            <w:tcW w:w="1640" w:type="dxa"/>
            <w:tcBorders>
              <w:top w:val="nil"/>
              <w:left w:val="nil"/>
              <w:bottom w:val="nil"/>
              <w:right w:val="nil"/>
            </w:tcBorders>
            <w:shd w:val="clear" w:color="auto" w:fill="auto"/>
            <w:noWrap/>
            <w:vAlign w:val="center"/>
            <w:hideMark/>
          </w:tcPr>
          <w:p w14:paraId="078A913E"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29.704</w:t>
            </w:r>
          </w:p>
        </w:tc>
        <w:tc>
          <w:tcPr>
            <w:tcW w:w="2040" w:type="dxa"/>
            <w:tcBorders>
              <w:top w:val="nil"/>
              <w:left w:val="nil"/>
              <w:bottom w:val="nil"/>
              <w:right w:val="nil"/>
            </w:tcBorders>
            <w:shd w:val="clear" w:color="auto" w:fill="auto"/>
            <w:noWrap/>
            <w:vAlign w:val="center"/>
            <w:hideMark/>
          </w:tcPr>
          <w:p w14:paraId="69F2B5DD"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1,28%</w:t>
            </w:r>
          </w:p>
        </w:tc>
      </w:tr>
      <w:tr w:rsidR="006C0D6C" w:rsidRPr="00BF3CDE" w14:paraId="0555B6CD" w14:textId="77777777" w:rsidTr="006E3225">
        <w:trPr>
          <w:trHeight w:val="227"/>
          <w:jc w:val="center"/>
        </w:trPr>
        <w:tc>
          <w:tcPr>
            <w:tcW w:w="3400" w:type="dxa"/>
            <w:tcBorders>
              <w:top w:val="nil"/>
              <w:left w:val="nil"/>
              <w:bottom w:val="nil"/>
              <w:right w:val="nil"/>
            </w:tcBorders>
            <w:shd w:val="clear" w:color="DCE6F1" w:fill="DCE6F1"/>
            <w:noWrap/>
            <w:vAlign w:val="center"/>
            <w:hideMark/>
          </w:tcPr>
          <w:p w14:paraId="3BEFE64E" w14:textId="77777777" w:rsidR="006C0D6C" w:rsidRPr="00BF3CDE" w:rsidRDefault="006C0D6C" w:rsidP="006C0D6C">
            <w:pPr>
              <w:spacing w:after="0" w:line="240" w:lineRule="auto"/>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SAVA RE</w:t>
            </w:r>
          </w:p>
        </w:tc>
        <w:tc>
          <w:tcPr>
            <w:tcW w:w="1640" w:type="dxa"/>
            <w:tcBorders>
              <w:top w:val="nil"/>
              <w:left w:val="nil"/>
              <w:bottom w:val="nil"/>
              <w:right w:val="nil"/>
            </w:tcBorders>
            <w:shd w:val="clear" w:color="DCE6F1" w:fill="DCE6F1"/>
            <w:noWrap/>
            <w:vAlign w:val="center"/>
            <w:hideMark/>
          </w:tcPr>
          <w:p w14:paraId="7D631B3E"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25.298</w:t>
            </w:r>
          </w:p>
        </w:tc>
        <w:tc>
          <w:tcPr>
            <w:tcW w:w="2040" w:type="dxa"/>
            <w:tcBorders>
              <w:top w:val="nil"/>
              <w:left w:val="nil"/>
              <w:bottom w:val="nil"/>
              <w:right w:val="nil"/>
            </w:tcBorders>
            <w:shd w:val="clear" w:color="DCE6F1" w:fill="DCE6F1"/>
            <w:noWrap/>
            <w:vAlign w:val="center"/>
            <w:hideMark/>
          </w:tcPr>
          <w:p w14:paraId="5E1922B7"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1,09%</w:t>
            </w:r>
          </w:p>
        </w:tc>
      </w:tr>
      <w:tr w:rsidR="006C0D6C" w:rsidRPr="00BF3CDE" w14:paraId="16799258" w14:textId="77777777" w:rsidTr="006E3225">
        <w:trPr>
          <w:trHeight w:val="227"/>
          <w:jc w:val="center"/>
        </w:trPr>
        <w:tc>
          <w:tcPr>
            <w:tcW w:w="3400" w:type="dxa"/>
            <w:tcBorders>
              <w:top w:val="nil"/>
              <w:left w:val="nil"/>
              <w:bottom w:val="nil"/>
              <w:right w:val="nil"/>
            </w:tcBorders>
            <w:shd w:val="clear" w:color="auto" w:fill="auto"/>
            <w:noWrap/>
            <w:vAlign w:val="center"/>
            <w:hideMark/>
          </w:tcPr>
          <w:p w14:paraId="445294AA" w14:textId="77777777" w:rsidR="006C0D6C" w:rsidRPr="00BF3CDE" w:rsidRDefault="006C0D6C" w:rsidP="006C0D6C">
            <w:pPr>
              <w:spacing w:after="0" w:line="240" w:lineRule="auto"/>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CROATIA LLOYDS</w:t>
            </w:r>
          </w:p>
        </w:tc>
        <w:tc>
          <w:tcPr>
            <w:tcW w:w="1640" w:type="dxa"/>
            <w:tcBorders>
              <w:top w:val="nil"/>
              <w:left w:val="nil"/>
              <w:bottom w:val="nil"/>
              <w:right w:val="nil"/>
            </w:tcBorders>
            <w:shd w:val="clear" w:color="auto" w:fill="auto"/>
            <w:noWrap/>
            <w:vAlign w:val="center"/>
            <w:hideMark/>
          </w:tcPr>
          <w:p w14:paraId="2F1E0E75"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20.979</w:t>
            </w:r>
          </w:p>
        </w:tc>
        <w:tc>
          <w:tcPr>
            <w:tcW w:w="2040" w:type="dxa"/>
            <w:tcBorders>
              <w:top w:val="nil"/>
              <w:left w:val="nil"/>
              <w:bottom w:val="nil"/>
              <w:right w:val="nil"/>
            </w:tcBorders>
            <w:shd w:val="clear" w:color="auto" w:fill="auto"/>
            <w:noWrap/>
            <w:vAlign w:val="center"/>
            <w:hideMark/>
          </w:tcPr>
          <w:p w14:paraId="2F1D6A08"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0,90%</w:t>
            </w:r>
          </w:p>
        </w:tc>
      </w:tr>
      <w:tr w:rsidR="006C0D6C" w:rsidRPr="00BF3CDE" w14:paraId="3F891358" w14:textId="77777777" w:rsidTr="006E3225">
        <w:trPr>
          <w:trHeight w:val="227"/>
          <w:jc w:val="center"/>
        </w:trPr>
        <w:tc>
          <w:tcPr>
            <w:tcW w:w="3400" w:type="dxa"/>
            <w:tcBorders>
              <w:top w:val="nil"/>
              <w:left w:val="nil"/>
              <w:bottom w:val="nil"/>
              <w:right w:val="nil"/>
            </w:tcBorders>
            <w:shd w:val="clear" w:color="DCE6F1" w:fill="DCE6F1"/>
            <w:noWrap/>
            <w:vAlign w:val="center"/>
            <w:hideMark/>
          </w:tcPr>
          <w:p w14:paraId="50F000DA" w14:textId="77777777" w:rsidR="006C0D6C" w:rsidRPr="00BF3CDE" w:rsidRDefault="006C0D6C" w:rsidP="006C0D6C">
            <w:pPr>
              <w:spacing w:after="0" w:line="240" w:lineRule="auto"/>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KOREAN RE</w:t>
            </w:r>
          </w:p>
        </w:tc>
        <w:tc>
          <w:tcPr>
            <w:tcW w:w="1640" w:type="dxa"/>
            <w:tcBorders>
              <w:top w:val="nil"/>
              <w:left w:val="nil"/>
              <w:bottom w:val="nil"/>
              <w:right w:val="nil"/>
            </w:tcBorders>
            <w:shd w:val="clear" w:color="DCE6F1" w:fill="DCE6F1"/>
            <w:noWrap/>
            <w:vAlign w:val="center"/>
            <w:hideMark/>
          </w:tcPr>
          <w:p w14:paraId="225D7E98"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4.684</w:t>
            </w:r>
          </w:p>
        </w:tc>
        <w:tc>
          <w:tcPr>
            <w:tcW w:w="2040" w:type="dxa"/>
            <w:tcBorders>
              <w:top w:val="nil"/>
              <w:left w:val="nil"/>
              <w:bottom w:val="nil"/>
              <w:right w:val="nil"/>
            </w:tcBorders>
            <w:shd w:val="clear" w:color="DCE6F1" w:fill="DCE6F1"/>
            <w:noWrap/>
            <w:vAlign w:val="center"/>
            <w:hideMark/>
          </w:tcPr>
          <w:p w14:paraId="77CE470F"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0,20%</w:t>
            </w:r>
          </w:p>
        </w:tc>
      </w:tr>
      <w:tr w:rsidR="006C0D6C" w:rsidRPr="00BF3CDE" w14:paraId="770D190A" w14:textId="77777777" w:rsidTr="006E3225">
        <w:trPr>
          <w:trHeight w:val="227"/>
          <w:jc w:val="center"/>
        </w:trPr>
        <w:tc>
          <w:tcPr>
            <w:tcW w:w="3400" w:type="dxa"/>
            <w:tcBorders>
              <w:top w:val="nil"/>
              <w:left w:val="nil"/>
              <w:bottom w:val="nil"/>
              <w:right w:val="nil"/>
            </w:tcBorders>
            <w:shd w:val="clear" w:color="auto" w:fill="auto"/>
            <w:noWrap/>
            <w:vAlign w:val="center"/>
            <w:hideMark/>
          </w:tcPr>
          <w:p w14:paraId="08B7EB6B" w14:textId="77777777" w:rsidR="006C0D6C" w:rsidRPr="00BF3CDE" w:rsidRDefault="006C0D6C" w:rsidP="006C0D6C">
            <w:pPr>
              <w:spacing w:after="0" w:line="240" w:lineRule="auto"/>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BRČKO GAS OSIGURANJE</w:t>
            </w:r>
          </w:p>
        </w:tc>
        <w:tc>
          <w:tcPr>
            <w:tcW w:w="1640" w:type="dxa"/>
            <w:tcBorders>
              <w:top w:val="nil"/>
              <w:left w:val="nil"/>
              <w:bottom w:val="nil"/>
              <w:right w:val="nil"/>
            </w:tcBorders>
            <w:shd w:val="clear" w:color="auto" w:fill="auto"/>
            <w:noWrap/>
            <w:vAlign w:val="center"/>
            <w:hideMark/>
          </w:tcPr>
          <w:p w14:paraId="12CF1030"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3.367</w:t>
            </w:r>
          </w:p>
        </w:tc>
        <w:tc>
          <w:tcPr>
            <w:tcW w:w="2040" w:type="dxa"/>
            <w:tcBorders>
              <w:top w:val="nil"/>
              <w:left w:val="nil"/>
              <w:bottom w:val="nil"/>
              <w:right w:val="nil"/>
            </w:tcBorders>
            <w:shd w:val="clear" w:color="auto" w:fill="auto"/>
            <w:noWrap/>
            <w:vAlign w:val="center"/>
            <w:hideMark/>
          </w:tcPr>
          <w:p w14:paraId="2CACAA46"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0,14%</w:t>
            </w:r>
          </w:p>
        </w:tc>
      </w:tr>
      <w:tr w:rsidR="006C0D6C" w:rsidRPr="00BF3CDE" w14:paraId="34B496D1" w14:textId="77777777" w:rsidTr="006E3225">
        <w:trPr>
          <w:trHeight w:val="227"/>
          <w:jc w:val="center"/>
        </w:trPr>
        <w:tc>
          <w:tcPr>
            <w:tcW w:w="3400" w:type="dxa"/>
            <w:tcBorders>
              <w:top w:val="nil"/>
              <w:left w:val="nil"/>
              <w:bottom w:val="nil"/>
              <w:right w:val="nil"/>
            </w:tcBorders>
            <w:shd w:val="clear" w:color="DCE6F1" w:fill="DCE6F1"/>
            <w:noWrap/>
            <w:vAlign w:val="center"/>
            <w:hideMark/>
          </w:tcPr>
          <w:p w14:paraId="4C869E20" w14:textId="77777777" w:rsidR="006C0D6C" w:rsidRPr="00BF3CDE" w:rsidRDefault="006C0D6C" w:rsidP="006C0D6C">
            <w:pPr>
              <w:spacing w:after="0" w:line="240" w:lineRule="auto"/>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KAPITAL INSURANCE</w:t>
            </w:r>
          </w:p>
        </w:tc>
        <w:tc>
          <w:tcPr>
            <w:tcW w:w="1640" w:type="dxa"/>
            <w:tcBorders>
              <w:top w:val="nil"/>
              <w:left w:val="nil"/>
              <w:bottom w:val="nil"/>
              <w:right w:val="nil"/>
            </w:tcBorders>
            <w:shd w:val="clear" w:color="DCE6F1" w:fill="DCE6F1"/>
            <w:noWrap/>
            <w:vAlign w:val="center"/>
            <w:hideMark/>
          </w:tcPr>
          <w:p w14:paraId="636D1773"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3.255</w:t>
            </w:r>
          </w:p>
        </w:tc>
        <w:tc>
          <w:tcPr>
            <w:tcW w:w="2040" w:type="dxa"/>
            <w:tcBorders>
              <w:top w:val="nil"/>
              <w:left w:val="nil"/>
              <w:bottom w:val="nil"/>
              <w:right w:val="nil"/>
            </w:tcBorders>
            <w:shd w:val="clear" w:color="DCE6F1" w:fill="DCE6F1"/>
            <w:noWrap/>
            <w:vAlign w:val="center"/>
            <w:hideMark/>
          </w:tcPr>
          <w:p w14:paraId="6B299135"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0,14%</w:t>
            </w:r>
          </w:p>
        </w:tc>
      </w:tr>
      <w:tr w:rsidR="006C0D6C" w:rsidRPr="00BF3CDE" w14:paraId="33E13FC9" w14:textId="77777777" w:rsidTr="006E3225">
        <w:trPr>
          <w:trHeight w:val="227"/>
          <w:jc w:val="center"/>
        </w:trPr>
        <w:tc>
          <w:tcPr>
            <w:tcW w:w="3400" w:type="dxa"/>
            <w:tcBorders>
              <w:top w:val="nil"/>
              <w:left w:val="nil"/>
              <w:bottom w:val="nil"/>
              <w:right w:val="nil"/>
            </w:tcBorders>
            <w:shd w:val="clear" w:color="auto" w:fill="auto"/>
            <w:noWrap/>
            <w:vAlign w:val="center"/>
            <w:hideMark/>
          </w:tcPr>
          <w:p w14:paraId="0F0A8D72" w14:textId="77777777" w:rsidR="006C0D6C" w:rsidRPr="00BF3CDE" w:rsidRDefault="006C0D6C" w:rsidP="006C0D6C">
            <w:pPr>
              <w:spacing w:after="0" w:line="240" w:lineRule="auto"/>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BOBAR OSIGURANJE</w:t>
            </w:r>
          </w:p>
        </w:tc>
        <w:tc>
          <w:tcPr>
            <w:tcW w:w="1640" w:type="dxa"/>
            <w:tcBorders>
              <w:top w:val="nil"/>
              <w:left w:val="nil"/>
              <w:bottom w:val="nil"/>
              <w:right w:val="nil"/>
            </w:tcBorders>
            <w:shd w:val="clear" w:color="auto" w:fill="auto"/>
            <w:noWrap/>
            <w:vAlign w:val="center"/>
            <w:hideMark/>
          </w:tcPr>
          <w:p w14:paraId="22E106C3"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2.840</w:t>
            </w:r>
          </w:p>
        </w:tc>
        <w:tc>
          <w:tcPr>
            <w:tcW w:w="2040" w:type="dxa"/>
            <w:tcBorders>
              <w:top w:val="nil"/>
              <w:left w:val="nil"/>
              <w:bottom w:val="nil"/>
              <w:right w:val="nil"/>
            </w:tcBorders>
            <w:shd w:val="clear" w:color="auto" w:fill="auto"/>
            <w:noWrap/>
            <w:vAlign w:val="center"/>
            <w:hideMark/>
          </w:tcPr>
          <w:p w14:paraId="2DCD3118"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0,12%</w:t>
            </w:r>
          </w:p>
        </w:tc>
      </w:tr>
      <w:tr w:rsidR="006C0D6C" w:rsidRPr="00BF3CDE" w14:paraId="510E418D" w14:textId="77777777" w:rsidTr="006E3225">
        <w:trPr>
          <w:trHeight w:val="227"/>
          <w:jc w:val="center"/>
        </w:trPr>
        <w:tc>
          <w:tcPr>
            <w:tcW w:w="3400" w:type="dxa"/>
            <w:tcBorders>
              <w:top w:val="nil"/>
              <w:left w:val="nil"/>
              <w:bottom w:val="nil"/>
              <w:right w:val="nil"/>
            </w:tcBorders>
            <w:shd w:val="clear" w:color="DCE6F1" w:fill="DCE6F1"/>
            <w:noWrap/>
            <w:vAlign w:val="center"/>
            <w:hideMark/>
          </w:tcPr>
          <w:p w14:paraId="6358C23B" w14:textId="77777777" w:rsidR="006C0D6C" w:rsidRPr="00BF3CDE" w:rsidRDefault="006C0D6C" w:rsidP="006C0D6C">
            <w:pPr>
              <w:spacing w:after="0" w:line="240" w:lineRule="auto"/>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UNITY RE</w:t>
            </w:r>
          </w:p>
        </w:tc>
        <w:tc>
          <w:tcPr>
            <w:tcW w:w="1640" w:type="dxa"/>
            <w:tcBorders>
              <w:top w:val="nil"/>
              <w:left w:val="nil"/>
              <w:bottom w:val="nil"/>
              <w:right w:val="nil"/>
            </w:tcBorders>
            <w:shd w:val="clear" w:color="DCE6F1" w:fill="DCE6F1"/>
            <w:noWrap/>
            <w:vAlign w:val="center"/>
            <w:hideMark/>
          </w:tcPr>
          <w:p w14:paraId="5F2044D2"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269</w:t>
            </w:r>
          </w:p>
        </w:tc>
        <w:tc>
          <w:tcPr>
            <w:tcW w:w="2040" w:type="dxa"/>
            <w:tcBorders>
              <w:top w:val="nil"/>
              <w:left w:val="nil"/>
              <w:bottom w:val="nil"/>
              <w:right w:val="nil"/>
            </w:tcBorders>
            <w:shd w:val="clear" w:color="DCE6F1" w:fill="DCE6F1"/>
            <w:noWrap/>
            <w:vAlign w:val="center"/>
            <w:hideMark/>
          </w:tcPr>
          <w:p w14:paraId="73FD2200"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0,01%</w:t>
            </w:r>
          </w:p>
        </w:tc>
      </w:tr>
      <w:tr w:rsidR="006C0D6C" w:rsidRPr="00BF3CDE" w14:paraId="55BAB728" w14:textId="77777777" w:rsidTr="006E3225">
        <w:trPr>
          <w:trHeight w:val="227"/>
          <w:jc w:val="center"/>
        </w:trPr>
        <w:tc>
          <w:tcPr>
            <w:tcW w:w="3400" w:type="dxa"/>
            <w:tcBorders>
              <w:top w:val="nil"/>
              <w:left w:val="nil"/>
              <w:bottom w:val="nil"/>
              <w:right w:val="nil"/>
            </w:tcBorders>
            <w:shd w:val="clear" w:color="auto" w:fill="auto"/>
            <w:noWrap/>
            <w:vAlign w:val="center"/>
            <w:hideMark/>
          </w:tcPr>
          <w:p w14:paraId="2AF59943" w14:textId="77777777" w:rsidR="006C0D6C" w:rsidRPr="00BF3CDE" w:rsidRDefault="006C0D6C" w:rsidP="006C0D6C">
            <w:pPr>
              <w:spacing w:after="0" w:line="240" w:lineRule="auto"/>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 xml:space="preserve">OMAN </w:t>
            </w:r>
          </w:p>
        </w:tc>
        <w:tc>
          <w:tcPr>
            <w:tcW w:w="1640" w:type="dxa"/>
            <w:tcBorders>
              <w:top w:val="nil"/>
              <w:left w:val="nil"/>
              <w:bottom w:val="nil"/>
              <w:right w:val="nil"/>
            </w:tcBorders>
            <w:shd w:val="clear" w:color="auto" w:fill="auto"/>
            <w:noWrap/>
            <w:vAlign w:val="center"/>
            <w:hideMark/>
          </w:tcPr>
          <w:p w14:paraId="2B056D6B"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144</w:t>
            </w:r>
          </w:p>
        </w:tc>
        <w:tc>
          <w:tcPr>
            <w:tcW w:w="2040" w:type="dxa"/>
            <w:tcBorders>
              <w:top w:val="nil"/>
              <w:left w:val="nil"/>
              <w:bottom w:val="nil"/>
              <w:right w:val="nil"/>
            </w:tcBorders>
            <w:shd w:val="clear" w:color="auto" w:fill="auto"/>
            <w:noWrap/>
            <w:vAlign w:val="center"/>
            <w:hideMark/>
          </w:tcPr>
          <w:p w14:paraId="0A435FB1"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0,01%</w:t>
            </w:r>
          </w:p>
        </w:tc>
      </w:tr>
      <w:tr w:rsidR="006C0D6C" w:rsidRPr="00BF3CDE" w14:paraId="7303254D" w14:textId="77777777" w:rsidTr="006E3225">
        <w:trPr>
          <w:trHeight w:val="227"/>
          <w:jc w:val="center"/>
        </w:trPr>
        <w:tc>
          <w:tcPr>
            <w:tcW w:w="3400" w:type="dxa"/>
            <w:tcBorders>
              <w:top w:val="nil"/>
              <w:left w:val="nil"/>
              <w:bottom w:val="nil"/>
              <w:right w:val="nil"/>
            </w:tcBorders>
            <w:shd w:val="clear" w:color="DCE6F1" w:fill="DCE6F1"/>
            <w:noWrap/>
            <w:vAlign w:val="center"/>
            <w:hideMark/>
          </w:tcPr>
          <w:p w14:paraId="771159A9" w14:textId="77777777" w:rsidR="006C0D6C" w:rsidRPr="00BF3CDE" w:rsidRDefault="006C0D6C" w:rsidP="006C0D6C">
            <w:pPr>
              <w:spacing w:after="0" w:line="240" w:lineRule="auto"/>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ORIENTAL INSURANCE</w:t>
            </w:r>
          </w:p>
        </w:tc>
        <w:tc>
          <w:tcPr>
            <w:tcW w:w="1640" w:type="dxa"/>
            <w:tcBorders>
              <w:top w:val="nil"/>
              <w:left w:val="nil"/>
              <w:bottom w:val="nil"/>
              <w:right w:val="nil"/>
            </w:tcBorders>
            <w:shd w:val="clear" w:color="DCE6F1" w:fill="DCE6F1"/>
            <w:noWrap/>
            <w:vAlign w:val="center"/>
            <w:hideMark/>
          </w:tcPr>
          <w:p w14:paraId="6FA9AA51"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107</w:t>
            </w:r>
          </w:p>
        </w:tc>
        <w:tc>
          <w:tcPr>
            <w:tcW w:w="2040" w:type="dxa"/>
            <w:tcBorders>
              <w:top w:val="nil"/>
              <w:left w:val="nil"/>
              <w:bottom w:val="nil"/>
              <w:right w:val="nil"/>
            </w:tcBorders>
            <w:shd w:val="clear" w:color="DCE6F1" w:fill="DCE6F1"/>
            <w:noWrap/>
            <w:vAlign w:val="center"/>
            <w:hideMark/>
          </w:tcPr>
          <w:p w14:paraId="5AF7E46E"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0,005%</w:t>
            </w:r>
          </w:p>
        </w:tc>
      </w:tr>
      <w:tr w:rsidR="006C0D6C" w:rsidRPr="00BF3CDE" w14:paraId="72B543B3" w14:textId="77777777" w:rsidTr="006E3225">
        <w:trPr>
          <w:trHeight w:val="227"/>
          <w:jc w:val="center"/>
        </w:trPr>
        <w:tc>
          <w:tcPr>
            <w:tcW w:w="3400" w:type="dxa"/>
            <w:tcBorders>
              <w:top w:val="nil"/>
              <w:left w:val="nil"/>
              <w:bottom w:val="nil"/>
              <w:right w:val="nil"/>
            </w:tcBorders>
            <w:shd w:val="clear" w:color="auto" w:fill="auto"/>
            <w:noWrap/>
            <w:vAlign w:val="center"/>
            <w:hideMark/>
          </w:tcPr>
          <w:p w14:paraId="5ABAF6E7" w14:textId="77777777" w:rsidR="006C0D6C" w:rsidRPr="00BF3CDE" w:rsidRDefault="006C0D6C" w:rsidP="006C0D6C">
            <w:pPr>
              <w:spacing w:after="0" w:line="240" w:lineRule="auto"/>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AL KHAZNA</w:t>
            </w:r>
          </w:p>
        </w:tc>
        <w:tc>
          <w:tcPr>
            <w:tcW w:w="1640" w:type="dxa"/>
            <w:tcBorders>
              <w:top w:val="nil"/>
              <w:left w:val="nil"/>
              <w:bottom w:val="nil"/>
              <w:right w:val="nil"/>
            </w:tcBorders>
            <w:shd w:val="clear" w:color="auto" w:fill="auto"/>
            <w:noWrap/>
            <w:vAlign w:val="center"/>
            <w:hideMark/>
          </w:tcPr>
          <w:p w14:paraId="519EE68A"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1</w:t>
            </w:r>
          </w:p>
        </w:tc>
        <w:tc>
          <w:tcPr>
            <w:tcW w:w="2040" w:type="dxa"/>
            <w:tcBorders>
              <w:top w:val="nil"/>
              <w:left w:val="nil"/>
              <w:bottom w:val="nil"/>
              <w:right w:val="nil"/>
            </w:tcBorders>
            <w:shd w:val="clear" w:color="auto" w:fill="auto"/>
            <w:noWrap/>
            <w:vAlign w:val="center"/>
            <w:hideMark/>
          </w:tcPr>
          <w:p w14:paraId="57FF282E"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0,0001%</w:t>
            </w:r>
          </w:p>
        </w:tc>
      </w:tr>
      <w:tr w:rsidR="006C0D6C" w:rsidRPr="00BF3CDE" w14:paraId="09F5AACB" w14:textId="77777777" w:rsidTr="006E3225">
        <w:trPr>
          <w:trHeight w:val="227"/>
          <w:jc w:val="center"/>
        </w:trPr>
        <w:tc>
          <w:tcPr>
            <w:tcW w:w="3400" w:type="dxa"/>
            <w:tcBorders>
              <w:top w:val="nil"/>
              <w:left w:val="nil"/>
              <w:bottom w:val="single" w:sz="4" w:space="0" w:color="4F81BD"/>
              <w:right w:val="nil"/>
            </w:tcBorders>
            <w:shd w:val="clear" w:color="DCE6F1" w:fill="DCE6F1"/>
            <w:noWrap/>
            <w:vAlign w:val="center"/>
            <w:hideMark/>
          </w:tcPr>
          <w:p w14:paraId="2EF325CF" w14:textId="77777777" w:rsidR="006C0D6C" w:rsidRPr="00BF3CDE" w:rsidRDefault="006C0D6C" w:rsidP="006C0D6C">
            <w:pPr>
              <w:spacing w:after="0" w:line="240" w:lineRule="auto"/>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POLISH RE</w:t>
            </w:r>
          </w:p>
        </w:tc>
        <w:tc>
          <w:tcPr>
            <w:tcW w:w="1640" w:type="dxa"/>
            <w:tcBorders>
              <w:top w:val="nil"/>
              <w:left w:val="nil"/>
              <w:bottom w:val="single" w:sz="4" w:space="0" w:color="4F81BD"/>
              <w:right w:val="nil"/>
            </w:tcBorders>
            <w:shd w:val="clear" w:color="DCE6F1" w:fill="DCE6F1"/>
            <w:noWrap/>
            <w:vAlign w:val="center"/>
            <w:hideMark/>
          </w:tcPr>
          <w:p w14:paraId="40FE52BC"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1</w:t>
            </w:r>
          </w:p>
        </w:tc>
        <w:tc>
          <w:tcPr>
            <w:tcW w:w="2040" w:type="dxa"/>
            <w:tcBorders>
              <w:top w:val="nil"/>
              <w:left w:val="nil"/>
              <w:bottom w:val="single" w:sz="4" w:space="0" w:color="4F81BD"/>
              <w:right w:val="nil"/>
            </w:tcBorders>
            <w:shd w:val="clear" w:color="DCE6F1" w:fill="DCE6F1"/>
            <w:noWrap/>
            <w:vAlign w:val="center"/>
            <w:hideMark/>
          </w:tcPr>
          <w:p w14:paraId="77B8DCA5"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0,00003%</w:t>
            </w:r>
          </w:p>
        </w:tc>
      </w:tr>
    </w:tbl>
    <w:p w14:paraId="30A5E32C" w14:textId="77777777" w:rsidR="006E3225" w:rsidRPr="00BF3CDE" w:rsidRDefault="006C0D6C" w:rsidP="006E3225">
      <w:pPr>
        <w:spacing w:after="120"/>
        <w:jc w:val="center"/>
        <w:rPr>
          <w:rStyle w:val="Hyperlink"/>
          <w:noProof/>
          <w:color w:val="auto"/>
          <w:sz w:val="14"/>
          <w:szCs w:val="14"/>
          <w:lang w:val="sr-Cyrl-CS"/>
        </w:rPr>
      </w:pPr>
      <w:r w:rsidRPr="00BF3CDE">
        <w:rPr>
          <w:rStyle w:val="Hyperlink"/>
          <w:noProof/>
          <w:color w:val="auto"/>
          <w:sz w:val="20"/>
          <w:szCs w:val="20"/>
          <w:lang w:val="sr-Cyrl-CS"/>
        </w:rPr>
        <w:fldChar w:fldCharType="end"/>
      </w:r>
      <w:bookmarkStart w:id="15" w:name="_Toc319489029"/>
    </w:p>
    <w:p w14:paraId="6708D604" w14:textId="77777777" w:rsidR="006C0D6C" w:rsidRPr="00BF3CDE" w:rsidRDefault="006C0D6C" w:rsidP="006E3225">
      <w:pPr>
        <w:spacing w:after="120"/>
        <w:jc w:val="center"/>
        <w:rPr>
          <w:rFonts w:ascii="Verdana" w:hAnsi="Verdana" w:cs="Tahoma"/>
          <w:b/>
          <w:i/>
          <w:noProof/>
          <w:sz w:val="20"/>
          <w:szCs w:val="20"/>
          <w:bdr w:val="none" w:sz="0" w:space="0" w:color="auto" w:frame="1"/>
          <w:lang w:val="sr-Cyrl-CS"/>
        </w:rPr>
      </w:pPr>
      <w:r w:rsidRPr="00BF3CDE">
        <w:rPr>
          <w:rFonts w:ascii="Verdana" w:hAnsi="Verdana" w:cs="Tahoma"/>
          <w:b/>
          <w:i/>
          <w:noProof/>
          <w:sz w:val="20"/>
          <w:szCs w:val="20"/>
          <w:bdr w:val="none" w:sz="0" w:space="0" w:color="auto" w:frame="1"/>
          <w:lang w:val="sr-Cyrl-CS"/>
        </w:rPr>
        <w:t>Активна премија Друштва по изворима</w:t>
      </w:r>
      <w:bookmarkEnd w:id="15"/>
    </w:p>
    <w:p w14:paraId="590738C9" w14:textId="77777777" w:rsidR="006C0D6C" w:rsidRPr="00BF3CDE" w:rsidRDefault="006C0D6C" w:rsidP="006C0D6C">
      <w:pPr>
        <w:jc w:val="both"/>
        <w:rPr>
          <w:rStyle w:val="Hyperlink"/>
          <w:noProof/>
          <w:color w:val="auto"/>
          <w:sz w:val="20"/>
          <w:szCs w:val="20"/>
          <w:lang w:val="sr-Cyrl-CS"/>
        </w:rPr>
      </w:pPr>
      <w:r w:rsidRPr="00BF3CDE">
        <w:rPr>
          <w:rStyle w:val="Hyperlink"/>
          <w:noProof/>
          <w:color w:val="auto"/>
          <w:sz w:val="20"/>
          <w:szCs w:val="20"/>
          <w:lang w:val="sr-Cyrl-CS"/>
        </w:rPr>
        <w:t xml:space="preserve">Активна премија чији је извор Компаније Дунав осигурање у периоду 01.01.2014. – 31.12.2014. године износи </w:t>
      </w:r>
      <w:r w:rsidRPr="00BF3CDE">
        <w:rPr>
          <w:rFonts w:ascii="Verdana" w:eastAsia="Times New Roman" w:hAnsi="Verdana" w:cs="Arial"/>
          <w:bCs/>
          <w:noProof/>
          <w:sz w:val="20"/>
          <w:szCs w:val="20"/>
          <w:lang w:val="sr-Cyrl-CS"/>
        </w:rPr>
        <w:t>923.333</w:t>
      </w:r>
      <w:r w:rsidRPr="00BF3CDE">
        <w:rPr>
          <w:rFonts w:ascii="Verdana" w:eastAsia="Times New Roman" w:hAnsi="Verdana" w:cs="Arial"/>
          <w:b/>
          <w:bCs/>
          <w:noProof/>
          <w:sz w:val="20"/>
          <w:szCs w:val="20"/>
          <w:lang w:val="sr-Cyrl-CS"/>
        </w:rPr>
        <w:t xml:space="preserve"> </w:t>
      </w:r>
      <w:r w:rsidRPr="00BF3CDE">
        <w:rPr>
          <w:rStyle w:val="Hyperlink"/>
          <w:noProof/>
          <w:color w:val="auto"/>
          <w:sz w:val="20"/>
          <w:szCs w:val="20"/>
          <w:lang w:val="sr-Cyrl-CS"/>
        </w:rPr>
        <w:t xml:space="preserve">хиљада динара, односно 39,72% укупне активне премије. На нивоу Дунав групе (Компаније Дунав осигурање Београд и Дунав Осигурање Бања Лука), активна премија износи </w:t>
      </w:r>
      <w:r w:rsidRPr="00BF3CDE">
        <w:rPr>
          <w:rFonts w:ascii="Verdana" w:eastAsia="Times New Roman" w:hAnsi="Verdana" w:cs="Arial"/>
          <w:noProof/>
          <w:sz w:val="20"/>
          <w:szCs w:val="20"/>
          <w:lang w:val="sr-Cyrl-CS"/>
        </w:rPr>
        <w:t xml:space="preserve">972.328 </w:t>
      </w:r>
      <w:r w:rsidRPr="00BF3CDE">
        <w:rPr>
          <w:rStyle w:val="Hyperlink"/>
          <w:noProof/>
          <w:color w:val="auto"/>
          <w:sz w:val="20"/>
          <w:szCs w:val="20"/>
          <w:lang w:val="sr-Cyrl-CS"/>
        </w:rPr>
        <w:t>хиљада динара, односно 41,82% укупне активне премије. Поред Компаније Дунав највеће учешће у активној премији имају уговоре закључени са Цедентом Согаз осигурање.</w:t>
      </w:r>
    </w:p>
    <w:p w14:paraId="051A4EFD" w14:textId="77777777" w:rsidR="006E3225" w:rsidRPr="00BF3CDE" w:rsidRDefault="006E3225" w:rsidP="006C0D6C">
      <w:pPr>
        <w:spacing w:after="240" w:line="240" w:lineRule="auto"/>
        <w:ind w:right="-142"/>
        <w:jc w:val="center"/>
        <w:rPr>
          <w:rFonts w:ascii="Verdana" w:hAnsi="Verdana" w:cs="Tahoma"/>
          <w:b/>
          <w:i/>
          <w:noProof/>
          <w:sz w:val="20"/>
          <w:szCs w:val="20"/>
          <w:bdr w:val="none" w:sz="0" w:space="0" w:color="auto" w:frame="1"/>
          <w:lang w:val="sr-Cyrl-CS"/>
        </w:rPr>
      </w:pPr>
    </w:p>
    <w:p w14:paraId="5D54FCD3" w14:textId="77777777" w:rsidR="006E3225" w:rsidRPr="00BF3CDE" w:rsidRDefault="006E3225" w:rsidP="006C0D6C">
      <w:pPr>
        <w:spacing w:after="240" w:line="240" w:lineRule="auto"/>
        <w:ind w:right="-142"/>
        <w:jc w:val="center"/>
        <w:rPr>
          <w:rFonts w:ascii="Verdana" w:hAnsi="Verdana" w:cs="Tahoma"/>
          <w:b/>
          <w:i/>
          <w:noProof/>
          <w:sz w:val="20"/>
          <w:szCs w:val="20"/>
          <w:bdr w:val="none" w:sz="0" w:space="0" w:color="auto" w:frame="1"/>
          <w:lang w:val="sr-Cyrl-CS"/>
        </w:rPr>
      </w:pPr>
    </w:p>
    <w:p w14:paraId="20741E58" w14:textId="77777777" w:rsidR="006C0D6C" w:rsidRPr="00BF3CDE" w:rsidRDefault="006C0D6C" w:rsidP="006E3225">
      <w:pPr>
        <w:spacing w:after="120" w:line="240" w:lineRule="auto"/>
        <w:ind w:right="-142"/>
        <w:jc w:val="center"/>
        <w:rPr>
          <w:rFonts w:ascii="Verdana" w:hAnsi="Verdana" w:cs="Tahoma"/>
          <w:b/>
          <w:i/>
          <w:noProof/>
          <w:sz w:val="20"/>
          <w:szCs w:val="20"/>
          <w:bdr w:val="none" w:sz="0" w:space="0" w:color="auto" w:frame="1"/>
          <w:lang w:val="sr-Cyrl-CS"/>
        </w:rPr>
      </w:pPr>
      <w:r w:rsidRPr="00BF3CDE">
        <w:rPr>
          <w:rFonts w:ascii="Verdana" w:hAnsi="Verdana" w:cs="Tahoma"/>
          <w:b/>
          <w:i/>
          <w:noProof/>
          <w:sz w:val="20"/>
          <w:szCs w:val="20"/>
          <w:bdr w:val="none" w:sz="0" w:space="0" w:color="auto" w:frame="1"/>
          <w:lang w:val="sr-Cyrl-CS"/>
        </w:rPr>
        <w:lastRenderedPageBreak/>
        <w:t>Активна премија по изворима</w:t>
      </w:r>
      <w:r w:rsidRPr="00BF3CDE">
        <w:rPr>
          <w:rFonts w:ascii="Verdana" w:hAnsi="Verdana" w:cs="Tahoma"/>
          <w:noProof/>
          <w:sz w:val="20"/>
          <w:szCs w:val="20"/>
          <w:lang w:val="sr-Cyrl-CS"/>
        </w:rPr>
        <w:t xml:space="preserve"> </w:t>
      </w:r>
      <w:r w:rsidRPr="00BF3CDE">
        <w:rPr>
          <w:rFonts w:ascii="Verdana" w:hAnsi="Verdana" w:cs="Tahoma"/>
          <w:b/>
          <w:i/>
          <w:noProof/>
          <w:sz w:val="20"/>
          <w:szCs w:val="20"/>
          <w:bdr w:val="none" w:sz="0" w:space="0" w:color="auto" w:frame="1"/>
          <w:lang w:val="sr-Cyrl-CS"/>
        </w:rPr>
        <w:t>у хиљадама динара</w:t>
      </w:r>
    </w:p>
    <w:tbl>
      <w:tblPr>
        <w:tblStyle w:val="MediumList1-Accent11"/>
        <w:tblW w:w="9444" w:type="dxa"/>
        <w:tblLayout w:type="fixed"/>
        <w:tblLook w:val="0420" w:firstRow="1" w:lastRow="0" w:firstColumn="0" w:lastColumn="0" w:noHBand="0" w:noVBand="1"/>
      </w:tblPr>
      <w:tblGrid>
        <w:gridCol w:w="1354"/>
        <w:gridCol w:w="1156"/>
        <w:gridCol w:w="1156"/>
        <w:gridCol w:w="1155"/>
        <w:gridCol w:w="1155"/>
        <w:gridCol w:w="1156"/>
        <w:gridCol w:w="1156"/>
        <w:gridCol w:w="1156"/>
      </w:tblGrid>
      <w:tr w:rsidR="006C0D6C" w:rsidRPr="00BF3CDE" w14:paraId="5A8FE637" w14:textId="77777777" w:rsidTr="006E3225">
        <w:trPr>
          <w:cnfStyle w:val="100000000000" w:firstRow="1" w:lastRow="0" w:firstColumn="0" w:lastColumn="0" w:oddVBand="0" w:evenVBand="0" w:oddHBand="0" w:evenHBand="0" w:firstRowFirstColumn="0" w:firstRowLastColumn="0" w:lastRowFirstColumn="0" w:lastRowLastColumn="0"/>
          <w:trHeight w:val="227"/>
        </w:trPr>
        <w:tc>
          <w:tcPr>
            <w:tcW w:w="1354" w:type="dxa"/>
          </w:tcPr>
          <w:p w14:paraId="21BCDAD4" w14:textId="77777777" w:rsidR="006C0D6C" w:rsidRPr="00BF3CDE" w:rsidRDefault="006C0D6C" w:rsidP="006C0D6C">
            <w:pPr>
              <w:widowControl w:val="0"/>
              <w:rPr>
                <w:rFonts w:ascii="Verdana" w:hAnsi="Verdana" w:cs="Tahoma"/>
                <w:noProof/>
                <w:color w:val="auto"/>
                <w:sz w:val="18"/>
                <w:szCs w:val="18"/>
                <w:lang w:val="sr-Cyrl-CS"/>
              </w:rPr>
            </w:pPr>
          </w:p>
        </w:tc>
        <w:tc>
          <w:tcPr>
            <w:tcW w:w="1156" w:type="dxa"/>
          </w:tcPr>
          <w:p w14:paraId="6523CE15" w14:textId="77777777" w:rsidR="006C0D6C" w:rsidRPr="00BF3CDE" w:rsidRDefault="006C0D6C" w:rsidP="006C0D6C">
            <w:pPr>
              <w:widowControl w:val="0"/>
              <w:jc w:val="center"/>
              <w:rPr>
                <w:rFonts w:ascii="Verdana" w:hAnsi="Verdana" w:cs="Tahoma"/>
                <w:b/>
                <w:noProof/>
                <w:color w:val="auto"/>
                <w:sz w:val="18"/>
                <w:szCs w:val="18"/>
                <w:lang w:val="sr-Cyrl-CS"/>
              </w:rPr>
            </w:pPr>
            <w:r w:rsidRPr="00BF3CDE">
              <w:rPr>
                <w:rFonts w:ascii="Verdana" w:hAnsi="Verdana" w:cs="Tahoma"/>
                <w:b/>
                <w:noProof/>
                <w:color w:val="auto"/>
                <w:sz w:val="18"/>
                <w:szCs w:val="18"/>
                <w:lang w:val="sr-Cyrl-CS"/>
              </w:rPr>
              <w:t>2008</w:t>
            </w:r>
          </w:p>
        </w:tc>
        <w:tc>
          <w:tcPr>
            <w:tcW w:w="1156" w:type="dxa"/>
          </w:tcPr>
          <w:p w14:paraId="29A5D804" w14:textId="77777777" w:rsidR="006C0D6C" w:rsidRPr="00BF3CDE" w:rsidRDefault="006C0D6C" w:rsidP="006C0D6C">
            <w:pPr>
              <w:widowControl w:val="0"/>
              <w:jc w:val="center"/>
              <w:rPr>
                <w:rFonts w:ascii="Verdana" w:hAnsi="Verdana" w:cs="Tahoma"/>
                <w:b/>
                <w:noProof/>
                <w:color w:val="auto"/>
                <w:sz w:val="18"/>
                <w:szCs w:val="18"/>
                <w:lang w:val="sr-Cyrl-CS"/>
              </w:rPr>
            </w:pPr>
            <w:r w:rsidRPr="00BF3CDE">
              <w:rPr>
                <w:rFonts w:ascii="Verdana" w:hAnsi="Verdana" w:cs="Tahoma"/>
                <w:b/>
                <w:noProof/>
                <w:color w:val="auto"/>
                <w:sz w:val="18"/>
                <w:szCs w:val="18"/>
                <w:lang w:val="sr-Cyrl-CS"/>
              </w:rPr>
              <w:t>2009</w:t>
            </w:r>
          </w:p>
        </w:tc>
        <w:tc>
          <w:tcPr>
            <w:tcW w:w="1155" w:type="dxa"/>
          </w:tcPr>
          <w:p w14:paraId="5A5CE9DE" w14:textId="77777777" w:rsidR="006C0D6C" w:rsidRPr="00BF3CDE" w:rsidRDefault="006C0D6C" w:rsidP="006C0D6C">
            <w:pPr>
              <w:widowControl w:val="0"/>
              <w:jc w:val="center"/>
              <w:rPr>
                <w:rFonts w:ascii="Verdana" w:hAnsi="Verdana" w:cs="Tahoma"/>
                <w:b/>
                <w:noProof/>
                <w:color w:val="auto"/>
                <w:sz w:val="18"/>
                <w:szCs w:val="18"/>
                <w:lang w:val="sr-Cyrl-CS"/>
              </w:rPr>
            </w:pPr>
            <w:r w:rsidRPr="00BF3CDE">
              <w:rPr>
                <w:rFonts w:ascii="Verdana" w:hAnsi="Verdana" w:cs="Tahoma"/>
                <w:b/>
                <w:noProof/>
                <w:color w:val="auto"/>
                <w:sz w:val="18"/>
                <w:szCs w:val="18"/>
                <w:lang w:val="sr-Cyrl-CS"/>
              </w:rPr>
              <w:t>2010</w:t>
            </w:r>
          </w:p>
        </w:tc>
        <w:tc>
          <w:tcPr>
            <w:tcW w:w="1155" w:type="dxa"/>
          </w:tcPr>
          <w:p w14:paraId="3984D060" w14:textId="77777777" w:rsidR="006C0D6C" w:rsidRPr="00BF3CDE" w:rsidRDefault="006C0D6C" w:rsidP="006C0D6C">
            <w:pPr>
              <w:widowControl w:val="0"/>
              <w:jc w:val="center"/>
              <w:rPr>
                <w:rFonts w:ascii="Verdana" w:hAnsi="Verdana" w:cs="Tahoma"/>
                <w:b/>
                <w:noProof/>
                <w:color w:val="auto"/>
                <w:sz w:val="18"/>
                <w:szCs w:val="18"/>
                <w:lang w:val="sr-Cyrl-CS"/>
              </w:rPr>
            </w:pPr>
            <w:r w:rsidRPr="00BF3CDE">
              <w:rPr>
                <w:rFonts w:ascii="Verdana" w:hAnsi="Verdana" w:cs="Tahoma"/>
                <w:b/>
                <w:noProof/>
                <w:color w:val="auto"/>
                <w:sz w:val="18"/>
                <w:szCs w:val="18"/>
                <w:lang w:val="sr-Cyrl-CS"/>
              </w:rPr>
              <w:t>2011</w:t>
            </w:r>
          </w:p>
        </w:tc>
        <w:tc>
          <w:tcPr>
            <w:tcW w:w="1156" w:type="dxa"/>
          </w:tcPr>
          <w:p w14:paraId="373ACDD7" w14:textId="77777777" w:rsidR="006C0D6C" w:rsidRPr="00BF3CDE" w:rsidRDefault="006C0D6C" w:rsidP="006C0D6C">
            <w:pPr>
              <w:widowControl w:val="0"/>
              <w:jc w:val="center"/>
              <w:rPr>
                <w:rFonts w:ascii="Verdana" w:hAnsi="Verdana" w:cs="Tahoma"/>
                <w:b/>
                <w:noProof/>
                <w:color w:val="auto"/>
                <w:sz w:val="18"/>
                <w:szCs w:val="18"/>
                <w:lang w:val="sr-Cyrl-CS"/>
              </w:rPr>
            </w:pPr>
            <w:r w:rsidRPr="00BF3CDE">
              <w:rPr>
                <w:rFonts w:ascii="Verdana" w:hAnsi="Verdana" w:cs="Tahoma"/>
                <w:b/>
                <w:noProof/>
                <w:color w:val="auto"/>
                <w:sz w:val="18"/>
                <w:szCs w:val="18"/>
                <w:lang w:val="sr-Cyrl-CS"/>
              </w:rPr>
              <w:t>2012</w:t>
            </w:r>
          </w:p>
        </w:tc>
        <w:tc>
          <w:tcPr>
            <w:tcW w:w="1156" w:type="dxa"/>
          </w:tcPr>
          <w:p w14:paraId="65F77836" w14:textId="77777777" w:rsidR="006C0D6C" w:rsidRPr="00BF3CDE" w:rsidRDefault="006C0D6C" w:rsidP="006C0D6C">
            <w:pPr>
              <w:widowControl w:val="0"/>
              <w:jc w:val="center"/>
              <w:rPr>
                <w:rFonts w:ascii="Verdana" w:hAnsi="Verdana" w:cs="Tahoma"/>
                <w:b/>
                <w:noProof/>
                <w:color w:val="auto"/>
                <w:sz w:val="18"/>
                <w:szCs w:val="18"/>
                <w:lang w:val="sr-Cyrl-CS"/>
              </w:rPr>
            </w:pPr>
            <w:r w:rsidRPr="00BF3CDE">
              <w:rPr>
                <w:rFonts w:ascii="Verdana" w:hAnsi="Verdana" w:cs="Tahoma"/>
                <w:b/>
                <w:noProof/>
                <w:color w:val="auto"/>
                <w:sz w:val="18"/>
                <w:szCs w:val="18"/>
                <w:lang w:val="sr-Cyrl-CS"/>
              </w:rPr>
              <w:t>2013</w:t>
            </w:r>
          </w:p>
        </w:tc>
        <w:tc>
          <w:tcPr>
            <w:tcW w:w="1156" w:type="dxa"/>
          </w:tcPr>
          <w:p w14:paraId="61CB97EA" w14:textId="77777777" w:rsidR="006C0D6C" w:rsidRPr="00BF3CDE" w:rsidRDefault="006C0D6C" w:rsidP="006C0D6C">
            <w:pPr>
              <w:widowControl w:val="0"/>
              <w:jc w:val="center"/>
              <w:rPr>
                <w:rFonts w:ascii="Verdana" w:hAnsi="Verdana" w:cs="Tahoma"/>
                <w:b/>
                <w:noProof/>
                <w:color w:val="auto"/>
                <w:sz w:val="18"/>
                <w:szCs w:val="18"/>
                <w:lang w:val="sr-Cyrl-CS"/>
              </w:rPr>
            </w:pPr>
            <w:r w:rsidRPr="00BF3CDE">
              <w:rPr>
                <w:rFonts w:ascii="Verdana" w:hAnsi="Verdana" w:cs="Tahoma"/>
                <w:b/>
                <w:noProof/>
                <w:color w:val="auto"/>
                <w:sz w:val="18"/>
                <w:szCs w:val="18"/>
                <w:lang w:val="sr-Cyrl-CS"/>
              </w:rPr>
              <w:t>2014</w:t>
            </w:r>
          </w:p>
        </w:tc>
      </w:tr>
      <w:tr w:rsidR="006C0D6C" w:rsidRPr="00BF3CDE" w14:paraId="7AC6D515" w14:textId="77777777" w:rsidTr="006E3225">
        <w:trPr>
          <w:cnfStyle w:val="000000100000" w:firstRow="0" w:lastRow="0" w:firstColumn="0" w:lastColumn="0" w:oddVBand="0" w:evenVBand="0" w:oddHBand="1" w:evenHBand="0" w:firstRowFirstColumn="0" w:firstRowLastColumn="0" w:lastRowFirstColumn="0" w:lastRowLastColumn="0"/>
          <w:trHeight w:val="227"/>
        </w:trPr>
        <w:tc>
          <w:tcPr>
            <w:tcW w:w="1354" w:type="dxa"/>
          </w:tcPr>
          <w:p w14:paraId="5D7FAFA2" w14:textId="77777777" w:rsidR="006C0D6C" w:rsidRPr="00BF3CDE" w:rsidRDefault="006C0D6C" w:rsidP="006C0D6C">
            <w:pPr>
              <w:widowControl w:val="0"/>
              <w:rPr>
                <w:rFonts w:ascii="Verdana" w:hAnsi="Verdana" w:cs="Tahoma"/>
                <w:b/>
                <w:noProof/>
                <w:color w:val="auto"/>
                <w:sz w:val="18"/>
                <w:szCs w:val="18"/>
                <w:lang w:val="sr-Cyrl-CS"/>
              </w:rPr>
            </w:pPr>
            <w:r w:rsidRPr="00BF3CDE">
              <w:rPr>
                <w:rFonts w:ascii="Verdana" w:hAnsi="Verdana" w:cs="Tahoma"/>
                <w:b/>
                <w:noProof/>
                <w:color w:val="auto"/>
                <w:sz w:val="18"/>
                <w:szCs w:val="18"/>
                <w:lang w:val="sr-Cyrl-CS"/>
              </w:rPr>
              <w:t>из групе</w:t>
            </w:r>
          </w:p>
        </w:tc>
        <w:tc>
          <w:tcPr>
            <w:tcW w:w="1156" w:type="dxa"/>
            <w:vAlign w:val="center"/>
          </w:tcPr>
          <w:p w14:paraId="0681CA06" w14:textId="77777777" w:rsidR="006C0D6C" w:rsidRPr="00BF3CDE" w:rsidRDefault="006C0D6C" w:rsidP="006C0D6C">
            <w:pPr>
              <w:jc w:val="right"/>
              <w:rPr>
                <w:rFonts w:ascii="Verdana" w:hAnsi="Verdana" w:cs="Calibri"/>
                <w:noProof/>
                <w:color w:val="auto"/>
                <w:sz w:val="18"/>
                <w:szCs w:val="18"/>
                <w:lang w:val="sr-Cyrl-CS"/>
              </w:rPr>
            </w:pPr>
            <w:r w:rsidRPr="00BF3CDE">
              <w:rPr>
                <w:rFonts w:ascii="Verdana" w:hAnsi="Verdana" w:cs="Calibri"/>
                <w:noProof/>
                <w:color w:val="auto"/>
                <w:sz w:val="18"/>
                <w:szCs w:val="18"/>
                <w:lang w:val="sr-Cyrl-CS"/>
              </w:rPr>
              <w:t>1.584.791</w:t>
            </w:r>
          </w:p>
        </w:tc>
        <w:tc>
          <w:tcPr>
            <w:tcW w:w="1156" w:type="dxa"/>
            <w:vAlign w:val="center"/>
          </w:tcPr>
          <w:p w14:paraId="3C2FF86F" w14:textId="77777777" w:rsidR="006C0D6C" w:rsidRPr="00BF3CDE" w:rsidRDefault="006C0D6C" w:rsidP="006C0D6C">
            <w:pPr>
              <w:jc w:val="right"/>
              <w:rPr>
                <w:rFonts w:ascii="Verdana" w:hAnsi="Verdana" w:cs="Calibri"/>
                <w:noProof/>
                <w:color w:val="auto"/>
                <w:sz w:val="18"/>
                <w:szCs w:val="18"/>
                <w:lang w:val="sr-Cyrl-CS"/>
              </w:rPr>
            </w:pPr>
            <w:r w:rsidRPr="00BF3CDE">
              <w:rPr>
                <w:rFonts w:ascii="Verdana" w:hAnsi="Verdana" w:cs="Calibri"/>
                <w:noProof/>
                <w:color w:val="auto"/>
                <w:sz w:val="18"/>
                <w:szCs w:val="18"/>
                <w:lang w:val="sr-Cyrl-CS"/>
              </w:rPr>
              <w:t>1.740.286</w:t>
            </w:r>
          </w:p>
        </w:tc>
        <w:tc>
          <w:tcPr>
            <w:tcW w:w="1155" w:type="dxa"/>
            <w:vAlign w:val="center"/>
          </w:tcPr>
          <w:p w14:paraId="175A9344" w14:textId="77777777" w:rsidR="006C0D6C" w:rsidRPr="00BF3CDE" w:rsidRDefault="006C0D6C" w:rsidP="006C0D6C">
            <w:pPr>
              <w:jc w:val="right"/>
              <w:rPr>
                <w:rFonts w:ascii="Verdana" w:hAnsi="Verdana" w:cs="Calibri"/>
                <w:noProof/>
                <w:color w:val="auto"/>
                <w:sz w:val="18"/>
                <w:szCs w:val="18"/>
                <w:lang w:val="sr-Cyrl-CS"/>
              </w:rPr>
            </w:pPr>
            <w:r w:rsidRPr="00BF3CDE">
              <w:rPr>
                <w:rFonts w:ascii="Verdana" w:hAnsi="Verdana" w:cs="Calibri"/>
                <w:noProof/>
                <w:color w:val="auto"/>
                <w:sz w:val="18"/>
                <w:szCs w:val="18"/>
                <w:lang w:val="sr-Cyrl-CS"/>
              </w:rPr>
              <w:t>1.681.026</w:t>
            </w:r>
          </w:p>
        </w:tc>
        <w:tc>
          <w:tcPr>
            <w:tcW w:w="1155" w:type="dxa"/>
            <w:vAlign w:val="center"/>
          </w:tcPr>
          <w:p w14:paraId="08D0627C" w14:textId="77777777" w:rsidR="006C0D6C" w:rsidRPr="00BF3CDE" w:rsidRDefault="006C0D6C" w:rsidP="006C0D6C">
            <w:pPr>
              <w:jc w:val="right"/>
              <w:rPr>
                <w:rFonts w:ascii="Verdana" w:hAnsi="Verdana" w:cs="Calibri"/>
                <w:noProof/>
                <w:color w:val="auto"/>
                <w:sz w:val="18"/>
                <w:szCs w:val="18"/>
                <w:lang w:val="sr-Cyrl-CS"/>
              </w:rPr>
            </w:pPr>
            <w:r w:rsidRPr="00BF3CDE">
              <w:rPr>
                <w:rFonts w:ascii="Verdana" w:hAnsi="Verdana" w:cs="Calibri"/>
                <w:noProof/>
                <w:color w:val="auto"/>
                <w:sz w:val="18"/>
                <w:szCs w:val="18"/>
                <w:lang w:val="sr-Cyrl-CS"/>
              </w:rPr>
              <w:t>1.871.946</w:t>
            </w:r>
          </w:p>
        </w:tc>
        <w:tc>
          <w:tcPr>
            <w:tcW w:w="1156" w:type="dxa"/>
            <w:vAlign w:val="center"/>
          </w:tcPr>
          <w:p w14:paraId="3D5EED2A" w14:textId="77777777" w:rsidR="006C0D6C" w:rsidRPr="00BF3CDE" w:rsidRDefault="006C0D6C" w:rsidP="006C0D6C">
            <w:pPr>
              <w:jc w:val="right"/>
              <w:rPr>
                <w:rFonts w:ascii="Verdana" w:hAnsi="Verdana" w:cs="Calibri"/>
                <w:noProof/>
                <w:color w:val="auto"/>
                <w:sz w:val="18"/>
                <w:szCs w:val="18"/>
                <w:lang w:val="sr-Cyrl-CS"/>
              </w:rPr>
            </w:pPr>
            <w:r w:rsidRPr="00BF3CDE">
              <w:rPr>
                <w:rFonts w:ascii="Verdana" w:hAnsi="Verdana" w:cs="Calibri"/>
                <w:noProof/>
                <w:color w:val="auto"/>
                <w:sz w:val="18"/>
                <w:szCs w:val="18"/>
                <w:lang w:val="sr-Cyrl-CS"/>
              </w:rPr>
              <w:t>1.559.717</w:t>
            </w:r>
          </w:p>
        </w:tc>
        <w:tc>
          <w:tcPr>
            <w:tcW w:w="1156" w:type="dxa"/>
            <w:vAlign w:val="center"/>
          </w:tcPr>
          <w:p w14:paraId="7DBD2DFC" w14:textId="77777777" w:rsidR="006C0D6C" w:rsidRPr="00BF3CDE" w:rsidRDefault="006C0D6C" w:rsidP="006C0D6C">
            <w:pPr>
              <w:jc w:val="right"/>
              <w:rPr>
                <w:rFonts w:ascii="Verdana" w:hAnsi="Verdana" w:cs="Calibri"/>
                <w:noProof/>
                <w:color w:val="auto"/>
                <w:sz w:val="18"/>
                <w:szCs w:val="18"/>
                <w:lang w:val="sr-Cyrl-CS"/>
              </w:rPr>
            </w:pPr>
            <w:r w:rsidRPr="00BF3CDE">
              <w:rPr>
                <w:rFonts w:ascii="Verdana" w:hAnsi="Verdana" w:cs="Calibri"/>
                <w:noProof/>
                <w:color w:val="auto"/>
                <w:sz w:val="18"/>
                <w:szCs w:val="18"/>
                <w:lang w:val="sr-Cyrl-CS"/>
              </w:rPr>
              <w:t>1.400.231</w:t>
            </w:r>
          </w:p>
        </w:tc>
        <w:tc>
          <w:tcPr>
            <w:tcW w:w="1156" w:type="dxa"/>
            <w:vAlign w:val="center"/>
          </w:tcPr>
          <w:p w14:paraId="5D9A128F" w14:textId="77777777" w:rsidR="006C0D6C" w:rsidRPr="00BF3CDE" w:rsidRDefault="006C0D6C" w:rsidP="006C0D6C">
            <w:pPr>
              <w:jc w:val="right"/>
              <w:rPr>
                <w:rFonts w:ascii="Verdana" w:hAnsi="Verdana"/>
                <w:noProof/>
                <w:color w:val="auto"/>
                <w:sz w:val="18"/>
                <w:szCs w:val="18"/>
                <w:lang w:val="sr-Cyrl-CS"/>
              </w:rPr>
            </w:pPr>
            <w:r w:rsidRPr="00BF3CDE">
              <w:rPr>
                <w:rFonts w:ascii="Verdana" w:hAnsi="Verdana"/>
                <w:noProof/>
                <w:color w:val="auto"/>
                <w:sz w:val="18"/>
                <w:szCs w:val="18"/>
                <w:lang w:val="sr-Cyrl-CS"/>
              </w:rPr>
              <w:t>972.328</w:t>
            </w:r>
          </w:p>
        </w:tc>
      </w:tr>
      <w:tr w:rsidR="006C0D6C" w:rsidRPr="00BF3CDE" w14:paraId="4827E723" w14:textId="77777777" w:rsidTr="006E3225">
        <w:trPr>
          <w:trHeight w:val="227"/>
        </w:trPr>
        <w:tc>
          <w:tcPr>
            <w:tcW w:w="1354" w:type="dxa"/>
          </w:tcPr>
          <w:p w14:paraId="38E97E5D" w14:textId="77777777" w:rsidR="006C0D6C" w:rsidRPr="00BF3CDE" w:rsidRDefault="006C0D6C" w:rsidP="006C0D6C">
            <w:pPr>
              <w:widowControl w:val="0"/>
              <w:rPr>
                <w:rFonts w:ascii="Verdana" w:hAnsi="Verdana" w:cs="Tahoma"/>
                <w:b/>
                <w:noProof/>
                <w:color w:val="auto"/>
                <w:sz w:val="18"/>
                <w:szCs w:val="18"/>
                <w:lang w:val="sr-Cyrl-CS"/>
              </w:rPr>
            </w:pPr>
            <w:r w:rsidRPr="00BF3CDE">
              <w:rPr>
                <w:rFonts w:ascii="Verdana" w:hAnsi="Verdana" w:cs="Tahoma"/>
                <w:b/>
                <w:noProof/>
                <w:color w:val="auto"/>
                <w:sz w:val="18"/>
                <w:szCs w:val="18"/>
                <w:lang w:val="sr-Cyrl-CS"/>
              </w:rPr>
              <w:t>ван групе</w:t>
            </w:r>
          </w:p>
        </w:tc>
        <w:tc>
          <w:tcPr>
            <w:tcW w:w="1156" w:type="dxa"/>
            <w:vAlign w:val="center"/>
          </w:tcPr>
          <w:p w14:paraId="70A199D0" w14:textId="77777777" w:rsidR="006C0D6C" w:rsidRPr="00BF3CDE" w:rsidRDefault="006C0D6C" w:rsidP="006C0D6C">
            <w:pPr>
              <w:jc w:val="right"/>
              <w:rPr>
                <w:rFonts w:ascii="Verdana" w:hAnsi="Verdana" w:cs="Calibri"/>
                <w:noProof/>
                <w:color w:val="auto"/>
                <w:sz w:val="18"/>
                <w:szCs w:val="18"/>
                <w:lang w:val="sr-Cyrl-CS"/>
              </w:rPr>
            </w:pPr>
            <w:r w:rsidRPr="00BF3CDE">
              <w:rPr>
                <w:rFonts w:ascii="Verdana" w:hAnsi="Verdana" w:cs="Calibri"/>
                <w:noProof/>
                <w:color w:val="auto"/>
                <w:sz w:val="18"/>
                <w:szCs w:val="18"/>
                <w:lang w:val="sr-Cyrl-CS"/>
              </w:rPr>
              <w:t>1.723.749</w:t>
            </w:r>
          </w:p>
        </w:tc>
        <w:tc>
          <w:tcPr>
            <w:tcW w:w="1156" w:type="dxa"/>
            <w:vAlign w:val="center"/>
          </w:tcPr>
          <w:p w14:paraId="0296AD36" w14:textId="77777777" w:rsidR="006C0D6C" w:rsidRPr="00BF3CDE" w:rsidRDefault="006C0D6C" w:rsidP="006C0D6C">
            <w:pPr>
              <w:jc w:val="right"/>
              <w:rPr>
                <w:rFonts w:ascii="Verdana" w:hAnsi="Verdana" w:cs="Calibri"/>
                <w:noProof/>
                <w:color w:val="auto"/>
                <w:sz w:val="18"/>
                <w:szCs w:val="18"/>
                <w:lang w:val="sr-Cyrl-CS"/>
              </w:rPr>
            </w:pPr>
            <w:r w:rsidRPr="00BF3CDE">
              <w:rPr>
                <w:rFonts w:ascii="Verdana" w:hAnsi="Verdana" w:cs="Calibri"/>
                <w:noProof/>
                <w:color w:val="auto"/>
                <w:sz w:val="18"/>
                <w:szCs w:val="18"/>
                <w:lang w:val="sr-Cyrl-CS"/>
              </w:rPr>
              <w:t>1.946.760</w:t>
            </w:r>
          </w:p>
        </w:tc>
        <w:tc>
          <w:tcPr>
            <w:tcW w:w="1155" w:type="dxa"/>
            <w:vAlign w:val="center"/>
          </w:tcPr>
          <w:p w14:paraId="697FB2C7" w14:textId="77777777" w:rsidR="006C0D6C" w:rsidRPr="00BF3CDE" w:rsidRDefault="006C0D6C" w:rsidP="006C0D6C">
            <w:pPr>
              <w:jc w:val="right"/>
              <w:rPr>
                <w:rFonts w:ascii="Verdana" w:hAnsi="Verdana" w:cs="Calibri"/>
                <w:noProof/>
                <w:color w:val="auto"/>
                <w:sz w:val="18"/>
                <w:szCs w:val="18"/>
                <w:lang w:val="sr-Cyrl-CS"/>
              </w:rPr>
            </w:pPr>
            <w:r w:rsidRPr="00BF3CDE">
              <w:rPr>
                <w:rFonts w:ascii="Verdana" w:hAnsi="Verdana" w:cs="Calibri"/>
                <w:noProof/>
                <w:color w:val="auto"/>
                <w:sz w:val="18"/>
                <w:szCs w:val="18"/>
                <w:lang w:val="sr-Cyrl-CS"/>
              </w:rPr>
              <w:t>1.456.972</w:t>
            </w:r>
          </w:p>
        </w:tc>
        <w:tc>
          <w:tcPr>
            <w:tcW w:w="1155" w:type="dxa"/>
            <w:vAlign w:val="center"/>
          </w:tcPr>
          <w:p w14:paraId="62FA650B" w14:textId="77777777" w:rsidR="006C0D6C" w:rsidRPr="00BF3CDE" w:rsidRDefault="006C0D6C" w:rsidP="006C0D6C">
            <w:pPr>
              <w:jc w:val="right"/>
              <w:rPr>
                <w:rFonts w:ascii="Verdana" w:hAnsi="Verdana" w:cs="Calibri"/>
                <w:noProof/>
                <w:color w:val="auto"/>
                <w:sz w:val="18"/>
                <w:szCs w:val="18"/>
                <w:lang w:val="sr-Cyrl-CS"/>
              </w:rPr>
            </w:pPr>
            <w:r w:rsidRPr="00BF3CDE">
              <w:rPr>
                <w:rFonts w:ascii="Verdana" w:hAnsi="Verdana" w:cs="Calibri"/>
                <w:noProof/>
                <w:color w:val="auto"/>
                <w:sz w:val="18"/>
                <w:szCs w:val="18"/>
                <w:lang w:val="sr-Cyrl-CS"/>
              </w:rPr>
              <w:t>1.260.373</w:t>
            </w:r>
          </w:p>
        </w:tc>
        <w:tc>
          <w:tcPr>
            <w:tcW w:w="1156" w:type="dxa"/>
            <w:vAlign w:val="center"/>
          </w:tcPr>
          <w:p w14:paraId="3B03454B" w14:textId="77777777" w:rsidR="006C0D6C" w:rsidRPr="00BF3CDE" w:rsidRDefault="006C0D6C" w:rsidP="006C0D6C">
            <w:pPr>
              <w:jc w:val="right"/>
              <w:rPr>
                <w:rFonts w:ascii="Verdana" w:hAnsi="Verdana" w:cs="Calibri"/>
                <w:noProof/>
                <w:color w:val="auto"/>
                <w:sz w:val="18"/>
                <w:szCs w:val="18"/>
                <w:lang w:val="sr-Cyrl-CS"/>
              </w:rPr>
            </w:pPr>
            <w:r w:rsidRPr="00BF3CDE">
              <w:rPr>
                <w:rFonts w:ascii="Verdana" w:hAnsi="Verdana" w:cs="Calibri"/>
                <w:noProof/>
                <w:color w:val="auto"/>
                <w:sz w:val="18"/>
                <w:szCs w:val="18"/>
                <w:lang w:val="sr-Cyrl-CS"/>
              </w:rPr>
              <w:t>1.510.197</w:t>
            </w:r>
          </w:p>
        </w:tc>
        <w:tc>
          <w:tcPr>
            <w:tcW w:w="1156" w:type="dxa"/>
            <w:vAlign w:val="center"/>
          </w:tcPr>
          <w:p w14:paraId="0786101D" w14:textId="77777777" w:rsidR="006C0D6C" w:rsidRPr="00BF3CDE" w:rsidRDefault="006C0D6C" w:rsidP="006C0D6C">
            <w:pPr>
              <w:jc w:val="right"/>
              <w:rPr>
                <w:rFonts w:ascii="Verdana" w:hAnsi="Verdana" w:cs="Calibri"/>
                <w:noProof/>
                <w:color w:val="auto"/>
                <w:sz w:val="18"/>
                <w:szCs w:val="18"/>
                <w:lang w:val="sr-Cyrl-CS"/>
              </w:rPr>
            </w:pPr>
            <w:r w:rsidRPr="00BF3CDE">
              <w:rPr>
                <w:rFonts w:ascii="Verdana" w:hAnsi="Verdana" w:cs="Calibri"/>
                <w:noProof/>
                <w:color w:val="auto"/>
                <w:sz w:val="18"/>
                <w:szCs w:val="18"/>
                <w:lang w:val="sr-Cyrl-CS"/>
              </w:rPr>
              <w:t>1.267.519</w:t>
            </w:r>
          </w:p>
        </w:tc>
        <w:tc>
          <w:tcPr>
            <w:tcW w:w="1156" w:type="dxa"/>
            <w:vAlign w:val="center"/>
          </w:tcPr>
          <w:p w14:paraId="3D24CF0C" w14:textId="77777777" w:rsidR="006C0D6C" w:rsidRPr="00BF3CDE" w:rsidRDefault="006C0D6C" w:rsidP="006C0D6C">
            <w:pPr>
              <w:jc w:val="right"/>
              <w:rPr>
                <w:rFonts w:ascii="Verdana" w:hAnsi="Verdana"/>
                <w:noProof/>
                <w:color w:val="auto"/>
                <w:sz w:val="18"/>
                <w:szCs w:val="18"/>
                <w:lang w:val="sr-Cyrl-CS"/>
              </w:rPr>
            </w:pPr>
            <w:r w:rsidRPr="00BF3CDE">
              <w:rPr>
                <w:rFonts w:ascii="Verdana" w:hAnsi="Verdana"/>
                <w:noProof/>
                <w:color w:val="auto"/>
                <w:sz w:val="18"/>
                <w:szCs w:val="18"/>
                <w:lang w:val="sr-Cyrl-CS"/>
              </w:rPr>
              <w:t>1.352.562</w:t>
            </w:r>
          </w:p>
        </w:tc>
      </w:tr>
    </w:tbl>
    <w:p w14:paraId="3DDAF325" w14:textId="77777777" w:rsidR="006E3225" w:rsidRPr="00BF3CDE" w:rsidRDefault="006E3225" w:rsidP="006E3225">
      <w:pPr>
        <w:spacing w:after="120" w:line="240" w:lineRule="auto"/>
        <w:ind w:right="-142"/>
        <w:jc w:val="center"/>
        <w:rPr>
          <w:rFonts w:ascii="Verdana" w:hAnsi="Verdana" w:cs="Tahoma"/>
          <w:b/>
          <w:i/>
          <w:noProof/>
          <w:sz w:val="2"/>
          <w:szCs w:val="2"/>
          <w:bdr w:val="none" w:sz="0" w:space="0" w:color="auto" w:frame="1"/>
          <w:lang w:val="sr-Cyrl-CS"/>
        </w:rPr>
      </w:pPr>
    </w:p>
    <w:p w14:paraId="13AEAC95" w14:textId="77777777" w:rsidR="006C0D6C" w:rsidRPr="00BF3CDE" w:rsidRDefault="006C0D6C" w:rsidP="006E3225">
      <w:pPr>
        <w:spacing w:after="120" w:line="240" w:lineRule="auto"/>
        <w:ind w:right="-142"/>
        <w:jc w:val="center"/>
        <w:rPr>
          <w:rFonts w:ascii="Verdana" w:hAnsi="Verdana" w:cs="Tahoma"/>
          <w:b/>
          <w:i/>
          <w:noProof/>
          <w:sz w:val="20"/>
          <w:szCs w:val="20"/>
          <w:bdr w:val="none" w:sz="0" w:space="0" w:color="auto" w:frame="1"/>
          <w:lang w:val="sr-Cyrl-CS"/>
        </w:rPr>
      </w:pPr>
      <w:r w:rsidRPr="00BF3CDE">
        <w:rPr>
          <w:rFonts w:ascii="Verdana" w:hAnsi="Verdana" w:cs="Tahoma"/>
          <w:b/>
          <w:i/>
          <w:noProof/>
          <w:sz w:val="20"/>
          <w:szCs w:val="20"/>
          <w:bdr w:val="none" w:sz="0" w:space="0" w:color="auto" w:frame="1"/>
          <w:lang w:val="sr-Cyrl-CS"/>
        </w:rPr>
        <w:t>Активна премија по изворима у %</w:t>
      </w:r>
    </w:p>
    <w:tbl>
      <w:tblPr>
        <w:tblStyle w:val="MediumList1-Accent11"/>
        <w:tblW w:w="9288" w:type="dxa"/>
        <w:tblLayout w:type="fixed"/>
        <w:tblLook w:val="0420" w:firstRow="1" w:lastRow="0" w:firstColumn="0" w:lastColumn="0" w:noHBand="0" w:noVBand="1"/>
      </w:tblPr>
      <w:tblGrid>
        <w:gridCol w:w="1330"/>
        <w:gridCol w:w="1136"/>
        <w:gridCol w:w="1137"/>
        <w:gridCol w:w="1137"/>
        <w:gridCol w:w="1137"/>
        <w:gridCol w:w="1137"/>
        <w:gridCol w:w="1137"/>
        <w:gridCol w:w="1137"/>
      </w:tblGrid>
      <w:tr w:rsidR="006C0D6C" w:rsidRPr="00BF3CDE" w14:paraId="1D4FAF02" w14:textId="77777777" w:rsidTr="006E3225">
        <w:trPr>
          <w:cnfStyle w:val="100000000000" w:firstRow="1" w:lastRow="0" w:firstColumn="0" w:lastColumn="0" w:oddVBand="0" w:evenVBand="0" w:oddHBand="0" w:evenHBand="0" w:firstRowFirstColumn="0" w:firstRowLastColumn="0" w:lastRowFirstColumn="0" w:lastRowLastColumn="0"/>
          <w:trHeight w:val="227"/>
        </w:trPr>
        <w:tc>
          <w:tcPr>
            <w:tcW w:w="1330" w:type="dxa"/>
          </w:tcPr>
          <w:p w14:paraId="2F1F9750" w14:textId="77777777" w:rsidR="006C0D6C" w:rsidRPr="00BF3CDE" w:rsidRDefault="006C0D6C" w:rsidP="006C0D6C">
            <w:pPr>
              <w:widowControl w:val="0"/>
              <w:rPr>
                <w:rFonts w:ascii="Verdana" w:hAnsi="Verdana" w:cs="Tahoma"/>
                <w:noProof/>
                <w:color w:val="auto"/>
                <w:sz w:val="18"/>
                <w:szCs w:val="18"/>
                <w:lang w:val="sr-Cyrl-CS"/>
              </w:rPr>
            </w:pPr>
          </w:p>
        </w:tc>
        <w:tc>
          <w:tcPr>
            <w:tcW w:w="1136" w:type="dxa"/>
            <w:vAlign w:val="center"/>
          </w:tcPr>
          <w:p w14:paraId="69FCA0F7" w14:textId="77777777" w:rsidR="006C0D6C" w:rsidRPr="00BF3CDE" w:rsidRDefault="006C0D6C" w:rsidP="006C0D6C">
            <w:pPr>
              <w:widowControl w:val="0"/>
              <w:jc w:val="center"/>
              <w:rPr>
                <w:rFonts w:ascii="Verdana" w:hAnsi="Verdana" w:cs="Tahoma"/>
                <w:b/>
                <w:noProof/>
                <w:color w:val="auto"/>
                <w:sz w:val="18"/>
                <w:szCs w:val="18"/>
                <w:lang w:val="sr-Cyrl-CS"/>
              </w:rPr>
            </w:pPr>
            <w:r w:rsidRPr="00BF3CDE">
              <w:rPr>
                <w:rFonts w:ascii="Verdana" w:hAnsi="Verdana" w:cs="Tahoma"/>
                <w:b/>
                <w:noProof/>
                <w:color w:val="auto"/>
                <w:sz w:val="18"/>
                <w:szCs w:val="18"/>
                <w:lang w:val="sr-Cyrl-CS"/>
              </w:rPr>
              <w:t>2008</w:t>
            </w:r>
          </w:p>
        </w:tc>
        <w:tc>
          <w:tcPr>
            <w:tcW w:w="1137" w:type="dxa"/>
            <w:vAlign w:val="center"/>
          </w:tcPr>
          <w:p w14:paraId="1BB819D2" w14:textId="77777777" w:rsidR="006C0D6C" w:rsidRPr="00BF3CDE" w:rsidRDefault="006C0D6C" w:rsidP="006C0D6C">
            <w:pPr>
              <w:widowControl w:val="0"/>
              <w:jc w:val="center"/>
              <w:rPr>
                <w:rFonts w:ascii="Verdana" w:hAnsi="Verdana" w:cs="Tahoma"/>
                <w:b/>
                <w:noProof/>
                <w:color w:val="auto"/>
                <w:sz w:val="18"/>
                <w:szCs w:val="18"/>
                <w:lang w:val="sr-Cyrl-CS"/>
              </w:rPr>
            </w:pPr>
            <w:r w:rsidRPr="00BF3CDE">
              <w:rPr>
                <w:rFonts w:ascii="Verdana" w:hAnsi="Verdana" w:cs="Tahoma"/>
                <w:b/>
                <w:noProof/>
                <w:color w:val="auto"/>
                <w:sz w:val="18"/>
                <w:szCs w:val="18"/>
                <w:lang w:val="sr-Cyrl-CS"/>
              </w:rPr>
              <w:t>2009</w:t>
            </w:r>
          </w:p>
        </w:tc>
        <w:tc>
          <w:tcPr>
            <w:tcW w:w="1137" w:type="dxa"/>
            <w:vAlign w:val="center"/>
          </w:tcPr>
          <w:p w14:paraId="00C34AF6" w14:textId="77777777" w:rsidR="006C0D6C" w:rsidRPr="00BF3CDE" w:rsidRDefault="006C0D6C" w:rsidP="006C0D6C">
            <w:pPr>
              <w:widowControl w:val="0"/>
              <w:jc w:val="center"/>
              <w:rPr>
                <w:rFonts w:ascii="Verdana" w:hAnsi="Verdana" w:cs="Tahoma"/>
                <w:b/>
                <w:noProof/>
                <w:color w:val="auto"/>
                <w:sz w:val="18"/>
                <w:szCs w:val="18"/>
                <w:lang w:val="sr-Cyrl-CS"/>
              </w:rPr>
            </w:pPr>
            <w:r w:rsidRPr="00BF3CDE">
              <w:rPr>
                <w:rFonts w:ascii="Verdana" w:hAnsi="Verdana" w:cs="Tahoma"/>
                <w:b/>
                <w:noProof/>
                <w:color w:val="auto"/>
                <w:sz w:val="18"/>
                <w:szCs w:val="18"/>
                <w:lang w:val="sr-Cyrl-CS"/>
              </w:rPr>
              <w:t>2010</w:t>
            </w:r>
          </w:p>
        </w:tc>
        <w:tc>
          <w:tcPr>
            <w:tcW w:w="1137" w:type="dxa"/>
            <w:vAlign w:val="center"/>
          </w:tcPr>
          <w:p w14:paraId="5F1F5F49" w14:textId="77777777" w:rsidR="006C0D6C" w:rsidRPr="00BF3CDE" w:rsidRDefault="006C0D6C" w:rsidP="006C0D6C">
            <w:pPr>
              <w:widowControl w:val="0"/>
              <w:jc w:val="center"/>
              <w:rPr>
                <w:rFonts w:ascii="Verdana" w:hAnsi="Verdana" w:cs="Tahoma"/>
                <w:b/>
                <w:noProof/>
                <w:color w:val="auto"/>
                <w:sz w:val="18"/>
                <w:szCs w:val="18"/>
                <w:lang w:val="sr-Cyrl-CS"/>
              </w:rPr>
            </w:pPr>
            <w:r w:rsidRPr="00BF3CDE">
              <w:rPr>
                <w:rFonts w:ascii="Verdana" w:hAnsi="Verdana" w:cs="Tahoma"/>
                <w:b/>
                <w:noProof/>
                <w:color w:val="auto"/>
                <w:sz w:val="18"/>
                <w:szCs w:val="18"/>
                <w:lang w:val="sr-Cyrl-CS"/>
              </w:rPr>
              <w:t>2011</w:t>
            </w:r>
          </w:p>
        </w:tc>
        <w:tc>
          <w:tcPr>
            <w:tcW w:w="1137" w:type="dxa"/>
            <w:vAlign w:val="center"/>
          </w:tcPr>
          <w:p w14:paraId="51975BE5" w14:textId="77777777" w:rsidR="006C0D6C" w:rsidRPr="00BF3CDE" w:rsidRDefault="006C0D6C" w:rsidP="006C0D6C">
            <w:pPr>
              <w:widowControl w:val="0"/>
              <w:jc w:val="center"/>
              <w:rPr>
                <w:rFonts w:ascii="Verdana" w:hAnsi="Verdana" w:cs="Tahoma"/>
                <w:b/>
                <w:noProof/>
                <w:color w:val="auto"/>
                <w:sz w:val="18"/>
                <w:szCs w:val="18"/>
                <w:lang w:val="sr-Cyrl-CS"/>
              </w:rPr>
            </w:pPr>
            <w:r w:rsidRPr="00BF3CDE">
              <w:rPr>
                <w:rFonts w:ascii="Verdana" w:hAnsi="Verdana" w:cs="Tahoma"/>
                <w:b/>
                <w:noProof/>
                <w:color w:val="auto"/>
                <w:sz w:val="18"/>
                <w:szCs w:val="18"/>
                <w:lang w:val="sr-Cyrl-CS"/>
              </w:rPr>
              <w:t>2012</w:t>
            </w:r>
          </w:p>
        </w:tc>
        <w:tc>
          <w:tcPr>
            <w:tcW w:w="1137" w:type="dxa"/>
            <w:vAlign w:val="center"/>
          </w:tcPr>
          <w:p w14:paraId="36AD4678" w14:textId="77777777" w:rsidR="006C0D6C" w:rsidRPr="00BF3CDE" w:rsidRDefault="006C0D6C" w:rsidP="006C0D6C">
            <w:pPr>
              <w:widowControl w:val="0"/>
              <w:jc w:val="center"/>
              <w:rPr>
                <w:rFonts w:ascii="Verdana" w:hAnsi="Verdana" w:cs="Tahoma"/>
                <w:b/>
                <w:noProof/>
                <w:color w:val="auto"/>
                <w:sz w:val="18"/>
                <w:szCs w:val="18"/>
                <w:lang w:val="sr-Cyrl-CS"/>
              </w:rPr>
            </w:pPr>
            <w:r w:rsidRPr="00BF3CDE">
              <w:rPr>
                <w:rFonts w:ascii="Verdana" w:hAnsi="Verdana" w:cs="Tahoma"/>
                <w:b/>
                <w:noProof/>
                <w:color w:val="auto"/>
                <w:sz w:val="18"/>
                <w:szCs w:val="18"/>
                <w:lang w:val="sr-Cyrl-CS"/>
              </w:rPr>
              <w:t>2013</w:t>
            </w:r>
          </w:p>
        </w:tc>
        <w:tc>
          <w:tcPr>
            <w:tcW w:w="1137" w:type="dxa"/>
            <w:vAlign w:val="center"/>
          </w:tcPr>
          <w:p w14:paraId="3075411C" w14:textId="77777777" w:rsidR="006C0D6C" w:rsidRPr="00BF3CDE" w:rsidRDefault="006C0D6C" w:rsidP="006C0D6C">
            <w:pPr>
              <w:widowControl w:val="0"/>
              <w:jc w:val="center"/>
              <w:rPr>
                <w:rFonts w:ascii="Verdana" w:hAnsi="Verdana" w:cs="Tahoma"/>
                <w:b/>
                <w:noProof/>
                <w:color w:val="auto"/>
                <w:sz w:val="18"/>
                <w:szCs w:val="18"/>
                <w:lang w:val="sr-Cyrl-CS"/>
              </w:rPr>
            </w:pPr>
            <w:r w:rsidRPr="00BF3CDE">
              <w:rPr>
                <w:rFonts w:ascii="Verdana" w:hAnsi="Verdana" w:cs="Tahoma"/>
                <w:b/>
                <w:noProof/>
                <w:color w:val="auto"/>
                <w:sz w:val="18"/>
                <w:szCs w:val="18"/>
                <w:lang w:val="sr-Cyrl-CS"/>
              </w:rPr>
              <w:t>2014</w:t>
            </w:r>
          </w:p>
        </w:tc>
      </w:tr>
      <w:tr w:rsidR="006C0D6C" w:rsidRPr="00BF3CDE" w14:paraId="2F6E892D" w14:textId="77777777" w:rsidTr="006E3225">
        <w:trPr>
          <w:cnfStyle w:val="000000100000" w:firstRow="0" w:lastRow="0" w:firstColumn="0" w:lastColumn="0" w:oddVBand="0" w:evenVBand="0" w:oddHBand="1" w:evenHBand="0" w:firstRowFirstColumn="0" w:firstRowLastColumn="0" w:lastRowFirstColumn="0" w:lastRowLastColumn="0"/>
          <w:trHeight w:val="227"/>
        </w:trPr>
        <w:tc>
          <w:tcPr>
            <w:tcW w:w="1330" w:type="dxa"/>
          </w:tcPr>
          <w:p w14:paraId="14F99F6B" w14:textId="77777777" w:rsidR="006C0D6C" w:rsidRPr="00BF3CDE" w:rsidRDefault="006C0D6C" w:rsidP="006C0D6C">
            <w:pPr>
              <w:widowControl w:val="0"/>
              <w:rPr>
                <w:rFonts w:ascii="Verdana" w:hAnsi="Verdana" w:cs="Tahoma"/>
                <w:b/>
                <w:noProof/>
                <w:color w:val="auto"/>
                <w:sz w:val="18"/>
                <w:szCs w:val="18"/>
                <w:lang w:val="sr-Cyrl-CS"/>
              </w:rPr>
            </w:pPr>
            <w:r w:rsidRPr="00BF3CDE">
              <w:rPr>
                <w:rFonts w:ascii="Verdana" w:hAnsi="Verdana" w:cs="Tahoma"/>
                <w:b/>
                <w:noProof/>
                <w:color w:val="auto"/>
                <w:sz w:val="18"/>
                <w:szCs w:val="18"/>
                <w:lang w:val="sr-Cyrl-CS"/>
              </w:rPr>
              <w:t>из групе</w:t>
            </w:r>
          </w:p>
        </w:tc>
        <w:tc>
          <w:tcPr>
            <w:tcW w:w="1136" w:type="dxa"/>
            <w:vAlign w:val="center"/>
          </w:tcPr>
          <w:p w14:paraId="47658E7B" w14:textId="77777777" w:rsidR="006C0D6C" w:rsidRPr="00BF3CDE" w:rsidRDefault="006C0D6C" w:rsidP="006C0D6C">
            <w:pPr>
              <w:jc w:val="center"/>
              <w:rPr>
                <w:rFonts w:ascii="Verdana" w:hAnsi="Verdana"/>
                <w:noProof/>
                <w:color w:val="auto"/>
                <w:sz w:val="18"/>
                <w:szCs w:val="18"/>
                <w:lang w:val="sr-Cyrl-CS"/>
              </w:rPr>
            </w:pPr>
            <w:r w:rsidRPr="00BF3CDE">
              <w:rPr>
                <w:rFonts w:ascii="Verdana" w:hAnsi="Verdana"/>
                <w:noProof/>
                <w:color w:val="auto"/>
                <w:sz w:val="18"/>
                <w:szCs w:val="18"/>
                <w:lang w:val="sr-Cyrl-CS"/>
              </w:rPr>
              <w:t>47,90%</w:t>
            </w:r>
          </w:p>
        </w:tc>
        <w:tc>
          <w:tcPr>
            <w:tcW w:w="1137" w:type="dxa"/>
            <w:vAlign w:val="center"/>
          </w:tcPr>
          <w:p w14:paraId="1E17F0E2" w14:textId="77777777" w:rsidR="006C0D6C" w:rsidRPr="00BF3CDE" w:rsidRDefault="006C0D6C" w:rsidP="006C0D6C">
            <w:pPr>
              <w:jc w:val="center"/>
              <w:rPr>
                <w:rFonts w:ascii="Verdana" w:hAnsi="Verdana"/>
                <w:noProof/>
                <w:color w:val="auto"/>
                <w:sz w:val="18"/>
                <w:szCs w:val="18"/>
                <w:lang w:val="sr-Cyrl-CS"/>
              </w:rPr>
            </w:pPr>
            <w:r w:rsidRPr="00BF3CDE">
              <w:rPr>
                <w:rFonts w:ascii="Verdana" w:hAnsi="Verdana"/>
                <w:noProof/>
                <w:color w:val="auto"/>
                <w:sz w:val="18"/>
                <w:szCs w:val="18"/>
                <w:lang w:val="sr-Cyrl-CS"/>
              </w:rPr>
              <w:t>47,20%</w:t>
            </w:r>
          </w:p>
        </w:tc>
        <w:tc>
          <w:tcPr>
            <w:tcW w:w="1137" w:type="dxa"/>
            <w:vAlign w:val="center"/>
          </w:tcPr>
          <w:p w14:paraId="1780CCAB" w14:textId="77777777" w:rsidR="006C0D6C" w:rsidRPr="00BF3CDE" w:rsidRDefault="006C0D6C" w:rsidP="006C0D6C">
            <w:pPr>
              <w:jc w:val="center"/>
              <w:rPr>
                <w:rFonts w:ascii="Verdana" w:hAnsi="Verdana"/>
                <w:noProof/>
                <w:color w:val="auto"/>
                <w:sz w:val="18"/>
                <w:szCs w:val="18"/>
                <w:lang w:val="sr-Cyrl-CS"/>
              </w:rPr>
            </w:pPr>
            <w:r w:rsidRPr="00BF3CDE">
              <w:rPr>
                <w:rFonts w:ascii="Verdana" w:hAnsi="Verdana"/>
                <w:noProof/>
                <w:color w:val="auto"/>
                <w:sz w:val="18"/>
                <w:szCs w:val="18"/>
                <w:lang w:val="sr-Cyrl-CS"/>
              </w:rPr>
              <w:t>53,57%</w:t>
            </w:r>
          </w:p>
        </w:tc>
        <w:tc>
          <w:tcPr>
            <w:tcW w:w="1137" w:type="dxa"/>
            <w:vAlign w:val="center"/>
          </w:tcPr>
          <w:p w14:paraId="4338894C" w14:textId="77777777" w:rsidR="006C0D6C" w:rsidRPr="00BF3CDE" w:rsidRDefault="006C0D6C" w:rsidP="006C0D6C">
            <w:pPr>
              <w:jc w:val="center"/>
              <w:rPr>
                <w:rFonts w:ascii="Verdana" w:hAnsi="Verdana"/>
                <w:noProof/>
                <w:color w:val="auto"/>
                <w:sz w:val="18"/>
                <w:szCs w:val="18"/>
                <w:lang w:val="sr-Cyrl-CS"/>
              </w:rPr>
            </w:pPr>
            <w:r w:rsidRPr="00BF3CDE">
              <w:rPr>
                <w:rFonts w:ascii="Verdana" w:hAnsi="Verdana"/>
                <w:noProof/>
                <w:color w:val="auto"/>
                <w:sz w:val="18"/>
                <w:szCs w:val="18"/>
                <w:lang w:val="sr-Cyrl-CS"/>
              </w:rPr>
              <w:t>59,76%</w:t>
            </w:r>
          </w:p>
        </w:tc>
        <w:tc>
          <w:tcPr>
            <w:tcW w:w="1137" w:type="dxa"/>
            <w:vAlign w:val="center"/>
          </w:tcPr>
          <w:p w14:paraId="6AF805E5" w14:textId="77777777" w:rsidR="006C0D6C" w:rsidRPr="00BF3CDE" w:rsidRDefault="006C0D6C" w:rsidP="006C0D6C">
            <w:pPr>
              <w:jc w:val="center"/>
              <w:rPr>
                <w:rFonts w:ascii="Verdana" w:hAnsi="Verdana"/>
                <w:noProof/>
                <w:color w:val="auto"/>
                <w:sz w:val="18"/>
                <w:szCs w:val="18"/>
                <w:lang w:val="sr-Cyrl-CS"/>
              </w:rPr>
            </w:pPr>
            <w:r w:rsidRPr="00BF3CDE">
              <w:rPr>
                <w:rFonts w:ascii="Verdana" w:hAnsi="Verdana"/>
                <w:noProof/>
                <w:color w:val="auto"/>
                <w:sz w:val="18"/>
                <w:szCs w:val="18"/>
                <w:lang w:val="sr-Cyrl-CS"/>
              </w:rPr>
              <w:t>50,81%</w:t>
            </w:r>
          </w:p>
        </w:tc>
        <w:tc>
          <w:tcPr>
            <w:tcW w:w="1137" w:type="dxa"/>
            <w:vAlign w:val="center"/>
          </w:tcPr>
          <w:p w14:paraId="48070180" w14:textId="77777777" w:rsidR="006C0D6C" w:rsidRPr="00BF3CDE" w:rsidRDefault="006C0D6C" w:rsidP="006C0D6C">
            <w:pPr>
              <w:jc w:val="center"/>
              <w:rPr>
                <w:rFonts w:ascii="Verdana" w:hAnsi="Verdana"/>
                <w:noProof/>
                <w:color w:val="auto"/>
                <w:sz w:val="18"/>
                <w:szCs w:val="18"/>
                <w:lang w:val="sr-Cyrl-CS"/>
              </w:rPr>
            </w:pPr>
            <w:r w:rsidRPr="00BF3CDE">
              <w:rPr>
                <w:rFonts w:ascii="Verdana" w:hAnsi="Verdana"/>
                <w:noProof/>
                <w:color w:val="auto"/>
                <w:sz w:val="18"/>
                <w:szCs w:val="18"/>
                <w:lang w:val="sr-Cyrl-CS"/>
              </w:rPr>
              <w:t>52,49%</w:t>
            </w:r>
          </w:p>
        </w:tc>
        <w:tc>
          <w:tcPr>
            <w:tcW w:w="1137" w:type="dxa"/>
            <w:vAlign w:val="center"/>
          </w:tcPr>
          <w:p w14:paraId="4FD16723" w14:textId="77777777" w:rsidR="006C0D6C" w:rsidRPr="00BF3CDE" w:rsidRDefault="006C0D6C" w:rsidP="006C0D6C">
            <w:pPr>
              <w:jc w:val="center"/>
              <w:rPr>
                <w:rFonts w:ascii="Calibri" w:hAnsi="Calibri"/>
                <w:noProof/>
                <w:color w:val="auto"/>
                <w:sz w:val="22"/>
                <w:szCs w:val="22"/>
                <w:lang w:val="sr-Cyrl-CS"/>
              </w:rPr>
            </w:pPr>
            <w:r w:rsidRPr="00BF3CDE">
              <w:rPr>
                <w:rFonts w:ascii="Calibri" w:hAnsi="Calibri"/>
                <w:noProof/>
                <w:color w:val="auto"/>
                <w:sz w:val="22"/>
                <w:szCs w:val="22"/>
                <w:lang w:val="sr-Cyrl-CS"/>
              </w:rPr>
              <w:t>41,82%</w:t>
            </w:r>
          </w:p>
        </w:tc>
      </w:tr>
      <w:tr w:rsidR="006C0D6C" w:rsidRPr="00BF3CDE" w14:paraId="662FC8AA" w14:textId="77777777" w:rsidTr="006E3225">
        <w:trPr>
          <w:trHeight w:val="227"/>
        </w:trPr>
        <w:tc>
          <w:tcPr>
            <w:tcW w:w="1330" w:type="dxa"/>
          </w:tcPr>
          <w:p w14:paraId="3E91468F" w14:textId="77777777" w:rsidR="006C0D6C" w:rsidRPr="00BF3CDE" w:rsidRDefault="006C0D6C" w:rsidP="006C0D6C">
            <w:pPr>
              <w:widowControl w:val="0"/>
              <w:rPr>
                <w:rFonts w:ascii="Verdana" w:hAnsi="Verdana" w:cs="Tahoma"/>
                <w:b/>
                <w:noProof/>
                <w:color w:val="auto"/>
                <w:sz w:val="18"/>
                <w:szCs w:val="18"/>
                <w:lang w:val="sr-Cyrl-CS"/>
              </w:rPr>
            </w:pPr>
            <w:r w:rsidRPr="00BF3CDE">
              <w:rPr>
                <w:rFonts w:ascii="Verdana" w:hAnsi="Verdana" w:cs="Tahoma"/>
                <w:b/>
                <w:noProof/>
                <w:color w:val="auto"/>
                <w:sz w:val="18"/>
                <w:szCs w:val="18"/>
                <w:lang w:val="sr-Cyrl-CS"/>
              </w:rPr>
              <w:t>ван групе</w:t>
            </w:r>
          </w:p>
        </w:tc>
        <w:tc>
          <w:tcPr>
            <w:tcW w:w="1136" w:type="dxa"/>
            <w:vAlign w:val="center"/>
          </w:tcPr>
          <w:p w14:paraId="664CB32A" w14:textId="77777777" w:rsidR="006C0D6C" w:rsidRPr="00BF3CDE" w:rsidRDefault="006C0D6C" w:rsidP="006C0D6C">
            <w:pPr>
              <w:jc w:val="center"/>
              <w:rPr>
                <w:rFonts w:ascii="Verdana" w:hAnsi="Verdana"/>
                <w:noProof/>
                <w:color w:val="auto"/>
                <w:sz w:val="18"/>
                <w:szCs w:val="18"/>
                <w:lang w:val="sr-Cyrl-CS"/>
              </w:rPr>
            </w:pPr>
            <w:r w:rsidRPr="00BF3CDE">
              <w:rPr>
                <w:rFonts w:ascii="Verdana" w:hAnsi="Verdana"/>
                <w:noProof/>
                <w:color w:val="auto"/>
                <w:sz w:val="18"/>
                <w:szCs w:val="18"/>
                <w:lang w:val="sr-Cyrl-CS"/>
              </w:rPr>
              <w:t>52,10%</w:t>
            </w:r>
          </w:p>
        </w:tc>
        <w:tc>
          <w:tcPr>
            <w:tcW w:w="1137" w:type="dxa"/>
            <w:vAlign w:val="center"/>
          </w:tcPr>
          <w:p w14:paraId="27823C95" w14:textId="77777777" w:rsidR="006C0D6C" w:rsidRPr="00BF3CDE" w:rsidRDefault="006C0D6C" w:rsidP="006C0D6C">
            <w:pPr>
              <w:jc w:val="center"/>
              <w:rPr>
                <w:rFonts w:ascii="Verdana" w:hAnsi="Verdana"/>
                <w:noProof/>
                <w:color w:val="auto"/>
                <w:sz w:val="18"/>
                <w:szCs w:val="18"/>
                <w:lang w:val="sr-Cyrl-CS"/>
              </w:rPr>
            </w:pPr>
            <w:r w:rsidRPr="00BF3CDE">
              <w:rPr>
                <w:rFonts w:ascii="Verdana" w:hAnsi="Verdana"/>
                <w:noProof/>
                <w:color w:val="auto"/>
                <w:sz w:val="18"/>
                <w:szCs w:val="18"/>
                <w:lang w:val="sr-Cyrl-CS"/>
              </w:rPr>
              <w:t>52,80%</w:t>
            </w:r>
          </w:p>
        </w:tc>
        <w:tc>
          <w:tcPr>
            <w:tcW w:w="1137" w:type="dxa"/>
            <w:vAlign w:val="center"/>
          </w:tcPr>
          <w:p w14:paraId="4A5AF04D" w14:textId="77777777" w:rsidR="006C0D6C" w:rsidRPr="00BF3CDE" w:rsidRDefault="006C0D6C" w:rsidP="006C0D6C">
            <w:pPr>
              <w:jc w:val="center"/>
              <w:rPr>
                <w:rFonts w:ascii="Verdana" w:hAnsi="Verdana"/>
                <w:noProof/>
                <w:color w:val="auto"/>
                <w:sz w:val="18"/>
                <w:szCs w:val="18"/>
                <w:lang w:val="sr-Cyrl-CS"/>
              </w:rPr>
            </w:pPr>
            <w:r w:rsidRPr="00BF3CDE">
              <w:rPr>
                <w:rFonts w:ascii="Verdana" w:hAnsi="Verdana"/>
                <w:noProof/>
                <w:color w:val="auto"/>
                <w:sz w:val="18"/>
                <w:szCs w:val="18"/>
                <w:lang w:val="sr-Cyrl-CS"/>
              </w:rPr>
              <w:t>46,43%</w:t>
            </w:r>
          </w:p>
        </w:tc>
        <w:tc>
          <w:tcPr>
            <w:tcW w:w="1137" w:type="dxa"/>
            <w:vAlign w:val="center"/>
          </w:tcPr>
          <w:p w14:paraId="1DC1A173" w14:textId="77777777" w:rsidR="006C0D6C" w:rsidRPr="00BF3CDE" w:rsidRDefault="006C0D6C" w:rsidP="006C0D6C">
            <w:pPr>
              <w:jc w:val="center"/>
              <w:rPr>
                <w:rFonts w:ascii="Verdana" w:hAnsi="Verdana"/>
                <w:noProof/>
                <w:color w:val="auto"/>
                <w:sz w:val="18"/>
                <w:szCs w:val="18"/>
                <w:lang w:val="sr-Cyrl-CS"/>
              </w:rPr>
            </w:pPr>
            <w:r w:rsidRPr="00BF3CDE">
              <w:rPr>
                <w:rFonts w:ascii="Verdana" w:hAnsi="Verdana"/>
                <w:noProof/>
                <w:color w:val="auto"/>
                <w:sz w:val="18"/>
                <w:szCs w:val="18"/>
                <w:lang w:val="sr-Cyrl-CS"/>
              </w:rPr>
              <w:t>40,24%</w:t>
            </w:r>
          </w:p>
        </w:tc>
        <w:tc>
          <w:tcPr>
            <w:tcW w:w="1137" w:type="dxa"/>
            <w:vAlign w:val="center"/>
          </w:tcPr>
          <w:p w14:paraId="285B8CB3" w14:textId="77777777" w:rsidR="006C0D6C" w:rsidRPr="00BF3CDE" w:rsidRDefault="006C0D6C" w:rsidP="006C0D6C">
            <w:pPr>
              <w:jc w:val="center"/>
              <w:rPr>
                <w:rFonts w:ascii="Verdana" w:hAnsi="Verdana"/>
                <w:noProof/>
                <w:color w:val="auto"/>
                <w:sz w:val="18"/>
                <w:szCs w:val="18"/>
                <w:lang w:val="sr-Cyrl-CS"/>
              </w:rPr>
            </w:pPr>
            <w:r w:rsidRPr="00BF3CDE">
              <w:rPr>
                <w:rFonts w:ascii="Verdana" w:hAnsi="Verdana"/>
                <w:noProof/>
                <w:color w:val="auto"/>
                <w:sz w:val="18"/>
                <w:szCs w:val="18"/>
                <w:lang w:val="sr-Cyrl-CS"/>
              </w:rPr>
              <w:t>49,19%</w:t>
            </w:r>
          </w:p>
        </w:tc>
        <w:tc>
          <w:tcPr>
            <w:tcW w:w="1137" w:type="dxa"/>
            <w:vAlign w:val="center"/>
          </w:tcPr>
          <w:p w14:paraId="5B317349" w14:textId="77777777" w:rsidR="006C0D6C" w:rsidRPr="00BF3CDE" w:rsidRDefault="006C0D6C" w:rsidP="006C0D6C">
            <w:pPr>
              <w:jc w:val="center"/>
              <w:rPr>
                <w:rFonts w:ascii="Verdana" w:hAnsi="Verdana"/>
                <w:noProof/>
                <w:color w:val="auto"/>
                <w:sz w:val="18"/>
                <w:szCs w:val="18"/>
                <w:lang w:val="sr-Cyrl-CS"/>
              </w:rPr>
            </w:pPr>
            <w:r w:rsidRPr="00BF3CDE">
              <w:rPr>
                <w:rFonts w:ascii="Verdana" w:hAnsi="Verdana"/>
                <w:noProof/>
                <w:color w:val="auto"/>
                <w:sz w:val="18"/>
                <w:szCs w:val="18"/>
                <w:lang w:val="sr-Cyrl-CS"/>
              </w:rPr>
              <w:t>47,51%</w:t>
            </w:r>
          </w:p>
        </w:tc>
        <w:tc>
          <w:tcPr>
            <w:tcW w:w="1137" w:type="dxa"/>
            <w:vAlign w:val="center"/>
          </w:tcPr>
          <w:p w14:paraId="1320A392" w14:textId="77777777" w:rsidR="006C0D6C" w:rsidRPr="00BF3CDE" w:rsidRDefault="006C0D6C" w:rsidP="006C0D6C">
            <w:pPr>
              <w:jc w:val="center"/>
              <w:rPr>
                <w:rFonts w:ascii="Calibri" w:hAnsi="Calibri"/>
                <w:noProof/>
                <w:color w:val="auto"/>
                <w:sz w:val="22"/>
                <w:szCs w:val="22"/>
                <w:lang w:val="sr-Cyrl-CS"/>
              </w:rPr>
            </w:pPr>
            <w:r w:rsidRPr="00BF3CDE">
              <w:rPr>
                <w:rFonts w:ascii="Calibri" w:hAnsi="Calibri"/>
                <w:noProof/>
                <w:color w:val="auto"/>
                <w:sz w:val="22"/>
                <w:szCs w:val="22"/>
                <w:lang w:val="sr-Cyrl-CS"/>
              </w:rPr>
              <w:t>58,18%</w:t>
            </w:r>
          </w:p>
        </w:tc>
      </w:tr>
    </w:tbl>
    <w:p w14:paraId="52321D8A" w14:textId="77777777" w:rsidR="006C0D6C" w:rsidRPr="00BF3CDE" w:rsidRDefault="006C0D6C" w:rsidP="006C0D6C">
      <w:pPr>
        <w:spacing w:after="120"/>
        <w:ind w:firstLine="567"/>
        <w:jc w:val="both"/>
        <w:rPr>
          <w:rStyle w:val="Hyperlink"/>
          <w:noProof/>
          <w:color w:val="auto"/>
          <w:sz w:val="2"/>
          <w:szCs w:val="2"/>
          <w:lang w:val="sr-Cyrl-CS"/>
        </w:rPr>
      </w:pPr>
    </w:p>
    <w:p w14:paraId="67A413AB" w14:textId="77777777" w:rsidR="006C0D6C" w:rsidRPr="00BF3CDE" w:rsidRDefault="006C0D6C" w:rsidP="006C0D6C">
      <w:pPr>
        <w:ind w:firstLine="851"/>
        <w:jc w:val="both"/>
        <w:rPr>
          <w:rFonts w:ascii="Verdana" w:hAnsi="Verdana" w:cs="Tahoma"/>
          <w:noProof/>
          <w:sz w:val="20"/>
          <w:szCs w:val="20"/>
          <w:lang w:val="sr-Cyrl-CS"/>
        </w:rPr>
      </w:pPr>
      <w:r w:rsidRPr="00BF3CDE">
        <w:rPr>
          <w:rFonts w:ascii="Verdana" w:hAnsi="Verdana" w:cs="Tahoma"/>
          <w:noProof/>
          <w:sz w:val="20"/>
          <w:szCs w:val="20"/>
          <w:lang w:val="sr-Cyrl-CS"/>
        </w:rPr>
        <w:t>Пад премије из Дунав групе узрокован  је необнављањем  реосигуравајућих покрића Компаније Дунав осигурање за 2014. годину за портфеље аутокаска, аутоодговорности и заштите самопридржаја за имовинске ризике, као и драстичним падом премије реосигурања по пожарном уговору, пре свега за ризике ЕПС-а како у првој половини године због уговореног конзорцијума тако и у другој половини године због необнављања осигурања за хидроелектране и термоелектране.</w:t>
      </w:r>
    </w:p>
    <w:p w14:paraId="1C936D7A" w14:textId="77777777" w:rsidR="006C0D6C" w:rsidRPr="00BF3CDE" w:rsidRDefault="006C0D6C" w:rsidP="000C73FE">
      <w:pPr>
        <w:rPr>
          <w:rFonts w:ascii="Verdana" w:hAnsi="Verdana" w:cs="Tahoma"/>
          <w:b/>
          <w:i/>
          <w:noProof/>
          <w:sz w:val="20"/>
          <w:szCs w:val="20"/>
          <w:bdr w:val="none" w:sz="0" w:space="0" w:color="auto" w:frame="1"/>
          <w:lang w:val="sr-Cyrl-CS"/>
        </w:rPr>
      </w:pPr>
      <w:r w:rsidRPr="00BF3CDE">
        <w:rPr>
          <w:noProof/>
          <w:lang w:val="sr-Latn-RS" w:eastAsia="sr-Latn-RS"/>
        </w:rPr>
        <w:drawing>
          <wp:inline distT="0" distB="0" distL="0" distR="0" wp14:anchorId="6887D65C" wp14:editId="3E37865A">
            <wp:extent cx="5810250" cy="5800725"/>
            <wp:effectExtent l="19050" t="0" r="0" b="0"/>
            <wp:docPr id="679" name="Chart 67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EDB9971" w14:textId="77777777" w:rsidR="006C0D6C" w:rsidRPr="00BF3CDE" w:rsidRDefault="006C0D6C" w:rsidP="006C0D6C">
      <w:pPr>
        <w:jc w:val="center"/>
        <w:rPr>
          <w:rFonts w:ascii="Verdana" w:hAnsi="Verdana" w:cs="Tahoma"/>
          <w:b/>
          <w:i/>
          <w:noProof/>
          <w:sz w:val="20"/>
          <w:szCs w:val="20"/>
          <w:bdr w:val="none" w:sz="0" w:space="0" w:color="auto" w:frame="1"/>
          <w:lang w:val="sr-Cyrl-CS"/>
        </w:rPr>
      </w:pPr>
      <w:r w:rsidRPr="00BF3CDE">
        <w:rPr>
          <w:rFonts w:ascii="Verdana" w:hAnsi="Verdana" w:cs="Tahoma"/>
          <w:b/>
          <w:i/>
          <w:noProof/>
          <w:sz w:val="20"/>
          <w:szCs w:val="20"/>
          <w:bdr w:val="none" w:sz="0" w:space="0" w:color="auto" w:frame="1"/>
          <w:lang w:val="sr-Cyrl-CS"/>
        </w:rPr>
        <w:lastRenderedPageBreak/>
        <w:t>Активна премија по врстама осигурања у хиљадама динара</w:t>
      </w:r>
    </w:p>
    <w:tbl>
      <w:tblPr>
        <w:tblStyle w:val="MediumList1-Accent112"/>
        <w:tblW w:w="0" w:type="auto"/>
        <w:jc w:val="center"/>
        <w:tblLook w:val="04E0" w:firstRow="1" w:lastRow="1" w:firstColumn="1" w:lastColumn="0" w:noHBand="0" w:noVBand="1"/>
      </w:tblPr>
      <w:tblGrid>
        <w:gridCol w:w="889"/>
        <w:gridCol w:w="3460"/>
        <w:gridCol w:w="2080"/>
        <w:gridCol w:w="1952"/>
      </w:tblGrid>
      <w:tr w:rsidR="006C0D6C" w:rsidRPr="00BF3CDE" w14:paraId="6756BA10" w14:textId="77777777" w:rsidTr="001B338A">
        <w:trPr>
          <w:cnfStyle w:val="100000000000" w:firstRow="1" w:lastRow="0" w:firstColumn="0" w:lastColumn="0" w:oddVBand="0" w:evenVBand="0" w:oddHBand="0" w:evenHBand="0" w:firstRowFirstColumn="0" w:firstRowLastColumn="0" w:lastRowFirstColumn="0" w:lastRowLastColumn="0"/>
          <w:trHeight w:val="850"/>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299A5FC4"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bCs w:val="0"/>
                <w:noProof/>
                <w:sz w:val="18"/>
                <w:szCs w:val="18"/>
                <w:lang w:val="sr-Cyrl-CS"/>
              </w:rPr>
              <w:t>Шифра</w:t>
            </w:r>
          </w:p>
        </w:tc>
        <w:tc>
          <w:tcPr>
            <w:tcW w:w="3460" w:type="dxa"/>
            <w:vAlign w:val="center"/>
            <w:hideMark/>
          </w:tcPr>
          <w:p w14:paraId="2258A245" w14:textId="77777777" w:rsidR="006C0D6C" w:rsidRPr="00BF3CDE" w:rsidRDefault="006C0D6C" w:rsidP="006C0D6C">
            <w:pPr>
              <w:jc w:val="center"/>
              <w:cnfStyle w:val="100000000000" w:firstRow="1" w:lastRow="0" w:firstColumn="0" w:lastColumn="0" w:oddVBand="0" w:evenVBand="0" w:oddHBand="0" w:evenHBand="0" w:firstRowFirstColumn="0" w:firstRowLastColumn="0" w:lastRowFirstColumn="0" w:lastRowLastColumn="0"/>
              <w:rPr>
                <w:rFonts w:ascii="Verdana" w:hAnsi="Verdana"/>
                <w:bCs/>
                <w:noProof/>
                <w:sz w:val="18"/>
                <w:szCs w:val="18"/>
                <w:lang w:val="sr-Cyrl-CS"/>
              </w:rPr>
            </w:pPr>
            <w:r w:rsidRPr="00BF3CDE">
              <w:rPr>
                <w:rFonts w:ascii="Verdana" w:hAnsi="Verdana"/>
                <w:bCs/>
                <w:noProof/>
                <w:sz w:val="18"/>
                <w:szCs w:val="18"/>
                <w:lang w:val="sr-Cyrl-CS"/>
              </w:rPr>
              <w:t>Врста осигурања</w:t>
            </w:r>
          </w:p>
        </w:tc>
        <w:tc>
          <w:tcPr>
            <w:tcW w:w="2080" w:type="dxa"/>
            <w:vAlign w:val="center"/>
            <w:hideMark/>
          </w:tcPr>
          <w:p w14:paraId="3D55F028" w14:textId="77777777" w:rsidR="006C0D6C" w:rsidRPr="00BF3CDE" w:rsidRDefault="006C0D6C" w:rsidP="006C0D6C">
            <w:pPr>
              <w:jc w:val="center"/>
              <w:cnfStyle w:val="100000000000" w:firstRow="1" w:lastRow="0" w:firstColumn="0" w:lastColumn="0" w:oddVBand="0" w:evenVBand="0" w:oddHBand="0" w:evenHBand="0" w:firstRowFirstColumn="0" w:firstRowLastColumn="0" w:lastRowFirstColumn="0" w:lastRowLastColumn="0"/>
              <w:rPr>
                <w:rFonts w:ascii="Verdana" w:hAnsi="Verdana"/>
                <w:bCs/>
                <w:noProof/>
                <w:sz w:val="18"/>
                <w:szCs w:val="18"/>
                <w:lang w:val="sr-Cyrl-CS"/>
              </w:rPr>
            </w:pPr>
            <w:r w:rsidRPr="00BF3CDE">
              <w:rPr>
                <w:rFonts w:ascii="Verdana" w:hAnsi="Verdana"/>
                <w:bCs/>
                <w:noProof/>
                <w:sz w:val="18"/>
                <w:szCs w:val="18"/>
                <w:lang w:val="sr-Cyrl-CS"/>
              </w:rPr>
              <w:t>Активана премија</w:t>
            </w:r>
          </w:p>
        </w:tc>
        <w:tc>
          <w:tcPr>
            <w:tcW w:w="1952" w:type="dxa"/>
            <w:vAlign w:val="center"/>
            <w:hideMark/>
          </w:tcPr>
          <w:p w14:paraId="24EB0620" w14:textId="77777777" w:rsidR="006C0D6C" w:rsidRPr="00BF3CDE" w:rsidRDefault="006C0D6C" w:rsidP="006C0D6C">
            <w:pPr>
              <w:jc w:val="center"/>
              <w:cnfStyle w:val="100000000000" w:firstRow="1" w:lastRow="0" w:firstColumn="0" w:lastColumn="0" w:oddVBand="0" w:evenVBand="0" w:oddHBand="0" w:evenHBand="0" w:firstRowFirstColumn="0" w:firstRowLastColumn="0" w:lastRowFirstColumn="0" w:lastRowLastColumn="0"/>
              <w:rPr>
                <w:rFonts w:ascii="Verdana" w:hAnsi="Verdana"/>
                <w:bCs/>
                <w:noProof/>
                <w:sz w:val="18"/>
                <w:szCs w:val="18"/>
                <w:lang w:val="sr-Cyrl-CS"/>
              </w:rPr>
            </w:pPr>
            <w:r w:rsidRPr="00BF3CDE">
              <w:rPr>
                <w:rFonts w:ascii="Verdana" w:hAnsi="Verdana"/>
                <w:bCs/>
                <w:noProof/>
                <w:sz w:val="18"/>
                <w:szCs w:val="18"/>
                <w:lang w:val="sr-Cyrl-CS"/>
              </w:rPr>
              <w:t>Учешће у укупној активној премији</w:t>
            </w:r>
          </w:p>
        </w:tc>
      </w:tr>
      <w:tr w:rsidR="006C0D6C" w:rsidRPr="00BF3CDE" w14:paraId="5E8084E3" w14:textId="77777777" w:rsidTr="001B338A">
        <w:trPr>
          <w:cnfStyle w:val="000000100000" w:firstRow="0" w:lastRow="0" w:firstColumn="0" w:lastColumn="0" w:oddVBand="0" w:evenVBand="0" w:oddHBand="1" w:evenHBand="0" w:firstRowFirstColumn="0" w:firstRowLastColumn="0" w:lastRowFirstColumn="0" w:lastRowLastColumn="0"/>
          <w:trHeight w:val="510"/>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052CD9BF"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09</w:t>
            </w:r>
          </w:p>
        </w:tc>
        <w:tc>
          <w:tcPr>
            <w:tcW w:w="3460" w:type="dxa"/>
            <w:vAlign w:val="center"/>
            <w:hideMark/>
          </w:tcPr>
          <w:p w14:paraId="24AA3760"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Остала осигурања имовине</w:t>
            </w:r>
          </w:p>
        </w:tc>
        <w:tc>
          <w:tcPr>
            <w:tcW w:w="2080" w:type="dxa"/>
            <w:vAlign w:val="center"/>
            <w:hideMark/>
          </w:tcPr>
          <w:p w14:paraId="311B2030"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833.831</w:t>
            </w:r>
          </w:p>
        </w:tc>
        <w:tc>
          <w:tcPr>
            <w:tcW w:w="1952" w:type="dxa"/>
            <w:noWrap/>
            <w:vAlign w:val="center"/>
            <w:hideMark/>
          </w:tcPr>
          <w:p w14:paraId="78AEA1C2"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35,87%</w:t>
            </w:r>
          </w:p>
        </w:tc>
      </w:tr>
      <w:tr w:rsidR="006C0D6C" w:rsidRPr="00BF3CDE" w14:paraId="6743F5EE" w14:textId="77777777" w:rsidTr="001B338A">
        <w:trPr>
          <w:trHeight w:val="680"/>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0376EA96"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08</w:t>
            </w:r>
          </w:p>
        </w:tc>
        <w:tc>
          <w:tcPr>
            <w:tcW w:w="3460" w:type="dxa"/>
            <w:vAlign w:val="center"/>
            <w:hideMark/>
          </w:tcPr>
          <w:p w14:paraId="0412221C"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имовине од пожара и др. опасности</w:t>
            </w:r>
          </w:p>
        </w:tc>
        <w:tc>
          <w:tcPr>
            <w:tcW w:w="2080" w:type="dxa"/>
            <w:vAlign w:val="center"/>
            <w:hideMark/>
          </w:tcPr>
          <w:p w14:paraId="46B346B1"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585.518</w:t>
            </w:r>
          </w:p>
        </w:tc>
        <w:tc>
          <w:tcPr>
            <w:tcW w:w="1952" w:type="dxa"/>
            <w:noWrap/>
            <w:vAlign w:val="center"/>
            <w:hideMark/>
          </w:tcPr>
          <w:p w14:paraId="66ABC8D1"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25,18%</w:t>
            </w:r>
          </w:p>
        </w:tc>
      </w:tr>
      <w:tr w:rsidR="006C0D6C" w:rsidRPr="00BF3CDE" w14:paraId="700A1EDE" w14:textId="77777777" w:rsidTr="001B338A">
        <w:trPr>
          <w:cnfStyle w:val="000000100000" w:firstRow="0" w:lastRow="0" w:firstColumn="0" w:lastColumn="0" w:oddVBand="0" w:evenVBand="0" w:oddHBand="1" w:evenHBand="0" w:firstRowFirstColumn="0" w:firstRowLastColumn="0" w:lastRowFirstColumn="0" w:lastRowLastColumn="0"/>
          <w:trHeight w:val="680"/>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353E9CE7"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13</w:t>
            </w:r>
          </w:p>
        </w:tc>
        <w:tc>
          <w:tcPr>
            <w:tcW w:w="3460" w:type="dxa"/>
            <w:vAlign w:val="center"/>
            <w:hideMark/>
          </w:tcPr>
          <w:p w14:paraId="3E1623E8"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од опште одговорности</w:t>
            </w:r>
          </w:p>
        </w:tc>
        <w:tc>
          <w:tcPr>
            <w:tcW w:w="2080" w:type="dxa"/>
            <w:vAlign w:val="center"/>
            <w:hideMark/>
          </w:tcPr>
          <w:p w14:paraId="726C5AE3"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250.093</w:t>
            </w:r>
          </w:p>
        </w:tc>
        <w:tc>
          <w:tcPr>
            <w:tcW w:w="1952" w:type="dxa"/>
            <w:noWrap/>
            <w:vAlign w:val="center"/>
            <w:hideMark/>
          </w:tcPr>
          <w:p w14:paraId="41E7ADFA"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10,76%</w:t>
            </w:r>
          </w:p>
        </w:tc>
      </w:tr>
      <w:tr w:rsidR="006C0D6C" w:rsidRPr="00BF3CDE" w14:paraId="144DA058" w14:textId="77777777" w:rsidTr="001B338A">
        <w:trPr>
          <w:trHeight w:val="680"/>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4F4F1CB0"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10</w:t>
            </w:r>
          </w:p>
        </w:tc>
        <w:tc>
          <w:tcPr>
            <w:tcW w:w="3460" w:type="dxa"/>
            <w:vAlign w:val="center"/>
            <w:hideMark/>
          </w:tcPr>
          <w:p w14:paraId="290C7776"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 xml:space="preserve">Осигурање од одговорности због употребе моторних возила  </w:t>
            </w:r>
          </w:p>
        </w:tc>
        <w:tc>
          <w:tcPr>
            <w:tcW w:w="2080" w:type="dxa"/>
            <w:vAlign w:val="center"/>
            <w:hideMark/>
          </w:tcPr>
          <w:p w14:paraId="5E4FB671"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138.447</w:t>
            </w:r>
          </w:p>
        </w:tc>
        <w:tc>
          <w:tcPr>
            <w:tcW w:w="1952" w:type="dxa"/>
            <w:noWrap/>
            <w:vAlign w:val="center"/>
            <w:hideMark/>
          </w:tcPr>
          <w:p w14:paraId="3316FF51"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5,95%</w:t>
            </w:r>
          </w:p>
        </w:tc>
      </w:tr>
      <w:tr w:rsidR="006C0D6C" w:rsidRPr="00BF3CDE" w14:paraId="274712D2" w14:textId="77777777" w:rsidTr="001B338A">
        <w:trPr>
          <w:cnfStyle w:val="000000100000" w:firstRow="0" w:lastRow="0" w:firstColumn="0" w:lastColumn="0" w:oddVBand="0" w:evenVBand="0" w:oddHBand="1" w:evenHBand="0" w:firstRowFirstColumn="0" w:firstRowLastColumn="0" w:lastRowFirstColumn="0" w:lastRowLastColumn="0"/>
          <w:trHeight w:val="510"/>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010D0240"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03</w:t>
            </w:r>
          </w:p>
        </w:tc>
        <w:tc>
          <w:tcPr>
            <w:tcW w:w="3460" w:type="dxa"/>
            <w:vAlign w:val="center"/>
            <w:hideMark/>
          </w:tcPr>
          <w:p w14:paraId="6B1C0027"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моторних возила</w:t>
            </w:r>
          </w:p>
        </w:tc>
        <w:tc>
          <w:tcPr>
            <w:tcW w:w="2080" w:type="dxa"/>
            <w:vAlign w:val="center"/>
            <w:hideMark/>
          </w:tcPr>
          <w:p w14:paraId="2C3ECD22"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103.397</w:t>
            </w:r>
          </w:p>
        </w:tc>
        <w:tc>
          <w:tcPr>
            <w:tcW w:w="1952" w:type="dxa"/>
            <w:noWrap/>
            <w:vAlign w:val="center"/>
            <w:hideMark/>
          </w:tcPr>
          <w:p w14:paraId="00506533"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4,45%</w:t>
            </w:r>
          </w:p>
        </w:tc>
      </w:tr>
      <w:tr w:rsidR="006C0D6C" w:rsidRPr="00BF3CDE" w14:paraId="49FA6A9B" w14:textId="77777777" w:rsidTr="001B338A">
        <w:trPr>
          <w:trHeight w:val="680"/>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6CA9CC18"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11</w:t>
            </w:r>
          </w:p>
        </w:tc>
        <w:tc>
          <w:tcPr>
            <w:tcW w:w="3460" w:type="dxa"/>
            <w:vAlign w:val="center"/>
            <w:hideMark/>
          </w:tcPr>
          <w:p w14:paraId="490799B9"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од одговорности због употребе ваздухоплова</w:t>
            </w:r>
          </w:p>
        </w:tc>
        <w:tc>
          <w:tcPr>
            <w:tcW w:w="2080" w:type="dxa"/>
            <w:vAlign w:val="center"/>
            <w:hideMark/>
          </w:tcPr>
          <w:p w14:paraId="43A1225A"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75.921</w:t>
            </w:r>
          </w:p>
        </w:tc>
        <w:tc>
          <w:tcPr>
            <w:tcW w:w="1952" w:type="dxa"/>
            <w:noWrap/>
            <w:vAlign w:val="center"/>
            <w:hideMark/>
          </w:tcPr>
          <w:p w14:paraId="17AFAFDD"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3,27%</w:t>
            </w:r>
          </w:p>
        </w:tc>
      </w:tr>
      <w:tr w:rsidR="006C0D6C" w:rsidRPr="00BF3CDE" w14:paraId="4ADCD43C" w14:textId="77777777" w:rsidTr="001B338A">
        <w:trPr>
          <w:cnfStyle w:val="000000100000" w:firstRow="0" w:lastRow="0" w:firstColumn="0" w:lastColumn="0" w:oddVBand="0" w:evenVBand="0" w:oddHBand="1" w:evenHBand="0" w:firstRowFirstColumn="0" w:firstRowLastColumn="0" w:lastRowFirstColumn="0" w:lastRowLastColumn="0"/>
          <w:trHeight w:val="510"/>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26D8946D"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07</w:t>
            </w:r>
          </w:p>
        </w:tc>
        <w:tc>
          <w:tcPr>
            <w:tcW w:w="3460" w:type="dxa"/>
            <w:vAlign w:val="center"/>
            <w:hideMark/>
          </w:tcPr>
          <w:p w14:paraId="5DC2E473"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робе у превозу</w:t>
            </w:r>
          </w:p>
        </w:tc>
        <w:tc>
          <w:tcPr>
            <w:tcW w:w="2080" w:type="dxa"/>
            <w:vAlign w:val="center"/>
            <w:hideMark/>
          </w:tcPr>
          <w:p w14:paraId="18C2FB3A"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74.152</w:t>
            </w:r>
          </w:p>
        </w:tc>
        <w:tc>
          <w:tcPr>
            <w:tcW w:w="1952" w:type="dxa"/>
            <w:noWrap/>
            <w:vAlign w:val="center"/>
            <w:hideMark/>
          </w:tcPr>
          <w:p w14:paraId="0B2CA5AF"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3,19%</w:t>
            </w:r>
          </w:p>
        </w:tc>
      </w:tr>
      <w:tr w:rsidR="006C0D6C" w:rsidRPr="00BF3CDE" w14:paraId="0C68D64D" w14:textId="77777777" w:rsidTr="001B338A">
        <w:trPr>
          <w:trHeight w:val="680"/>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14C6DB57"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22.01</w:t>
            </w:r>
          </w:p>
        </w:tc>
        <w:tc>
          <w:tcPr>
            <w:tcW w:w="3460" w:type="dxa"/>
            <w:vAlign w:val="center"/>
            <w:hideMark/>
          </w:tcPr>
          <w:p w14:paraId="2BD94E68"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Oсигурање од последица незгоде, допунско уз осигурање живота</w:t>
            </w:r>
          </w:p>
        </w:tc>
        <w:tc>
          <w:tcPr>
            <w:tcW w:w="2080" w:type="dxa"/>
            <w:vAlign w:val="center"/>
            <w:hideMark/>
          </w:tcPr>
          <w:p w14:paraId="4AA1AF4B"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64.271</w:t>
            </w:r>
          </w:p>
        </w:tc>
        <w:tc>
          <w:tcPr>
            <w:tcW w:w="1952" w:type="dxa"/>
            <w:noWrap/>
            <w:vAlign w:val="center"/>
            <w:hideMark/>
          </w:tcPr>
          <w:p w14:paraId="37CE9CF9"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2,76%</w:t>
            </w:r>
          </w:p>
        </w:tc>
      </w:tr>
      <w:tr w:rsidR="006C0D6C" w:rsidRPr="00BF3CDE" w14:paraId="4B72295D" w14:textId="77777777" w:rsidTr="001B338A">
        <w:trPr>
          <w:cnfStyle w:val="000000100000" w:firstRow="0" w:lastRow="0" w:firstColumn="0" w:lastColumn="0" w:oddVBand="0" w:evenVBand="0" w:oddHBand="1" w:evenHBand="0" w:firstRowFirstColumn="0" w:firstRowLastColumn="0" w:lastRowFirstColumn="0" w:lastRowLastColumn="0"/>
          <w:trHeight w:val="510"/>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2CF1F348"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05</w:t>
            </w:r>
          </w:p>
        </w:tc>
        <w:tc>
          <w:tcPr>
            <w:tcW w:w="3460" w:type="dxa"/>
            <w:vAlign w:val="center"/>
            <w:hideMark/>
          </w:tcPr>
          <w:p w14:paraId="590EEA8B"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ваздухоплова</w:t>
            </w:r>
          </w:p>
        </w:tc>
        <w:tc>
          <w:tcPr>
            <w:tcW w:w="2080" w:type="dxa"/>
            <w:vAlign w:val="center"/>
            <w:hideMark/>
          </w:tcPr>
          <w:p w14:paraId="2C48CB16"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56.858</w:t>
            </w:r>
          </w:p>
        </w:tc>
        <w:tc>
          <w:tcPr>
            <w:tcW w:w="1952" w:type="dxa"/>
            <w:noWrap/>
            <w:vAlign w:val="center"/>
            <w:hideMark/>
          </w:tcPr>
          <w:p w14:paraId="7FA3D6BE"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2,45%</w:t>
            </w:r>
          </w:p>
        </w:tc>
      </w:tr>
      <w:tr w:rsidR="006C0D6C" w:rsidRPr="00BF3CDE" w14:paraId="71FBD686" w14:textId="77777777" w:rsidTr="001B338A">
        <w:trPr>
          <w:trHeight w:val="510"/>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75A9B5D0"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20</w:t>
            </w:r>
          </w:p>
        </w:tc>
        <w:tc>
          <w:tcPr>
            <w:tcW w:w="3460" w:type="dxa"/>
            <w:vAlign w:val="center"/>
            <w:hideMark/>
          </w:tcPr>
          <w:p w14:paraId="0AB0F563"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живота</w:t>
            </w:r>
          </w:p>
        </w:tc>
        <w:tc>
          <w:tcPr>
            <w:tcW w:w="2080" w:type="dxa"/>
            <w:vAlign w:val="center"/>
            <w:hideMark/>
          </w:tcPr>
          <w:p w14:paraId="41C27E27"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53.172</w:t>
            </w:r>
          </w:p>
        </w:tc>
        <w:tc>
          <w:tcPr>
            <w:tcW w:w="1952" w:type="dxa"/>
            <w:noWrap/>
            <w:vAlign w:val="center"/>
            <w:hideMark/>
          </w:tcPr>
          <w:p w14:paraId="5D6E77EE"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2,29%</w:t>
            </w:r>
          </w:p>
        </w:tc>
      </w:tr>
      <w:tr w:rsidR="006C0D6C" w:rsidRPr="00BF3CDE" w14:paraId="03196008" w14:textId="77777777" w:rsidTr="001B338A">
        <w:trPr>
          <w:cnfStyle w:val="000000100000" w:firstRow="0" w:lastRow="0" w:firstColumn="0" w:lastColumn="0" w:oddVBand="0" w:evenVBand="0" w:oddHBand="1" w:evenHBand="0" w:firstRowFirstColumn="0" w:firstRowLastColumn="0" w:lastRowFirstColumn="0" w:lastRowLastColumn="0"/>
          <w:trHeight w:val="680"/>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6561D68D"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16</w:t>
            </w:r>
          </w:p>
        </w:tc>
        <w:tc>
          <w:tcPr>
            <w:tcW w:w="3460" w:type="dxa"/>
            <w:vAlign w:val="center"/>
            <w:hideMark/>
          </w:tcPr>
          <w:p w14:paraId="7570D36F"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финансијских губитака</w:t>
            </w:r>
          </w:p>
        </w:tc>
        <w:tc>
          <w:tcPr>
            <w:tcW w:w="2080" w:type="dxa"/>
            <w:vAlign w:val="center"/>
            <w:hideMark/>
          </w:tcPr>
          <w:p w14:paraId="046C3EF7"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35.835</w:t>
            </w:r>
          </w:p>
        </w:tc>
        <w:tc>
          <w:tcPr>
            <w:tcW w:w="1952" w:type="dxa"/>
            <w:noWrap/>
            <w:vAlign w:val="center"/>
            <w:hideMark/>
          </w:tcPr>
          <w:p w14:paraId="47B84419"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1,54%</w:t>
            </w:r>
          </w:p>
        </w:tc>
      </w:tr>
      <w:tr w:rsidR="006C0D6C" w:rsidRPr="00BF3CDE" w14:paraId="4F4186F4" w14:textId="77777777" w:rsidTr="001B338A">
        <w:trPr>
          <w:trHeight w:val="510"/>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7F85CA6D"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01</w:t>
            </w:r>
          </w:p>
        </w:tc>
        <w:tc>
          <w:tcPr>
            <w:tcW w:w="3460" w:type="dxa"/>
            <w:vAlign w:val="center"/>
            <w:hideMark/>
          </w:tcPr>
          <w:p w14:paraId="4AB3A84B"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од последица незгоде</w:t>
            </w:r>
          </w:p>
        </w:tc>
        <w:tc>
          <w:tcPr>
            <w:tcW w:w="2080" w:type="dxa"/>
            <w:vAlign w:val="center"/>
            <w:hideMark/>
          </w:tcPr>
          <w:p w14:paraId="694C16FE"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19.374</w:t>
            </w:r>
          </w:p>
        </w:tc>
        <w:tc>
          <w:tcPr>
            <w:tcW w:w="1952" w:type="dxa"/>
            <w:noWrap/>
            <w:vAlign w:val="center"/>
            <w:hideMark/>
          </w:tcPr>
          <w:p w14:paraId="271AEEA2"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0,83%</w:t>
            </w:r>
          </w:p>
        </w:tc>
      </w:tr>
      <w:tr w:rsidR="006C0D6C" w:rsidRPr="00BF3CDE" w14:paraId="61299097" w14:textId="77777777" w:rsidTr="001B338A">
        <w:trPr>
          <w:cnfStyle w:val="000000100000" w:firstRow="0" w:lastRow="0" w:firstColumn="0" w:lastColumn="0" w:oddVBand="0" w:evenVBand="0" w:oddHBand="1" w:evenHBand="0" w:firstRowFirstColumn="0" w:firstRowLastColumn="0" w:lastRowFirstColumn="0" w:lastRowLastColumn="0"/>
          <w:trHeight w:val="510"/>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1FE33122"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15</w:t>
            </w:r>
          </w:p>
        </w:tc>
        <w:tc>
          <w:tcPr>
            <w:tcW w:w="3460" w:type="dxa"/>
            <w:vAlign w:val="center"/>
            <w:hideMark/>
          </w:tcPr>
          <w:p w14:paraId="69E0ADCE"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јемства</w:t>
            </w:r>
          </w:p>
        </w:tc>
        <w:tc>
          <w:tcPr>
            <w:tcW w:w="2080" w:type="dxa"/>
            <w:vAlign w:val="center"/>
            <w:hideMark/>
          </w:tcPr>
          <w:p w14:paraId="6B78AA79"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18.812</w:t>
            </w:r>
          </w:p>
        </w:tc>
        <w:tc>
          <w:tcPr>
            <w:tcW w:w="1952" w:type="dxa"/>
            <w:noWrap/>
            <w:vAlign w:val="center"/>
            <w:hideMark/>
          </w:tcPr>
          <w:p w14:paraId="0F30E0B7"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0,81%</w:t>
            </w:r>
          </w:p>
        </w:tc>
      </w:tr>
      <w:tr w:rsidR="006C0D6C" w:rsidRPr="00BF3CDE" w14:paraId="40F35C20" w14:textId="77777777" w:rsidTr="001B338A">
        <w:trPr>
          <w:trHeight w:val="510"/>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129CCEF8"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04</w:t>
            </w:r>
          </w:p>
        </w:tc>
        <w:tc>
          <w:tcPr>
            <w:tcW w:w="3460" w:type="dxa"/>
            <w:vAlign w:val="center"/>
            <w:hideMark/>
          </w:tcPr>
          <w:p w14:paraId="24BCB8F7"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шинских возила</w:t>
            </w:r>
          </w:p>
        </w:tc>
        <w:tc>
          <w:tcPr>
            <w:tcW w:w="2080" w:type="dxa"/>
            <w:vAlign w:val="center"/>
            <w:hideMark/>
          </w:tcPr>
          <w:p w14:paraId="7710B065"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12.057</w:t>
            </w:r>
          </w:p>
        </w:tc>
        <w:tc>
          <w:tcPr>
            <w:tcW w:w="1952" w:type="dxa"/>
            <w:noWrap/>
            <w:vAlign w:val="center"/>
            <w:hideMark/>
          </w:tcPr>
          <w:p w14:paraId="564C1CA2"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0,52%</w:t>
            </w:r>
          </w:p>
        </w:tc>
      </w:tr>
      <w:tr w:rsidR="006C0D6C" w:rsidRPr="00BF3CDE" w14:paraId="7E83C797" w14:textId="77777777" w:rsidTr="001B338A">
        <w:trPr>
          <w:cnfStyle w:val="000000100000" w:firstRow="0" w:lastRow="0" w:firstColumn="0" w:lastColumn="0" w:oddVBand="0" w:evenVBand="0" w:oddHBand="1" w:evenHBand="0" w:firstRowFirstColumn="0" w:firstRowLastColumn="0" w:lastRowFirstColumn="0" w:lastRowLastColumn="0"/>
          <w:trHeight w:val="680"/>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53221955"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17</w:t>
            </w:r>
          </w:p>
        </w:tc>
        <w:tc>
          <w:tcPr>
            <w:tcW w:w="3460" w:type="dxa"/>
            <w:vAlign w:val="center"/>
            <w:hideMark/>
          </w:tcPr>
          <w:p w14:paraId="5E32A652"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трошкова правне заштите</w:t>
            </w:r>
          </w:p>
        </w:tc>
        <w:tc>
          <w:tcPr>
            <w:tcW w:w="2080" w:type="dxa"/>
            <w:vAlign w:val="center"/>
            <w:hideMark/>
          </w:tcPr>
          <w:p w14:paraId="58238CD3"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1.597</w:t>
            </w:r>
          </w:p>
        </w:tc>
        <w:tc>
          <w:tcPr>
            <w:tcW w:w="1952" w:type="dxa"/>
            <w:noWrap/>
            <w:vAlign w:val="center"/>
            <w:hideMark/>
          </w:tcPr>
          <w:p w14:paraId="66DE7036"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0,07%</w:t>
            </w:r>
          </w:p>
        </w:tc>
      </w:tr>
      <w:tr w:rsidR="006C0D6C" w:rsidRPr="00BF3CDE" w14:paraId="10EFB1E8" w14:textId="77777777" w:rsidTr="00B44D29">
        <w:trPr>
          <w:trHeight w:val="510"/>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208CF55A"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06</w:t>
            </w:r>
          </w:p>
        </w:tc>
        <w:tc>
          <w:tcPr>
            <w:tcW w:w="3460" w:type="dxa"/>
            <w:vAlign w:val="center"/>
            <w:hideMark/>
          </w:tcPr>
          <w:p w14:paraId="5AAD3D29"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пловних објеката</w:t>
            </w:r>
          </w:p>
        </w:tc>
        <w:tc>
          <w:tcPr>
            <w:tcW w:w="2080" w:type="dxa"/>
            <w:vAlign w:val="center"/>
            <w:hideMark/>
          </w:tcPr>
          <w:p w14:paraId="431021F7"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1.123</w:t>
            </w:r>
          </w:p>
        </w:tc>
        <w:tc>
          <w:tcPr>
            <w:tcW w:w="1952" w:type="dxa"/>
            <w:noWrap/>
            <w:vAlign w:val="center"/>
            <w:hideMark/>
          </w:tcPr>
          <w:p w14:paraId="5CF3D2ED"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0,05%</w:t>
            </w:r>
          </w:p>
        </w:tc>
      </w:tr>
      <w:tr w:rsidR="0068218E" w:rsidRPr="00BF3CDE" w14:paraId="4332B1F4" w14:textId="77777777" w:rsidTr="001B338A">
        <w:trPr>
          <w:cnfStyle w:val="000000100000" w:firstRow="0" w:lastRow="0" w:firstColumn="0" w:lastColumn="0" w:oddVBand="0" w:evenVBand="0" w:oddHBand="1" w:evenHBand="0" w:firstRowFirstColumn="0" w:firstRowLastColumn="0" w:lastRowFirstColumn="0" w:lastRowLastColumn="0"/>
          <w:trHeight w:val="510"/>
          <w:jc w:val="center"/>
        </w:trPr>
        <w:tc>
          <w:tcPr>
            <w:cnfStyle w:val="001000000000" w:firstRow="0" w:lastRow="0" w:firstColumn="1" w:lastColumn="0" w:oddVBand="0" w:evenVBand="0" w:oddHBand="0" w:evenHBand="0" w:firstRowFirstColumn="0" w:firstRowLastColumn="0" w:lastRowFirstColumn="0" w:lastRowLastColumn="0"/>
            <w:tcW w:w="889" w:type="dxa"/>
            <w:vAlign w:val="center"/>
          </w:tcPr>
          <w:p w14:paraId="1F77F96F" w14:textId="77777777" w:rsidR="0068218E" w:rsidRPr="00BF3CDE" w:rsidRDefault="0068218E" w:rsidP="006C0D6C">
            <w:pPr>
              <w:jc w:val="center"/>
              <w:rPr>
                <w:rFonts w:ascii="Verdana" w:hAnsi="Verdana"/>
                <w:b w:val="0"/>
                <w:noProof/>
                <w:sz w:val="18"/>
                <w:szCs w:val="18"/>
                <w:lang w:val="sr-Cyrl-CS"/>
              </w:rPr>
            </w:pPr>
          </w:p>
        </w:tc>
        <w:tc>
          <w:tcPr>
            <w:tcW w:w="3460" w:type="dxa"/>
            <w:vAlign w:val="center"/>
          </w:tcPr>
          <w:p w14:paraId="58A8D9B6" w14:textId="165D50A4" w:rsidR="0068218E" w:rsidRPr="009B1CE0" w:rsidRDefault="0068218E" w:rsidP="006C0D6C">
            <w:pP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9B1CE0">
              <w:rPr>
                <w:rFonts w:ascii="Verdana" w:hAnsi="Verdana"/>
                <w:noProof/>
                <w:sz w:val="18"/>
                <w:szCs w:val="18"/>
                <w:lang w:val="sr-Cyrl-CS"/>
              </w:rPr>
              <w:t>Остало</w:t>
            </w:r>
          </w:p>
        </w:tc>
        <w:tc>
          <w:tcPr>
            <w:tcW w:w="2080" w:type="dxa"/>
            <w:vAlign w:val="center"/>
          </w:tcPr>
          <w:p w14:paraId="60B4F268" w14:textId="31ED25DD" w:rsidR="0068218E" w:rsidRPr="009B1CE0" w:rsidRDefault="00766C59"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9B1CE0">
              <w:rPr>
                <w:rFonts w:ascii="Verdana" w:hAnsi="Verdana"/>
                <w:noProof/>
                <w:sz w:val="18"/>
                <w:szCs w:val="18"/>
                <w:lang w:val="sr-Cyrl-CS"/>
              </w:rPr>
              <w:t>432</w:t>
            </w:r>
          </w:p>
        </w:tc>
        <w:tc>
          <w:tcPr>
            <w:tcW w:w="1952" w:type="dxa"/>
            <w:noWrap/>
            <w:vAlign w:val="center"/>
          </w:tcPr>
          <w:p w14:paraId="18C47113" w14:textId="229FEF76" w:rsidR="0068218E" w:rsidRPr="009B1CE0" w:rsidRDefault="0068218E"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9B1CE0">
              <w:rPr>
                <w:rFonts w:ascii="Verdana" w:hAnsi="Verdana"/>
                <w:noProof/>
                <w:sz w:val="18"/>
                <w:szCs w:val="18"/>
                <w:lang w:val="sr-Cyrl-CS"/>
              </w:rPr>
              <w:t>0,02%</w:t>
            </w:r>
          </w:p>
        </w:tc>
      </w:tr>
      <w:tr w:rsidR="0068218E" w:rsidRPr="00BF3CDE" w14:paraId="3CCF70C0" w14:textId="77777777" w:rsidTr="001B338A">
        <w:trPr>
          <w:cnfStyle w:val="010000000000" w:firstRow="0" w:lastRow="1" w:firstColumn="0" w:lastColumn="0" w:oddVBand="0" w:evenVBand="0" w:oddHBand="0" w:evenHBand="0" w:firstRowFirstColumn="0" w:firstRowLastColumn="0" w:lastRowFirstColumn="0" w:lastRowLastColumn="0"/>
          <w:trHeight w:val="680"/>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5688C2A8" w14:textId="77777777" w:rsidR="0068218E" w:rsidRPr="00BF3CDE" w:rsidRDefault="0068218E" w:rsidP="006C0D6C">
            <w:pPr>
              <w:jc w:val="center"/>
              <w:rPr>
                <w:rFonts w:ascii="Verdana" w:hAnsi="Verdana"/>
                <w:b w:val="0"/>
                <w:noProof/>
                <w:sz w:val="18"/>
                <w:szCs w:val="18"/>
                <w:lang w:val="sr-Cyrl-CS"/>
              </w:rPr>
            </w:pPr>
            <w:r w:rsidRPr="00BF3CDE">
              <w:rPr>
                <w:rFonts w:ascii="Verdana" w:hAnsi="Verdana"/>
                <w:b w:val="0"/>
                <w:noProof/>
                <w:sz w:val="18"/>
                <w:szCs w:val="18"/>
                <w:lang w:val="sr-Cyrl-CS"/>
              </w:rPr>
              <w:t> </w:t>
            </w:r>
          </w:p>
        </w:tc>
        <w:tc>
          <w:tcPr>
            <w:tcW w:w="3460" w:type="dxa"/>
            <w:vAlign w:val="center"/>
            <w:hideMark/>
          </w:tcPr>
          <w:p w14:paraId="57A09BC5" w14:textId="4013216D" w:rsidR="0068218E" w:rsidRPr="009B1CE0" w:rsidRDefault="0068218E" w:rsidP="009B1CE0">
            <w:pPr>
              <w:cnfStyle w:val="010000000000" w:firstRow="0" w:lastRow="1" w:firstColumn="0" w:lastColumn="0" w:oddVBand="0" w:evenVBand="0" w:oddHBand="0" w:evenHBand="0" w:firstRowFirstColumn="0" w:firstRowLastColumn="0" w:lastRowFirstColumn="0" w:lastRowLastColumn="0"/>
              <w:rPr>
                <w:rFonts w:ascii="Verdana" w:hAnsi="Verdana"/>
                <w:noProof/>
                <w:color w:val="auto"/>
                <w:sz w:val="18"/>
                <w:szCs w:val="18"/>
                <w:lang w:val="sr-Cyrl-CS"/>
              </w:rPr>
            </w:pPr>
            <w:r w:rsidRPr="009B1CE0">
              <w:rPr>
                <w:rFonts w:ascii="Verdana" w:hAnsi="Verdana"/>
                <w:noProof/>
                <w:color w:val="auto"/>
                <w:sz w:val="18"/>
                <w:szCs w:val="18"/>
                <w:lang w:val="sr-Cyrl-CS"/>
              </w:rPr>
              <w:t>Укупно</w:t>
            </w:r>
          </w:p>
        </w:tc>
        <w:tc>
          <w:tcPr>
            <w:tcW w:w="2080" w:type="dxa"/>
            <w:vAlign w:val="center"/>
            <w:hideMark/>
          </w:tcPr>
          <w:p w14:paraId="4784AE41" w14:textId="38F625FE" w:rsidR="0068218E" w:rsidRPr="001B338A" w:rsidRDefault="0068218E" w:rsidP="006C0D6C">
            <w:pPr>
              <w:jc w:val="center"/>
              <w:cnfStyle w:val="010000000000" w:firstRow="0" w:lastRow="1" w:firstColumn="0" w:lastColumn="0" w:oddVBand="0" w:evenVBand="0" w:oddHBand="0" w:evenHBand="0" w:firstRowFirstColumn="0" w:firstRowLastColumn="0" w:lastRowFirstColumn="0" w:lastRowLastColumn="0"/>
              <w:rPr>
                <w:rFonts w:asciiTheme="minorHAnsi" w:hAnsiTheme="minorHAnsi"/>
                <w:noProof/>
                <w:color w:val="auto"/>
                <w:sz w:val="18"/>
                <w:szCs w:val="18"/>
                <w:lang w:val="sr-Cyrl-CS"/>
              </w:rPr>
            </w:pPr>
            <w:r w:rsidRPr="001B338A">
              <w:rPr>
                <w:rFonts w:asciiTheme="minorHAnsi" w:hAnsiTheme="minorHAnsi"/>
                <w:noProof/>
                <w:color w:val="auto"/>
                <w:sz w:val="16"/>
                <w:szCs w:val="18"/>
                <w:lang w:val="sr-Cyrl-CS"/>
              </w:rPr>
              <w:t xml:space="preserve"> </w:t>
            </w:r>
            <w:r w:rsidRPr="001B338A">
              <w:rPr>
                <w:rStyle w:val="Hyperlink"/>
                <w:rFonts w:asciiTheme="minorHAnsi" w:hAnsiTheme="minorHAnsi"/>
                <w:noProof/>
                <w:color w:val="auto"/>
                <w:sz w:val="18"/>
                <w:lang w:val="sr-Cyrl-CS"/>
              </w:rPr>
              <w:t>2.324.890</w:t>
            </w:r>
          </w:p>
        </w:tc>
        <w:tc>
          <w:tcPr>
            <w:tcW w:w="1952" w:type="dxa"/>
            <w:noWrap/>
            <w:vAlign w:val="center"/>
            <w:hideMark/>
          </w:tcPr>
          <w:p w14:paraId="481DDDB6" w14:textId="561C617B" w:rsidR="0068218E" w:rsidRPr="001B338A" w:rsidRDefault="0068218E" w:rsidP="006C0D6C">
            <w:pPr>
              <w:jc w:val="center"/>
              <w:cnfStyle w:val="010000000000" w:firstRow="0" w:lastRow="1" w:firstColumn="0" w:lastColumn="0" w:oddVBand="0" w:evenVBand="0" w:oddHBand="0" w:evenHBand="0" w:firstRowFirstColumn="0" w:firstRowLastColumn="0" w:lastRowFirstColumn="0" w:lastRowLastColumn="0"/>
              <w:rPr>
                <w:rFonts w:asciiTheme="minorHAnsi" w:hAnsiTheme="minorHAnsi"/>
                <w:noProof/>
                <w:color w:val="auto"/>
                <w:sz w:val="18"/>
                <w:szCs w:val="18"/>
                <w:lang w:val="sr-Cyrl-CS"/>
              </w:rPr>
            </w:pPr>
            <w:r w:rsidRPr="001B338A">
              <w:rPr>
                <w:rFonts w:asciiTheme="minorHAnsi" w:hAnsiTheme="minorHAnsi"/>
                <w:noProof/>
                <w:color w:val="auto"/>
                <w:sz w:val="18"/>
                <w:szCs w:val="18"/>
                <w:lang w:val="sr-Cyrl-CS"/>
              </w:rPr>
              <w:t>100%</w:t>
            </w:r>
          </w:p>
        </w:tc>
      </w:tr>
    </w:tbl>
    <w:p w14:paraId="7D254339" w14:textId="77777777" w:rsidR="000C73FE" w:rsidRDefault="000C73FE" w:rsidP="006C0D6C">
      <w:pPr>
        <w:spacing w:after="0"/>
        <w:ind w:right="-142"/>
        <w:jc w:val="center"/>
        <w:rPr>
          <w:rFonts w:ascii="Verdana" w:hAnsi="Verdana" w:cs="Tahoma"/>
          <w:b/>
          <w:i/>
          <w:noProof/>
          <w:sz w:val="24"/>
          <w:szCs w:val="20"/>
          <w:bdr w:val="none" w:sz="0" w:space="0" w:color="auto" w:frame="1"/>
          <w:lang w:val="sr-Cyrl-CS"/>
        </w:rPr>
      </w:pPr>
    </w:p>
    <w:p w14:paraId="11FFD98E" w14:textId="77777777" w:rsidR="001B338A" w:rsidRDefault="001B338A" w:rsidP="006C0D6C">
      <w:pPr>
        <w:spacing w:after="0"/>
        <w:ind w:right="-142"/>
        <w:jc w:val="center"/>
        <w:rPr>
          <w:rFonts w:ascii="Verdana" w:hAnsi="Verdana" w:cs="Tahoma"/>
          <w:b/>
          <w:i/>
          <w:noProof/>
          <w:sz w:val="24"/>
          <w:szCs w:val="20"/>
          <w:bdr w:val="none" w:sz="0" w:space="0" w:color="auto" w:frame="1"/>
          <w:lang w:val="sr-Cyrl-CS"/>
        </w:rPr>
      </w:pPr>
    </w:p>
    <w:p w14:paraId="1F49E771" w14:textId="77777777" w:rsidR="001B338A" w:rsidRPr="00BF3CDE" w:rsidRDefault="001B338A" w:rsidP="006C0D6C">
      <w:pPr>
        <w:spacing w:after="0"/>
        <w:ind w:right="-142"/>
        <w:jc w:val="center"/>
        <w:rPr>
          <w:rFonts w:ascii="Verdana" w:hAnsi="Verdana" w:cs="Tahoma"/>
          <w:b/>
          <w:i/>
          <w:noProof/>
          <w:sz w:val="24"/>
          <w:szCs w:val="20"/>
          <w:bdr w:val="none" w:sz="0" w:space="0" w:color="auto" w:frame="1"/>
          <w:lang w:val="sr-Cyrl-CS"/>
        </w:rPr>
      </w:pPr>
    </w:p>
    <w:p w14:paraId="7E505F2D" w14:textId="77777777" w:rsidR="006C0D6C" w:rsidRPr="00BF3CDE" w:rsidRDefault="006C0D6C" w:rsidP="00655CD0">
      <w:pPr>
        <w:pStyle w:val="Heading1"/>
        <w:numPr>
          <w:ilvl w:val="1"/>
          <w:numId w:val="6"/>
        </w:numPr>
        <w:spacing w:before="360" w:after="240"/>
        <w:jc w:val="left"/>
        <w:rPr>
          <w:rFonts w:asciiTheme="majorHAnsi" w:hAnsiTheme="majorHAnsi" w:cs="Tahoma"/>
          <w:i/>
          <w:noProof/>
          <w:color w:val="4F81BD"/>
          <w:sz w:val="22"/>
          <w:szCs w:val="18"/>
          <w:lang w:val="sr-Cyrl-CS"/>
        </w:rPr>
      </w:pPr>
      <w:bookmarkStart w:id="16" w:name="_Toc414356804"/>
      <w:r w:rsidRPr="00BF3CDE">
        <w:rPr>
          <w:rFonts w:asciiTheme="majorHAnsi" w:hAnsiTheme="majorHAnsi" w:cs="Tahoma"/>
          <w:i/>
          <w:noProof/>
          <w:color w:val="4F81BD"/>
          <w:sz w:val="22"/>
          <w:szCs w:val="18"/>
          <w:lang w:val="sr-Cyrl-CS"/>
        </w:rPr>
        <w:lastRenderedPageBreak/>
        <w:t>ПРЕМИЈА У САМОПРИДРЖАЈУ ДРУШТВА</w:t>
      </w:r>
      <w:bookmarkEnd w:id="16"/>
    </w:p>
    <w:p w14:paraId="6C604E10" w14:textId="77777777" w:rsidR="006C0D6C" w:rsidRPr="00BF3CDE" w:rsidRDefault="006C0D6C" w:rsidP="006C0D6C">
      <w:pPr>
        <w:spacing w:after="120"/>
        <w:ind w:firstLine="567"/>
        <w:jc w:val="both"/>
        <w:rPr>
          <w:rStyle w:val="Hyperlink"/>
          <w:noProof/>
          <w:color w:val="auto"/>
          <w:sz w:val="20"/>
          <w:szCs w:val="20"/>
          <w:lang w:val="sr-Cyrl-CS"/>
        </w:rPr>
      </w:pPr>
      <w:r w:rsidRPr="00BF3CDE">
        <w:rPr>
          <w:rStyle w:val="Hyperlink"/>
          <w:noProof/>
          <w:color w:val="auto"/>
          <w:sz w:val="20"/>
          <w:szCs w:val="20"/>
          <w:lang w:val="sr-Cyrl-CS"/>
        </w:rPr>
        <w:t>Премија реосигурања у самопридржају Друштва у периоду 01.01.2014 – 31.12.2014. године износи 367.254 хиљаде динара и мања је за 13,35% у односу на исти период претходне године, док је у односу на планиране вредности мања за 37,75%.</w:t>
      </w:r>
    </w:p>
    <w:p w14:paraId="459F9A72" w14:textId="77777777" w:rsidR="006C0D6C" w:rsidRPr="00BF3CDE" w:rsidRDefault="006C0D6C" w:rsidP="006C0D6C">
      <w:pPr>
        <w:spacing w:after="240" w:line="240" w:lineRule="auto"/>
        <w:ind w:right="-142"/>
        <w:jc w:val="center"/>
        <w:rPr>
          <w:rFonts w:ascii="Verdana" w:hAnsi="Verdana" w:cs="Tahoma"/>
          <w:b/>
          <w:i/>
          <w:noProof/>
          <w:sz w:val="20"/>
          <w:szCs w:val="20"/>
          <w:bdr w:val="none" w:sz="0" w:space="0" w:color="auto" w:frame="1"/>
          <w:lang w:val="sr-Cyrl-CS"/>
        </w:rPr>
      </w:pPr>
      <w:r w:rsidRPr="00BF3CDE">
        <w:rPr>
          <w:rFonts w:ascii="Verdana" w:hAnsi="Verdana" w:cs="Tahoma"/>
          <w:b/>
          <w:i/>
          <w:noProof/>
          <w:sz w:val="20"/>
          <w:szCs w:val="20"/>
          <w:bdr w:val="none" w:sz="0" w:space="0" w:color="auto" w:frame="1"/>
          <w:lang w:val="sr-Cyrl-CS"/>
        </w:rPr>
        <w:t>Премија у самопридржају Друштва у хиљадама динара</w:t>
      </w:r>
    </w:p>
    <w:tbl>
      <w:tblPr>
        <w:tblStyle w:val="MediumList1-Accent11"/>
        <w:tblW w:w="9288" w:type="dxa"/>
        <w:tblLayout w:type="fixed"/>
        <w:tblLook w:val="0420" w:firstRow="1" w:lastRow="0" w:firstColumn="0" w:lastColumn="0" w:noHBand="0" w:noVBand="1"/>
      </w:tblPr>
      <w:tblGrid>
        <w:gridCol w:w="1326"/>
        <w:gridCol w:w="1327"/>
        <w:gridCol w:w="1327"/>
        <w:gridCol w:w="1327"/>
        <w:gridCol w:w="1327"/>
        <w:gridCol w:w="1327"/>
        <w:gridCol w:w="1327"/>
      </w:tblGrid>
      <w:tr w:rsidR="006C0D6C" w:rsidRPr="00BF3CDE" w14:paraId="0004EA71" w14:textId="77777777" w:rsidTr="006C0D6C">
        <w:trPr>
          <w:cnfStyle w:val="100000000000" w:firstRow="1" w:lastRow="0" w:firstColumn="0" w:lastColumn="0" w:oddVBand="0" w:evenVBand="0" w:oddHBand="0" w:evenHBand="0" w:firstRowFirstColumn="0" w:firstRowLastColumn="0" w:lastRowFirstColumn="0" w:lastRowLastColumn="0"/>
          <w:trHeight w:val="219"/>
        </w:trPr>
        <w:tc>
          <w:tcPr>
            <w:tcW w:w="1326" w:type="dxa"/>
          </w:tcPr>
          <w:p w14:paraId="16F4F124"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2008</w:t>
            </w:r>
          </w:p>
        </w:tc>
        <w:tc>
          <w:tcPr>
            <w:tcW w:w="1327" w:type="dxa"/>
          </w:tcPr>
          <w:p w14:paraId="4DD3B0DE"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2009</w:t>
            </w:r>
          </w:p>
        </w:tc>
        <w:tc>
          <w:tcPr>
            <w:tcW w:w="1327" w:type="dxa"/>
          </w:tcPr>
          <w:p w14:paraId="4D3516BB"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2010</w:t>
            </w:r>
          </w:p>
        </w:tc>
        <w:tc>
          <w:tcPr>
            <w:tcW w:w="1327" w:type="dxa"/>
          </w:tcPr>
          <w:p w14:paraId="08B5D4DC"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2011</w:t>
            </w:r>
          </w:p>
        </w:tc>
        <w:tc>
          <w:tcPr>
            <w:tcW w:w="1327" w:type="dxa"/>
          </w:tcPr>
          <w:p w14:paraId="42B3B5FE"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2012</w:t>
            </w:r>
          </w:p>
        </w:tc>
        <w:tc>
          <w:tcPr>
            <w:tcW w:w="1327" w:type="dxa"/>
          </w:tcPr>
          <w:p w14:paraId="0359A25A"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2013</w:t>
            </w:r>
          </w:p>
        </w:tc>
        <w:tc>
          <w:tcPr>
            <w:tcW w:w="1327" w:type="dxa"/>
          </w:tcPr>
          <w:p w14:paraId="20B5F857"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2014</w:t>
            </w:r>
          </w:p>
        </w:tc>
      </w:tr>
      <w:tr w:rsidR="006C0D6C" w:rsidRPr="00BF3CDE" w14:paraId="157DACDB" w14:textId="77777777" w:rsidTr="006C0D6C">
        <w:trPr>
          <w:cnfStyle w:val="000000100000" w:firstRow="0" w:lastRow="0" w:firstColumn="0" w:lastColumn="0" w:oddVBand="0" w:evenVBand="0" w:oddHBand="1" w:evenHBand="0" w:firstRowFirstColumn="0" w:firstRowLastColumn="0" w:lastRowFirstColumn="0" w:lastRowLastColumn="0"/>
          <w:trHeight w:val="233"/>
        </w:trPr>
        <w:tc>
          <w:tcPr>
            <w:tcW w:w="1326" w:type="dxa"/>
          </w:tcPr>
          <w:p w14:paraId="57A29371"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991.288</w:t>
            </w:r>
          </w:p>
        </w:tc>
        <w:tc>
          <w:tcPr>
            <w:tcW w:w="1327" w:type="dxa"/>
          </w:tcPr>
          <w:p w14:paraId="12FF3E35"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1.320.269</w:t>
            </w:r>
          </w:p>
        </w:tc>
        <w:tc>
          <w:tcPr>
            <w:tcW w:w="1327" w:type="dxa"/>
          </w:tcPr>
          <w:p w14:paraId="650224A9"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1.306.407</w:t>
            </w:r>
          </w:p>
        </w:tc>
        <w:tc>
          <w:tcPr>
            <w:tcW w:w="1327" w:type="dxa"/>
          </w:tcPr>
          <w:p w14:paraId="1E454415"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1.073.017</w:t>
            </w:r>
          </w:p>
        </w:tc>
        <w:tc>
          <w:tcPr>
            <w:tcW w:w="1327" w:type="dxa"/>
          </w:tcPr>
          <w:p w14:paraId="6251A78D"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780.991</w:t>
            </w:r>
          </w:p>
        </w:tc>
        <w:tc>
          <w:tcPr>
            <w:tcW w:w="1327" w:type="dxa"/>
          </w:tcPr>
          <w:p w14:paraId="7195C8D3"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423.857</w:t>
            </w:r>
          </w:p>
        </w:tc>
        <w:tc>
          <w:tcPr>
            <w:tcW w:w="1327" w:type="dxa"/>
          </w:tcPr>
          <w:p w14:paraId="1A46497B"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367.254</w:t>
            </w:r>
          </w:p>
        </w:tc>
      </w:tr>
    </w:tbl>
    <w:p w14:paraId="115D17BE" w14:textId="77777777" w:rsidR="006C0D6C" w:rsidRPr="00BF3CDE" w:rsidRDefault="006C0D6C" w:rsidP="006C0D6C">
      <w:pPr>
        <w:spacing w:after="120"/>
        <w:jc w:val="both"/>
        <w:rPr>
          <w:rFonts w:ascii="Verdana" w:hAnsi="Verdana" w:cs="Tahoma"/>
          <w:noProof/>
          <w:color w:val="000000"/>
          <w:sz w:val="10"/>
          <w:szCs w:val="10"/>
          <w:lang w:val="sr-Cyrl-CS"/>
        </w:rPr>
      </w:pPr>
    </w:p>
    <w:p w14:paraId="3B6480C2" w14:textId="77777777" w:rsidR="006C0D6C" w:rsidRPr="00BF3CDE" w:rsidRDefault="006C0D6C" w:rsidP="006C0D6C">
      <w:pPr>
        <w:spacing w:after="120" w:line="240" w:lineRule="auto"/>
        <w:ind w:firstLine="851"/>
        <w:jc w:val="both"/>
        <w:rPr>
          <w:noProof/>
          <w:sz w:val="20"/>
          <w:szCs w:val="20"/>
          <w:lang w:val="sr-Cyrl-CS"/>
        </w:rPr>
      </w:pPr>
      <w:bookmarkStart w:id="17" w:name="_Toc319489031"/>
      <w:r w:rsidRPr="00BF3CDE">
        <w:rPr>
          <w:noProof/>
          <w:sz w:val="20"/>
          <w:szCs w:val="20"/>
          <w:lang w:val="sr-Cyrl-CS"/>
        </w:rPr>
        <w:t>Највећи пад премије у самопридржају о</w:t>
      </w:r>
      <w:r w:rsidRPr="00BF3CDE">
        <w:rPr>
          <w:rStyle w:val="Hyperlink"/>
          <w:noProof/>
          <w:color w:val="auto"/>
          <w:sz w:val="20"/>
          <w:szCs w:val="20"/>
          <w:lang w:val="sr-Cyrl-CS"/>
        </w:rPr>
        <w:t xml:space="preserve">стварене у периоду 01.01.2014 – 31.12.2014. године у односу на исти период претходне године </w:t>
      </w:r>
      <w:r w:rsidRPr="00BF3CDE">
        <w:rPr>
          <w:noProof/>
          <w:sz w:val="20"/>
          <w:szCs w:val="20"/>
          <w:lang w:val="sr-Cyrl-CS"/>
        </w:rPr>
        <w:t>забележен је у следећим врстама осигурања:</w:t>
      </w:r>
    </w:p>
    <w:p w14:paraId="19AC56D0" w14:textId="77777777" w:rsidR="006C0D6C" w:rsidRPr="00BF3CDE" w:rsidRDefault="006C0D6C" w:rsidP="00655CD0">
      <w:pPr>
        <w:numPr>
          <w:ilvl w:val="0"/>
          <w:numId w:val="15"/>
        </w:numPr>
        <w:spacing w:after="120"/>
        <w:ind w:left="1134" w:hanging="283"/>
        <w:jc w:val="both"/>
        <w:rPr>
          <w:noProof/>
          <w:sz w:val="20"/>
          <w:szCs w:val="20"/>
          <w:lang w:val="sr-Cyrl-CS"/>
        </w:rPr>
      </w:pPr>
      <w:r w:rsidRPr="00BF3CDE">
        <w:rPr>
          <w:b/>
          <w:noProof/>
          <w:sz w:val="20"/>
          <w:szCs w:val="20"/>
          <w:lang w:val="sr-Cyrl-CS"/>
        </w:rPr>
        <w:t xml:space="preserve">врста 01 </w:t>
      </w:r>
      <w:r w:rsidRPr="00BF3CDE">
        <w:rPr>
          <w:noProof/>
          <w:sz w:val="20"/>
          <w:szCs w:val="20"/>
          <w:lang w:val="sr-Cyrl-CS"/>
        </w:rPr>
        <w:t>– осигурање незгоде, где пад премије износи 22.376 хиљаде динара, односно 79%.</w:t>
      </w:r>
    </w:p>
    <w:p w14:paraId="038B3638" w14:textId="77777777" w:rsidR="006C0D6C" w:rsidRPr="00BF3CDE" w:rsidRDefault="006C0D6C" w:rsidP="006C0D6C">
      <w:pPr>
        <w:spacing w:after="120" w:line="240" w:lineRule="auto"/>
        <w:ind w:left="1134"/>
        <w:jc w:val="both"/>
        <w:rPr>
          <w:noProof/>
          <w:sz w:val="20"/>
          <w:szCs w:val="20"/>
          <w:lang w:val="sr-Cyrl-CS"/>
        </w:rPr>
      </w:pPr>
      <w:r w:rsidRPr="00BF3CDE">
        <w:rPr>
          <w:noProof/>
          <w:sz w:val="20"/>
          <w:szCs w:val="20"/>
          <w:lang w:val="sr-Cyrl-CS"/>
        </w:rPr>
        <w:t>Пад премије у врсти 01 узрокован је необнављањм учешћа Дунав Ре-а на уговорима на којима је учествовао као Реосигуравач у претходним годинима као и истеком истих.</w:t>
      </w:r>
    </w:p>
    <w:p w14:paraId="0EABAEDB" w14:textId="77777777" w:rsidR="006C0D6C" w:rsidRPr="00BF3CDE" w:rsidRDefault="006C0D6C" w:rsidP="00655CD0">
      <w:pPr>
        <w:numPr>
          <w:ilvl w:val="0"/>
          <w:numId w:val="15"/>
        </w:numPr>
        <w:spacing w:after="120"/>
        <w:ind w:left="1134" w:hanging="283"/>
        <w:jc w:val="both"/>
        <w:rPr>
          <w:noProof/>
          <w:sz w:val="20"/>
          <w:szCs w:val="20"/>
          <w:lang w:val="sr-Cyrl-CS"/>
        </w:rPr>
      </w:pPr>
      <w:r w:rsidRPr="00BF3CDE">
        <w:rPr>
          <w:b/>
          <w:noProof/>
          <w:sz w:val="20"/>
          <w:szCs w:val="20"/>
          <w:lang w:val="sr-Cyrl-CS"/>
        </w:rPr>
        <w:t>врста 09</w:t>
      </w:r>
      <w:r w:rsidRPr="00BF3CDE">
        <w:rPr>
          <w:noProof/>
          <w:sz w:val="20"/>
          <w:szCs w:val="20"/>
          <w:lang w:val="sr-Cyrl-CS"/>
        </w:rPr>
        <w:t xml:space="preserve"> – остала осигурања имовине, </w:t>
      </w:r>
      <w:r w:rsidRPr="00BF3CDE">
        <w:rPr>
          <w:rStyle w:val="Hyperlink"/>
          <w:noProof/>
          <w:color w:val="auto"/>
          <w:sz w:val="20"/>
          <w:szCs w:val="20"/>
          <w:lang w:val="sr-Cyrl-CS"/>
        </w:rPr>
        <w:t>где пад  премије износи 13.000 хиљадa динара, односно 12,14%;</w:t>
      </w:r>
    </w:p>
    <w:p w14:paraId="6B5FB6FC" w14:textId="77777777" w:rsidR="006C0D6C" w:rsidRPr="00BF3CDE" w:rsidRDefault="006C0D6C" w:rsidP="00655CD0">
      <w:pPr>
        <w:numPr>
          <w:ilvl w:val="0"/>
          <w:numId w:val="15"/>
        </w:numPr>
        <w:spacing w:after="120"/>
        <w:ind w:left="1134" w:hanging="283"/>
        <w:jc w:val="both"/>
        <w:rPr>
          <w:noProof/>
          <w:sz w:val="20"/>
          <w:szCs w:val="20"/>
          <w:lang w:val="sr-Cyrl-CS"/>
        </w:rPr>
      </w:pPr>
      <w:r w:rsidRPr="00BF3CDE">
        <w:rPr>
          <w:b/>
          <w:noProof/>
          <w:sz w:val="20"/>
          <w:szCs w:val="20"/>
          <w:lang w:val="sr-Cyrl-CS"/>
        </w:rPr>
        <w:t>врста 08</w:t>
      </w:r>
      <w:r w:rsidRPr="00BF3CDE">
        <w:rPr>
          <w:noProof/>
          <w:sz w:val="20"/>
          <w:szCs w:val="20"/>
          <w:lang w:val="sr-Cyrl-CS"/>
        </w:rPr>
        <w:t xml:space="preserve"> – </w:t>
      </w:r>
      <w:r w:rsidRPr="00BF3CDE">
        <w:rPr>
          <w:rStyle w:val="Hyperlink"/>
          <w:noProof/>
          <w:color w:val="auto"/>
          <w:sz w:val="20"/>
          <w:szCs w:val="20"/>
          <w:lang w:val="sr-Cyrl-CS"/>
        </w:rPr>
        <w:t>осигурање имовине од пожара и других опасности</w:t>
      </w:r>
      <w:r w:rsidRPr="00BF3CDE">
        <w:rPr>
          <w:noProof/>
          <w:sz w:val="20"/>
          <w:szCs w:val="20"/>
          <w:lang w:val="sr-Cyrl-CS"/>
        </w:rPr>
        <w:t xml:space="preserve">, </w:t>
      </w:r>
      <w:r w:rsidRPr="00BF3CDE">
        <w:rPr>
          <w:rStyle w:val="Hyperlink"/>
          <w:noProof/>
          <w:color w:val="auto"/>
          <w:sz w:val="20"/>
          <w:szCs w:val="20"/>
          <w:lang w:val="sr-Cyrl-CS"/>
        </w:rPr>
        <w:t>где пад премије износи 8.722 хиљада динара, односно 7,85%;</w:t>
      </w:r>
    </w:p>
    <w:p w14:paraId="51FBE0ED" w14:textId="77777777" w:rsidR="006C0D6C" w:rsidRPr="00BF3CDE" w:rsidRDefault="006C0D6C" w:rsidP="000C73FE">
      <w:pPr>
        <w:pStyle w:val="ListParagraph"/>
        <w:spacing w:before="240" w:after="120"/>
        <w:ind w:left="0" w:firstLine="992"/>
        <w:contextualSpacing w:val="0"/>
        <w:jc w:val="both"/>
        <w:rPr>
          <w:noProof/>
          <w:sz w:val="20"/>
          <w:szCs w:val="20"/>
          <w:lang w:val="sr-Cyrl-CS"/>
        </w:rPr>
      </w:pPr>
      <w:r w:rsidRPr="00BF3CDE">
        <w:rPr>
          <w:noProof/>
          <w:sz w:val="20"/>
          <w:szCs w:val="20"/>
          <w:lang w:val="sr-Cyrl-CS"/>
        </w:rPr>
        <w:t>У врстама 08 и 09 пад премије узрокован је првенствено падом премије реосигурања по имовинским и техничким гранама за ризике ЕПС-а. Наиме, у 2014. је смањена основа за даље реосигурање  ризика изнад самопридржаја Компаније, а самим тим је узрокован пад активне премије реосигурања као и премије у самопридржају Дунав Ре-а.</w:t>
      </w:r>
    </w:p>
    <w:p w14:paraId="46F0B5D8" w14:textId="77777777" w:rsidR="006C0D6C" w:rsidRPr="00BF3CDE" w:rsidRDefault="006C0D6C" w:rsidP="006C0D6C">
      <w:pPr>
        <w:pStyle w:val="ListParagraph"/>
        <w:spacing w:after="120"/>
        <w:ind w:left="0" w:firstLine="993"/>
        <w:jc w:val="both"/>
        <w:rPr>
          <w:noProof/>
          <w:sz w:val="20"/>
          <w:szCs w:val="20"/>
          <w:lang w:val="sr-Cyrl-CS"/>
        </w:rPr>
      </w:pPr>
    </w:p>
    <w:p w14:paraId="1B7CFFD4" w14:textId="77777777" w:rsidR="006C0D6C" w:rsidRPr="00BF3CDE" w:rsidRDefault="006C0D6C" w:rsidP="006C0D6C">
      <w:pPr>
        <w:pStyle w:val="ListParagraph"/>
        <w:spacing w:after="120"/>
        <w:ind w:left="0" w:firstLine="851"/>
        <w:jc w:val="both"/>
        <w:rPr>
          <w:noProof/>
          <w:sz w:val="20"/>
          <w:szCs w:val="20"/>
          <w:lang w:val="sr-Cyrl-CS"/>
        </w:rPr>
      </w:pPr>
      <w:r w:rsidRPr="00BF3CDE">
        <w:rPr>
          <w:noProof/>
          <w:sz w:val="20"/>
          <w:szCs w:val="20"/>
          <w:lang w:val="sr-Cyrl-CS"/>
        </w:rPr>
        <w:t>Такође, у овим врстама нису успостављена реосигуравајућа покрића која су уговарана претходних година (заштита имовинских ризика у самопридржају Компаније Дунав осигурање, пољопривреда, имовинска покрића цедената ван Дунав групе и друга покрића која су генерисала значајне износе активне, а и премије у самопридржају.</w:t>
      </w:r>
    </w:p>
    <w:p w14:paraId="256F321F" w14:textId="77777777" w:rsidR="006C0D6C" w:rsidRPr="00BF3CDE" w:rsidRDefault="006C0D6C" w:rsidP="00655CD0">
      <w:pPr>
        <w:numPr>
          <w:ilvl w:val="0"/>
          <w:numId w:val="15"/>
        </w:numPr>
        <w:spacing w:after="120" w:line="240" w:lineRule="auto"/>
        <w:ind w:left="714" w:hanging="357"/>
        <w:jc w:val="both"/>
        <w:rPr>
          <w:noProof/>
          <w:sz w:val="20"/>
          <w:szCs w:val="20"/>
          <w:lang w:val="sr-Cyrl-CS"/>
        </w:rPr>
      </w:pPr>
      <w:r w:rsidRPr="00BF3CDE">
        <w:rPr>
          <w:b/>
          <w:noProof/>
          <w:sz w:val="20"/>
          <w:szCs w:val="20"/>
          <w:lang w:val="sr-Cyrl-CS"/>
        </w:rPr>
        <w:t>врста 03</w:t>
      </w:r>
      <w:r w:rsidRPr="00BF3CDE">
        <w:rPr>
          <w:noProof/>
          <w:sz w:val="20"/>
          <w:szCs w:val="20"/>
          <w:lang w:val="sr-Cyrl-CS"/>
        </w:rPr>
        <w:t xml:space="preserve"> – осигурање моторних возила, где пад премије износи 11.198 хиљаде динара, односно 9,78%.</w:t>
      </w:r>
    </w:p>
    <w:p w14:paraId="35E29B64" w14:textId="77777777" w:rsidR="006C0D6C" w:rsidRPr="00BF3CDE" w:rsidRDefault="006C0D6C" w:rsidP="006C0D6C">
      <w:pPr>
        <w:spacing w:after="120"/>
        <w:ind w:left="720"/>
        <w:jc w:val="both"/>
        <w:rPr>
          <w:noProof/>
          <w:sz w:val="20"/>
          <w:szCs w:val="20"/>
          <w:lang w:val="sr-Cyrl-CS"/>
        </w:rPr>
      </w:pPr>
      <w:r w:rsidRPr="00BF3CDE">
        <w:rPr>
          <w:noProof/>
          <w:sz w:val="20"/>
          <w:szCs w:val="20"/>
          <w:lang w:val="sr-Cyrl-CS"/>
        </w:rPr>
        <w:t>Пад премије у врсти 03 узрокован је:</w:t>
      </w:r>
    </w:p>
    <w:p w14:paraId="517013C8" w14:textId="77777777" w:rsidR="006C0D6C" w:rsidRPr="00BF3CDE" w:rsidRDefault="006C0D6C" w:rsidP="00655CD0">
      <w:pPr>
        <w:pStyle w:val="ListParagraph"/>
        <w:numPr>
          <w:ilvl w:val="1"/>
          <w:numId w:val="28"/>
        </w:numPr>
        <w:spacing w:after="120"/>
        <w:jc w:val="both"/>
        <w:rPr>
          <w:noProof/>
          <w:sz w:val="20"/>
          <w:szCs w:val="20"/>
          <w:lang w:val="sr-Cyrl-CS"/>
        </w:rPr>
      </w:pPr>
      <w:r w:rsidRPr="00BF3CDE">
        <w:rPr>
          <w:noProof/>
          <w:sz w:val="20"/>
          <w:szCs w:val="20"/>
          <w:lang w:val="sr-Cyrl-CS"/>
        </w:rPr>
        <w:t>истеком прилива преносне премије реосигурања за портфељ аутокаска</w:t>
      </w:r>
    </w:p>
    <w:p w14:paraId="53B3D24C" w14:textId="77777777" w:rsidR="006C0D6C" w:rsidRPr="00BF3CDE" w:rsidRDefault="006C0D6C" w:rsidP="006C0D6C">
      <w:pPr>
        <w:pStyle w:val="ListParagraph"/>
        <w:spacing w:after="120"/>
        <w:ind w:left="1440"/>
        <w:jc w:val="both"/>
        <w:rPr>
          <w:noProof/>
          <w:sz w:val="20"/>
          <w:szCs w:val="20"/>
          <w:lang w:val="sr-Cyrl-CS"/>
        </w:rPr>
      </w:pPr>
      <w:r w:rsidRPr="00BF3CDE">
        <w:rPr>
          <w:noProof/>
          <w:sz w:val="20"/>
          <w:szCs w:val="20"/>
          <w:lang w:val="sr-Cyrl-CS"/>
        </w:rPr>
        <w:t>и</w:t>
      </w:r>
    </w:p>
    <w:p w14:paraId="34978401" w14:textId="77777777" w:rsidR="006C0D6C" w:rsidRPr="00BF3CDE" w:rsidRDefault="006C0D6C" w:rsidP="00655CD0">
      <w:pPr>
        <w:pStyle w:val="ListParagraph"/>
        <w:numPr>
          <w:ilvl w:val="1"/>
          <w:numId w:val="28"/>
        </w:numPr>
        <w:spacing w:after="120"/>
        <w:jc w:val="both"/>
        <w:rPr>
          <w:noProof/>
          <w:sz w:val="20"/>
          <w:szCs w:val="20"/>
          <w:lang w:val="sr-Cyrl-CS"/>
        </w:rPr>
      </w:pPr>
      <w:r w:rsidRPr="00BF3CDE">
        <w:rPr>
          <w:noProof/>
          <w:sz w:val="20"/>
          <w:szCs w:val="20"/>
          <w:lang w:val="sr-Cyrl-CS"/>
        </w:rPr>
        <w:t>није реализовано реосигуравајуће покриће портфеља аутокаска Компаније Дунав осигурање.</w:t>
      </w:r>
    </w:p>
    <w:p w14:paraId="33AFDE66" w14:textId="77777777" w:rsidR="006C0D6C" w:rsidRPr="00BF3CDE" w:rsidRDefault="006C0D6C" w:rsidP="006C0D6C">
      <w:pPr>
        <w:spacing w:after="120"/>
        <w:ind w:left="709"/>
        <w:jc w:val="both"/>
        <w:rPr>
          <w:noProof/>
          <w:sz w:val="20"/>
          <w:szCs w:val="20"/>
          <w:lang w:val="sr-Cyrl-CS"/>
        </w:rPr>
      </w:pPr>
      <w:r w:rsidRPr="00BF3CDE">
        <w:rPr>
          <w:noProof/>
          <w:sz w:val="20"/>
          <w:szCs w:val="20"/>
          <w:lang w:val="sr-Cyrl-CS"/>
        </w:rPr>
        <w:t>Реосигуравајуће покриће порфеља аутокаска Компаније Дунав осигурање је било укључено у план за 2014. годину (планирано је квотно реосигурње у односу 90:10).</w:t>
      </w:r>
    </w:p>
    <w:p w14:paraId="2F074F85" w14:textId="71409F22" w:rsidR="006C0D6C" w:rsidRPr="00BF3CDE" w:rsidRDefault="006C0D6C" w:rsidP="006C0D6C">
      <w:pPr>
        <w:rPr>
          <w:noProof/>
          <w:sz w:val="20"/>
          <w:szCs w:val="20"/>
          <w:lang w:val="sr-Cyrl-CS"/>
        </w:rPr>
      </w:pPr>
    </w:p>
    <w:tbl>
      <w:tblPr>
        <w:tblpPr w:leftFromText="180" w:rightFromText="180" w:vertAnchor="text" w:horzAnchor="page" w:tblpX="7844" w:tblpY="-126"/>
        <w:tblW w:w="3160" w:type="dxa"/>
        <w:tblLook w:val="04A0" w:firstRow="1" w:lastRow="0" w:firstColumn="1" w:lastColumn="0" w:noHBand="0" w:noVBand="1"/>
      </w:tblPr>
      <w:tblGrid>
        <w:gridCol w:w="2367"/>
        <w:gridCol w:w="793"/>
      </w:tblGrid>
      <w:tr w:rsidR="006C0D6C" w:rsidRPr="00BF3CDE" w14:paraId="2E3DFF27" w14:textId="77777777" w:rsidTr="006C0D6C">
        <w:trPr>
          <w:trHeight w:val="241"/>
        </w:trPr>
        <w:tc>
          <w:tcPr>
            <w:tcW w:w="2367" w:type="dxa"/>
            <w:tcBorders>
              <w:top w:val="nil"/>
              <w:left w:val="nil"/>
              <w:bottom w:val="nil"/>
              <w:right w:val="nil"/>
            </w:tcBorders>
            <w:shd w:val="clear" w:color="auto" w:fill="auto"/>
            <w:vAlign w:val="bottom"/>
            <w:hideMark/>
          </w:tcPr>
          <w:p w14:paraId="468275C3" w14:textId="77777777" w:rsidR="006C0D6C" w:rsidRPr="00BF3CDE" w:rsidRDefault="006C0D6C" w:rsidP="006C0D6C">
            <w:pPr>
              <w:spacing w:after="0" w:line="240" w:lineRule="auto"/>
              <w:rPr>
                <w:rFonts w:ascii="Verdana" w:hAnsi="Verdana"/>
                <w:noProof/>
                <w:sz w:val="14"/>
                <w:szCs w:val="14"/>
                <w:lang w:val="sr-Cyrl-CS"/>
              </w:rPr>
            </w:pPr>
            <w:r w:rsidRPr="00BF3CDE">
              <w:rPr>
                <w:rFonts w:ascii="Verdana" w:hAnsi="Verdana"/>
                <w:noProof/>
                <w:sz w:val="14"/>
                <w:szCs w:val="14"/>
                <w:lang w:val="sr-Cyrl-CS"/>
              </w:rPr>
              <w:lastRenderedPageBreak/>
              <w:t>DUNAV OSIGURANJE</w:t>
            </w:r>
          </w:p>
        </w:tc>
        <w:tc>
          <w:tcPr>
            <w:tcW w:w="793" w:type="dxa"/>
            <w:tcBorders>
              <w:top w:val="nil"/>
              <w:left w:val="nil"/>
              <w:bottom w:val="nil"/>
              <w:right w:val="nil"/>
            </w:tcBorders>
            <w:shd w:val="clear" w:color="auto" w:fill="auto"/>
            <w:noWrap/>
            <w:vAlign w:val="center"/>
            <w:hideMark/>
          </w:tcPr>
          <w:p w14:paraId="15EC8884" w14:textId="77777777" w:rsidR="006C0D6C" w:rsidRPr="00BF3CDE" w:rsidRDefault="006C0D6C" w:rsidP="006C0D6C">
            <w:pPr>
              <w:spacing w:after="0" w:line="240" w:lineRule="auto"/>
              <w:jc w:val="right"/>
              <w:rPr>
                <w:rFonts w:ascii="Verdana" w:hAnsi="Verdana"/>
                <w:noProof/>
                <w:sz w:val="14"/>
                <w:szCs w:val="14"/>
                <w:lang w:val="sr-Cyrl-CS"/>
              </w:rPr>
            </w:pPr>
            <w:r w:rsidRPr="00BF3CDE">
              <w:rPr>
                <w:rFonts w:ascii="Verdana" w:hAnsi="Verdana"/>
                <w:noProof/>
                <w:sz w:val="14"/>
                <w:szCs w:val="14"/>
                <w:lang w:val="sr-Cyrl-CS"/>
              </w:rPr>
              <w:t>21,72%</w:t>
            </w:r>
          </w:p>
        </w:tc>
      </w:tr>
      <w:tr w:rsidR="006C0D6C" w:rsidRPr="00BF3CDE" w14:paraId="770687C5" w14:textId="77777777" w:rsidTr="006C0D6C">
        <w:trPr>
          <w:trHeight w:val="241"/>
        </w:trPr>
        <w:tc>
          <w:tcPr>
            <w:tcW w:w="2367" w:type="dxa"/>
            <w:tcBorders>
              <w:top w:val="nil"/>
              <w:left w:val="nil"/>
              <w:bottom w:val="nil"/>
              <w:right w:val="nil"/>
            </w:tcBorders>
            <w:shd w:val="clear" w:color="auto" w:fill="auto"/>
            <w:vAlign w:val="bottom"/>
            <w:hideMark/>
          </w:tcPr>
          <w:p w14:paraId="1B7254C9" w14:textId="77777777" w:rsidR="006C0D6C" w:rsidRPr="00BF3CDE" w:rsidRDefault="006C0D6C" w:rsidP="006C0D6C">
            <w:pPr>
              <w:spacing w:after="0" w:line="240" w:lineRule="auto"/>
              <w:rPr>
                <w:rFonts w:ascii="Verdana" w:hAnsi="Verdana"/>
                <w:noProof/>
                <w:sz w:val="14"/>
                <w:szCs w:val="14"/>
                <w:lang w:val="sr-Cyrl-CS"/>
              </w:rPr>
            </w:pPr>
            <w:r w:rsidRPr="00BF3CDE">
              <w:rPr>
                <w:rFonts w:ascii="Verdana" w:hAnsi="Verdana"/>
                <w:noProof/>
                <w:sz w:val="14"/>
                <w:szCs w:val="14"/>
                <w:lang w:val="sr-Cyrl-CS"/>
              </w:rPr>
              <w:t>SAVA OSIGURANJE</w:t>
            </w:r>
          </w:p>
        </w:tc>
        <w:tc>
          <w:tcPr>
            <w:tcW w:w="793" w:type="dxa"/>
            <w:tcBorders>
              <w:top w:val="nil"/>
              <w:left w:val="nil"/>
              <w:bottom w:val="nil"/>
              <w:right w:val="nil"/>
            </w:tcBorders>
            <w:shd w:val="clear" w:color="auto" w:fill="auto"/>
            <w:noWrap/>
            <w:vAlign w:val="center"/>
            <w:hideMark/>
          </w:tcPr>
          <w:p w14:paraId="0C2B5FCA" w14:textId="77777777" w:rsidR="006C0D6C" w:rsidRPr="00BF3CDE" w:rsidRDefault="006C0D6C" w:rsidP="006C0D6C">
            <w:pPr>
              <w:spacing w:after="0" w:line="240" w:lineRule="auto"/>
              <w:jc w:val="right"/>
              <w:rPr>
                <w:rFonts w:ascii="Verdana" w:hAnsi="Verdana"/>
                <w:noProof/>
                <w:sz w:val="14"/>
                <w:szCs w:val="14"/>
                <w:lang w:val="sr-Cyrl-CS"/>
              </w:rPr>
            </w:pPr>
            <w:r w:rsidRPr="00BF3CDE">
              <w:rPr>
                <w:rFonts w:ascii="Verdana" w:hAnsi="Verdana"/>
                <w:noProof/>
                <w:sz w:val="14"/>
                <w:szCs w:val="14"/>
                <w:lang w:val="sr-Cyrl-CS"/>
              </w:rPr>
              <w:t>16,58%</w:t>
            </w:r>
          </w:p>
        </w:tc>
      </w:tr>
      <w:tr w:rsidR="006C0D6C" w:rsidRPr="00BF3CDE" w14:paraId="2CCE3702" w14:textId="77777777" w:rsidTr="006C0D6C">
        <w:trPr>
          <w:trHeight w:val="241"/>
        </w:trPr>
        <w:tc>
          <w:tcPr>
            <w:tcW w:w="2367" w:type="dxa"/>
            <w:tcBorders>
              <w:top w:val="nil"/>
              <w:left w:val="nil"/>
              <w:bottom w:val="nil"/>
              <w:right w:val="nil"/>
            </w:tcBorders>
            <w:shd w:val="clear" w:color="auto" w:fill="auto"/>
            <w:vAlign w:val="center"/>
            <w:hideMark/>
          </w:tcPr>
          <w:p w14:paraId="50938408" w14:textId="77777777" w:rsidR="006C0D6C" w:rsidRPr="00BF3CDE" w:rsidRDefault="006C0D6C" w:rsidP="006C0D6C">
            <w:pPr>
              <w:spacing w:after="0" w:line="240" w:lineRule="auto"/>
              <w:rPr>
                <w:rFonts w:ascii="Verdana" w:hAnsi="Verdana"/>
                <w:noProof/>
                <w:sz w:val="14"/>
                <w:szCs w:val="14"/>
                <w:lang w:val="sr-Cyrl-CS"/>
              </w:rPr>
            </w:pPr>
            <w:r w:rsidRPr="00BF3CDE">
              <w:rPr>
                <w:rFonts w:ascii="Verdana" w:hAnsi="Verdana"/>
                <w:noProof/>
                <w:sz w:val="14"/>
                <w:szCs w:val="14"/>
                <w:lang w:val="sr-Cyrl-CS"/>
              </w:rPr>
              <w:t>WIENER RE</w:t>
            </w:r>
          </w:p>
        </w:tc>
        <w:tc>
          <w:tcPr>
            <w:tcW w:w="793" w:type="dxa"/>
            <w:tcBorders>
              <w:top w:val="nil"/>
              <w:left w:val="nil"/>
              <w:bottom w:val="nil"/>
              <w:right w:val="nil"/>
            </w:tcBorders>
            <w:shd w:val="clear" w:color="auto" w:fill="auto"/>
            <w:noWrap/>
            <w:vAlign w:val="center"/>
            <w:hideMark/>
          </w:tcPr>
          <w:p w14:paraId="463CFD4C" w14:textId="77777777" w:rsidR="006C0D6C" w:rsidRPr="00BF3CDE" w:rsidRDefault="006C0D6C" w:rsidP="006C0D6C">
            <w:pPr>
              <w:spacing w:after="0" w:line="240" w:lineRule="auto"/>
              <w:jc w:val="right"/>
              <w:rPr>
                <w:rFonts w:ascii="Verdana" w:hAnsi="Verdana"/>
                <w:noProof/>
                <w:sz w:val="14"/>
                <w:szCs w:val="14"/>
                <w:lang w:val="sr-Cyrl-CS"/>
              </w:rPr>
            </w:pPr>
            <w:r w:rsidRPr="00BF3CDE">
              <w:rPr>
                <w:rFonts w:ascii="Verdana" w:hAnsi="Verdana"/>
                <w:noProof/>
                <w:sz w:val="14"/>
                <w:szCs w:val="14"/>
                <w:lang w:val="sr-Cyrl-CS"/>
              </w:rPr>
              <w:t>4,69%</w:t>
            </w:r>
          </w:p>
        </w:tc>
      </w:tr>
      <w:tr w:rsidR="006C0D6C" w:rsidRPr="00BF3CDE" w14:paraId="31E810CF" w14:textId="77777777" w:rsidTr="006C0D6C">
        <w:trPr>
          <w:trHeight w:val="241"/>
        </w:trPr>
        <w:tc>
          <w:tcPr>
            <w:tcW w:w="2367" w:type="dxa"/>
            <w:tcBorders>
              <w:top w:val="nil"/>
              <w:left w:val="nil"/>
              <w:bottom w:val="nil"/>
              <w:right w:val="nil"/>
            </w:tcBorders>
            <w:shd w:val="clear" w:color="auto" w:fill="auto"/>
            <w:vAlign w:val="bottom"/>
            <w:hideMark/>
          </w:tcPr>
          <w:p w14:paraId="7E211EDD" w14:textId="77777777" w:rsidR="006C0D6C" w:rsidRPr="00BF3CDE" w:rsidRDefault="006C0D6C" w:rsidP="006C0D6C">
            <w:pPr>
              <w:spacing w:after="0" w:line="240" w:lineRule="auto"/>
              <w:rPr>
                <w:rFonts w:ascii="Verdana" w:hAnsi="Verdana"/>
                <w:noProof/>
                <w:sz w:val="14"/>
                <w:szCs w:val="14"/>
                <w:lang w:val="sr-Cyrl-CS"/>
              </w:rPr>
            </w:pPr>
            <w:r w:rsidRPr="00BF3CDE">
              <w:rPr>
                <w:rFonts w:ascii="Verdana" w:hAnsi="Verdana"/>
                <w:noProof/>
                <w:sz w:val="14"/>
                <w:szCs w:val="14"/>
                <w:lang w:val="sr-Cyrl-CS"/>
              </w:rPr>
              <w:t>MERKUR OSIGURANJE</w:t>
            </w:r>
          </w:p>
        </w:tc>
        <w:tc>
          <w:tcPr>
            <w:tcW w:w="793" w:type="dxa"/>
            <w:tcBorders>
              <w:top w:val="nil"/>
              <w:left w:val="nil"/>
              <w:bottom w:val="nil"/>
              <w:right w:val="nil"/>
            </w:tcBorders>
            <w:shd w:val="clear" w:color="auto" w:fill="auto"/>
            <w:noWrap/>
            <w:vAlign w:val="center"/>
            <w:hideMark/>
          </w:tcPr>
          <w:p w14:paraId="57AA0E01" w14:textId="77777777" w:rsidR="006C0D6C" w:rsidRPr="00BF3CDE" w:rsidRDefault="006C0D6C" w:rsidP="006C0D6C">
            <w:pPr>
              <w:spacing w:after="0" w:line="240" w:lineRule="auto"/>
              <w:jc w:val="right"/>
              <w:rPr>
                <w:rFonts w:ascii="Verdana" w:hAnsi="Verdana"/>
                <w:noProof/>
                <w:sz w:val="14"/>
                <w:szCs w:val="14"/>
                <w:lang w:val="sr-Cyrl-CS"/>
              </w:rPr>
            </w:pPr>
            <w:r w:rsidRPr="00BF3CDE">
              <w:rPr>
                <w:rFonts w:ascii="Verdana" w:hAnsi="Verdana"/>
                <w:noProof/>
                <w:sz w:val="14"/>
                <w:szCs w:val="14"/>
                <w:lang w:val="sr-Cyrl-CS"/>
              </w:rPr>
              <w:t>2,63%</w:t>
            </w:r>
          </w:p>
        </w:tc>
      </w:tr>
      <w:tr w:rsidR="006C0D6C" w:rsidRPr="00BF3CDE" w14:paraId="7073BC04" w14:textId="77777777" w:rsidTr="006C0D6C">
        <w:trPr>
          <w:trHeight w:val="241"/>
        </w:trPr>
        <w:tc>
          <w:tcPr>
            <w:tcW w:w="2367" w:type="dxa"/>
            <w:tcBorders>
              <w:top w:val="nil"/>
              <w:left w:val="nil"/>
              <w:bottom w:val="nil"/>
              <w:right w:val="nil"/>
            </w:tcBorders>
            <w:shd w:val="clear" w:color="auto" w:fill="auto"/>
            <w:vAlign w:val="bottom"/>
            <w:hideMark/>
          </w:tcPr>
          <w:p w14:paraId="2ED9A3E0" w14:textId="77777777" w:rsidR="006C0D6C" w:rsidRPr="00BF3CDE" w:rsidRDefault="006C0D6C" w:rsidP="006C0D6C">
            <w:pPr>
              <w:spacing w:after="0" w:line="240" w:lineRule="auto"/>
              <w:rPr>
                <w:rFonts w:ascii="Verdana" w:hAnsi="Verdana"/>
                <w:noProof/>
                <w:sz w:val="14"/>
                <w:szCs w:val="14"/>
                <w:lang w:val="sr-Cyrl-CS"/>
              </w:rPr>
            </w:pPr>
            <w:r w:rsidRPr="00BF3CDE">
              <w:rPr>
                <w:rFonts w:ascii="Verdana" w:hAnsi="Verdana"/>
                <w:noProof/>
                <w:sz w:val="14"/>
                <w:szCs w:val="14"/>
                <w:lang w:val="sr-Cyrl-CS"/>
              </w:rPr>
              <w:t>ENEROPROJEKT GARANT OSIGURANJE</w:t>
            </w:r>
          </w:p>
        </w:tc>
        <w:tc>
          <w:tcPr>
            <w:tcW w:w="793" w:type="dxa"/>
            <w:tcBorders>
              <w:top w:val="nil"/>
              <w:left w:val="nil"/>
              <w:bottom w:val="nil"/>
              <w:right w:val="nil"/>
            </w:tcBorders>
            <w:shd w:val="clear" w:color="auto" w:fill="auto"/>
            <w:noWrap/>
            <w:vAlign w:val="center"/>
            <w:hideMark/>
          </w:tcPr>
          <w:p w14:paraId="6E709792" w14:textId="77777777" w:rsidR="006C0D6C" w:rsidRPr="00BF3CDE" w:rsidRDefault="006C0D6C" w:rsidP="006C0D6C">
            <w:pPr>
              <w:spacing w:after="0" w:line="240" w:lineRule="auto"/>
              <w:jc w:val="right"/>
              <w:rPr>
                <w:rFonts w:ascii="Verdana" w:hAnsi="Verdana"/>
                <w:noProof/>
                <w:sz w:val="14"/>
                <w:szCs w:val="14"/>
                <w:lang w:val="sr-Cyrl-CS"/>
              </w:rPr>
            </w:pPr>
            <w:r w:rsidRPr="00BF3CDE">
              <w:rPr>
                <w:rFonts w:ascii="Verdana" w:hAnsi="Verdana"/>
                <w:noProof/>
                <w:sz w:val="14"/>
                <w:szCs w:val="14"/>
                <w:lang w:val="sr-Cyrl-CS"/>
              </w:rPr>
              <w:t>1,92%</w:t>
            </w:r>
          </w:p>
        </w:tc>
      </w:tr>
      <w:tr w:rsidR="006C0D6C" w:rsidRPr="00BF3CDE" w14:paraId="78B84812" w14:textId="77777777" w:rsidTr="006C0D6C">
        <w:trPr>
          <w:trHeight w:val="241"/>
        </w:trPr>
        <w:tc>
          <w:tcPr>
            <w:tcW w:w="2367" w:type="dxa"/>
            <w:tcBorders>
              <w:top w:val="nil"/>
              <w:left w:val="nil"/>
              <w:bottom w:val="nil"/>
              <w:right w:val="nil"/>
            </w:tcBorders>
            <w:shd w:val="clear" w:color="auto" w:fill="auto"/>
            <w:vAlign w:val="bottom"/>
            <w:hideMark/>
          </w:tcPr>
          <w:p w14:paraId="2300C896" w14:textId="77777777" w:rsidR="006C0D6C" w:rsidRPr="00BF3CDE" w:rsidRDefault="006C0D6C" w:rsidP="006C0D6C">
            <w:pPr>
              <w:spacing w:after="0" w:line="240" w:lineRule="auto"/>
              <w:rPr>
                <w:rFonts w:ascii="Verdana" w:hAnsi="Verdana"/>
                <w:noProof/>
                <w:sz w:val="14"/>
                <w:szCs w:val="14"/>
                <w:lang w:val="sr-Cyrl-CS"/>
              </w:rPr>
            </w:pPr>
            <w:r w:rsidRPr="00BF3CDE">
              <w:rPr>
                <w:rFonts w:ascii="Verdana" w:hAnsi="Verdana"/>
                <w:noProof/>
                <w:sz w:val="14"/>
                <w:szCs w:val="14"/>
                <w:lang w:val="sr-Cyrl-CS"/>
              </w:rPr>
              <w:t>AS OSIGURANJE</w:t>
            </w:r>
          </w:p>
        </w:tc>
        <w:tc>
          <w:tcPr>
            <w:tcW w:w="793" w:type="dxa"/>
            <w:tcBorders>
              <w:top w:val="nil"/>
              <w:left w:val="nil"/>
              <w:bottom w:val="nil"/>
              <w:right w:val="nil"/>
            </w:tcBorders>
            <w:shd w:val="clear" w:color="auto" w:fill="auto"/>
            <w:noWrap/>
            <w:vAlign w:val="center"/>
            <w:hideMark/>
          </w:tcPr>
          <w:p w14:paraId="701BE1F4" w14:textId="77777777" w:rsidR="006C0D6C" w:rsidRPr="00BF3CDE" w:rsidRDefault="006C0D6C" w:rsidP="006C0D6C">
            <w:pPr>
              <w:spacing w:after="0" w:line="240" w:lineRule="auto"/>
              <w:jc w:val="right"/>
              <w:rPr>
                <w:rFonts w:ascii="Verdana" w:hAnsi="Verdana"/>
                <w:noProof/>
                <w:sz w:val="14"/>
                <w:szCs w:val="14"/>
                <w:lang w:val="sr-Cyrl-CS"/>
              </w:rPr>
            </w:pPr>
            <w:r w:rsidRPr="00BF3CDE">
              <w:rPr>
                <w:rFonts w:ascii="Verdana" w:hAnsi="Verdana"/>
                <w:noProof/>
                <w:sz w:val="14"/>
                <w:szCs w:val="14"/>
                <w:lang w:val="sr-Cyrl-CS"/>
              </w:rPr>
              <w:t>1,67%</w:t>
            </w:r>
          </w:p>
        </w:tc>
      </w:tr>
      <w:tr w:rsidR="006C0D6C" w:rsidRPr="00BF3CDE" w14:paraId="563B14DB" w14:textId="77777777" w:rsidTr="006C0D6C">
        <w:trPr>
          <w:trHeight w:val="241"/>
        </w:trPr>
        <w:tc>
          <w:tcPr>
            <w:tcW w:w="2367" w:type="dxa"/>
            <w:tcBorders>
              <w:top w:val="nil"/>
              <w:left w:val="nil"/>
              <w:bottom w:val="nil"/>
              <w:right w:val="nil"/>
            </w:tcBorders>
            <w:shd w:val="clear" w:color="auto" w:fill="auto"/>
            <w:vAlign w:val="bottom"/>
            <w:hideMark/>
          </w:tcPr>
          <w:p w14:paraId="50B1D33F" w14:textId="77777777" w:rsidR="006C0D6C" w:rsidRPr="00BF3CDE" w:rsidRDefault="006C0D6C" w:rsidP="006C0D6C">
            <w:pPr>
              <w:spacing w:after="0" w:line="240" w:lineRule="auto"/>
              <w:rPr>
                <w:rFonts w:ascii="Verdana" w:hAnsi="Verdana"/>
                <w:noProof/>
                <w:sz w:val="14"/>
                <w:szCs w:val="14"/>
                <w:lang w:val="sr-Cyrl-CS"/>
              </w:rPr>
            </w:pPr>
            <w:r w:rsidRPr="00BF3CDE">
              <w:rPr>
                <w:rFonts w:ascii="Verdana" w:hAnsi="Verdana"/>
                <w:noProof/>
                <w:sz w:val="14"/>
                <w:szCs w:val="14"/>
                <w:lang w:val="sr-Cyrl-CS"/>
              </w:rPr>
              <w:t>UDRUŽENJE OSIGURAVAČA SRBIJE</w:t>
            </w:r>
          </w:p>
        </w:tc>
        <w:tc>
          <w:tcPr>
            <w:tcW w:w="793" w:type="dxa"/>
            <w:tcBorders>
              <w:top w:val="nil"/>
              <w:left w:val="nil"/>
              <w:bottom w:val="nil"/>
              <w:right w:val="nil"/>
            </w:tcBorders>
            <w:shd w:val="clear" w:color="auto" w:fill="auto"/>
            <w:noWrap/>
            <w:vAlign w:val="center"/>
            <w:hideMark/>
          </w:tcPr>
          <w:p w14:paraId="510209B4" w14:textId="77777777" w:rsidR="006C0D6C" w:rsidRPr="00BF3CDE" w:rsidRDefault="006C0D6C" w:rsidP="006C0D6C">
            <w:pPr>
              <w:spacing w:after="0" w:line="240" w:lineRule="auto"/>
              <w:jc w:val="right"/>
              <w:rPr>
                <w:rFonts w:ascii="Verdana" w:hAnsi="Verdana"/>
                <w:noProof/>
                <w:sz w:val="14"/>
                <w:szCs w:val="14"/>
                <w:lang w:val="sr-Cyrl-CS"/>
              </w:rPr>
            </w:pPr>
            <w:r w:rsidRPr="00BF3CDE">
              <w:rPr>
                <w:rFonts w:ascii="Verdana" w:hAnsi="Verdana"/>
                <w:noProof/>
                <w:sz w:val="14"/>
                <w:szCs w:val="14"/>
                <w:lang w:val="sr-Cyrl-CS"/>
              </w:rPr>
              <w:t>1,50%</w:t>
            </w:r>
          </w:p>
        </w:tc>
      </w:tr>
      <w:tr w:rsidR="006C0D6C" w:rsidRPr="00BF3CDE" w14:paraId="5879B3A0" w14:textId="77777777" w:rsidTr="006C0D6C">
        <w:trPr>
          <w:trHeight w:val="241"/>
        </w:trPr>
        <w:tc>
          <w:tcPr>
            <w:tcW w:w="2367" w:type="dxa"/>
            <w:tcBorders>
              <w:top w:val="nil"/>
              <w:left w:val="nil"/>
              <w:bottom w:val="nil"/>
              <w:right w:val="nil"/>
            </w:tcBorders>
            <w:shd w:val="clear" w:color="auto" w:fill="auto"/>
            <w:vAlign w:val="bottom"/>
            <w:hideMark/>
          </w:tcPr>
          <w:p w14:paraId="339C06ED" w14:textId="77777777" w:rsidR="006C0D6C" w:rsidRPr="00BF3CDE" w:rsidRDefault="006C0D6C" w:rsidP="006C0D6C">
            <w:pPr>
              <w:spacing w:after="0" w:line="240" w:lineRule="auto"/>
              <w:rPr>
                <w:rFonts w:ascii="Verdana" w:hAnsi="Verdana"/>
                <w:noProof/>
                <w:sz w:val="14"/>
                <w:szCs w:val="14"/>
                <w:lang w:val="sr-Cyrl-CS"/>
              </w:rPr>
            </w:pPr>
            <w:r w:rsidRPr="00BF3CDE">
              <w:rPr>
                <w:rFonts w:ascii="Verdana" w:hAnsi="Verdana"/>
                <w:noProof/>
                <w:sz w:val="14"/>
                <w:szCs w:val="14"/>
                <w:lang w:val="sr-Cyrl-CS"/>
              </w:rPr>
              <w:t>GRAWE OSIGURANJE</w:t>
            </w:r>
          </w:p>
        </w:tc>
        <w:tc>
          <w:tcPr>
            <w:tcW w:w="793" w:type="dxa"/>
            <w:tcBorders>
              <w:top w:val="nil"/>
              <w:left w:val="nil"/>
              <w:bottom w:val="nil"/>
              <w:right w:val="nil"/>
            </w:tcBorders>
            <w:shd w:val="clear" w:color="auto" w:fill="auto"/>
            <w:noWrap/>
            <w:vAlign w:val="center"/>
            <w:hideMark/>
          </w:tcPr>
          <w:p w14:paraId="03C2851F" w14:textId="77777777" w:rsidR="006C0D6C" w:rsidRPr="00BF3CDE" w:rsidRDefault="006C0D6C" w:rsidP="006C0D6C">
            <w:pPr>
              <w:spacing w:after="0" w:line="240" w:lineRule="auto"/>
              <w:jc w:val="right"/>
              <w:rPr>
                <w:rFonts w:ascii="Verdana" w:hAnsi="Verdana"/>
                <w:noProof/>
                <w:sz w:val="14"/>
                <w:szCs w:val="14"/>
                <w:lang w:val="sr-Cyrl-CS"/>
              </w:rPr>
            </w:pPr>
            <w:r w:rsidRPr="00BF3CDE">
              <w:rPr>
                <w:rFonts w:ascii="Verdana" w:hAnsi="Verdana"/>
                <w:noProof/>
                <w:sz w:val="14"/>
                <w:szCs w:val="14"/>
                <w:lang w:val="sr-Cyrl-CS"/>
              </w:rPr>
              <w:t>1,29%</w:t>
            </w:r>
          </w:p>
        </w:tc>
      </w:tr>
      <w:tr w:rsidR="006C0D6C" w:rsidRPr="00BF3CDE" w14:paraId="13498F0F" w14:textId="77777777" w:rsidTr="006C0D6C">
        <w:trPr>
          <w:trHeight w:val="241"/>
        </w:trPr>
        <w:tc>
          <w:tcPr>
            <w:tcW w:w="2367" w:type="dxa"/>
            <w:tcBorders>
              <w:top w:val="nil"/>
              <w:left w:val="nil"/>
              <w:bottom w:val="nil"/>
              <w:right w:val="nil"/>
            </w:tcBorders>
            <w:shd w:val="clear" w:color="auto" w:fill="auto"/>
            <w:vAlign w:val="bottom"/>
            <w:hideMark/>
          </w:tcPr>
          <w:p w14:paraId="4FECF843" w14:textId="77777777" w:rsidR="006C0D6C" w:rsidRPr="00BF3CDE" w:rsidRDefault="006C0D6C" w:rsidP="006C0D6C">
            <w:pPr>
              <w:spacing w:after="0" w:line="240" w:lineRule="auto"/>
              <w:rPr>
                <w:rFonts w:ascii="Verdana" w:hAnsi="Verdana"/>
                <w:noProof/>
                <w:sz w:val="14"/>
                <w:szCs w:val="14"/>
                <w:lang w:val="sr-Cyrl-CS"/>
              </w:rPr>
            </w:pPr>
            <w:r w:rsidRPr="00BF3CDE">
              <w:rPr>
                <w:rFonts w:ascii="Verdana" w:hAnsi="Verdana"/>
                <w:noProof/>
                <w:sz w:val="14"/>
                <w:szCs w:val="14"/>
                <w:lang w:val="sr-Cyrl-CS"/>
              </w:rPr>
              <w:t>GLOBOS OSIGURANJE</w:t>
            </w:r>
          </w:p>
        </w:tc>
        <w:tc>
          <w:tcPr>
            <w:tcW w:w="793" w:type="dxa"/>
            <w:tcBorders>
              <w:top w:val="nil"/>
              <w:left w:val="nil"/>
              <w:bottom w:val="nil"/>
              <w:right w:val="nil"/>
            </w:tcBorders>
            <w:shd w:val="clear" w:color="auto" w:fill="auto"/>
            <w:noWrap/>
            <w:vAlign w:val="center"/>
            <w:hideMark/>
          </w:tcPr>
          <w:p w14:paraId="50FCF4D6" w14:textId="77777777" w:rsidR="006C0D6C" w:rsidRPr="00BF3CDE" w:rsidRDefault="006C0D6C" w:rsidP="006C0D6C">
            <w:pPr>
              <w:spacing w:after="0" w:line="240" w:lineRule="auto"/>
              <w:jc w:val="right"/>
              <w:rPr>
                <w:rFonts w:ascii="Verdana" w:hAnsi="Verdana"/>
                <w:noProof/>
                <w:sz w:val="14"/>
                <w:szCs w:val="14"/>
                <w:lang w:val="sr-Cyrl-CS"/>
              </w:rPr>
            </w:pPr>
            <w:r w:rsidRPr="00BF3CDE">
              <w:rPr>
                <w:rFonts w:ascii="Verdana" w:hAnsi="Verdana"/>
                <w:noProof/>
                <w:sz w:val="14"/>
                <w:szCs w:val="14"/>
                <w:lang w:val="sr-Cyrl-CS"/>
              </w:rPr>
              <w:t>0,73%</w:t>
            </w:r>
          </w:p>
        </w:tc>
      </w:tr>
      <w:tr w:rsidR="006C0D6C" w:rsidRPr="00BF3CDE" w14:paraId="6B824017" w14:textId="77777777" w:rsidTr="006C0D6C">
        <w:trPr>
          <w:trHeight w:val="241"/>
        </w:trPr>
        <w:tc>
          <w:tcPr>
            <w:tcW w:w="2367" w:type="dxa"/>
            <w:tcBorders>
              <w:top w:val="nil"/>
              <w:left w:val="nil"/>
              <w:bottom w:val="nil"/>
              <w:right w:val="nil"/>
            </w:tcBorders>
            <w:shd w:val="clear" w:color="auto" w:fill="auto"/>
            <w:vAlign w:val="bottom"/>
            <w:hideMark/>
          </w:tcPr>
          <w:p w14:paraId="0801F9B6" w14:textId="77777777" w:rsidR="006C0D6C" w:rsidRPr="00BF3CDE" w:rsidRDefault="006C0D6C" w:rsidP="006C0D6C">
            <w:pPr>
              <w:spacing w:after="0" w:line="240" w:lineRule="auto"/>
              <w:rPr>
                <w:rFonts w:ascii="Verdana" w:hAnsi="Verdana"/>
                <w:noProof/>
                <w:sz w:val="14"/>
                <w:szCs w:val="14"/>
                <w:lang w:val="sr-Cyrl-CS"/>
              </w:rPr>
            </w:pPr>
            <w:r w:rsidRPr="00BF3CDE">
              <w:rPr>
                <w:rFonts w:ascii="Verdana" w:hAnsi="Verdana"/>
                <w:noProof/>
                <w:sz w:val="14"/>
                <w:szCs w:val="14"/>
                <w:lang w:val="sr-Cyrl-CS"/>
              </w:rPr>
              <w:t>UNIQA ŽIVOTNO OSIGURANJE</w:t>
            </w:r>
          </w:p>
        </w:tc>
        <w:tc>
          <w:tcPr>
            <w:tcW w:w="793" w:type="dxa"/>
            <w:tcBorders>
              <w:top w:val="nil"/>
              <w:left w:val="nil"/>
              <w:bottom w:val="nil"/>
              <w:right w:val="nil"/>
            </w:tcBorders>
            <w:shd w:val="clear" w:color="auto" w:fill="auto"/>
            <w:noWrap/>
            <w:vAlign w:val="center"/>
            <w:hideMark/>
          </w:tcPr>
          <w:p w14:paraId="4ED564A0" w14:textId="77777777" w:rsidR="006C0D6C" w:rsidRPr="00BF3CDE" w:rsidRDefault="006C0D6C" w:rsidP="006C0D6C">
            <w:pPr>
              <w:spacing w:after="0" w:line="240" w:lineRule="auto"/>
              <w:jc w:val="right"/>
              <w:rPr>
                <w:rFonts w:ascii="Verdana" w:hAnsi="Verdana"/>
                <w:noProof/>
                <w:sz w:val="14"/>
                <w:szCs w:val="14"/>
                <w:lang w:val="sr-Cyrl-CS"/>
              </w:rPr>
            </w:pPr>
            <w:r w:rsidRPr="00BF3CDE">
              <w:rPr>
                <w:rFonts w:ascii="Verdana" w:hAnsi="Verdana"/>
                <w:noProof/>
                <w:sz w:val="14"/>
                <w:szCs w:val="14"/>
                <w:lang w:val="sr-Cyrl-CS"/>
              </w:rPr>
              <w:t>0,57%</w:t>
            </w:r>
          </w:p>
        </w:tc>
      </w:tr>
      <w:tr w:rsidR="006C0D6C" w:rsidRPr="00BF3CDE" w14:paraId="4982DCCA" w14:textId="77777777" w:rsidTr="006C0D6C">
        <w:trPr>
          <w:trHeight w:val="241"/>
        </w:trPr>
        <w:tc>
          <w:tcPr>
            <w:tcW w:w="2367" w:type="dxa"/>
            <w:tcBorders>
              <w:top w:val="nil"/>
              <w:left w:val="nil"/>
              <w:bottom w:val="nil"/>
              <w:right w:val="nil"/>
            </w:tcBorders>
            <w:shd w:val="clear" w:color="auto" w:fill="auto"/>
            <w:vAlign w:val="bottom"/>
            <w:hideMark/>
          </w:tcPr>
          <w:p w14:paraId="7EE196C2" w14:textId="77777777" w:rsidR="006C0D6C" w:rsidRPr="00BF3CDE" w:rsidRDefault="006C0D6C" w:rsidP="006C0D6C">
            <w:pPr>
              <w:spacing w:after="0" w:line="240" w:lineRule="auto"/>
              <w:rPr>
                <w:rFonts w:ascii="Verdana" w:hAnsi="Verdana"/>
                <w:noProof/>
                <w:sz w:val="14"/>
                <w:szCs w:val="14"/>
                <w:lang w:val="sr-Cyrl-CS"/>
              </w:rPr>
            </w:pPr>
            <w:r w:rsidRPr="00BF3CDE">
              <w:rPr>
                <w:rFonts w:ascii="Verdana" w:hAnsi="Verdana"/>
                <w:noProof/>
                <w:sz w:val="14"/>
                <w:szCs w:val="14"/>
                <w:lang w:val="sr-Cyrl-CS"/>
              </w:rPr>
              <w:t>MILENIJUM OSIGURANJE</w:t>
            </w:r>
          </w:p>
        </w:tc>
        <w:tc>
          <w:tcPr>
            <w:tcW w:w="793" w:type="dxa"/>
            <w:tcBorders>
              <w:top w:val="nil"/>
              <w:left w:val="nil"/>
              <w:bottom w:val="nil"/>
              <w:right w:val="nil"/>
            </w:tcBorders>
            <w:shd w:val="clear" w:color="auto" w:fill="auto"/>
            <w:noWrap/>
            <w:vAlign w:val="center"/>
            <w:hideMark/>
          </w:tcPr>
          <w:p w14:paraId="2F61799A" w14:textId="77777777" w:rsidR="006C0D6C" w:rsidRPr="00BF3CDE" w:rsidRDefault="006C0D6C" w:rsidP="006C0D6C">
            <w:pPr>
              <w:spacing w:after="0" w:line="240" w:lineRule="auto"/>
              <w:jc w:val="right"/>
              <w:rPr>
                <w:rFonts w:ascii="Verdana" w:hAnsi="Verdana"/>
                <w:noProof/>
                <w:sz w:val="14"/>
                <w:szCs w:val="14"/>
                <w:lang w:val="sr-Cyrl-CS"/>
              </w:rPr>
            </w:pPr>
            <w:r w:rsidRPr="00BF3CDE">
              <w:rPr>
                <w:rFonts w:ascii="Verdana" w:hAnsi="Verdana"/>
                <w:noProof/>
                <w:sz w:val="14"/>
                <w:szCs w:val="14"/>
                <w:lang w:val="sr-Cyrl-CS"/>
              </w:rPr>
              <w:t>0,53%</w:t>
            </w:r>
          </w:p>
        </w:tc>
      </w:tr>
      <w:tr w:rsidR="006C0D6C" w:rsidRPr="00BF3CDE" w14:paraId="56BAA14E" w14:textId="77777777" w:rsidTr="006C0D6C">
        <w:trPr>
          <w:trHeight w:val="241"/>
        </w:trPr>
        <w:tc>
          <w:tcPr>
            <w:tcW w:w="2367" w:type="dxa"/>
            <w:tcBorders>
              <w:top w:val="nil"/>
              <w:left w:val="nil"/>
              <w:bottom w:val="nil"/>
              <w:right w:val="nil"/>
            </w:tcBorders>
            <w:shd w:val="clear" w:color="auto" w:fill="auto"/>
            <w:vAlign w:val="bottom"/>
            <w:hideMark/>
          </w:tcPr>
          <w:p w14:paraId="3C5D150A" w14:textId="77777777" w:rsidR="006C0D6C" w:rsidRPr="00BF3CDE" w:rsidRDefault="006C0D6C" w:rsidP="006C0D6C">
            <w:pPr>
              <w:spacing w:after="0" w:line="240" w:lineRule="auto"/>
              <w:rPr>
                <w:rFonts w:ascii="Verdana" w:hAnsi="Verdana"/>
                <w:noProof/>
                <w:sz w:val="14"/>
                <w:szCs w:val="14"/>
                <w:lang w:val="sr-Cyrl-CS"/>
              </w:rPr>
            </w:pPr>
            <w:r w:rsidRPr="00BF3CDE">
              <w:rPr>
                <w:rFonts w:ascii="Verdana" w:hAnsi="Verdana"/>
                <w:noProof/>
                <w:sz w:val="14"/>
                <w:szCs w:val="14"/>
                <w:lang w:val="sr-Cyrl-CS"/>
              </w:rPr>
              <w:t>SOGAZ</w:t>
            </w:r>
          </w:p>
        </w:tc>
        <w:tc>
          <w:tcPr>
            <w:tcW w:w="793" w:type="dxa"/>
            <w:tcBorders>
              <w:top w:val="nil"/>
              <w:left w:val="nil"/>
              <w:bottom w:val="nil"/>
              <w:right w:val="nil"/>
            </w:tcBorders>
            <w:shd w:val="clear" w:color="auto" w:fill="auto"/>
            <w:noWrap/>
            <w:vAlign w:val="center"/>
            <w:hideMark/>
          </w:tcPr>
          <w:p w14:paraId="59FCEA70" w14:textId="77777777" w:rsidR="006C0D6C" w:rsidRPr="00BF3CDE" w:rsidRDefault="006C0D6C" w:rsidP="006C0D6C">
            <w:pPr>
              <w:spacing w:after="0" w:line="240" w:lineRule="auto"/>
              <w:jc w:val="right"/>
              <w:rPr>
                <w:rFonts w:ascii="Verdana" w:hAnsi="Verdana"/>
                <w:noProof/>
                <w:sz w:val="14"/>
                <w:szCs w:val="14"/>
                <w:lang w:val="sr-Cyrl-CS"/>
              </w:rPr>
            </w:pPr>
            <w:r w:rsidRPr="00BF3CDE">
              <w:rPr>
                <w:rFonts w:ascii="Verdana" w:hAnsi="Verdana"/>
                <w:noProof/>
                <w:sz w:val="14"/>
                <w:szCs w:val="14"/>
                <w:lang w:val="sr-Cyrl-CS"/>
              </w:rPr>
              <w:t>0,33%</w:t>
            </w:r>
          </w:p>
        </w:tc>
      </w:tr>
      <w:tr w:rsidR="006C0D6C" w:rsidRPr="00BF3CDE" w14:paraId="39CF7185" w14:textId="77777777" w:rsidTr="006C0D6C">
        <w:trPr>
          <w:trHeight w:val="241"/>
        </w:trPr>
        <w:tc>
          <w:tcPr>
            <w:tcW w:w="2367" w:type="dxa"/>
            <w:tcBorders>
              <w:top w:val="nil"/>
              <w:left w:val="nil"/>
              <w:bottom w:val="nil"/>
              <w:right w:val="nil"/>
            </w:tcBorders>
            <w:shd w:val="clear" w:color="auto" w:fill="auto"/>
            <w:vAlign w:val="bottom"/>
          </w:tcPr>
          <w:p w14:paraId="50CB0646" w14:textId="77777777" w:rsidR="006C0D6C" w:rsidRPr="00BF3CDE" w:rsidRDefault="006C0D6C" w:rsidP="006C0D6C">
            <w:pPr>
              <w:spacing w:after="0" w:line="240" w:lineRule="auto"/>
              <w:rPr>
                <w:rFonts w:ascii="Verdana" w:hAnsi="Verdana"/>
                <w:noProof/>
                <w:sz w:val="14"/>
                <w:szCs w:val="14"/>
                <w:lang w:val="sr-Cyrl-CS"/>
              </w:rPr>
            </w:pPr>
            <w:r w:rsidRPr="00BF3CDE">
              <w:rPr>
                <w:rFonts w:ascii="Verdana" w:hAnsi="Verdana"/>
                <w:noProof/>
                <w:sz w:val="14"/>
                <w:szCs w:val="14"/>
                <w:lang w:val="sr-Cyrl-CS"/>
              </w:rPr>
              <w:t>TRIGLAV OSIGURANJE</w:t>
            </w:r>
          </w:p>
        </w:tc>
        <w:tc>
          <w:tcPr>
            <w:tcW w:w="793" w:type="dxa"/>
            <w:tcBorders>
              <w:top w:val="nil"/>
              <w:left w:val="nil"/>
              <w:bottom w:val="nil"/>
              <w:right w:val="nil"/>
            </w:tcBorders>
            <w:shd w:val="clear" w:color="auto" w:fill="auto"/>
            <w:noWrap/>
            <w:vAlign w:val="center"/>
          </w:tcPr>
          <w:p w14:paraId="17BC9C93" w14:textId="77777777" w:rsidR="006C0D6C" w:rsidRPr="00BF3CDE" w:rsidRDefault="006C0D6C" w:rsidP="006C0D6C">
            <w:pPr>
              <w:spacing w:after="0" w:line="240" w:lineRule="auto"/>
              <w:jc w:val="right"/>
              <w:rPr>
                <w:rFonts w:ascii="Verdana" w:hAnsi="Verdana"/>
                <w:noProof/>
                <w:sz w:val="14"/>
                <w:szCs w:val="14"/>
                <w:lang w:val="sr-Cyrl-CS"/>
              </w:rPr>
            </w:pPr>
            <w:r w:rsidRPr="00BF3CDE">
              <w:rPr>
                <w:rFonts w:ascii="Verdana" w:hAnsi="Verdana"/>
                <w:noProof/>
                <w:sz w:val="14"/>
                <w:szCs w:val="14"/>
                <w:lang w:val="sr-Cyrl-CS"/>
              </w:rPr>
              <w:t>0,24%</w:t>
            </w:r>
          </w:p>
        </w:tc>
      </w:tr>
      <w:tr w:rsidR="006C0D6C" w:rsidRPr="00BF3CDE" w14:paraId="2B6182CA" w14:textId="77777777" w:rsidTr="006C0D6C">
        <w:trPr>
          <w:trHeight w:val="241"/>
        </w:trPr>
        <w:tc>
          <w:tcPr>
            <w:tcW w:w="2367" w:type="dxa"/>
            <w:tcBorders>
              <w:top w:val="nil"/>
              <w:left w:val="nil"/>
              <w:bottom w:val="nil"/>
              <w:right w:val="nil"/>
            </w:tcBorders>
            <w:shd w:val="clear" w:color="auto" w:fill="auto"/>
            <w:vAlign w:val="bottom"/>
          </w:tcPr>
          <w:p w14:paraId="6642C50B" w14:textId="77777777" w:rsidR="006C0D6C" w:rsidRPr="00BF3CDE" w:rsidRDefault="006C0D6C" w:rsidP="006C0D6C">
            <w:pPr>
              <w:spacing w:after="0" w:line="240" w:lineRule="auto"/>
              <w:rPr>
                <w:rFonts w:ascii="Verdana" w:hAnsi="Verdana"/>
                <w:noProof/>
                <w:sz w:val="14"/>
                <w:szCs w:val="14"/>
                <w:lang w:val="sr-Cyrl-CS"/>
              </w:rPr>
            </w:pPr>
            <w:r w:rsidRPr="00BF3CDE">
              <w:rPr>
                <w:rFonts w:ascii="Verdana" w:hAnsi="Verdana"/>
                <w:noProof/>
                <w:sz w:val="14"/>
                <w:szCs w:val="14"/>
                <w:lang w:val="sr-Cyrl-CS"/>
              </w:rPr>
              <w:t>UNIQA NEŽIVOTNO OSIGURANJE</w:t>
            </w:r>
          </w:p>
        </w:tc>
        <w:tc>
          <w:tcPr>
            <w:tcW w:w="793" w:type="dxa"/>
            <w:tcBorders>
              <w:top w:val="nil"/>
              <w:left w:val="nil"/>
              <w:bottom w:val="nil"/>
              <w:right w:val="nil"/>
            </w:tcBorders>
            <w:shd w:val="clear" w:color="auto" w:fill="auto"/>
            <w:noWrap/>
            <w:vAlign w:val="center"/>
          </w:tcPr>
          <w:p w14:paraId="2A8E2D03" w14:textId="77777777" w:rsidR="006C0D6C" w:rsidRPr="00BF3CDE" w:rsidRDefault="006C0D6C" w:rsidP="006C0D6C">
            <w:pPr>
              <w:spacing w:after="0" w:line="240" w:lineRule="auto"/>
              <w:jc w:val="right"/>
              <w:rPr>
                <w:rFonts w:ascii="Verdana" w:hAnsi="Verdana"/>
                <w:noProof/>
                <w:sz w:val="14"/>
                <w:szCs w:val="14"/>
                <w:lang w:val="sr-Cyrl-CS"/>
              </w:rPr>
            </w:pPr>
            <w:r w:rsidRPr="00BF3CDE">
              <w:rPr>
                <w:rFonts w:ascii="Verdana" w:hAnsi="Verdana"/>
                <w:noProof/>
                <w:sz w:val="14"/>
                <w:szCs w:val="14"/>
                <w:lang w:val="sr-Cyrl-CS"/>
              </w:rPr>
              <w:t>0,23%</w:t>
            </w:r>
          </w:p>
        </w:tc>
      </w:tr>
      <w:tr w:rsidR="006C0D6C" w:rsidRPr="00BF3CDE" w14:paraId="59127A26" w14:textId="77777777" w:rsidTr="006C0D6C">
        <w:trPr>
          <w:trHeight w:val="241"/>
        </w:trPr>
        <w:tc>
          <w:tcPr>
            <w:tcW w:w="2367" w:type="dxa"/>
            <w:tcBorders>
              <w:top w:val="nil"/>
              <w:left w:val="nil"/>
              <w:bottom w:val="nil"/>
              <w:right w:val="nil"/>
            </w:tcBorders>
            <w:shd w:val="clear" w:color="auto" w:fill="auto"/>
            <w:vAlign w:val="bottom"/>
          </w:tcPr>
          <w:p w14:paraId="56E349C9" w14:textId="77777777" w:rsidR="006C0D6C" w:rsidRPr="00BF3CDE" w:rsidRDefault="006C0D6C" w:rsidP="006C0D6C">
            <w:pPr>
              <w:spacing w:after="0" w:line="240" w:lineRule="auto"/>
              <w:rPr>
                <w:rFonts w:ascii="Verdana" w:hAnsi="Verdana"/>
                <w:noProof/>
                <w:sz w:val="14"/>
                <w:szCs w:val="14"/>
                <w:lang w:val="sr-Cyrl-CS"/>
              </w:rPr>
            </w:pPr>
            <w:r w:rsidRPr="00BF3CDE">
              <w:rPr>
                <w:rFonts w:ascii="Verdana" w:hAnsi="Verdana"/>
                <w:noProof/>
                <w:sz w:val="14"/>
                <w:szCs w:val="14"/>
                <w:lang w:val="sr-Cyrl-CS"/>
              </w:rPr>
              <w:t>NEŽIVOTNO OSIGURANJE BASLER</w:t>
            </w:r>
          </w:p>
        </w:tc>
        <w:tc>
          <w:tcPr>
            <w:tcW w:w="793" w:type="dxa"/>
            <w:tcBorders>
              <w:top w:val="nil"/>
              <w:left w:val="nil"/>
              <w:bottom w:val="nil"/>
              <w:right w:val="nil"/>
            </w:tcBorders>
            <w:shd w:val="clear" w:color="auto" w:fill="auto"/>
            <w:noWrap/>
            <w:vAlign w:val="center"/>
          </w:tcPr>
          <w:p w14:paraId="68928C05" w14:textId="77777777" w:rsidR="006C0D6C" w:rsidRPr="00BF3CDE" w:rsidRDefault="006C0D6C" w:rsidP="006C0D6C">
            <w:pPr>
              <w:spacing w:after="0" w:line="240" w:lineRule="auto"/>
              <w:jc w:val="right"/>
              <w:rPr>
                <w:rFonts w:ascii="Verdana" w:hAnsi="Verdana"/>
                <w:noProof/>
                <w:sz w:val="14"/>
                <w:szCs w:val="14"/>
                <w:lang w:val="sr-Cyrl-CS"/>
              </w:rPr>
            </w:pPr>
            <w:r w:rsidRPr="00BF3CDE">
              <w:rPr>
                <w:rFonts w:ascii="Verdana" w:hAnsi="Verdana"/>
                <w:noProof/>
                <w:sz w:val="14"/>
                <w:szCs w:val="14"/>
                <w:lang w:val="sr-Cyrl-CS"/>
              </w:rPr>
              <w:t>0,11%</w:t>
            </w:r>
          </w:p>
        </w:tc>
      </w:tr>
      <w:tr w:rsidR="006C0D6C" w:rsidRPr="00BF3CDE" w14:paraId="1ECF940D" w14:textId="77777777" w:rsidTr="006C0D6C">
        <w:trPr>
          <w:trHeight w:val="241"/>
        </w:trPr>
        <w:tc>
          <w:tcPr>
            <w:tcW w:w="2367" w:type="dxa"/>
            <w:tcBorders>
              <w:top w:val="nil"/>
              <w:left w:val="nil"/>
              <w:bottom w:val="nil"/>
              <w:right w:val="nil"/>
            </w:tcBorders>
            <w:shd w:val="clear" w:color="auto" w:fill="auto"/>
            <w:vAlign w:val="bottom"/>
          </w:tcPr>
          <w:p w14:paraId="34E4F7F2" w14:textId="77777777" w:rsidR="006C0D6C" w:rsidRPr="00BF3CDE" w:rsidRDefault="006C0D6C" w:rsidP="006C0D6C">
            <w:pPr>
              <w:spacing w:after="0" w:line="240" w:lineRule="auto"/>
              <w:rPr>
                <w:rFonts w:ascii="Verdana" w:hAnsi="Verdana"/>
                <w:noProof/>
                <w:sz w:val="14"/>
                <w:szCs w:val="14"/>
                <w:lang w:val="sr-Cyrl-CS"/>
              </w:rPr>
            </w:pPr>
            <w:r w:rsidRPr="00BF3CDE">
              <w:rPr>
                <w:rFonts w:ascii="Verdana" w:hAnsi="Verdana"/>
                <w:noProof/>
                <w:sz w:val="14"/>
                <w:szCs w:val="14"/>
                <w:lang w:val="sr-Cyrl-CS"/>
              </w:rPr>
              <w:t>AMS OSIGURANJE</w:t>
            </w:r>
          </w:p>
        </w:tc>
        <w:tc>
          <w:tcPr>
            <w:tcW w:w="793" w:type="dxa"/>
            <w:tcBorders>
              <w:top w:val="nil"/>
              <w:left w:val="nil"/>
              <w:bottom w:val="nil"/>
              <w:right w:val="nil"/>
            </w:tcBorders>
            <w:shd w:val="clear" w:color="auto" w:fill="auto"/>
            <w:noWrap/>
            <w:vAlign w:val="center"/>
          </w:tcPr>
          <w:p w14:paraId="4F08C738" w14:textId="77777777" w:rsidR="006C0D6C" w:rsidRPr="00BF3CDE" w:rsidRDefault="006C0D6C" w:rsidP="006C0D6C">
            <w:pPr>
              <w:spacing w:after="0" w:line="240" w:lineRule="auto"/>
              <w:jc w:val="right"/>
              <w:rPr>
                <w:rFonts w:ascii="Verdana" w:hAnsi="Verdana"/>
                <w:noProof/>
                <w:sz w:val="14"/>
                <w:szCs w:val="14"/>
                <w:lang w:val="sr-Cyrl-CS"/>
              </w:rPr>
            </w:pPr>
            <w:r w:rsidRPr="00BF3CDE">
              <w:rPr>
                <w:rFonts w:ascii="Verdana" w:hAnsi="Verdana"/>
                <w:noProof/>
                <w:sz w:val="14"/>
                <w:szCs w:val="14"/>
                <w:lang w:val="sr-Cyrl-CS"/>
              </w:rPr>
              <w:t>0,09%</w:t>
            </w:r>
          </w:p>
        </w:tc>
      </w:tr>
      <w:tr w:rsidR="006C0D6C" w:rsidRPr="00BF3CDE" w14:paraId="375E0EEC" w14:textId="77777777" w:rsidTr="006C0D6C">
        <w:trPr>
          <w:trHeight w:val="241"/>
        </w:trPr>
        <w:tc>
          <w:tcPr>
            <w:tcW w:w="2367" w:type="dxa"/>
            <w:tcBorders>
              <w:top w:val="nil"/>
              <w:left w:val="nil"/>
              <w:bottom w:val="nil"/>
              <w:right w:val="nil"/>
            </w:tcBorders>
            <w:shd w:val="clear" w:color="auto" w:fill="auto"/>
            <w:vAlign w:val="center"/>
          </w:tcPr>
          <w:p w14:paraId="1C6F6EFF" w14:textId="77777777" w:rsidR="006C0D6C" w:rsidRPr="00BF3CDE" w:rsidRDefault="006C0D6C" w:rsidP="006C0D6C">
            <w:pPr>
              <w:spacing w:after="0" w:line="240" w:lineRule="auto"/>
              <w:rPr>
                <w:rFonts w:ascii="Verdana" w:hAnsi="Verdana"/>
                <w:noProof/>
                <w:sz w:val="14"/>
                <w:szCs w:val="14"/>
                <w:lang w:val="sr-Cyrl-CS"/>
              </w:rPr>
            </w:pPr>
            <w:r w:rsidRPr="00BF3CDE">
              <w:rPr>
                <w:rFonts w:ascii="Verdana" w:hAnsi="Verdana"/>
                <w:noProof/>
                <w:sz w:val="14"/>
                <w:szCs w:val="14"/>
                <w:lang w:val="sr-Cyrl-CS"/>
              </w:rPr>
              <w:t>ŽIVOTNO OSIGURANJE BASLER</w:t>
            </w:r>
          </w:p>
        </w:tc>
        <w:tc>
          <w:tcPr>
            <w:tcW w:w="793" w:type="dxa"/>
            <w:tcBorders>
              <w:top w:val="nil"/>
              <w:left w:val="nil"/>
              <w:bottom w:val="nil"/>
              <w:right w:val="nil"/>
            </w:tcBorders>
            <w:shd w:val="clear" w:color="auto" w:fill="auto"/>
            <w:noWrap/>
            <w:vAlign w:val="center"/>
          </w:tcPr>
          <w:p w14:paraId="7A01EFEB" w14:textId="77777777" w:rsidR="006C0D6C" w:rsidRPr="00BF3CDE" w:rsidRDefault="006C0D6C" w:rsidP="006C0D6C">
            <w:pPr>
              <w:spacing w:after="0" w:line="240" w:lineRule="auto"/>
              <w:jc w:val="right"/>
              <w:rPr>
                <w:rFonts w:ascii="Verdana" w:hAnsi="Verdana"/>
                <w:noProof/>
                <w:sz w:val="14"/>
                <w:szCs w:val="14"/>
                <w:lang w:val="sr-Cyrl-CS"/>
              </w:rPr>
            </w:pPr>
            <w:r w:rsidRPr="00BF3CDE">
              <w:rPr>
                <w:rFonts w:ascii="Verdana" w:hAnsi="Verdana"/>
                <w:noProof/>
                <w:sz w:val="14"/>
                <w:szCs w:val="14"/>
                <w:lang w:val="sr-Cyrl-CS"/>
              </w:rPr>
              <w:t>0,03%</w:t>
            </w:r>
          </w:p>
        </w:tc>
      </w:tr>
      <w:tr w:rsidR="006C0D6C" w:rsidRPr="00BF3CDE" w14:paraId="2BFFDE20" w14:textId="77777777" w:rsidTr="006C0D6C">
        <w:trPr>
          <w:trHeight w:val="241"/>
        </w:trPr>
        <w:tc>
          <w:tcPr>
            <w:tcW w:w="2367" w:type="dxa"/>
            <w:tcBorders>
              <w:top w:val="nil"/>
              <w:left w:val="nil"/>
              <w:bottom w:val="nil"/>
              <w:right w:val="nil"/>
            </w:tcBorders>
            <w:shd w:val="clear" w:color="auto" w:fill="auto"/>
            <w:vAlign w:val="bottom"/>
          </w:tcPr>
          <w:p w14:paraId="2E6F33A6" w14:textId="77777777" w:rsidR="006C0D6C" w:rsidRPr="00BF3CDE" w:rsidRDefault="006C0D6C" w:rsidP="006C0D6C">
            <w:pPr>
              <w:spacing w:after="0" w:line="240" w:lineRule="auto"/>
              <w:rPr>
                <w:rFonts w:ascii="Verdana" w:hAnsi="Verdana"/>
                <w:noProof/>
                <w:sz w:val="14"/>
                <w:szCs w:val="14"/>
                <w:lang w:val="sr-Cyrl-CS"/>
              </w:rPr>
            </w:pPr>
            <w:r w:rsidRPr="00BF3CDE">
              <w:rPr>
                <w:rFonts w:ascii="Verdana" w:hAnsi="Verdana"/>
                <w:noProof/>
                <w:sz w:val="14"/>
                <w:szCs w:val="14"/>
                <w:lang w:val="sr-Cyrl-CS"/>
              </w:rPr>
              <w:t>SOCIETE GENERALE OSIGURANJE</w:t>
            </w:r>
          </w:p>
        </w:tc>
        <w:tc>
          <w:tcPr>
            <w:tcW w:w="793" w:type="dxa"/>
            <w:tcBorders>
              <w:top w:val="nil"/>
              <w:left w:val="nil"/>
              <w:bottom w:val="nil"/>
              <w:right w:val="nil"/>
            </w:tcBorders>
            <w:shd w:val="clear" w:color="auto" w:fill="auto"/>
            <w:noWrap/>
            <w:vAlign w:val="center"/>
          </w:tcPr>
          <w:p w14:paraId="7B1D3ED1" w14:textId="77777777" w:rsidR="006C0D6C" w:rsidRPr="00BF3CDE" w:rsidRDefault="006C0D6C" w:rsidP="006C0D6C">
            <w:pPr>
              <w:spacing w:after="0" w:line="240" w:lineRule="auto"/>
              <w:jc w:val="right"/>
              <w:rPr>
                <w:rFonts w:ascii="Verdana" w:hAnsi="Verdana"/>
                <w:noProof/>
                <w:sz w:val="14"/>
                <w:szCs w:val="14"/>
                <w:lang w:val="sr-Cyrl-CS"/>
              </w:rPr>
            </w:pPr>
            <w:r w:rsidRPr="00BF3CDE">
              <w:rPr>
                <w:rFonts w:ascii="Verdana" w:hAnsi="Verdana"/>
                <w:noProof/>
                <w:sz w:val="14"/>
                <w:szCs w:val="14"/>
                <w:lang w:val="sr-Cyrl-CS"/>
              </w:rPr>
              <w:t>0,02%</w:t>
            </w:r>
          </w:p>
        </w:tc>
      </w:tr>
      <w:tr w:rsidR="006C0D6C" w:rsidRPr="00BF3CDE" w14:paraId="3858B65C" w14:textId="77777777" w:rsidTr="006C0D6C">
        <w:trPr>
          <w:trHeight w:val="241"/>
        </w:trPr>
        <w:tc>
          <w:tcPr>
            <w:tcW w:w="2367" w:type="dxa"/>
            <w:tcBorders>
              <w:top w:val="nil"/>
              <w:left w:val="nil"/>
              <w:bottom w:val="nil"/>
              <w:right w:val="nil"/>
            </w:tcBorders>
            <w:shd w:val="clear" w:color="auto" w:fill="auto"/>
            <w:vAlign w:val="bottom"/>
          </w:tcPr>
          <w:p w14:paraId="11F93164" w14:textId="77777777" w:rsidR="006C0D6C" w:rsidRPr="00BF3CDE" w:rsidRDefault="006C0D6C" w:rsidP="006C0D6C">
            <w:pPr>
              <w:spacing w:after="0" w:line="240" w:lineRule="auto"/>
              <w:rPr>
                <w:rFonts w:ascii="Verdana" w:hAnsi="Verdana"/>
                <w:noProof/>
                <w:sz w:val="14"/>
                <w:szCs w:val="14"/>
                <w:lang w:val="sr-Cyrl-CS"/>
              </w:rPr>
            </w:pPr>
            <w:r w:rsidRPr="00BF3CDE">
              <w:rPr>
                <w:rFonts w:ascii="Verdana" w:hAnsi="Verdana"/>
                <w:noProof/>
                <w:sz w:val="14"/>
                <w:szCs w:val="14"/>
                <w:lang w:val="sr-Cyrl-CS"/>
              </w:rPr>
              <w:t>METLIFE ŽIVOTNO OSIGURANJE</w:t>
            </w:r>
          </w:p>
        </w:tc>
        <w:tc>
          <w:tcPr>
            <w:tcW w:w="793" w:type="dxa"/>
            <w:tcBorders>
              <w:top w:val="nil"/>
              <w:left w:val="nil"/>
              <w:bottom w:val="nil"/>
              <w:right w:val="nil"/>
            </w:tcBorders>
            <w:shd w:val="clear" w:color="auto" w:fill="auto"/>
            <w:noWrap/>
            <w:vAlign w:val="center"/>
          </w:tcPr>
          <w:p w14:paraId="1FE892E9" w14:textId="77777777" w:rsidR="006C0D6C" w:rsidRPr="00BF3CDE" w:rsidRDefault="006C0D6C" w:rsidP="006C0D6C">
            <w:pPr>
              <w:spacing w:after="0" w:line="240" w:lineRule="auto"/>
              <w:jc w:val="right"/>
              <w:rPr>
                <w:rFonts w:ascii="Verdana" w:hAnsi="Verdana"/>
                <w:noProof/>
                <w:sz w:val="14"/>
                <w:szCs w:val="14"/>
                <w:lang w:val="sr-Cyrl-CS"/>
              </w:rPr>
            </w:pPr>
            <w:r w:rsidRPr="00BF3CDE">
              <w:rPr>
                <w:rFonts w:ascii="Verdana" w:hAnsi="Verdana"/>
                <w:noProof/>
                <w:sz w:val="14"/>
                <w:szCs w:val="14"/>
                <w:lang w:val="sr-Cyrl-CS"/>
              </w:rPr>
              <w:t>0,01%</w:t>
            </w:r>
          </w:p>
        </w:tc>
      </w:tr>
      <w:tr w:rsidR="006C0D6C" w:rsidRPr="00BF3CDE" w14:paraId="2B7142BC" w14:textId="77777777" w:rsidTr="006C0D6C">
        <w:trPr>
          <w:trHeight w:val="241"/>
        </w:trPr>
        <w:tc>
          <w:tcPr>
            <w:tcW w:w="2367" w:type="dxa"/>
            <w:tcBorders>
              <w:top w:val="nil"/>
              <w:left w:val="nil"/>
              <w:bottom w:val="nil"/>
              <w:right w:val="nil"/>
            </w:tcBorders>
            <w:shd w:val="clear" w:color="auto" w:fill="auto"/>
            <w:vAlign w:val="bottom"/>
          </w:tcPr>
          <w:p w14:paraId="3E58A65D" w14:textId="77777777" w:rsidR="006C0D6C" w:rsidRPr="00BF3CDE" w:rsidRDefault="006C0D6C" w:rsidP="006C0D6C">
            <w:pPr>
              <w:spacing w:after="0" w:line="240" w:lineRule="auto"/>
              <w:rPr>
                <w:rFonts w:ascii="Verdana" w:hAnsi="Verdana"/>
                <w:noProof/>
                <w:sz w:val="14"/>
                <w:szCs w:val="14"/>
                <w:lang w:val="sr-Cyrl-CS"/>
              </w:rPr>
            </w:pPr>
            <w:r w:rsidRPr="00BF3CDE">
              <w:rPr>
                <w:rFonts w:ascii="Verdana" w:hAnsi="Verdana"/>
                <w:noProof/>
                <w:sz w:val="14"/>
                <w:szCs w:val="14"/>
                <w:lang w:val="sr-Cyrl-CS"/>
              </w:rPr>
              <w:t>SAVA ŽIVOTNO OSIGURANJE</w:t>
            </w:r>
          </w:p>
        </w:tc>
        <w:tc>
          <w:tcPr>
            <w:tcW w:w="793" w:type="dxa"/>
            <w:tcBorders>
              <w:top w:val="nil"/>
              <w:left w:val="nil"/>
              <w:bottom w:val="nil"/>
              <w:right w:val="nil"/>
            </w:tcBorders>
            <w:shd w:val="clear" w:color="auto" w:fill="auto"/>
            <w:noWrap/>
            <w:vAlign w:val="center"/>
          </w:tcPr>
          <w:p w14:paraId="69F30770" w14:textId="77777777" w:rsidR="006C0D6C" w:rsidRPr="00BF3CDE" w:rsidRDefault="006C0D6C" w:rsidP="006C0D6C">
            <w:pPr>
              <w:spacing w:after="0" w:line="240" w:lineRule="auto"/>
              <w:jc w:val="right"/>
              <w:rPr>
                <w:rFonts w:ascii="Verdana" w:hAnsi="Verdana"/>
                <w:noProof/>
                <w:sz w:val="14"/>
                <w:szCs w:val="14"/>
                <w:lang w:val="sr-Cyrl-CS"/>
              </w:rPr>
            </w:pPr>
            <w:r w:rsidRPr="00BF3CDE">
              <w:rPr>
                <w:rFonts w:ascii="Verdana" w:hAnsi="Verdana"/>
                <w:noProof/>
                <w:sz w:val="14"/>
                <w:szCs w:val="14"/>
                <w:lang w:val="sr-Cyrl-CS"/>
              </w:rPr>
              <w:t>0,01%</w:t>
            </w:r>
          </w:p>
        </w:tc>
      </w:tr>
      <w:tr w:rsidR="006C0D6C" w:rsidRPr="00BF3CDE" w14:paraId="1A96409F" w14:textId="77777777" w:rsidTr="006C0D6C">
        <w:trPr>
          <w:trHeight w:val="241"/>
        </w:trPr>
        <w:tc>
          <w:tcPr>
            <w:tcW w:w="2367" w:type="dxa"/>
            <w:tcBorders>
              <w:top w:val="nil"/>
              <w:left w:val="nil"/>
              <w:bottom w:val="nil"/>
              <w:right w:val="nil"/>
            </w:tcBorders>
            <w:shd w:val="clear" w:color="auto" w:fill="auto"/>
            <w:vAlign w:val="bottom"/>
          </w:tcPr>
          <w:p w14:paraId="3319E11E" w14:textId="77777777" w:rsidR="006C0D6C" w:rsidRPr="00BF3CDE" w:rsidRDefault="006C0D6C" w:rsidP="006C0D6C">
            <w:pPr>
              <w:spacing w:after="0" w:line="240" w:lineRule="auto"/>
              <w:rPr>
                <w:rFonts w:ascii="Verdana" w:hAnsi="Verdana"/>
                <w:noProof/>
                <w:sz w:val="14"/>
                <w:szCs w:val="14"/>
                <w:lang w:val="sr-Cyrl-CS"/>
              </w:rPr>
            </w:pPr>
            <w:r w:rsidRPr="00BF3CDE">
              <w:rPr>
                <w:rFonts w:ascii="Verdana" w:hAnsi="Verdana"/>
                <w:noProof/>
                <w:sz w:val="14"/>
                <w:szCs w:val="14"/>
                <w:lang w:val="sr-Cyrl-CS"/>
              </w:rPr>
              <w:t>GENERALI OSIGURANJE</w:t>
            </w:r>
          </w:p>
        </w:tc>
        <w:tc>
          <w:tcPr>
            <w:tcW w:w="793" w:type="dxa"/>
            <w:tcBorders>
              <w:top w:val="nil"/>
              <w:left w:val="nil"/>
              <w:bottom w:val="nil"/>
              <w:right w:val="nil"/>
            </w:tcBorders>
            <w:shd w:val="clear" w:color="auto" w:fill="auto"/>
            <w:noWrap/>
            <w:vAlign w:val="center"/>
          </w:tcPr>
          <w:p w14:paraId="02DE05EF" w14:textId="77777777" w:rsidR="006C0D6C" w:rsidRPr="00BF3CDE" w:rsidRDefault="006C0D6C" w:rsidP="006C0D6C">
            <w:pPr>
              <w:spacing w:after="0" w:line="240" w:lineRule="auto"/>
              <w:jc w:val="right"/>
              <w:rPr>
                <w:rFonts w:ascii="Verdana" w:hAnsi="Verdana"/>
                <w:noProof/>
                <w:sz w:val="14"/>
                <w:szCs w:val="14"/>
                <w:lang w:val="sr-Cyrl-CS"/>
              </w:rPr>
            </w:pPr>
            <w:r w:rsidRPr="00BF3CDE">
              <w:rPr>
                <w:rFonts w:ascii="Verdana" w:hAnsi="Verdana"/>
                <w:noProof/>
                <w:sz w:val="14"/>
                <w:szCs w:val="14"/>
                <w:lang w:val="sr-Cyrl-CS"/>
              </w:rPr>
              <w:t>0,01%</w:t>
            </w:r>
          </w:p>
        </w:tc>
      </w:tr>
      <w:tr w:rsidR="006C0D6C" w:rsidRPr="00BF3CDE" w14:paraId="2D640E70" w14:textId="77777777" w:rsidTr="006C0D6C">
        <w:trPr>
          <w:trHeight w:val="241"/>
        </w:trPr>
        <w:tc>
          <w:tcPr>
            <w:tcW w:w="2367" w:type="dxa"/>
            <w:tcBorders>
              <w:top w:val="nil"/>
              <w:left w:val="nil"/>
              <w:bottom w:val="nil"/>
              <w:right w:val="nil"/>
            </w:tcBorders>
            <w:shd w:val="clear" w:color="auto" w:fill="auto"/>
            <w:vAlign w:val="bottom"/>
          </w:tcPr>
          <w:p w14:paraId="1139E058" w14:textId="77777777" w:rsidR="006C0D6C" w:rsidRPr="00BF3CDE" w:rsidRDefault="006C0D6C" w:rsidP="006C0D6C">
            <w:pPr>
              <w:spacing w:after="0" w:line="240" w:lineRule="auto"/>
              <w:rPr>
                <w:rFonts w:ascii="Verdana" w:hAnsi="Verdana"/>
                <w:noProof/>
                <w:sz w:val="14"/>
                <w:szCs w:val="14"/>
                <w:lang w:val="sr-Cyrl-CS"/>
              </w:rPr>
            </w:pPr>
            <w:r w:rsidRPr="00BF3CDE">
              <w:rPr>
                <w:rFonts w:ascii="Verdana" w:hAnsi="Verdana"/>
                <w:noProof/>
                <w:sz w:val="14"/>
                <w:szCs w:val="14"/>
                <w:lang w:val="sr-Cyrl-CS"/>
              </w:rPr>
              <w:t>DUNAV RE</w:t>
            </w:r>
          </w:p>
        </w:tc>
        <w:tc>
          <w:tcPr>
            <w:tcW w:w="793" w:type="dxa"/>
            <w:tcBorders>
              <w:top w:val="nil"/>
              <w:left w:val="nil"/>
              <w:bottom w:val="nil"/>
              <w:right w:val="nil"/>
            </w:tcBorders>
            <w:shd w:val="clear" w:color="auto" w:fill="auto"/>
            <w:noWrap/>
            <w:vAlign w:val="center"/>
          </w:tcPr>
          <w:p w14:paraId="74604C82" w14:textId="77777777" w:rsidR="006C0D6C" w:rsidRPr="00BF3CDE" w:rsidRDefault="006C0D6C" w:rsidP="006C0D6C">
            <w:pPr>
              <w:spacing w:after="0" w:line="240" w:lineRule="auto"/>
              <w:jc w:val="right"/>
              <w:rPr>
                <w:rFonts w:ascii="Verdana" w:hAnsi="Verdana"/>
                <w:noProof/>
                <w:sz w:val="14"/>
                <w:szCs w:val="14"/>
                <w:lang w:val="sr-Cyrl-CS"/>
              </w:rPr>
            </w:pPr>
            <w:r w:rsidRPr="00BF3CDE">
              <w:rPr>
                <w:rFonts w:ascii="Verdana" w:hAnsi="Verdana"/>
                <w:noProof/>
                <w:sz w:val="14"/>
                <w:szCs w:val="14"/>
                <w:lang w:val="sr-Cyrl-CS"/>
              </w:rPr>
              <w:t>-4,83%</w:t>
            </w:r>
          </w:p>
        </w:tc>
      </w:tr>
    </w:tbl>
    <w:p w14:paraId="728AB839" w14:textId="77777777" w:rsidR="006C0D6C" w:rsidRPr="00BF3CDE" w:rsidRDefault="006C0D6C" w:rsidP="006C0D6C">
      <w:pPr>
        <w:spacing w:after="120"/>
        <w:jc w:val="both"/>
        <w:rPr>
          <w:b/>
          <w:noProof/>
          <w:sz w:val="20"/>
          <w:szCs w:val="20"/>
          <w:lang w:val="sr-Cyrl-CS"/>
        </w:rPr>
      </w:pPr>
      <w:r w:rsidRPr="00BF3CDE">
        <w:rPr>
          <w:noProof/>
          <w:lang w:val="sr-Latn-RS" w:eastAsia="sr-Latn-RS"/>
        </w:rPr>
        <w:drawing>
          <wp:inline distT="0" distB="0" distL="0" distR="0" wp14:anchorId="7329F8FE" wp14:editId="2C42215C">
            <wp:extent cx="3952800" cy="3452400"/>
            <wp:effectExtent l="0" t="0" r="0" b="0"/>
            <wp:docPr id="25"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ECA653B" w14:textId="77777777" w:rsidR="006C0D6C" w:rsidRPr="00BF3CDE" w:rsidRDefault="006C0D6C" w:rsidP="006C0D6C">
      <w:pPr>
        <w:spacing w:after="120" w:line="240" w:lineRule="auto"/>
        <w:jc w:val="center"/>
        <w:rPr>
          <w:rFonts w:ascii="Verdana" w:hAnsi="Verdana" w:cs="Tahoma"/>
          <w:b/>
          <w:i/>
          <w:noProof/>
          <w:bdr w:val="none" w:sz="0" w:space="0" w:color="auto" w:frame="1"/>
          <w:lang w:val="sr-Cyrl-CS"/>
        </w:rPr>
      </w:pPr>
    </w:p>
    <w:p w14:paraId="459A7275" w14:textId="77777777" w:rsidR="006C0D6C" w:rsidRPr="00BF3CDE" w:rsidRDefault="006C0D6C" w:rsidP="006C0D6C">
      <w:pPr>
        <w:spacing w:after="120" w:line="240" w:lineRule="auto"/>
        <w:jc w:val="center"/>
        <w:rPr>
          <w:rFonts w:ascii="Verdana" w:hAnsi="Verdana" w:cs="Tahoma"/>
          <w:b/>
          <w:i/>
          <w:noProof/>
          <w:bdr w:val="none" w:sz="0" w:space="0" w:color="auto" w:frame="1"/>
          <w:lang w:val="sr-Cyrl-CS"/>
        </w:rPr>
      </w:pPr>
    </w:p>
    <w:p w14:paraId="5125CD2B" w14:textId="77777777" w:rsidR="006C0D6C" w:rsidRPr="00BF3CDE" w:rsidRDefault="006C0D6C" w:rsidP="006C0D6C">
      <w:pPr>
        <w:spacing w:after="120" w:line="240" w:lineRule="auto"/>
        <w:jc w:val="center"/>
        <w:rPr>
          <w:rFonts w:ascii="Verdana" w:hAnsi="Verdana" w:cs="Tahoma"/>
          <w:b/>
          <w:i/>
          <w:noProof/>
          <w:bdr w:val="none" w:sz="0" w:space="0" w:color="auto" w:frame="1"/>
          <w:lang w:val="sr-Cyrl-CS"/>
        </w:rPr>
      </w:pPr>
      <w:r w:rsidRPr="00BF3CDE">
        <w:rPr>
          <w:rFonts w:ascii="Verdana" w:hAnsi="Verdana" w:cs="Tahoma"/>
          <w:b/>
          <w:i/>
          <w:noProof/>
          <w:bdr w:val="none" w:sz="0" w:space="0" w:color="auto" w:frame="1"/>
          <w:lang w:val="sr-Cyrl-CS"/>
        </w:rPr>
        <w:t>Премија у самопридржају по цедентима – Србија у хиљадама динара</w:t>
      </w:r>
    </w:p>
    <w:tbl>
      <w:tblPr>
        <w:tblW w:w="7200" w:type="dxa"/>
        <w:jc w:val="center"/>
        <w:tblLook w:val="04A0" w:firstRow="1" w:lastRow="0" w:firstColumn="1" w:lastColumn="0" w:noHBand="0" w:noVBand="1"/>
      </w:tblPr>
      <w:tblGrid>
        <w:gridCol w:w="3400"/>
        <w:gridCol w:w="1760"/>
        <w:gridCol w:w="2040"/>
      </w:tblGrid>
      <w:tr w:rsidR="006C0D6C" w:rsidRPr="00BF3CDE" w14:paraId="5550CB99" w14:textId="77777777" w:rsidTr="006C0D6C">
        <w:trPr>
          <w:trHeight w:val="675"/>
          <w:jc w:val="center"/>
        </w:trPr>
        <w:tc>
          <w:tcPr>
            <w:tcW w:w="3400" w:type="dxa"/>
            <w:tcBorders>
              <w:top w:val="single" w:sz="4" w:space="0" w:color="4F81BD"/>
              <w:left w:val="nil"/>
              <w:bottom w:val="single" w:sz="4" w:space="0" w:color="4F81BD"/>
              <w:right w:val="nil"/>
            </w:tcBorders>
            <w:shd w:val="clear" w:color="auto" w:fill="auto"/>
            <w:noWrap/>
            <w:vAlign w:val="center"/>
            <w:hideMark/>
          </w:tcPr>
          <w:p w14:paraId="323CBC38" w14:textId="77777777" w:rsidR="006C0D6C" w:rsidRPr="00BF3CDE" w:rsidRDefault="006C0D6C" w:rsidP="006C0D6C">
            <w:pPr>
              <w:spacing w:after="0" w:line="240" w:lineRule="auto"/>
              <w:jc w:val="center"/>
              <w:rPr>
                <w:rFonts w:ascii="Verdana" w:eastAsia="Times New Roman" w:hAnsi="Verdana" w:cs="Times New Roman"/>
                <w:bCs/>
                <w:noProof/>
                <w:sz w:val="18"/>
                <w:szCs w:val="18"/>
                <w:lang w:val="sr-Cyrl-CS"/>
              </w:rPr>
            </w:pPr>
            <w:r w:rsidRPr="00BF3CDE">
              <w:rPr>
                <w:rFonts w:ascii="Verdana" w:eastAsia="Times New Roman" w:hAnsi="Verdana" w:cs="Times New Roman"/>
                <w:bCs/>
                <w:noProof/>
                <w:sz w:val="18"/>
                <w:szCs w:val="18"/>
                <w:lang w:val="sr-Cyrl-CS"/>
              </w:rPr>
              <w:t>Цедент</w:t>
            </w:r>
          </w:p>
        </w:tc>
        <w:tc>
          <w:tcPr>
            <w:tcW w:w="1760" w:type="dxa"/>
            <w:tcBorders>
              <w:top w:val="single" w:sz="4" w:space="0" w:color="4F81BD"/>
              <w:left w:val="nil"/>
              <w:bottom w:val="single" w:sz="4" w:space="0" w:color="4F81BD"/>
              <w:right w:val="nil"/>
            </w:tcBorders>
            <w:shd w:val="clear" w:color="auto" w:fill="auto"/>
            <w:vAlign w:val="center"/>
            <w:hideMark/>
          </w:tcPr>
          <w:p w14:paraId="5F0D82C3" w14:textId="77777777" w:rsidR="006C0D6C" w:rsidRPr="00BF3CDE" w:rsidRDefault="006C0D6C" w:rsidP="006C0D6C">
            <w:pPr>
              <w:spacing w:after="0" w:line="240" w:lineRule="auto"/>
              <w:jc w:val="center"/>
              <w:rPr>
                <w:rFonts w:ascii="Verdana" w:eastAsia="Times New Roman" w:hAnsi="Verdana" w:cs="Times New Roman"/>
                <w:bCs/>
                <w:noProof/>
                <w:sz w:val="18"/>
                <w:szCs w:val="18"/>
                <w:lang w:val="sr-Cyrl-CS"/>
              </w:rPr>
            </w:pPr>
            <w:r w:rsidRPr="00BF3CDE">
              <w:rPr>
                <w:rFonts w:ascii="Verdana" w:eastAsia="Times New Roman" w:hAnsi="Verdana" w:cs="Times New Roman"/>
                <w:bCs/>
                <w:noProof/>
                <w:sz w:val="18"/>
                <w:szCs w:val="18"/>
                <w:lang w:val="sr-Cyrl-CS"/>
              </w:rPr>
              <w:t xml:space="preserve">Премија у самопридржају </w:t>
            </w:r>
          </w:p>
        </w:tc>
        <w:tc>
          <w:tcPr>
            <w:tcW w:w="2040" w:type="dxa"/>
            <w:tcBorders>
              <w:top w:val="single" w:sz="4" w:space="0" w:color="4F81BD"/>
              <w:left w:val="nil"/>
              <w:bottom w:val="single" w:sz="4" w:space="0" w:color="4F81BD"/>
              <w:right w:val="nil"/>
            </w:tcBorders>
            <w:shd w:val="clear" w:color="auto" w:fill="auto"/>
            <w:vAlign w:val="center"/>
            <w:hideMark/>
          </w:tcPr>
          <w:p w14:paraId="245E6B8D" w14:textId="77777777" w:rsidR="006C0D6C" w:rsidRPr="00BF3CDE" w:rsidRDefault="006C0D6C" w:rsidP="006C0D6C">
            <w:pPr>
              <w:spacing w:after="0" w:line="240" w:lineRule="auto"/>
              <w:jc w:val="center"/>
              <w:rPr>
                <w:rFonts w:ascii="Verdana" w:eastAsia="Times New Roman" w:hAnsi="Verdana" w:cs="Times New Roman"/>
                <w:bCs/>
                <w:noProof/>
                <w:sz w:val="18"/>
                <w:szCs w:val="18"/>
                <w:lang w:val="sr-Cyrl-CS"/>
              </w:rPr>
            </w:pPr>
            <w:r w:rsidRPr="00BF3CDE">
              <w:rPr>
                <w:rFonts w:ascii="Verdana" w:eastAsia="Times New Roman" w:hAnsi="Verdana" w:cs="Times New Roman"/>
                <w:bCs/>
                <w:noProof/>
                <w:sz w:val="18"/>
                <w:szCs w:val="18"/>
                <w:lang w:val="sr-Cyrl-CS"/>
              </w:rPr>
              <w:t xml:space="preserve">Учешће у укупној премији у самопридржају </w:t>
            </w:r>
          </w:p>
        </w:tc>
      </w:tr>
      <w:tr w:rsidR="006C0D6C" w:rsidRPr="00BF3CDE" w14:paraId="19D0678C" w14:textId="77777777" w:rsidTr="006C0D6C">
        <w:trPr>
          <w:trHeight w:val="300"/>
          <w:jc w:val="center"/>
        </w:trPr>
        <w:tc>
          <w:tcPr>
            <w:tcW w:w="3400" w:type="dxa"/>
            <w:tcBorders>
              <w:top w:val="nil"/>
              <w:left w:val="nil"/>
              <w:bottom w:val="nil"/>
              <w:right w:val="nil"/>
            </w:tcBorders>
            <w:shd w:val="clear" w:color="DCE6F1" w:fill="DCE6F1"/>
            <w:noWrap/>
            <w:vAlign w:val="center"/>
            <w:hideMark/>
          </w:tcPr>
          <w:p w14:paraId="179FA272"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DUNAV OSIGURANJE</w:t>
            </w:r>
          </w:p>
        </w:tc>
        <w:tc>
          <w:tcPr>
            <w:tcW w:w="1760" w:type="dxa"/>
            <w:tcBorders>
              <w:top w:val="nil"/>
              <w:left w:val="nil"/>
              <w:bottom w:val="nil"/>
              <w:right w:val="nil"/>
            </w:tcBorders>
            <w:shd w:val="clear" w:color="DCE6F1" w:fill="DCE6F1"/>
            <w:noWrap/>
            <w:vAlign w:val="center"/>
            <w:hideMark/>
          </w:tcPr>
          <w:p w14:paraId="6227BE89"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79.772</w:t>
            </w:r>
          </w:p>
        </w:tc>
        <w:tc>
          <w:tcPr>
            <w:tcW w:w="2040" w:type="dxa"/>
            <w:tcBorders>
              <w:top w:val="nil"/>
              <w:left w:val="nil"/>
              <w:bottom w:val="nil"/>
              <w:right w:val="nil"/>
            </w:tcBorders>
            <w:shd w:val="clear" w:color="DCE6F1" w:fill="DCE6F1"/>
            <w:noWrap/>
            <w:vAlign w:val="center"/>
            <w:hideMark/>
          </w:tcPr>
          <w:p w14:paraId="29C586C8"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21,72%</w:t>
            </w:r>
          </w:p>
        </w:tc>
      </w:tr>
      <w:tr w:rsidR="006C0D6C" w:rsidRPr="00BF3CDE" w14:paraId="2F682995" w14:textId="77777777" w:rsidTr="006C0D6C">
        <w:trPr>
          <w:trHeight w:val="300"/>
          <w:jc w:val="center"/>
        </w:trPr>
        <w:tc>
          <w:tcPr>
            <w:tcW w:w="3400" w:type="dxa"/>
            <w:tcBorders>
              <w:top w:val="nil"/>
              <w:left w:val="nil"/>
              <w:bottom w:val="nil"/>
              <w:right w:val="nil"/>
            </w:tcBorders>
            <w:shd w:val="clear" w:color="auto" w:fill="auto"/>
            <w:noWrap/>
            <w:vAlign w:val="center"/>
            <w:hideMark/>
          </w:tcPr>
          <w:p w14:paraId="6B2124DF"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SAVA OSIGURANJE</w:t>
            </w:r>
          </w:p>
        </w:tc>
        <w:tc>
          <w:tcPr>
            <w:tcW w:w="1760" w:type="dxa"/>
            <w:tcBorders>
              <w:top w:val="nil"/>
              <w:left w:val="nil"/>
              <w:bottom w:val="nil"/>
              <w:right w:val="nil"/>
            </w:tcBorders>
            <w:shd w:val="clear" w:color="auto" w:fill="auto"/>
            <w:noWrap/>
            <w:vAlign w:val="center"/>
            <w:hideMark/>
          </w:tcPr>
          <w:p w14:paraId="719075FF"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60.901</w:t>
            </w:r>
          </w:p>
        </w:tc>
        <w:tc>
          <w:tcPr>
            <w:tcW w:w="2040" w:type="dxa"/>
            <w:tcBorders>
              <w:top w:val="nil"/>
              <w:left w:val="nil"/>
              <w:bottom w:val="nil"/>
              <w:right w:val="nil"/>
            </w:tcBorders>
            <w:shd w:val="clear" w:color="auto" w:fill="auto"/>
            <w:noWrap/>
            <w:vAlign w:val="center"/>
            <w:hideMark/>
          </w:tcPr>
          <w:p w14:paraId="4E0BA28F"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16,58%</w:t>
            </w:r>
          </w:p>
        </w:tc>
      </w:tr>
      <w:tr w:rsidR="006C0D6C" w:rsidRPr="00BF3CDE" w14:paraId="7987A8FC" w14:textId="77777777" w:rsidTr="006C0D6C">
        <w:trPr>
          <w:trHeight w:val="300"/>
          <w:jc w:val="center"/>
        </w:trPr>
        <w:tc>
          <w:tcPr>
            <w:tcW w:w="3400" w:type="dxa"/>
            <w:tcBorders>
              <w:top w:val="nil"/>
              <w:left w:val="nil"/>
              <w:bottom w:val="nil"/>
              <w:right w:val="nil"/>
            </w:tcBorders>
            <w:shd w:val="clear" w:color="DCE6F1" w:fill="DCE6F1"/>
            <w:noWrap/>
            <w:vAlign w:val="center"/>
            <w:hideMark/>
          </w:tcPr>
          <w:p w14:paraId="4A10069B"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WIENER RE</w:t>
            </w:r>
          </w:p>
        </w:tc>
        <w:tc>
          <w:tcPr>
            <w:tcW w:w="1760" w:type="dxa"/>
            <w:tcBorders>
              <w:top w:val="nil"/>
              <w:left w:val="nil"/>
              <w:bottom w:val="nil"/>
              <w:right w:val="nil"/>
            </w:tcBorders>
            <w:shd w:val="clear" w:color="DCE6F1" w:fill="DCE6F1"/>
            <w:noWrap/>
            <w:vAlign w:val="center"/>
            <w:hideMark/>
          </w:tcPr>
          <w:p w14:paraId="63DA3B1A"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17.232</w:t>
            </w:r>
          </w:p>
        </w:tc>
        <w:tc>
          <w:tcPr>
            <w:tcW w:w="2040" w:type="dxa"/>
            <w:tcBorders>
              <w:top w:val="nil"/>
              <w:left w:val="nil"/>
              <w:bottom w:val="nil"/>
              <w:right w:val="nil"/>
            </w:tcBorders>
            <w:shd w:val="clear" w:color="DCE6F1" w:fill="DCE6F1"/>
            <w:noWrap/>
            <w:vAlign w:val="center"/>
            <w:hideMark/>
          </w:tcPr>
          <w:p w14:paraId="461A49A2"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4,69%</w:t>
            </w:r>
          </w:p>
        </w:tc>
      </w:tr>
      <w:tr w:rsidR="006C0D6C" w:rsidRPr="00BF3CDE" w14:paraId="128EA35F" w14:textId="77777777" w:rsidTr="006C0D6C">
        <w:trPr>
          <w:trHeight w:val="300"/>
          <w:jc w:val="center"/>
        </w:trPr>
        <w:tc>
          <w:tcPr>
            <w:tcW w:w="3400" w:type="dxa"/>
            <w:tcBorders>
              <w:top w:val="nil"/>
              <w:left w:val="nil"/>
              <w:bottom w:val="nil"/>
              <w:right w:val="nil"/>
            </w:tcBorders>
            <w:shd w:val="clear" w:color="auto" w:fill="auto"/>
            <w:noWrap/>
            <w:vAlign w:val="center"/>
            <w:hideMark/>
          </w:tcPr>
          <w:p w14:paraId="646AC348"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MERKUR OSIGURANJE</w:t>
            </w:r>
          </w:p>
        </w:tc>
        <w:tc>
          <w:tcPr>
            <w:tcW w:w="1760" w:type="dxa"/>
            <w:tcBorders>
              <w:top w:val="nil"/>
              <w:left w:val="nil"/>
              <w:bottom w:val="nil"/>
              <w:right w:val="nil"/>
            </w:tcBorders>
            <w:shd w:val="clear" w:color="auto" w:fill="auto"/>
            <w:noWrap/>
            <w:vAlign w:val="center"/>
            <w:hideMark/>
          </w:tcPr>
          <w:p w14:paraId="6ED2852F"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9.658</w:t>
            </w:r>
          </w:p>
        </w:tc>
        <w:tc>
          <w:tcPr>
            <w:tcW w:w="2040" w:type="dxa"/>
            <w:tcBorders>
              <w:top w:val="nil"/>
              <w:left w:val="nil"/>
              <w:bottom w:val="nil"/>
              <w:right w:val="nil"/>
            </w:tcBorders>
            <w:shd w:val="clear" w:color="auto" w:fill="auto"/>
            <w:noWrap/>
            <w:vAlign w:val="center"/>
            <w:hideMark/>
          </w:tcPr>
          <w:p w14:paraId="1D4C48B9"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2,63%</w:t>
            </w:r>
          </w:p>
        </w:tc>
      </w:tr>
      <w:tr w:rsidR="006C0D6C" w:rsidRPr="00BF3CDE" w14:paraId="0D12FEE5" w14:textId="77777777" w:rsidTr="006C0D6C">
        <w:trPr>
          <w:trHeight w:val="300"/>
          <w:jc w:val="center"/>
        </w:trPr>
        <w:tc>
          <w:tcPr>
            <w:tcW w:w="3400" w:type="dxa"/>
            <w:tcBorders>
              <w:top w:val="nil"/>
              <w:left w:val="nil"/>
              <w:bottom w:val="nil"/>
              <w:right w:val="nil"/>
            </w:tcBorders>
            <w:shd w:val="clear" w:color="DCE6F1" w:fill="DCE6F1"/>
            <w:noWrap/>
            <w:vAlign w:val="center"/>
            <w:hideMark/>
          </w:tcPr>
          <w:p w14:paraId="051E35E7"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ENEROPROJEKT GARANT OSIGURANJE</w:t>
            </w:r>
          </w:p>
        </w:tc>
        <w:tc>
          <w:tcPr>
            <w:tcW w:w="1760" w:type="dxa"/>
            <w:tcBorders>
              <w:top w:val="nil"/>
              <w:left w:val="nil"/>
              <w:bottom w:val="nil"/>
              <w:right w:val="nil"/>
            </w:tcBorders>
            <w:shd w:val="clear" w:color="DCE6F1" w:fill="DCE6F1"/>
            <w:noWrap/>
            <w:vAlign w:val="center"/>
            <w:hideMark/>
          </w:tcPr>
          <w:p w14:paraId="73068FD8"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7.058</w:t>
            </w:r>
          </w:p>
        </w:tc>
        <w:tc>
          <w:tcPr>
            <w:tcW w:w="2040" w:type="dxa"/>
            <w:tcBorders>
              <w:top w:val="nil"/>
              <w:left w:val="nil"/>
              <w:bottom w:val="nil"/>
              <w:right w:val="nil"/>
            </w:tcBorders>
            <w:shd w:val="clear" w:color="DCE6F1" w:fill="DCE6F1"/>
            <w:noWrap/>
            <w:vAlign w:val="center"/>
            <w:hideMark/>
          </w:tcPr>
          <w:p w14:paraId="5DC942C2"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1,92%</w:t>
            </w:r>
          </w:p>
        </w:tc>
      </w:tr>
      <w:tr w:rsidR="006C0D6C" w:rsidRPr="00BF3CDE" w14:paraId="7020DEDB" w14:textId="77777777" w:rsidTr="006C0D6C">
        <w:trPr>
          <w:trHeight w:val="300"/>
          <w:jc w:val="center"/>
        </w:trPr>
        <w:tc>
          <w:tcPr>
            <w:tcW w:w="3400" w:type="dxa"/>
            <w:tcBorders>
              <w:top w:val="nil"/>
              <w:left w:val="nil"/>
              <w:bottom w:val="nil"/>
              <w:right w:val="nil"/>
            </w:tcBorders>
            <w:shd w:val="clear" w:color="auto" w:fill="auto"/>
            <w:noWrap/>
            <w:vAlign w:val="center"/>
            <w:hideMark/>
          </w:tcPr>
          <w:p w14:paraId="2CC958AE"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AS OSIGURANJE</w:t>
            </w:r>
          </w:p>
        </w:tc>
        <w:tc>
          <w:tcPr>
            <w:tcW w:w="1760" w:type="dxa"/>
            <w:tcBorders>
              <w:top w:val="nil"/>
              <w:left w:val="nil"/>
              <w:bottom w:val="nil"/>
              <w:right w:val="nil"/>
            </w:tcBorders>
            <w:shd w:val="clear" w:color="auto" w:fill="auto"/>
            <w:noWrap/>
            <w:vAlign w:val="center"/>
            <w:hideMark/>
          </w:tcPr>
          <w:p w14:paraId="435BDB9C"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6.137</w:t>
            </w:r>
          </w:p>
        </w:tc>
        <w:tc>
          <w:tcPr>
            <w:tcW w:w="2040" w:type="dxa"/>
            <w:tcBorders>
              <w:top w:val="nil"/>
              <w:left w:val="nil"/>
              <w:bottom w:val="nil"/>
              <w:right w:val="nil"/>
            </w:tcBorders>
            <w:shd w:val="clear" w:color="auto" w:fill="auto"/>
            <w:noWrap/>
            <w:vAlign w:val="center"/>
            <w:hideMark/>
          </w:tcPr>
          <w:p w14:paraId="3604C5B1"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1,67%</w:t>
            </w:r>
          </w:p>
        </w:tc>
      </w:tr>
      <w:tr w:rsidR="006C0D6C" w:rsidRPr="00BF3CDE" w14:paraId="0DFE36D7" w14:textId="77777777" w:rsidTr="006C0D6C">
        <w:trPr>
          <w:trHeight w:val="300"/>
          <w:jc w:val="center"/>
        </w:trPr>
        <w:tc>
          <w:tcPr>
            <w:tcW w:w="3400" w:type="dxa"/>
            <w:tcBorders>
              <w:top w:val="nil"/>
              <w:left w:val="nil"/>
              <w:bottom w:val="nil"/>
              <w:right w:val="nil"/>
            </w:tcBorders>
            <w:shd w:val="clear" w:color="DCE6F1" w:fill="DCE6F1"/>
            <w:noWrap/>
            <w:vAlign w:val="center"/>
            <w:hideMark/>
          </w:tcPr>
          <w:p w14:paraId="3812634E"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UDRUŽENJE OSIGURAVAČA SRBIJE</w:t>
            </w:r>
          </w:p>
        </w:tc>
        <w:tc>
          <w:tcPr>
            <w:tcW w:w="1760" w:type="dxa"/>
            <w:tcBorders>
              <w:top w:val="nil"/>
              <w:left w:val="nil"/>
              <w:bottom w:val="nil"/>
              <w:right w:val="nil"/>
            </w:tcBorders>
            <w:shd w:val="clear" w:color="DCE6F1" w:fill="DCE6F1"/>
            <w:noWrap/>
            <w:vAlign w:val="center"/>
            <w:hideMark/>
          </w:tcPr>
          <w:p w14:paraId="347888F8"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5.520</w:t>
            </w:r>
          </w:p>
        </w:tc>
        <w:tc>
          <w:tcPr>
            <w:tcW w:w="2040" w:type="dxa"/>
            <w:tcBorders>
              <w:top w:val="nil"/>
              <w:left w:val="nil"/>
              <w:bottom w:val="nil"/>
              <w:right w:val="nil"/>
            </w:tcBorders>
            <w:shd w:val="clear" w:color="DCE6F1" w:fill="DCE6F1"/>
            <w:noWrap/>
            <w:vAlign w:val="center"/>
            <w:hideMark/>
          </w:tcPr>
          <w:p w14:paraId="0F2B5F93"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1,50%</w:t>
            </w:r>
          </w:p>
        </w:tc>
      </w:tr>
      <w:tr w:rsidR="006C0D6C" w:rsidRPr="00BF3CDE" w14:paraId="2D5E2593" w14:textId="77777777" w:rsidTr="006C0D6C">
        <w:trPr>
          <w:trHeight w:val="300"/>
          <w:jc w:val="center"/>
        </w:trPr>
        <w:tc>
          <w:tcPr>
            <w:tcW w:w="3400" w:type="dxa"/>
            <w:tcBorders>
              <w:top w:val="nil"/>
              <w:left w:val="nil"/>
              <w:bottom w:val="nil"/>
              <w:right w:val="nil"/>
            </w:tcBorders>
            <w:shd w:val="clear" w:color="auto" w:fill="auto"/>
            <w:noWrap/>
            <w:vAlign w:val="center"/>
            <w:hideMark/>
          </w:tcPr>
          <w:p w14:paraId="6C8A7E90"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GRAWE OSIGURANJE</w:t>
            </w:r>
          </w:p>
        </w:tc>
        <w:tc>
          <w:tcPr>
            <w:tcW w:w="1760" w:type="dxa"/>
            <w:tcBorders>
              <w:top w:val="nil"/>
              <w:left w:val="nil"/>
              <w:bottom w:val="nil"/>
              <w:right w:val="nil"/>
            </w:tcBorders>
            <w:shd w:val="clear" w:color="auto" w:fill="auto"/>
            <w:noWrap/>
            <w:vAlign w:val="center"/>
            <w:hideMark/>
          </w:tcPr>
          <w:p w14:paraId="18265DD0"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4.726</w:t>
            </w:r>
          </w:p>
        </w:tc>
        <w:tc>
          <w:tcPr>
            <w:tcW w:w="2040" w:type="dxa"/>
            <w:tcBorders>
              <w:top w:val="nil"/>
              <w:left w:val="nil"/>
              <w:bottom w:val="nil"/>
              <w:right w:val="nil"/>
            </w:tcBorders>
            <w:shd w:val="clear" w:color="auto" w:fill="auto"/>
            <w:noWrap/>
            <w:vAlign w:val="center"/>
            <w:hideMark/>
          </w:tcPr>
          <w:p w14:paraId="12E9C603"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1,29%</w:t>
            </w:r>
          </w:p>
        </w:tc>
      </w:tr>
      <w:tr w:rsidR="006C0D6C" w:rsidRPr="00BF3CDE" w14:paraId="57A868D6" w14:textId="77777777" w:rsidTr="006C0D6C">
        <w:trPr>
          <w:trHeight w:val="300"/>
          <w:jc w:val="center"/>
        </w:trPr>
        <w:tc>
          <w:tcPr>
            <w:tcW w:w="3400" w:type="dxa"/>
            <w:tcBorders>
              <w:top w:val="nil"/>
              <w:left w:val="nil"/>
              <w:bottom w:val="nil"/>
              <w:right w:val="nil"/>
            </w:tcBorders>
            <w:shd w:val="clear" w:color="DCE6F1" w:fill="DCE6F1"/>
            <w:noWrap/>
            <w:vAlign w:val="center"/>
            <w:hideMark/>
          </w:tcPr>
          <w:p w14:paraId="0FD452FE"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GLOBOS OSIGURANJE</w:t>
            </w:r>
          </w:p>
        </w:tc>
        <w:tc>
          <w:tcPr>
            <w:tcW w:w="1760" w:type="dxa"/>
            <w:tcBorders>
              <w:top w:val="nil"/>
              <w:left w:val="nil"/>
              <w:bottom w:val="nil"/>
              <w:right w:val="nil"/>
            </w:tcBorders>
            <w:shd w:val="clear" w:color="DCE6F1" w:fill="DCE6F1"/>
            <w:noWrap/>
            <w:vAlign w:val="center"/>
            <w:hideMark/>
          </w:tcPr>
          <w:p w14:paraId="5F80A4E7"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2.679</w:t>
            </w:r>
          </w:p>
        </w:tc>
        <w:tc>
          <w:tcPr>
            <w:tcW w:w="2040" w:type="dxa"/>
            <w:tcBorders>
              <w:top w:val="nil"/>
              <w:left w:val="nil"/>
              <w:bottom w:val="nil"/>
              <w:right w:val="nil"/>
            </w:tcBorders>
            <w:shd w:val="clear" w:color="DCE6F1" w:fill="DCE6F1"/>
            <w:noWrap/>
            <w:vAlign w:val="center"/>
            <w:hideMark/>
          </w:tcPr>
          <w:p w14:paraId="65430875"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0,73%</w:t>
            </w:r>
          </w:p>
        </w:tc>
      </w:tr>
      <w:tr w:rsidR="006C0D6C" w:rsidRPr="00BF3CDE" w14:paraId="2758CFBA" w14:textId="77777777" w:rsidTr="006C0D6C">
        <w:trPr>
          <w:trHeight w:val="300"/>
          <w:jc w:val="center"/>
        </w:trPr>
        <w:tc>
          <w:tcPr>
            <w:tcW w:w="3400" w:type="dxa"/>
            <w:tcBorders>
              <w:top w:val="nil"/>
              <w:left w:val="nil"/>
              <w:bottom w:val="nil"/>
              <w:right w:val="nil"/>
            </w:tcBorders>
            <w:shd w:val="clear" w:color="auto" w:fill="auto"/>
            <w:noWrap/>
            <w:vAlign w:val="center"/>
            <w:hideMark/>
          </w:tcPr>
          <w:p w14:paraId="72CACF01"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UNIQA ŽIVOTNO OSIGURANJE</w:t>
            </w:r>
          </w:p>
        </w:tc>
        <w:tc>
          <w:tcPr>
            <w:tcW w:w="1760" w:type="dxa"/>
            <w:tcBorders>
              <w:top w:val="nil"/>
              <w:left w:val="nil"/>
              <w:bottom w:val="nil"/>
              <w:right w:val="nil"/>
            </w:tcBorders>
            <w:shd w:val="clear" w:color="auto" w:fill="auto"/>
            <w:noWrap/>
            <w:vAlign w:val="center"/>
            <w:hideMark/>
          </w:tcPr>
          <w:p w14:paraId="69743D77"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2.095</w:t>
            </w:r>
          </w:p>
        </w:tc>
        <w:tc>
          <w:tcPr>
            <w:tcW w:w="2040" w:type="dxa"/>
            <w:tcBorders>
              <w:top w:val="nil"/>
              <w:left w:val="nil"/>
              <w:bottom w:val="nil"/>
              <w:right w:val="nil"/>
            </w:tcBorders>
            <w:shd w:val="clear" w:color="auto" w:fill="auto"/>
            <w:noWrap/>
            <w:vAlign w:val="center"/>
            <w:hideMark/>
          </w:tcPr>
          <w:p w14:paraId="2B66F1D9"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0,57%</w:t>
            </w:r>
          </w:p>
        </w:tc>
      </w:tr>
      <w:tr w:rsidR="006C0D6C" w:rsidRPr="00BF3CDE" w14:paraId="49E51D7C" w14:textId="77777777" w:rsidTr="006C0D6C">
        <w:trPr>
          <w:trHeight w:val="300"/>
          <w:jc w:val="center"/>
        </w:trPr>
        <w:tc>
          <w:tcPr>
            <w:tcW w:w="3400" w:type="dxa"/>
            <w:tcBorders>
              <w:top w:val="nil"/>
              <w:left w:val="nil"/>
              <w:bottom w:val="nil"/>
              <w:right w:val="nil"/>
            </w:tcBorders>
            <w:shd w:val="clear" w:color="DCE6F1" w:fill="DCE6F1"/>
            <w:noWrap/>
            <w:vAlign w:val="center"/>
            <w:hideMark/>
          </w:tcPr>
          <w:p w14:paraId="1525C766"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MILENIJUM OSIGURANJE</w:t>
            </w:r>
          </w:p>
        </w:tc>
        <w:tc>
          <w:tcPr>
            <w:tcW w:w="1760" w:type="dxa"/>
            <w:tcBorders>
              <w:top w:val="nil"/>
              <w:left w:val="nil"/>
              <w:bottom w:val="nil"/>
              <w:right w:val="nil"/>
            </w:tcBorders>
            <w:shd w:val="clear" w:color="DCE6F1" w:fill="DCE6F1"/>
            <w:noWrap/>
            <w:vAlign w:val="center"/>
            <w:hideMark/>
          </w:tcPr>
          <w:p w14:paraId="655F49B4"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1.959</w:t>
            </w:r>
          </w:p>
        </w:tc>
        <w:tc>
          <w:tcPr>
            <w:tcW w:w="2040" w:type="dxa"/>
            <w:tcBorders>
              <w:top w:val="nil"/>
              <w:left w:val="nil"/>
              <w:bottom w:val="nil"/>
              <w:right w:val="nil"/>
            </w:tcBorders>
            <w:shd w:val="clear" w:color="DCE6F1" w:fill="DCE6F1"/>
            <w:noWrap/>
            <w:vAlign w:val="center"/>
            <w:hideMark/>
          </w:tcPr>
          <w:p w14:paraId="139B5A55"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0,53%</w:t>
            </w:r>
          </w:p>
        </w:tc>
      </w:tr>
      <w:tr w:rsidR="006C0D6C" w:rsidRPr="00BF3CDE" w14:paraId="77414914" w14:textId="77777777" w:rsidTr="006C0D6C">
        <w:trPr>
          <w:trHeight w:val="300"/>
          <w:jc w:val="center"/>
        </w:trPr>
        <w:tc>
          <w:tcPr>
            <w:tcW w:w="3400" w:type="dxa"/>
            <w:tcBorders>
              <w:top w:val="nil"/>
              <w:left w:val="nil"/>
              <w:bottom w:val="nil"/>
              <w:right w:val="nil"/>
            </w:tcBorders>
            <w:shd w:val="clear" w:color="auto" w:fill="auto"/>
            <w:noWrap/>
            <w:vAlign w:val="center"/>
            <w:hideMark/>
          </w:tcPr>
          <w:p w14:paraId="75A8F722"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SOGAZ</w:t>
            </w:r>
          </w:p>
        </w:tc>
        <w:tc>
          <w:tcPr>
            <w:tcW w:w="1760" w:type="dxa"/>
            <w:tcBorders>
              <w:top w:val="nil"/>
              <w:left w:val="nil"/>
              <w:bottom w:val="nil"/>
              <w:right w:val="nil"/>
            </w:tcBorders>
            <w:shd w:val="clear" w:color="auto" w:fill="auto"/>
            <w:noWrap/>
            <w:vAlign w:val="center"/>
            <w:hideMark/>
          </w:tcPr>
          <w:p w14:paraId="6E1DD26D"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1.221</w:t>
            </w:r>
          </w:p>
        </w:tc>
        <w:tc>
          <w:tcPr>
            <w:tcW w:w="2040" w:type="dxa"/>
            <w:tcBorders>
              <w:top w:val="nil"/>
              <w:left w:val="nil"/>
              <w:bottom w:val="nil"/>
              <w:right w:val="nil"/>
            </w:tcBorders>
            <w:shd w:val="clear" w:color="auto" w:fill="auto"/>
            <w:noWrap/>
            <w:vAlign w:val="center"/>
            <w:hideMark/>
          </w:tcPr>
          <w:p w14:paraId="091EA234"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0,33%</w:t>
            </w:r>
          </w:p>
        </w:tc>
      </w:tr>
      <w:tr w:rsidR="006C0D6C" w:rsidRPr="00BF3CDE" w14:paraId="665C79F2" w14:textId="77777777" w:rsidTr="006C0D6C">
        <w:trPr>
          <w:trHeight w:val="300"/>
          <w:jc w:val="center"/>
        </w:trPr>
        <w:tc>
          <w:tcPr>
            <w:tcW w:w="3400" w:type="dxa"/>
            <w:tcBorders>
              <w:top w:val="nil"/>
              <w:left w:val="nil"/>
              <w:bottom w:val="nil"/>
              <w:right w:val="nil"/>
            </w:tcBorders>
            <w:shd w:val="clear" w:color="DCE6F1" w:fill="DCE6F1"/>
            <w:noWrap/>
            <w:vAlign w:val="center"/>
            <w:hideMark/>
          </w:tcPr>
          <w:p w14:paraId="1E9D7A35"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TRIGLAV OSIGURANJE</w:t>
            </w:r>
          </w:p>
        </w:tc>
        <w:tc>
          <w:tcPr>
            <w:tcW w:w="1760" w:type="dxa"/>
            <w:tcBorders>
              <w:top w:val="nil"/>
              <w:left w:val="nil"/>
              <w:bottom w:val="nil"/>
              <w:right w:val="nil"/>
            </w:tcBorders>
            <w:shd w:val="clear" w:color="DCE6F1" w:fill="DCE6F1"/>
            <w:noWrap/>
            <w:vAlign w:val="center"/>
            <w:hideMark/>
          </w:tcPr>
          <w:p w14:paraId="1A65F323"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888</w:t>
            </w:r>
          </w:p>
        </w:tc>
        <w:tc>
          <w:tcPr>
            <w:tcW w:w="2040" w:type="dxa"/>
            <w:tcBorders>
              <w:top w:val="nil"/>
              <w:left w:val="nil"/>
              <w:bottom w:val="nil"/>
              <w:right w:val="nil"/>
            </w:tcBorders>
            <w:shd w:val="clear" w:color="DCE6F1" w:fill="DCE6F1"/>
            <w:noWrap/>
            <w:vAlign w:val="center"/>
            <w:hideMark/>
          </w:tcPr>
          <w:p w14:paraId="542D3BD0"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0,24%</w:t>
            </w:r>
          </w:p>
        </w:tc>
      </w:tr>
      <w:tr w:rsidR="006C0D6C" w:rsidRPr="00BF3CDE" w14:paraId="37830918" w14:textId="77777777" w:rsidTr="006C0D6C">
        <w:trPr>
          <w:trHeight w:val="300"/>
          <w:jc w:val="center"/>
        </w:trPr>
        <w:tc>
          <w:tcPr>
            <w:tcW w:w="3400" w:type="dxa"/>
            <w:tcBorders>
              <w:top w:val="nil"/>
              <w:left w:val="nil"/>
              <w:bottom w:val="nil"/>
              <w:right w:val="nil"/>
            </w:tcBorders>
            <w:shd w:val="clear" w:color="auto" w:fill="auto"/>
            <w:noWrap/>
            <w:vAlign w:val="center"/>
            <w:hideMark/>
          </w:tcPr>
          <w:p w14:paraId="04BF1B86"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UNIQA NEŽIVOTNO OSIGURANJE</w:t>
            </w:r>
          </w:p>
        </w:tc>
        <w:tc>
          <w:tcPr>
            <w:tcW w:w="1760" w:type="dxa"/>
            <w:tcBorders>
              <w:top w:val="nil"/>
              <w:left w:val="nil"/>
              <w:bottom w:val="nil"/>
              <w:right w:val="nil"/>
            </w:tcBorders>
            <w:shd w:val="clear" w:color="auto" w:fill="auto"/>
            <w:noWrap/>
            <w:vAlign w:val="center"/>
            <w:hideMark/>
          </w:tcPr>
          <w:p w14:paraId="328F98A8"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853</w:t>
            </w:r>
          </w:p>
        </w:tc>
        <w:tc>
          <w:tcPr>
            <w:tcW w:w="2040" w:type="dxa"/>
            <w:tcBorders>
              <w:top w:val="nil"/>
              <w:left w:val="nil"/>
              <w:bottom w:val="nil"/>
              <w:right w:val="nil"/>
            </w:tcBorders>
            <w:shd w:val="clear" w:color="auto" w:fill="auto"/>
            <w:noWrap/>
            <w:vAlign w:val="center"/>
            <w:hideMark/>
          </w:tcPr>
          <w:p w14:paraId="49E0289E"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0,23%</w:t>
            </w:r>
          </w:p>
        </w:tc>
      </w:tr>
      <w:tr w:rsidR="006C0D6C" w:rsidRPr="00BF3CDE" w14:paraId="4C104E64" w14:textId="77777777" w:rsidTr="006C0D6C">
        <w:trPr>
          <w:trHeight w:val="300"/>
          <w:jc w:val="center"/>
        </w:trPr>
        <w:tc>
          <w:tcPr>
            <w:tcW w:w="3400" w:type="dxa"/>
            <w:tcBorders>
              <w:top w:val="nil"/>
              <w:left w:val="nil"/>
              <w:bottom w:val="nil"/>
              <w:right w:val="nil"/>
            </w:tcBorders>
            <w:shd w:val="clear" w:color="DCE6F1" w:fill="DCE6F1"/>
            <w:noWrap/>
            <w:vAlign w:val="center"/>
            <w:hideMark/>
          </w:tcPr>
          <w:p w14:paraId="3900B370"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NEŽIVOTNO OSIGURANJE BASLER</w:t>
            </w:r>
          </w:p>
        </w:tc>
        <w:tc>
          <w:tcPr>
            <w:tcW w:w="1760" w:type="dxa"/>
            <w:tcBorders>
              <w:top w:val="nil"/>
              <w:left w:val="nil"/>
              <w:bottom w:val="nil"/>
              <w:right w:val="nil"/>
            </w:tcBorders>
            <w:shd w:val="clear" w:color="DCE6F1" w:fill="DCE6F1"/>
            <w:noWrap/>
            <w:vAlign w:val="center"/>
            <w:hideMark/>
          </w:tcPr>
          <w:p w14:paraId="6AF0A1BB"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412</w:t>
            </w:r>
          </w:p>
        </w:tc>
        <w:tc>
          <w:tcPr>
            <w:tcW w:w="2040" w:type="dxa"/>
            <w:tcBorders>
              <w:top w:val="nil"/>
              <w:left w:val="nil"/>
              <w:bottom w:val="nil"/>
              <w:right w:val="nil"/>
            </w:tcBorders>
            <w:shd w:val="clear" w:color="DCE6F1" w:fill="DCE6F1"/>
            <w:noWrap/>
            <w:vAlign w:val="center"/>
            <w:hideMark/>
          </w:tcPr>
          <w:p w14:paraId="2C797F2B"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0,11%</w:t>
            </w:r>
          </w:p>
        </w:tc>
      </w:tr>
      <w:tr w:rsidR="006C0D6C" w:rsidRPr="00BF3CDE" w14:paraId="5B07E51A" w14:textId="77777777" w:rsidTr="006C0D6C">
        <w:trPr>
          <w:trHeight w:val="300"/>
          <w:jc w:val="center"/>
        </w:trPr>
        <w:tc>
          <w:tcPr>
            <w:tcW w:w="3400" w:type="dxa"/>
            <w:tcBorders>
              <w:top w:val="nil"/>
              <w:left w:val="nil"/>
              <w:bottom w:val="nil"/>
              <w:right w:val="nil"/>
            </w:tcBorders>
            <w:shd w:val="clear" w:color="auto" w:fill="auto"/>
            <w:noWrap/>
            <w:vAlign w:val="center"/>
            <w:hideMark/>
          </w:tcPr>
          <w:p w14:paraId="289C2DE4"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AMS OSIGURANJE</w:t>
            </w:r>
          </w:p>
        </w:tc>
        <w:tc>
          <w:tcPr>
            <w:tcW w:w="1760" w:type="dxa"/>
            <w:tcBorders>
              <w:top w:val="nil"/>
              <w:left w:val="nil"/>
              <w:bottom w:val="nil"/>
              <w:right w:val="nil"/>
            </w:tcBorders>
            <w:shd w:val="clear" w:color="auto" w:fill="auto"/>
            <w:noWrap/>
            <w:vAlign w:val="center"/>
            <w:hideMark/>
          </w:tcPr>
          <w:p w14:paraId="0A995C52"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344</w:t>
            </w:r>
          </w:p>
        </w:tc>
        <w:tc>
          <w:tcPr>
            <w:tcW w:w="2040" w:type="dxa"/>
            <w:tcBorders>
              <w:top w:val="nil"/>
              <w:left w:val="nil"/>
              <w:bottom w:val="nil"/>
              <w:right w:val="nil"/>
            </w:tcBorders>
            <w:shd w:val="clear" w:color="auto" w:fill="auto"/>
            <w:noWrap/>
            <w:vAlign w:val="center"/>
            <w:hideMark/>
          </w:tcPr>
          <w:p w14:paraId="38777D1F"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0,09%</w:t>
            </w:r>
          </w:p>
        </w:tc>
      </w:tr>
      <w:tr w:rsidR="006C0D6C" w:rsidRPr="00BF3CDE" w14:paraId="17499B2B" w14:textId="77777777" w:rsidTr="006C0D6C">
        <w:trPr>
          <w:trHeight w:val="300"/>
          <w:jc w:val="center"/>
        </w:trPr>
        <w:tc>
          <w:tcPr>
            <w:tcW w:w="3400" w:type="dxa"/>
            <w:tcBorders>
              <w:top w:val="nil"/>
              <w:left w:val="nil"/>
              <w:right w:val="nil"/>
            </w:tcBorders>
            <w:shd w:val="clear" w:color="DCE6F1" w:fill="DCE6F1"/>
            <w:noWrap/>
            <w:vAlign w:val="center"/>
            <w:hideMark/>
          </w:tcPr>
          <w:p w14:paraId="58ED044A"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ŽIVOTNO OSIGURANJE BASLER</w:t>
            </w:r>
          </w:p>
        </w:tc>
        <w:tc>
          <w:tcPr>
            <w:tcW w:w="1760" w:type="dxa"/>
            <w:tcBorders>
              <w:top w:val="nil"/>
              <w:left w:val="nil"/>
              <w:right w:val="nil"/>
            </w:tcBorders>
            <w:shd w:val="clear" w:color="DCE6F1" w:fill="DCE6F1"/>
            <w:noWrap/>
            <w:vAlign w:val="center"/>
            <w:hideMark/>
          </w:tcPr>
          <w:p w14:paraId="17CA6FAA"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121</w:t>
            </w:r>
          </w:p>
        </w:tc>
        <w:tc>
          <w:tcPr>
            <w:tcW w:w="2040" w:type="dxa"/>
            <w:tcBorders>
              <w:top w:val="nil"/>
              <w:left w:val="nil"/>
              <w:right w:val="nil"/>
            </w:tcBorders>
            <w:shd w:val="clear" w:color="DCE6F1" w:fill="DCE6F1"/>
            <w:noWrap/>
            <w:vAlign w:val="center"/>
            <w:hideMark/>
          </w:tcPr>
          <w:p w14:paraId="4C2A8BFF"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0,03%</w:t>
            </w:r>
          </w:p>
        </w:tc>
      </w:tr>
      <w:tr w:rsidR="006C0D6C" w:rsidRPr="00BF3CDE" w14:paraId="6262A4BB" w14:textId="77777777" w:rsidTr="006C0D6C">
        <w:trPr>
          <w:trHeight w:val="300"/>
          <w:jc w:val="center"/>
        </w:trPr>
        <w:tc>
          <w:tcPr>
            <w:tcW w:w="3400" w:type="dxa"/>
            <w:tcBorders>
              <w:top w:val="nil"/>
              <w:left w:val="nil"/>
              <w:right w:val="nil"/>
            </w:tcBorders>
            <w:shd w:val="clear" w:color="auto" w:fill="auto"/>
            <w:noWrap/>
            <w:vAlign w:val="center"/>
            <w:hideMark/>
          </w:tcPr>
          <w:p w14:paraId="7DD278D0"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SOCIETE GENERALE OSIGURANJE</w:t>
            </w:r>
          </w:p>
        </w:tc>
        <w:tc>
          <w:tcPr>
            <w:tcW w:w="1760" w:type="dxa"/>
            <w:tcBorders>
              <w:top w:val="nil"/>
              <w:left w:val="nil"/>
              <w:right w:val="nil"/>
            </w:tcBorders>
            <w:shd w:val="clear" w:color="auto" w:fill="auto"/>
            <w:noWrap/>
            <w:vAlign w:val="center"/>
            <w:hideMark/>
          </w:tcPr>
          <w:p w14:paraId="0E71CC9C"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62</w:t>
            </w:r>
          </w:p>
        </w:tc>
        <w:tc>
          <w:tcPr>
            <w:tcW w:w="2040" w:type="dxa"/>
            <w:tcBorders>
              <w:top w:val="nil"/>
              <w:left w:val="nil"/>
              <w:right w:val="nil"/>
            </w:tcBorders>
            <w:shd w:val="clear" w:color="auto" w:fill="auto"/>
            <w:noWrap/>
            <w:vAlign w:val="center"/>
            <w:hideMark/>
          </w:tcPr>
          <w:p w14:paraId="3EC338B1"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0,02%</w:t>
            </w:r>
          </w:p>
        </w:tc>
      </w:tr>
      <w:tr w:rsidR="006C0D6C" w:rsidRPr="00BF3CDE" w14:paraId="6CCEFB55" w14:textId="77777777" w:rsidTr="00B37DA2">
        <w:trPr>
          <w:trHeight w:val="300"/>
          <w:jc w:val="center"/>
        </w:trPr>
        <w:tc>
          <w:tcPr>
            <w:tcW w:w="3400" w:type="dxa"/>
            <w:tcBorders>
              <w:top w:val="nil"/>
              <w:left w:val="nil"/>
              <w:right w:val="nil"/>
            </w:tcBorders>
            <w:shd w:val="clear" w:color="auto" w:fill="DBE5F1" w:themeFill="accent1" w:themeFillTint="33"/>
            <w:noWrap/>
            <w:vAlign w:val="center"/>
            <w:hideMark/>
          </w:tcPr>
          <w:p w14:paraId="7D56903E"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METLIFE ŽIVOTNO OSIGURANJE</w:t>
            </w:r>
          </w:p>
        </w:tc>
        <w:tc>
          <w:tcPr>
            <w:tcW w:w="1760" w:type="dxa"/>
            <w:tcBorders>
              <w:top w:val="nil"/>
              <w:left w:val="nil"/>
              <w:right w:val="nil"/>
            </w:tcBorders>
            <w:shd w:val="clear" w:color="auto" w:fill="DBE5F1" w:themeFill="accent1" w:themeFillTint="33"/>
            <w:noWrap/>
            <w:vAlign w:val="center"/>
            <w:hideMark/>
          </w:tcPr>
          <w:p w14:paraId="7CE89374"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43</w:t>
            </w:r>
          </w:p>
        </w:tc>
        <w:tc>
          <w:tcPr>
            <w:tcW w:w="2040" w:type="dxa"/>
            <w:tcBorders>
              <w:top w:val="nil"/>
              <w:left w:val="nil"/>
              <w:right w:val="nil"/>
            </w:tcBorders>
            <w:shd w:val="clear" w:color="auto" w:fill="DBE5F1" w:themeFill="accent1" w:themeFillTint="33"/>
            <w:noWrap/>
            <w:vAlign w:val="center"/>
            <w:hideMark/>
          </w:tcPr>
          <w:p w14:paraId="016DCFF1"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0,01%</w:t>
            </w:r>
          </w:p>
        </w:tc>
      </w:tr>
      <w:tr w:rsidR="006C0D6C" w:rsidRPr="00BF3CDE" w14:paraId="41CF85C6" w14:textId="77777777" w:rsidTr="006C0D6C">
        <w:trPr>
          <w:trHeight w:val="300"/>
          <w:jc w:val="center"/>
        </w:trPr>
        <w:tc>
          <w:tcPr>
            <w:tcW w:w="3400" w:type="dxa"/>
            <w:tcBorders>
              <w:left w:val="nil"/>
              <w:right w:val="nil"/>
            </w:tcBorders>
            <w:shd w:val="clear" w:color="auto" w:fill="auto"/>
            <w:noWrap/>
            <w:vAlign w:val="center"/>
            <w:hideMark/>
          </w:tcPr>
          <w:p w14:paraId="5B8CE137"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SAVA ŽIVOTNO OSIGURANJE</w:t>
            </w:r>
          </w:p>
        </w:tc>
        <w:tc>
          <w:tcPr>
            <w:tcW w:w="1760" w:type="dxa"/>
            <w:tcBorders>
              <w:left w:val="nil"/>
              <w:right w:val="nil"/>
            </w:tcBorders>
            <w:shd w:val="clear" w:color="auto" w:fill="auto"/>
            <w:noWrap/>
            <w:vAlign w:val="center"/>
            <w:hideMark/>
          </w:tcPr>
          <w:p w14:paraId="46A8F198"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38</w:t>
            </w:r>
          </w:p>
        </w:tc>
        <w:tc>
          <w:tcPr>
            <w:tcW w:w="2040" w:type="dxa"/>
            <w:tcBorders>
              <w:left w:val="nil"/>
              <w:right w:val="nil"/>
            </w:tcBorders>
            <w:shd w:val="clear" w:color="auto" w:fill="auto"/>
            <w:noWrap/>
            <w:vAlign w:val="center"/>
            <w:hideMark/>
          </w:tcPr>
          <w:p w14:paraId="5A491C4C"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0,01%</w:t>
            </w:r>
          </w:p>
        </w:tc>
      </w:tr>
      <w:tr w:rsidR="006C0D6C" w:rsidRPr="00BF3CDE" w14:paraId="4774AC11" w14:textId="77777777" w:rsidTr="00B37DA2">
        <w:trPr>
          <w:trHeight w:val="300"/>
          <w:jc w:val="center"/>
        </w:trPr>
        <w:tc>
          <w:tcPr>
            <w:tcW w:w="3400" w:type="dxa"/>
            <w:tcBorders>
              <w:left w:val="nil"/>
              <w:bottom w:val="single" w:sz="4" w:space="0" w:color="4F81BD"/>
              <w:right w:val="nil"/>
            </w:tcBorders>
            <w:shd w:val="clear" w:color="auto" w:fill="DBE5F1" w:themeFill="accent1" w:themeFillTint="33"/>
            <w:noWrap/>
            <w:vAlign w:val="center"/>
            <w:hideMark/>
          </w:tcPr>
          <w:p w14:paraId="514BC190"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GENERALI OSIGURANJE</w:t>
            </w:r>
          </w:p>
        </w:tc>
        <w:tc>
          <w:tcPr>
            <w:tcW w:w="1760" w:type="dxa"/>
            <w:tcBorders>
              <w:left w:val="nil"/>
              <w:bottom w:val="single" w:sz="4" w:space="0" w:color="4F81BD"/>
              <w:right w:val="nil"/>
            </w:tcBorders>
            <w:shd w:val="clear" w:color="auto" w:fill="DBE5F1" w:themeFill="accent1" w:themeFillTint="33"/>
            <w:noWrap/>
            <w:vAlign w:val="center"/>
            <w:hideMark/>
          </w:tcPr>
          <w:p w14:paraId="624D99D6"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20</w:t>
            </w:r>
          </w:p>
        </w:tc>
        <w:tc>
          <w:tcPr>
            <w:tcW w:w="2040" w:type="dxa"/>
            <w:tcBorders>
              <w:left w:val="nil"/>
              <w:bottom w:val="single" w:sz="4" w:space="0" w:color="4F81BD"/>
              <w:right w:val="nil"/>
            </w:tcBorders>
            <w:shd w:val="clear" w:color="auto" w:fill="DBE5F1" w:themeFill="accent1" w:themeFillTint="33"/>
            <w:noWrap/>
            <w:vAlign w:val="center"/>
            <w:hideMark/>
          </w:tcPr>
          <w:p w14:paraId="56138F7E" w14:textId="77777777" w:rsidR="006C0D6C" w:rsidRPr="00BF3CDE" w:rsidRDefault="006C0D6C" w:rsidP="006C0D6C">
            <w:pPr>
              <w:spacing w:after="0" w:line="240" w:lineRule="auto"/>
              <w:jc w:val="center"/>
              <w:rPr>
                <w:rFonts w:ascii="Verdana" w:hAnsi="Verdana"/>
                <w:noProof/>
                <w:sz w:val="16"/>
                <w:szCs w:val="16"/>
                <w:lang w:val="sr-Cyrl-CS"/>
              </w:rPr>
            </w:pPr>
            <w:r w:rsidRPr="00BF3CDE">
              <w:rPr>
                <w:rFonts w:ascii="Verdana" w:hAnsi="Verdana"/>
                <w:noProof/>
                <w:sz w:val="16"/>
                <w:szCs w:val="16"/>
                <w:lang w:val="sr-Cyrl-CS"/>
              </w:rPr>
              <w:t>0,01%</w:t>
            </w:r>
          </w:p>
        </w:tc>
      </w:tr>
    </w:tbl>
    <w:p w14:paraId="61F9D31A" w14:textId="77777777" w:rsidR="006C0D6C" w:rsidRPr="00BF3CDE" w:rsidRDefault="006C0D6C" w:rsidP="006C0D6C">
      <w:pPr>
        <w:pStyle w:val="ListParagraph"/>
        <w:spacing w:after="0" w:line="240" w:lineRule="auto"/>
        <w:ind w:left="0" w:firstLine="851"/>
        <w:jc w:val="both"/>
        <w:rPr>
          <w:noProof/>
          <w:sz w:val="20"/>
          <w:szCs w:val="20"/>
          <w:lang w:val="sr-Cyrl-CS"/>
        </w:rPr>
      </w:pPr>
    </w:p>
    <w:tbl>
      <w:tblPr>
        <w:tblpPr w:leftFromText="180" w:rightFromText="180" w:vertAnchor="text" w:horzAnchor="page" w:tblpX="7844" w:tblpY="-63"/>
        <w:tblW w:w="3098" w:type="dxa"/>
        <w:tblLook w:val="04A0" w:firstRow="1" w:lastRow="0" w:firstColumn="1" w:lastColumn="0" w:noHBand="0" w:noVBand="1"/>
      </w:tblPr>
      <w:tblGrid>
        <w:gridCol w:w="2143"/>
        <w:gridCol w:w="955"/>
      </w:tblGrid>
      <w:tr w:rsidR="006C0D6C" w:rsidRPr="00BF3CDE" w14:paraId="619B6D53" w14:textId="77777777" w:rsidTr="006C0D6C">
        <w:trPr>
          <w:trHeight w:val="297"/>
        </w:trPr>
        <w:tc>
          <w:tcPr>
            <w:tcW w:w="2147" w:type="dxa"/>
            <w:tcBorders>
              <w:top w:val="nil"/>
              <w:left w:val="nil"/>
              <w:bottom w:val="nil"/>
              <w:right w:val="nil"/>
            </w:tcBorders>
            <w:shd w:val="clear" w:color="auto" w:fill="auto"/>
            <w:vAlign w:val="center"/>
            <w:hideMark/>
          </w:tcPr>
          <w:p w14:paraId="48247EDC"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TRIGLAV RE</w:t>
            </w:r>
          </w:p>
        </w:tc>
        <w:tc>
          <w:tcPr>
            <w:tcW w:w="951" w:type="dxa"/>
            <w:tcBorders>
              <w:top w:val="nil"/>
              <w:left w:val="nil"/>
              <w:bottom w:val="nil"/>
              <w:right w:val="nil"/>
            </w:tcBorders>
            <w:shd w:val="clear" w:color="auto" w:fill="auto"/>
            <w:noWrap/>
            <w:vAlign w:val="center"/>
            <w:hideMark/>
          </w:tcPr>
          <w:p w14:paraId="3B23A5C6"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12,07%</w:t>
            </w:r>
          </w:p>
        </w:tc>
      </w:tr>
      <w:tr w:rsidR="006C0D6C" w:rsidRPr="00BF3CDE" w14:paraId="33CFFBE6" w14:textId="77777777" w:rsidTr="006C0D6C">
        <w:trPr>
          <w:trHeight w:val="297"/>
        </w:trPr>
        <w:tc>
          <w:tcPr>
            <w:tcW w:w="2147" w:type="dxa"/>
            <w:tcBorders>
              <w:top w:val="nil"/>
              <w:left w:val="nil"/>
              <w:bottom w:val="nil"/>
              <w:right w:val="nil"/>
            </w:tcBorders>
            <w:shd w:val="clear" w:color="auto" w:fill="auto"/>
            <w:vAlign w:val="center"/>
            <w:hideMark/>
          </w:tcPr>
          <w:p w14:paraId="22BE0589"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DEVK VERSICHERUNGEN</w:t>
            </w:r>
          </w:p>
        </w:tc>
        <w:tc>
          <w:tcPr>
            <w:tcW w:w="951" w:type="dxa"/>
            <w:tcBorders>
              <w:top w:val="nil"/>
              <w:left w:val="nil"/>
              <w:bottom w:val="nil"/>
              <w:right w:val="nil"/>
            </w:tcBorders>
            <w:shd w:val="clear" w:color="auto" w:fill="auto"/>
            <w:noWrap/>
            <w:vAlign w:val="center"/>
            <w:hideMark/>
          </w:tcPr>
          <w:p w14:paraId="6EE72053"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10,97%</w:t>
            </w:r>
          </w:p>
        </w:tc>
      </w:tr>
      <w:tr w:rsidR="006C0D6C" w:rsidRPr="00BF3CDE" w14:paraId="7D30F1CD" w14:textId="77777777" w:rsidTr="006C0D6C">
        <w:trPr>
          <w:trHeight w:val="297"/>
        </w:trPr>
        <w:tc>
          <w:tcPr>
            <w:tcW w:w="2147" w:type="dxa"/>
            <w:tcBorders>
              <w:top w:val="nil"/>
              <w:left w:val="nil"/>
              <w:bottom w:val="nil"/>
              <w:right w:val="nil"/>
            </w:tcBorders>
            <w:shd w:val="clear" w:color="auto" w:fill="auto"/>
            <w:vAlign w:val="center"/>
            <w:hideMark/>
          </w:tcPr>
          <w:p w14:paraId="4CFF8830"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BOSNA RE</w:t>
            </w:r>
          </w:p>
        </w:tc>
        <w:tc>
          <w:tcPr>
            <w:tcW w:w="951" w:type="dxa"/>
            <w:tcBorders>
              <w:top w:val="nil"/>
              <w:left w:val="nil"/>
              <w:bottom w:val="nil"/>
              <w:right w:val="nil"/>
            </w:tcBorders>
            <w:shd w:val="clear" w:color="auto" w:fill="auto"/>
            <w:noWrap/>
            <w:vAlign w:val="center"/>
            <w:hideMark/>
          </w:tcPr>
          <w:p w14:paraId="021866EB"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8,09%</w:t>
            </w:r>
          </w:p>
        </w:tc>
      </w:tr>
      <w:tr w:rsidR="006C0D6C" w:rsidRPr="00BF3CDE" w14:paraId="1ED684F3" w14:textId="77777777" w:rsidTr="006C0D6C">
        <w:trPr>
          <w:trHeight w:val="297"/>
        </w:trPr>
        <w:tc>
          <w:tcPr>
            <w:tcW w:w="2147" w:type="dxa"/>
            <w:tcBorders>
              <w:top w:val="nil"/>
              <w:left w:val="nil"/>
              <w:bottom w:val="nil"/>
              <w:right w:val="nil"/>
            </w:tcBorders>
            <w:shd w:val="clear" w:color="auto" w:fill="auto"/>
            <w:vAlign w:val="center"/>
            <w:hideMark/>
          </w:tcPr>
          <w:p w14:paraId="59B93AA9"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SAVA RE</w:t>
            </w:r>
          </w:p>
        </w:tc>
        <w:tc>
          <w:tcPr>
            <w:tcW w:w="951" w:type="dxa"/>
            <w:tcBorders>
              <w:top w:val="nil"/>
              <w:left w:val="nil"/>
              <w:bottom w:val="nil"/>
              <w:right w:val="nil"/>
            </w:tcBorders>
            <w:shd w:val="clear" w:color="auto" w:fill="auto"/>
            <w:noWrap/>
            <w:vAlign w:val="center"/>
            <w:hideMark/>
          </w:tcPr>
          <w:p w14:paraId="320C599C"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6,89%</w:t>
            </w:r>
          </w:p>
        </w:tc>
      </w:tr>
      <w:tr w:rsidR="006C0D6C" w:rsidRPr="00BF3CDE" w14:paraId="2C6D3492" w14:textId="77777777" w:rsidTr="006C0D6C">
        <w:trPr>
          <w:trHeight w:val="297"/>
        </w:trPr>
        <w:tc>
          <w:tcPr>
            <w:tcW w:w="2147" w:type="dxa"/>
            <w:tcBorders>
              <w:top w:val="nil"/>
              <w:left w:val="nil"/>
              <w:bottom w:val="nil"/>
              <w:right w:val="nil"/>
            </w:tcBorders>
            <w:shd w:val="clear" w:color="auto" w:fill="auto"/>
            <w:vAlign w:val="center"/>
            <w:hideMark/>
          </w:tcPr>
          <w:p w14:paraId="26B71880"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CROATIA LLOYDS</w:t>
            </w:r>
          </w:p>
        </w:tc>
        <w:tc>
          <w:tcPr>
            <w:tcW w:w="951" w:type="dxa"/>
            <w:tcBorders>
              <w:top w:val="nil"/>
              <w:left w:val="nil"/>
              <w:bottom w:val="nil"/>
              <w:right w:val="nil"/>
            </w:tcBorders>
            <w:shd w:val="clear" w:color="auto" w:fill="auto"/>
            <w:noWrap/>
            <w:vAlign w:val="center"/>
            <w:hideMark/>
          </w:tcPr>
          <w:p w14:paraId="59339F25"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5,71%</w:t>
            </w:r>
          </w:p>
        </w:tc>
      </w:tr>
      <w:tr w:rsidR="006C0D6C" w:rsidRPr="00BF3CDE" w14:paraId="2C02A656" w14:textId="77777777" w:rsidTr="006C0D6C">
        <w:trPr>
          <w:trHeight w:val="297"/>
        </w:trPr>
        <w:tc>
          <w:tcPr>
            <w:tcW w:w="2147" w:type="dxa"/>
            <w:tcBorders>
              <w:top w:val="nil"/>
              <w:left w:val="nil"/>
              <w:bottom w:val="nil"/>
              <w:right w:val="nil"/>
            </w:tcBorders>
            <w:shd w:val="clear" w:color="auto" w:fill="auto"/>
            <w:vAlign w:val="center"/>
            <w:hideMark/>
          </w:tcPr>
          <w:p w14:paraId="74868E9E"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DUNAV OSIGURANJE BANJA LUKA</w:t>
            </w:r>
          </w:p>
        </w:tc>
        <w:tc>
          <w:tcPr>
            <w:tcW w:w="951" w:type="dxa"/>
            <w:tcBorders>
              <w:top w:val="nil"/>
              <w:left w:val="nil"/>
              <w:bottom w:val="nil"/>
              <w:right w:val="nil"/>
            </w:tcBorders>
            <w:shd w:val="clear" w:color="auto" w:fill="auto"/>
            <w:noWrap/>
            <w:vAlign w:val="center"/>
            <w:hideMark/>
          </w:tcPr>
          <w:p w14:paraId="691A2B79"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3,17%</w:t>
            </w:r>
          </w:p>
        </w:tc>
      </w:tr>
      <w:tr w:rsidR="006C0D6C" w:rsidRPr="00BF3CDE" w14:paraId="5D35E0E2" w14:textId="77777777" w:rsidTr="006C0D6C">
        <w:trPr>
          <w:trHeight w:val="297"/>
        </w:trPr>
        <w:tc>
          <w:tcPr>
            <w:tcW w:w="2147" w:type="dxa"/>
            <w:tcBorders>
              <w:top w:val="nil"/>
              <w:left w:val="nil"/>
              <w:bottom w:val="nil"/>
              <w:right w:val="nil"/>
            </w:tcBorders>
            <w:shd w:val="clear" w:color="auto" w:fill="auto"/>
            <w:vAlign w:val="center"/>
            <w:hideMark/>
          </w:tcPr>
          <w:p w14:paraId="7CB401DD"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KOREAN RE</w:t>
            </w:r>
          </w:p>
        </w:tc>
        <w:tc>
          <w:tcPr>
            <w:tcW w:w="951" w:type="dxa"/>
            <w:tcBorders>
              <w:top w:val="nil"/>
              <w:left w:val="nil"/>
              <w:bottom w:val="nil"/>
              <w:right w:val="nil"/>
            </w:tcBorders>
            <w:shd w:val="clear" w:color="auto" w:fill="auto"/>
            <w:noWrap/>
            <w:vAlign w:val="center"/>
            <w:hideMark/>
          </w:tcPr>
          <w:p w14:paraId="20B86636"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1,28%</w:t>
            </w:r>
          </w:p>
        </w:tc>
      </w:tr>
      <w:tr w:rsidR="006C0D6C" w:rsidRPr="00BF3CDE" w14:paraId="1F9DCE3C" w14:textId="77777777" w:rsidTr="006C0D6C">
        <w:trPr>
          <w:trHeight w:val="297"/>
        </w:trPr>
        <w:tc>
          <w:tcPr>
            <w:tcW w:w="2147" w:type="dxa"/>
            <w:tcBorders>
              <w:top w:val="nil"/>
              <w:left w:val="nil"/>
              <w:bottom w:val="nil"/>
              <w:right w:val="nil"/>
            </w:tcBorders>
            <w:shd w:val="clear" w:color="auto" w:fill="auto"/>
            <w:vAlign w:val="center"/>
            <w:hideMark/>
          </w:tcPr>
          <w:p w14:paraId="770131F0"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KAPITAL INSURANCE COMPANY</w:t>
            </w:r>
          </w:p>
        </w:tc>
        <w:tc>
          <w:tcPr>
            <w:tcW w:w="951" w:type="dxa"/>
            <w:tcBorders>
              <w:top w:val="nil"/>
              <w:left w:val="nil"/>
              <w:bottom w:val="nil"/>
              <w:right w:val="nil"/>
            </w:tcBorders>
            <w:shd w:val="clear" w:color="auto" w:fill="auto"/>
            <w:noWrap/>
            <w:vAlign w:val="center"/>
            <w:hideMark/>
          </w:tcPr>
          <w:p w14:paraId="03E5BD5A"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0,89%</w:t>
            </w:r>
          </w:p>
        </w:tc>
      </w:tr>
      <w:tr w:rsidR="006C0D6C" w:rsidRPr="00BF3CDE" w14:paraId="73AB1BDA" w14:textId="77777777" w:rsidTr="006C0D6C">
        <w:trPr>
          <w:trHeight w:val="297"/>
        </w:trPr>
        <w:tc>
          <w:tcPr>
            <w:tcW w:w="2147" w:type="dxa"/>
            <w:tcBorders>
              <w:top w:val="nil"/>
              <w:left w:val="nil"/>
              <w:bottom w:val="nil"/>
              <w:right w:val="nil"/>
            </w:tcBorders>
            <w:shd w:val="clear" w:color="auto" w:fill="auto"/>
            <w:vAlign w:val="center"/>
            <w:hideMark/>
          </w:tcPr>
          <w:p w14:paraId="03FD918B"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BRČKO GAS OSIGURANJE</w:t>
            </w:r>
          </w:p>
        </w:tc>
        <w:tc>
          <w:tcPr>
            <w:tcW w:w="951" w:type="dxa"/>
            <w:tcBorders>
              <w:top w:val="nil"/>
              <w:left w:val="nil"/>
              <w:bottom w:val="nil"/>
              <w:right w:val="nil"/>
            </w:tcBorders>
            <w:shd w:val="clear" w:color="auto" w:fill="auto"/>
            <w:noWrap/>
            <w:vAlign w:val="center"/>
            <w:hideMark/>
          </w:tcPr>
          <w:p w14:paraId="31C52863"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0,37%</w:t>
            </w:r>
          </w:p>
        </w:tc>
      </w:tr>
      <w:tr w:rsidR="006C0D6C" w:rsidRPr="00BF3CDE" w14:paraId="34BA46DD" w14:textId="77777777" w:rsidTr="006C0D6C">
        <w:trPr>
          <w:trHeight w:val="297"/>
        </w:trPr>
        <w:tc>
          <w:tcPr>
            <w:tcW w:w="2147" w:type="dxa"/>
            <w:tcBorders>
              <w:top w:val="nil"/>
              <w:left w:val="nil"/>
              <w:bottom w:val="nil"/>
              <w:right w:val="nil"/>
            </w:tcBorders>
            <w:shd w:val="clear" w:color="auto" w:fill="auto"/>
            <w:vAlign w:val="center"/>
            <w:hideMark/>
          </w:tcPr>
          <w:p w14:paraId="06587BC0"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BOBAR OSIGURANJE</w:t>
            </w:r>
          </w:p>
        </w:tc>
        <w:tc>
          <w:tcPr>
            <w:tcW w:w="951" w:type="dxa"/>
            <w:tcBorders>
              <w:top w:val="nil"/>
              <w:left w:val="nil"/>
              <w:bottom w:val="nil"/>
              <w:right w:val="nil"/>
            </w:tcBorders>
            <w:shd w:val="clear" w:color="auto" w:fill="auto"/>
            <w:noWrap/>
            <w:vAlign w:val="center"/>
            <w:hideMark/>
          </w:tcPr>
          <w:p w14:paraId="0B902A7A"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0,33%</w:t>
            </w:r>
          </w:p>
        </w:tc>
      </w:tr>
      <w:tr w:rsidR="006C0D6C" w:rsidRPr="00BF3CDE" w14:paraId="6C4DB91E" w14:textId="77777777" w:rsidTr="006C0D6C">
        <w:trPr>
          <w:trHeight w:val="297"/>
        </w:trPr>
        <w:tc>
          <w:tcPr>
            <w:tcW w:w="2147" w:type="dxa"/>
            <w:tcBorders>
              <w:top w:val="nil"/>
              <w:left w:val="nil"/>
              <w:bottom w:val="nil"/>
              <w:right w:val="nil"/>
            </w:tcBorders>
            <w:shd w:val="clear" w:color="auto" w:fill="auto"/>
            <w:vAlign w:val="center"/>
            <w:hideMark/>
          </w:tcPr>
          <w:p w14:paraId="693D5D21"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UNITY RE</w:t>
            </w:r>
          </w:p>
        </w:tc>
        <w:tc>
          <w:tcPr>
            <w:tcW w:w="951" w:type="dxa"/>
            <w:tcBorders>
              <w:top w:val="nil"/>
              <w:left w:val="nil"/>
              <w:bottom w:val="nil"/>
              <w:right w:val="nil"/>
            </w:tcBorders>
            <w:shd w:val="clear" w:color="auto" w:fill="auto"/>
            <w:noWrap/>
            <w:vAlign w:val="center"/>
            <w:hideMark/>
          </w:tcPr>
          <w:p w14:paraId="722ABAD0"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0,07%</w:t>
            </w:r>
          </w:p>
        </w:tc>
      </w:tr>
      <w:tr w:rsidR="006C0D6C" w:rsidRPr="00BF3CDE" w14:paraId="6A4CEDB1" w14:textId="77777777" w:rsidTr="006C0D6C">
        <w:trPr>
          <w:trHeight w:val="297"/>
        </w:trPr>
        <w:tc>
          <w:tcPr>
            <w:tcW w:w="2147" w:type="dxa"/>
            <w:tcBorders>
              <w:top w:val="nil"/>
              <w:left w:val="nil"/>
              <w:bottom w:val="nil"/>
              <w:right w:val="nil"/>
            </w:tcBorders>
            <w:shd w:val="clear" w:color="auto" w:fill="auto"/>
            <w:vAlign w:val="center"/>
            <w:hideMark/>
          </w:tcPr>
          <w:p w14:paraId="7CC3A1F7"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OMAN</w:t>
            </w:r>
          </w:p>
        </w:tc>
        <w:tc>
          <w:tcPr>
            <w:tcW w:w="951" w:type="dxa"/>
            <w:tcBorders>
              <w:top w:val="nil"/>
              <w:left w:val="nil"/>
              <w:bottom w:val="nil"/>
              <w:right w:val="nil"/>
            </w:tcBorders>
            <w:shd w:val="clear" w:color="auto" w:fill="auto"/>
            <w:noWrap/>
            <w:vAlign w:val="center"/>
            <w:hideMark/>
          </w:tcPr>
          <w:p w14:paraId="78297A7C"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0,04%</w:t>
            </w:r>
          </w:p>
        </w:tc>
      </w:tr>
      <w:tr w:rsidR="006C0D6C" w:rsidRPr="00BF3CDE" w14:paraId="22011B2E" w14:textId="77777777" w:rsidTr="006C0D6C">
        <w:trPr>
          <w:trHeight w:val="297"/>
        </w:trPr>
        <w:tc>
          <w:tcPr>
            <w:tcW w:w="2147" w:type="dxa"/>
            <w:tcBorders>
              <w:top w:val="nil"/>
              <w:left w:val="nil"/>
              <w:bottom w:val="nil"/>
              <w:right w:val="nil"/>
            </w:tcBorders>
            <w:shd w:val="clear" w:color="auto" w:fill="auto"/>
            <w:vAlign w:val="center"/>
          </w:tcPr>
          <w:p w14:paraId="244788E0"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ORIENTAL INSURANCE COMPANY</w:t>
            </w:r>
          </w:p>
        </w:tc>
        <w:tc>
          <w:tcPr>
            <w:tcW w:w="951" w:type="dxa"/>
            <w:tcBorders>
              <w:top w:val="nil"/>
              <w:left w:val="nil"/>
              <w:bottom w:val="nil"/>
              <w:right w:val="nil"/>
            </w:tcBorders>
            <w:shd w:val="clear" w:color="auto" w:fill="auto"/>
            <w:noWrap/>
            <w:vAlign w:val="center"/>
          </w:tcPr>
          <w:p w14:paraId="675AD097"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0,03%</w:t>
            </w:r>
          </w:p>
        </w:tc>
      </w:tr>
      <w:tr w:rsidR="006C0D6C" w:rsidRPr="00BF3CDE" w14:paraId="4ED86DAF" w14:textId="77777777" w:rsidTr="006C0D6C">
        <w:trPr>
          <w:trHeight w:val="297"/>
        </w:trPr>
        <w:tc>
          <w:tcPr>
            <w:tcW w:w="2147" w:type="dxa"/>
            <w:tcBorders>
              <w:top w:val="nil"/>
              <w:left w:val="nil"/>
              <w:bottom w:val="nil"/>
              <w:right w:val="nil"/>
            </w:tcBorders>
            <w:shd w:val="clear" w:color="auto" w:fill="auto"/>
            <w:vAlign w:val="center"/>
          </w:tcPr>
          <w:p w14:paraId="1F7C83E3"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AL KHAZNA</w:t>
            </w:r>
          </w:p>
        </w:tc>
        <w:tc>
          <w:tcPr>
            <w:tcW w:w="951" w:type="dxa"/>
            <w:tcBorders>
              <w:top w:val="nil"/>
              <w:left w:val="nil"/>
              <w:bottom w:val="nil"/>
              <w:right w:val="nil"/>
            </w:tcBorders>
            <w:shd w:val="clear" w:color="auto" w:fill="auto"/>
            <w:noWrap/>
            <w:vAlign w:val="center"/>
          </w:tcPr>
          <w:p w14:paraId="06DC5C95"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0,0004%</w:t>
            </w:r>
          </w:p>
        </w:tc>
      </w:tr>
      <w:tr w:rsidR="006C0D6C" w:rsidRPr="00BF3CDE" w14:paraId="02ECD59D" w14:textId="77777777" w:rsidTr="006C0D6C">
        <w:trPr>
          <w:trHeight w:val="297"/>
        </w:trPr>
        <w:tc>
          <w:tcPr>
            <w:tcW w:w="2147" w:type="dxa"/>
            <w:tcBorders>
              <w:top w:val="nil"/>
              <w:left w:val="nil"/>
              <w:bottom w:val="nil"/>
              <w:right w:val="nil"/>
            </w:tcBorders>
            <w:shd w:val="clear" w:color="auto" w:fill="auto"/>
            <w:vAlign w:val="center"/>
          </w:tcPr>
          <w:p w14:paraId="5FF4BD32"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POLISH RE</w:t>
            </w:r>
          </w:p>
        </w:tc>
        <w:tc>
          <w:tcPr>
            <w:tcW w:w="951" w:type="dxa"/>
            <w:tcBorders>
              <w:top w:val="nil"/>
              <w:left w:val="nil"/>
              <w:bottom w:val="nil"/>
              <w:right w:val="nil"/>
            </w:tcBorders>
            <w:shd w:val="clear" w:color="auto" w:fill="auto"/>
            <w:noWrap/>
            <w:vAlign w:val="center"/>
          </w:tcPr>
          <w:p w14:paraId="4B0B1336" w14:textId="77777777" w:rsidR="006C0D6C" w:rsidRPr="00BF3CDE" w:rsidRDefault="006C0D6C" w:rsidP="006C0D6C">
            <w:pPr>
              <w:spacing w:after="0" w:line="240" w:lineRule="auto"/>
              <w:rPr>
                <w:rFonts w:ascii="Verdana" w:hAnsi="Verdana"/>
                <w:noProof/>
                <w:sz w:val="16"/>
                <w:szCs w:val="16"/>
                <w:lang w:val="sr-Cyrl-CS"/>
              </w:rPr>
            </w:pPr>
            <w:r w:rsidRPr="00BF3CDE">
              <w:rPr>
                <w:rFonts w:ascii="Verdana" w:hAnsi="Verdana"/>
                <w:noProof/>
                <w:sz w:val="16"/>
                <w:szCs w:val="16"/>
                <w:lang w:val="sr-Cyrl-CS"/>
              </w:rPr>
              <w:t>0,0002%</w:t>
            </w:r>
          </w:p>
        </w:tc>
      </w:tr>
    </w:tbl>
    <w:p w14:paraId="52CB9717" w14:textId="77777777" w:rsidR="006C0D6C" w:rsidRPr="00BF3CDE" w:rsidRDefault="006C0D6C" w:rsidP="006C0D6C">
      <w:pPr>
        <w:pStyle w:val="ListParagraph"/>
        <w:spacing w:after="0" w:line="240" w:lineRule="auto"/>
        <w:ind w:left="0"/>
        <w:jc w:val="both"/>
        <w:rPr>
          <w:noProof/>
          <w:sz w:val="20"/>
          <w:szCs w:val="20"/>
          <w:lang w:val="sr-Cyrl-CS"/>
        </w:rPr>
      </w:pPr>
      <w:r w:rsidRPr="00BF3CDE">
        <w:rPr>
          <w:noProof/>
          <w:lang w:val="sr-Latn-RS" w:eastAsia="sr-Latn-RS"/>
        </w:rPr>
        <w:drawing>
          <wp:inline distT="0" distB="0" distL="0" distR="0" wp14:anchorId="00068E48" wp14:editId="168D1B0E">
            <wp:extent cx="3888000" cy="3618000"/>
            <wp:effectExtent l="0" t="0" r="0" b="1905"/>
            <wp:docPr id="680" name="Chart 68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77029E4" w14:textId="77777777" w:rsidR="006C0D6C" w:rsidRPr="00BF3CDE" w:rsidRDefault="006C0D6C" w:rsidP="006C0D6C">
      <w:pPr>
        <w:pStyle w:val="ListParagraph"/>
        <w:spacing w:after="0" w:line="240" w:lineRule="auto"/>
        <w:ind w:left="0"/>
        <w:jc w:val="both"/>
        <w:rPr>
          <w:noProof/>
          <w:sz w:val="20"/>
          <w:szCs w:val="20"/>
          <w:lang w:val="sr-Cyrl-CS"/>
        </w:rPr>
      </w:pPr>
    </w:p>
    <w:p w14:paraId="55040D2F" w14:textId="77777777" w:rsidR="006C0D6C" w:rsidRPr="00BF3CDE" w:rsidRDefault="006C0D6C" w:rsidP="006C0D6C">
      <w:pPr>
        <w:pStyle w:val="ListParagraph"/>
        <w:spacing w:after="0" w:line="240" w:lineRule="auto"/>
        <w:ind w:left="0"/>
        <w:jc w:val="center"/>
        <w:rPr>
          <w:rFonts w:ascii="Verdana" w:hAnsi="Verdana" w:cs="Tahoma"/>
          <w:b/>
          <w:i/>
          <w:noProof/>
          <w:bdr w:val="none" w:sz="0" w:space="0" w:color="auto" w:frame="1"/>
          <w:lang w:val="sr-Cyrl-CS"/>
        </w:rPr>
      </w:pPr>
      <w:r w:rsidRPr="00BF3CDE">
        <w:rPr>
          <w:rFonts w:ascii="Verdana" w:hAnsi="Verdana" w:cs="Tahoma"/>
          <w:b/>
          <w:i/>
          <w:noProof/>
          <w:bdr w:val="none" w:sz="0" w:space="0" w:color="auto" w:frame="1"/>
          <w:lang w:val="sr-Cyrl-CS"/>
        </w:rPr>
        <w:t>Премија у самопридржају по инопартнерима у хиљадама динара</w:t>
      </w:r>
    </w:p>
    <w:p w14:paraId="177A997F" w14:textId="77777777" w:rsidR="006C0D6C" w:rsidRPr="00BF3CDE" w:rsidRDefault="006C0D6C" w:rsidP="006C0D6C">
      <w:pPr>
        <w:pStyle w:val="ListParagraph"/>
        <w:spacing w:after="0" w:line="240" w:lineRule="auto"/>
        <w:ind w:left="0"/>
        <w:jc w:val="both"/>
        <w:rPr>
          <w:noProof/>
          <w:sz w:val="20"/>
          <w:szCs w:val="20"/>
          <w:lang w:val="sr-Cyrl-CS"/>
        </w:rPr>
      </w:pPr>
    </w:p>
    <w:tbl>
      <w:tblPr>
        <w:tblW w:w="7182" w:type="dxa"/>
        <w:jc w:val="center"/>
        <w:tblLook w:val="04A0" w:firstRow="1" w:lastRow="0" w:firstColumn="1" w:lastColumn="0" w:noHBand="0" w:noVBand="1"/>
      </w:tblPr>
      <w:tblGrid>
        <w:gridCol w:w="3300"/>
        <w:gridCol w:w="1842"/>
        <w:gridCol w:w="2040"/>
      </w:tblGrid>
      <w:tr w:rsidR="006C0D6C" w:rsidRPr="00BF3CDE" w14:paraId="3C26BDF7" w14:textId="77777777" w:rsidTr="006C0D6C">
        <w:trPr>
          <w:trHeight w:val="675"/>
          <w:jc w:val="center"/>
        </w:trPr>
        <w:tc>
          <w:tcPr>
            <w:tcW w:w="3300" w:type="dxa"/>
            <w:tcBorders>
              <w:top w:val="single" w:sz="4" w:space="0" w:color="4F81BD"/>
              <w:left w:val="nil"/>
              <w:bottom w:val="single" w:sz="4" w:space="0" w:color="4F81BD"/>
              <w:right w:val="nil"/>
            </w:tcBorders>
            <w:shd w:val="clear" w:color="auto" w:fill="auto"/>
            <w:noWrap/>
            <w:vAlign w:val="center"/>
            <w:hideMark/>
          </w:tcPr>
          <w:p w14:paraId="555F534F" w14:textId="77777777" w:rsidR="006C0D6C" w:rsidRPr="00BF3CDE" w:rsidRDefault="006C0D6C" w:rsidP="006C0D6C">
            <w:pPr>
              <w:spacing w:after="0" w:line="240" w:lineRule="auto"/>
              <w:jc w:val="center"/>
              <w:rPr>
                <w:rFonts w:ascii="Verdana" w:eastAsia="Times New Roman" w:hAnsi="Verdana" w:cs="Times New Roman"/>
                <w:b/>
                <w:bCs/>
                <w:noProof/>
                <w:sz w:val="18"/>
                <w:szCs w:val="18"/>
                <w:lang w:val="sr-Cyrl-CS"/>
              </w:rPr>
            </w:pPr>
            <w:r w:rsidRPr="00BF3CDE">
              <w:rPr>
                <w:rFonts w:ascii="Verdana" w:eastAsia="Times New Roman" w:hAnsi="Verdana" w:cs="Times New Roman"/>
                <w:b/>
                <w:bCs/>
                <w:noProof/>
                <w:sz w:val="18"/>
                <w:szCs w:val="18"/>
                <w:lang w:val="sr-Cyrl-CS"/>
              </w:rPr>
              <w:t>Инопартнер</w:t>
            </w:r>
          </w:p>
        </w:tc>
        <w:tc>
          <w:tcPr>
            <w:tcW w:w="1842" w:type="dxa"/>
            <w:tcBorders>
              <w:top w:val="single" w:sz="4" w:space="0" w:color="4F81BD"/>
              <w:left w:val="nil"/>
              <w:bottom w:val="single" w:sz="4" w:space="0" w:color="4F81BD"/>
              <w:right w:val="nil"/>
            </w:tcBorders>
            <w:shd w:val="clear" w:color="auto" w:fill="auto"/>
            <w:vAlign w:val="center"/>
            <w:hideMark/>
          </w:tcPr>
          <w:p w14:paraId="450BE40D" w14:textId="77777777" w:rsidR="006C0D6C" w:rsidRPr="00BF3CDE" w:rsidRDefault="006C0D6C" w:rsidP="006C0D6C">
            <w:pPr>
              <w:spacing w:after="0" w:line="240" w:lineRule="auto"/>
              <w:jc w:val="center"/>
              <w:rPr>
                <w:rFonts w:ascii="Verdana" w:eastAsia="Times New Roman" w:hAnsi="Verdana" w:cs="Times New Roman"/>
                <w:b/>
                <w:bCs/>
                <w:noProof/>
                <w:sz w:val="18"/>
                <w:szCs w:val="18"/>
                <w:lang w:val="sr-Cyrl-CS"/>
              </w:rPr>
            </w:pPr>
            <w:r w:rsidRPr="00BF3CDE">
              <w:rPr>
                <w:rFonts w:ascii="Verdana" w:eastAsia="Times New Roman" w:hAnsi="Verdana" w:cs="Times New Roman"/>
                <w:b/>
                <w:bCs/>
                <w:noProof/>
                <w:sz w:val="18"/>
                <w:szCs w:val="18"/>
                <w:lang w:val="sr-Cyrl-CS"/>
              </w:rPr>
              <w:t xml:space="preserve">Премија у самопридржају </w:t>
            </w:r>
          </w:p>
        </w:tc>
        <w:tc>
          <w:tcPr>
            <w:tcW w:w="2040" w:type="dxa"/>
            <w:tcBorders>
              <w:top w:val="single" w:sz="4" w:space="0" w:color="4F81BD"/>
              <w:left w:val="nil"/>
              <w:bottom w:val="single" w:sz="4" w:space="0" w:color="4F81BD"/>
              <w:right w:val="nil"/>
            </w:tcBorders>
            <w:shd w:val="clear" w:color="auto" w:fill="auto"/>
            <w:vAlign w:val="center"/>
            <w:hideMark/>
          </w:tcPr>
          <w:p w14:paraId="7438A534" w14:textId="77777777" w:rsidR="006C0D6C" w:rsidRPr="00BF3CDE" w:rsidRDefault="006C0D6C" w:rsidP="006C0D6C">
            <w:pPr>
              <w:spacing w:after="0" w:line="240" w:lineRule="auto"/>
              <w:jc w:val="center"/>
              <w:rPr>
                <w:rFonts w:ascii="Verdana" w:eastAsia="Times New Roman" w:hAnsi="Verdana" w:cs="Times New Roman"/>
                <w:b/>
                <w:bCs/>
                <w:noProof/>
                <w:sz w:val="18"/>
                <w:szCs w:val="18"/>
                <w:lang w:val="sr-Cyrl-CS"/>
              </w:rPr>
            </w:pPr>
            <w:r w:rsidRPr="00BF3CDE">
              <w:rPr>
                <w:rFonts w:ascii="Verdana" w:eastAsia="Times New Roman" w:hAnsi="Verdana" w:cs="Times New Roman"/>
                <w:b/>
                <w:bCs/>
                <w:noProof/>
                <w:sz w:val="18"/>
                <w:szCs w:val="18"/>
                <w:lang w:val="sr-Cyrl-CS"/>
              </w:rPr>
              <w:t xml:space="preserve">Учешће у укупној премији у самопридржају </w:t>
            </w:r>
          </w:p>
        </w:tc>
      </w:tr>
      <w:tr w:rsidR="006C0D6C" w:rsidRPr="00BF3CDE" w14:paraId="46568E84" w14:textId="77777777" w:rsidTr="006C0D6C">
        <w:trPr>
          <w:trHeight w:val="300"/>
          <w:jc w:val="center"/>
        </w:trPr>
        <w:tc>
          <w:tcPr>
            <w:tcW w:w="3300" w:type="dxa"/>
            <w:tcBorders>
              <w:top w:val="nil"/>
              <w:left w:val="nil"/>
              <w:bottom w:val="nil"/>
              <w:right w:val="nil"/>
            </w:tcBorders>
            <w:shd w:val="clear" w:color="DCE6F1" w:fill="DCE6F1"/>
            <w:noWrap/>
            <w:vAlign w:val="bottom"/>
            <w:hideMark/>
          </w:tcPr>
          <w:p w14:paraId="35529329" w14:textId="77777777" w:rsidR="006C0D6C" w:rsidRPr="00BF3CDE" w:rsidRDefault="006C0D6C" w:rsidP="006C0D6C">
            <w:pPr>
              <w:spacing w:after="0" w:line="240" w:lineRule="auto"/>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TRIGLAV RE</w:t>
            </w:r>
          </w:p>
        </w:tc>
        <w:tc>
          <w:tcPr>
            <w:tcW w:w="1842" w:type="dxa"/>
            <w:tcBorders>
              <w:top w:val="nil"/>
              <w:left w:val="nil"/>
              <w:bottom w:val="nil"/>
              <w:right w:val="nil"/>
            </w:tcBorders>
            <w:shd w:val="clear" w:color="DCE6F1" w:fill="DCE6F1"/>
            <w:noWrap/>
            <w:vAlign w:val="center"/>
            <w:hideMark/>
          </w:tcPr>
          <w:p w14:paraId="3BE44AFC"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44.339</w:t>
            </w:r>
          </w:p>
        </w:tc>
        <w:tc>
          <w:tcPr>
            <w:tcW w:w="2040" w:type="dxa"/>
            <w:tcBorders>
              <w:top w:val="nil"/>
              <w:left w:val="nil"/>
              <w:bottom w:val="nil"/>
              <w:right w:val="nil"/>
            </w:tcBorders>
            <w:shd w:val="clear" w:color="DCE6F1" w:fill="DCE6F1"/>
            <w:noWrap/>
            <w:vAlign w:val="center"/>
            <w:hideMark/>
          </w:tcPr>
          <w:p w14:paraId="401D7D23"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12,07%</w:t>
            </w:r>
          </w:p>
        </w:tc>
      </w:tr>
      <w:tr w:rsidR="006C0D6C" w:rsidRPr="00BF3CDE" w14:paraId="1E85CBEE" w14:textId="77777777" w:rsidTr="006C0D6C">
        <w:trPr>
          <w:trHeight w:val="300"/>
          <w:jc w:val="center"/>
        </w:trPr>
        <w:tc>
          <w:tcPr>
            <w:tcW w:w="3300" w:type="dxa"/>
            <w:tcBorders>
              <w:top w:val="nil"/>
              <w:left w:val="nil"/>
              <w:bottom w:val="nil"/>
              <w:right w:val="nil"/>
            </w:tcBorders>
            <w:shd w:val="clear" w:color="auto" w:fill="auto"/>
            <w:noWrap/>
            <w:vAlign w:val="bottom"/>
            <w:hideMark/>
          </w:tcPr>
          <w:p w14:paraId="01A63FE3" w14:textId="77777777" w:rsidR="006C0D6C" w:rsidRPr="00BF3CDE" w:rsidRDefault="006C0D6C" w:rsidP="006C0D6C">
            <w:pPr>
              <w:spacing w:after="0" w:line="240" w:lineRule="auto"/>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DEVK VERSICHERUNGEN</w:t>
            </w:r>
          </w:p>
        </w:tc>
        <w:tc>
          <w:tcPr>
            <w:tcW w:w="1842" w:type="dxa"/>
            <w:tcBorders>
              <w:top w:val="nil"/>
              <w:left w:val="nil"/>
              <w:bottom w:val="nil"/>
              <w:right w:val="nil"/>
            </w:tcBorders>
            <w:shd w:val="clear" w:color="auto" w:fill="auto"/>
            <w:noWrap/>
            <w:vAlign w:val="center"/>
            <w:hideMark/>
          </w:tcPr>
          <w:p w14:paraId="61EDAA73"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40.286</w:t>
            </w:r>
          </w:p>
        </w:tc>
        <w:tc>
          <w:tcPr>
            <w:tcW w:w="2040" w:type="dxa"/>
            <w:tcBorders>
              <w:top w:val="nil"/>
              <w:left w:val="nil"/>
              <w:bottom w:val="nil"/>
              <w:right w:val="nil"/>
            </w:tcBorders>
            <w:shd w:val="clear" w:color="auto" w:fill="auto"/>
            <w:noWrap/>
            <w:vAlign w:val="center"/>
            <w:hideMark/>
          </w:tcPr>
          <w:p w14:paraId="75B0E673"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10,97%</w:t>
            </w:r>
          </w:p>
        </w:tc>
      </w:tr>
      <w:tr w:rsidR="006C0D6C" w:rsidRPr="00BF3CDE" w14:paraId="54546169" w14:textId="77777777" w:rsidTr="006C0D6C">
        <w:trPr>
          <w:trHeight w:val="300"/>
          <w:jc w:val="center"/>
        </w:trPr>
        <w:tc>
          <w:tcPr>
            <w:tcW w:w="3300" w:type="dxa"/>
            <w:tcBorders>
              <w:top w:val="nil"/>
              <w:left w:val="nil"/>
              <w:bottom w:val="nil"/>
              <w:right w:val="nil"/>
            </w:tcBorders>
            <w:shd w:val="clear" w:color="DCE6F1" w:fill="DCE6F1"/>
            <w:noWrap/>
            <w:vAlign w:val="center"/>
            <w:hideMark/>
          </w:tcPr>
          <w:p w14:paraId="0DED3092" w14:textId="77777777" w:rsidR="006C0D6C" w:rsidRPr="00BF3CDE" w:rsidRDefault="006C0D6C" w:rsidP="006C0D6C">
            <w:pPr>
              <w:spacing w:after="0" w:line="240" w:lineRule="auto"/>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BOSNA RE</w:t>
            </w:r>
          </w:p>
        </w:tc>
        <w:tc>
          <w:tcPr>
            <w:tcW w:w="1842" w:type="dxa"/>
            <w:tcBorders>
              <w:top w:val="nil"/>
              <w:left w:val="nil"/>
              <w:bottom w:val="nil"/>
              <w:right w:val="nil"/>
            </w:tcBorders>
            <w:shd w:val="clear" w:color="DCE6F1" w:fill="DCE6F1"/>
            <w:noWrap/>
            <w:vAlign w:val="center"/>
            <w:hideMark/>
          </w:tcPr>
          <w:p w14:paraId="5F6D12F9"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29.704</w:t>
            </w:r>
          </w:p>
        </w:tc>
        <w:tc>
          <w:tcPr>
            <w:tcW w:w="2040" w:type="dxa"/>
            <w:tcBorders>
              <w:top w:val="nil"/>
              <w:left w:val="nil"/>
              <w:bottom w:val="nil"/>
              <w:right w:val="nil"/>
            </w:tcBorders>
            <w:shd w:val="clear" w:color="DCE6F1" w:fill="DCE6F1"/>
            <w:noWrap/>
            <w:vAlign w:val="center"/>
            <w:hideMark/>
          </w:tcPr>
          <w:p w14:paraId="767DD4A9"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8,09%</w:t>
            </w:r>
          </w:p>
        </w:tc>
      </w:tr>
      <w:tr w:rsidR="006C0D6C" w:rsidRPr="00BF3CDE" w14:paraId="6AF5375A" w14:textId="77777777" w:rsidTr="006C0D6C">
        <w:trPr>
          <w:trHeight w:val="300"/>
          <w:jc w:val="center"/>
        </w:trPr>
        <w:tc>
          <w:tcPr>
            <w:tcW w:w="3300" w:type="dxa"/>
            <w:tcBorders>
              <w:top w:val="nil"/>
              <w:left w:val="nil"/>
              <w:bottom w:val="nil"/>
              <w:right w:val="nil"/>
            </w:tcBorders>
            <w:shd w:val="clear" w:color="auto" w:fill="auto"/>
            <w:noWrap/>
            <w:vAlign w:val="bottom"/>
            <w:hideMark/>
          </w:tcPr>
          <w:p w14:paraId="4429E976" w14:textId="77777777" w:rsidR="006C0D6C" w:rsidRPr="00BF3CDE" w:rsidRDefault="006C0D6C" w:rsidP="006C0D6C">
            <w:pPr>
              <w:spacing w:after="0" w:line="240" w:lineRule="auto"/>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SAVA RE</w:t>
            </w:r>
          </w:p>
        </w:tc>
        <w:tc>
          <w:tcPr>
            <w:tcW w:w="1842" w:type="dxa"/>
            <w:tcBorders>
              <w:top w:val="nil"/>
              <w:left w:val="nil"/>
              <w:bottom w:val="nil"/>
              <w:right w:val="nil"/>
            </w:tcBorders>
            <w:shd w:val="clear" w:color="auto" w:fill="auto"/>
            <w:noWrap/>
            <w:vAlign w:val="center"/>
            <w:hideMark/>
          </w:tcPr>
          <w:p w14:paraId="16EE386C"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25.298</w:t>
            </w:r>
          </w:p>
        </w:tc>
        <w:tc>
          <w:tcPr>
            <w:tcW w:w="2040" w:type="dxa"/>
            <w:tcBorders>
              <w:top w:val="nil"/>
              <w:left w:val="nil"/>
              <w:bottom w:val="nil"/>
              <w:right w:val="nil"/>
            </w:tcBorders>
            <w:shd w:val="clear" w:color="auto" w:fill="auto"/>
            <w:noWrap/>
            <w:vAlign w:val="center"/>
            <w:hideMark/>
          </w:tcPr>
          <w:p w14:paraId="4BF757EF"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6,89%</w:t>
            </w:r>
          </w:p>
        </w:tc>
      </w:tr>
      <w:tr w:rsidR="006C0D6C" w:rsidRPr="00BF3CDE" w14:paraId="181F4EE7" w14:textId="77777777" w:rsidTr="006C0D6C">
        <w:trPr>
          <w:trHeight w:val="300"/>
          <w:jc w:val="center"/>
        </w:trPr>
        <w:tc>
          <w:tcPr>
            <w:tcW w:w="3300" w:type="dxa"/>
            <w:tcBorders>
              <w:top w:val="nil"/>
              <w:left w:val="nil"/>
              <w:bottom w:val="nil"/>
              <w:right w:val="nil"/>
            </w:tcBorders>
            <w:shd w:val="clear" w:color="DCE6F1" w:fill="DCE6F1"/>
            <w:noWrap/>
            <w:vAlign w:val="bottom"/>
            <w:hideMark/>
          </w:tcPr>
          <w:p w14:paraId="5C595521" w14:textId="77777777" w:rsidR="006C0D6C" w:rsidRPr="00BF3CDE" w:rsidRDefault="006C0D6C" w:rsidP="006C0D6C">
            <w:pPr>
              <w:spacing w:after="0" w:line="240" w:lineRule="auto"/>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CROATIA LLOYDS</w:t>
            </w:r>
          </w:p>
        </w:tc>
        <w:tc>
          <w:tcPr>
            <w:tcW w:w="1842" w:type="dxa"/>
            <w:tcBorders>
              <w:top w:val="nil"/>
              <w:left w:val="nil"/>
              <w:bottom w:val="nil"/>
              <w:right w:val="nil"/>
            </w:tcBorders>
            <w:shd w:val="clear" w:color="DCE6F1" w:fill="DCE6F1"/>
            <w:noWrap/>
            <w:vAlign w:val="center"/>
            <w:hideMark/>
          </w:tcPr>
          <w:p w14:paraId="6A23C04E"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20.979</w:t>
            </w:r>
          </w:p>
        </w:tc>
        <w:tc>
          <w:tcPr>
            <w:tcW w:w="2040" w:type="dxa"/>
            <w:tcBorders>
              <w:top w:val="nil"/>
              <w:left w:val="nil"/>
              <w:bottom w:val="nil"/>
              <w:right w:val="nil"/>
            </w:tcBorders>
            <w:shd w:val="clear" w:color="DCE6F1" w:fill="DCE6F1"/>
            <w:noWrap/>
            <w:vAlign w:val="center"/>
            <w:hideMark/>
          </w:tcPr>
          <w:p w14:paraId="7895710F"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5,71%</w:t>
            </w:r>
          </w:p>
        </w:tc>
      </w:tr>
      <w:tr w:rsidR="006C0D6C" w:rsidRPr="00BF3CDE" w14:paraId="443EA14F" w14:textId="77777777" w:rsidTr="006C0D6C">
        <w:trPr>
          <w:trHeight w:val="300"/>
          <w:jc w:val="center"/>
        </w:trPr>
        <w:tc>
          <w:tcPr>
            <w:tcW w:w="3300" w:type="dxa"/>
            <w:tcBorders>
              <w:top w:val="nil"/>
              <w:left w:val="nil"/>
              <w:bottom w:val="nil"/>
              <w:right w:val="nil"/>
            </w:tcBorders>
            <w:shd w:val="clear" w:color="auto" w:fill="auto"/>
            <w:noWrap/>
            <w:vAlign w:val="bottom"/>
            <w:hideMark/>
          </w:tcPr>
          <w:p w14:paraId="0422B08A" w14:textId="77777777" w:rsidR="006C0D6C" w:rsidRPr="00BF3CDE" w:rsidRDefault="006C0D6C" w:rsidP="006C0D6C">
            <w:pPr>
              <w:spacing w:after="0" w:line="240" w:lineRule="auto"/>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DUNAV OSIGURANJE BANJA LUKA</w:t>
            </w:r>
          </w:p>
        </w:tc>
        <w:tc>
          <w:tcPr>
            <w:tcW w:w="1842" w:type="dxa"/>
            <w:tcBorders>
              <w:top w:val="nil"/>
              <w:left w:val="nil"/>
              <w:bottom w:val="nil"/>
              <w:right w:val="nil"/>
            </w:tcBorders>
            <w:shd w:val="clear" w:color="auto" w:fill="auto"/>
            <w:noWrap/>
            <w:vAlign w:val="center"/>
            <w:hideMark/>
          </w:tcPr>
          <w:p w14:paraId="41DB4F96"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11.658</w:t>
            </w:r>
          </w:p>
        </w:tc>
        <w:tc>
          <w:tcPr>
            <w:tcW w:w="2040" w:type="dxa"/>
            <w:tcBorders>
              <w:top w:val="nil"/>
              <w:left w:val="nil"/>
              <w:bottom w:val="nil"/>
              <w:right w:val="nil"/>
            </w:tcBorders>
            <w:shd w:val="clear" w:color="auto" w:fill="auto"/>
            <w:noWrap/>
            <w:vAlign w:val="center"/>
            <w:hideMark/>
          </w:tcPr>
          <w:p w14:paraId="158902D7"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3,17%</w:t>
            </w:r>
          </w:p>
        </w:tc>
      </w:tr>
      <w:tr w:rsidR="006C0D6C" w:rsidRPr="00BF3CDE" w14:paraId="07687C50" w14:textId="77777777" w:rsidTr="006C0D6C">
        <w:trPr>
          <w:trHeight w:val="300"/>
          <w:jc w:val="center"/>
        </w:trPr>
        <w:tc>
          <w:tcPr>
            <w:tcW w:w="3300" w:type="dxa"/>
            <w:tcBorders>
              <w:top w:val="nil"/>
              <w:left w:val="nil"/>
              <w:bottom w:val="nil"/>
              <w:right w:val="nil"/>
            </w:tcBorders>
            <w:shd w:val="clear" w:color="DCE6F1" w:fill="DCE6F1"/>
            <w:noWrap/>
            <w:vAlign w:val="bottom"/>
            <w:hideMark/>
          </w:tcPr>
          <w:p w14:paraId="31BF3E2C" w14:textId="77777777" w:rsidR="006C0D6C" w:rsidRPr="00BF3CDE" w:rsidRDefault="006C0D6C" w:rsidP="006C0D6C">
            <w:pPr>
              <w:spacing w:after="0" w:line="240" w:lineRule="auto"/>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KOREAN RE</w:t>
            </w:r>
          </w:p>
        </w:tc>
        <w:tc>
          <w:tcPr>
            <w:tcW w:w="1842" w:type="dxa"/>
            <w:tcBorders>
              <w:top w:val="nil"/>
              <w:left w:val="nil"/>
              <w:bottom w:val="nil"/>
              <w:right w:val="nil"/>
            </w:tcBorders>
            <w:shd w:val="clear" w:color="DCE6F1" w:fill="DCE6F1"/>
            <w:noWrap/>
            <w:vAlign w:val="center"/>
            <w:hideMark/>
          </w:tcPr>
          <w:p w14:paraId="10C0FC19"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4.684</w:t>
            </w:r>
          </w:p>
        </w:tc>
        <w:tc>
          <w:tcPr>
            <w:tcW w:w="2040" w:type="dxa"/>
            <w:tcBorders>
              <w:top w:val="nil"/>
              <w:left w:val="nil"/>
              <w:bottom w:val="nil"/>
              <w:right w:val="nil"/>
            </w:tcBorders>
            <w:shd w:val="clear" w:color="DCE6F1" w:fill="DCE6F1"/>
            <w:noWrap/>
            <w:vAlign w:val="center"/>
            <w:hideMark/>
          </w:tcPr>
          <w:p w14:paraId="569403F4"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1,28%</w:t>
            </w:r>
          </w:p>
        </w:tc>
      </w:tr>
      <w:tr w:rsidR="006C0D6C" w:rsidRPr="00BF3CDE" w14:paraId="644474A7" w14:textId="77777777" w:rsidTr="006C0D6C">
        <w:trPr>
          <w:trHeight w:val="300"/>
          <w:jc w:val="center"/>
        </w:trPr>
        <w:tc>
          <w:tcPr>
            <w:tcW w:w="3300" w:type="dxa"/>
            <w:tcBorders>
              <w:top w:val="nil"/>
              <w:left w:val="nil"/>
              <w:bottom w:val="nil"/>
              <w:right w:val="nil"/>
            </w:tcBorders>
            <w:shd w:val="clear" w:color="auto" w:fill="auto"/>
            <w:noWrap/>
            <w:vAlign w:val="bottom"/>
            <w:hideMark/>
          </w:tcPr>
          <w:p w14:paraId="4E75C647" w14:textId="77777777" w:rsidR="006C0D6C" w:rsidRPr="00BF3CDE" w:rsidRDefault="006C0D6C" w:rsidP="006C0D6C">
            <w:pPr>
              <w:spacing w:after="0" w:line="240" w:lineRule="auto"/>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KAPITAL INSURANCE COMPANY</w:t>
            </w:r>
          </w:p>
        </w:tc>
        <w:tc>
          <w:tcPr>
            <w:tcW w:w="1842" w:type="dxa"/>
            <w:tcBorders>
              <w:top w:val="nil"/>
              <w:left w:val="nil"/>
              <w:bottom w:val="nil"/>
              <w:right w:val="nil"/>
            </w:tcBorders>
            <w:shd w:val="clear" w:color="auto" w:fill="auto"/>
            <w:noWrap/>
            <w:vAlign w:val="center"/>
            <w:hideMark/>
          </w:tcPr>
          <w:p w14:paraId="17447AFF"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3.255</w:t>
            </w:r>
          </w:p>
        </w:tc>
        <w:tc>
          <w:tcPr>
            <w:tcW w:w="2040" w:type="dxa"/>
            <w:tcBorders>
              <w:top w:val="nil"/>
              <w:left w:val="nil"/>
              <w:bottom w:val="nil"/>
              <w:right w:val="nil"/>
            </w:tcBorders>
            <w:shd w:val="clear" w:color="auto" w:fill="auto"/>
            <w:noWrap/>
            <w:vAlign w:val="center"/>
            <w:hideMark/>
          </w:tcPr>
          <w:p w14:paraId="392F3D03"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0,89%</w:t>
            </w:r>
          </w:p>
        </w:tc>
      </w:tr>
      <w:tr w:rsidR="006C0D6C" w:rsidRPr="00BF3CDE" w14:paraId="1BBD0ABB" w14:textId="77777777" w:rsidTr="006C0D6C">
        <w:trPr>
          <w:trHeight w:val="300"/>
          <w:jc w:val="center"/>
        </w:trPr>
        <w:tc>
          <w:tcPr>
            <w:tcW w:w="3300" w:type="dxa"/>
            <w:tcBorders>
              <w:top w:val="nil"/>
              <w:left w:val="nil"/>
              <w:bottom w:val="nil"/>
              <w:right w:val="nil"/>
            </w:tcBorders>
            <w:shd w:val="clear" w:color="DCE6F1" w:fill="DCE6F1"/>
            <w:noWrap/>
            <w:vAlign w:val="bottom"/>
            <w:hideMark/>
          </w:tcPr>
          <w:p w14:paraId="313C1F55" w14:textId="77777777" w:rsidR="006C0D6C" w:rsidRPr="00BF3CDE" w:rsidRDefault="006C0D6C" w:rsidP="006C0D6C">
            <w:pPr>
              <w:spacing w:after="0" w:line="240" w:lineRule="auto"/>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BRČKO GAS OSIGURANJE</w:t>
            </w:r>
          </w:p>
        </w:tc>
        <w:tc>
          <w:tcPr>
            <w:tcW w:w="1842" w:type="dxa"/>
            <w:tcBorders>
              <w:top w:val="nil"/>
              <w:left w:val="nil"/>
              <w:bottom w:val="nil"/>
              <w:right w:val="nil"/>
            </w:tcBorders>
            <w:shd w:val="clear" w:color="DCE6F1" w:fill="DCE6F1"/>
            <w:noWrap/>
            <w:vAlign w:val="center"/>
            <w:hideMark/>
          </w:tcPr>
          <w:p w14:paraId="6A8AD299"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1.345</w:t>
            </w:r>
          </w:p>
        </w:tc>
        <w:tc>
          <w:tcPr>
            <w:tcW w:w="2040" w:type="dxa"/>
            <w:tcBorders>
              <w:top w:val="nil"/>
              <w:left w:val="nil"/>
              <w:bottom w:val="nil"/>
              <w:right w:val="nil"/>
            </w:tcBorders>
            <w:shd w:val="clear" w:color="DCE6F1" w:fill="DCE6F1"/>
            <w:noWrap/>
            <w:vAlign w:val="center"/>
            <w:hideMark/>
          </w:tcPr>
          <w:p w14:paraId="6ABE25CD"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0,37%</w:t>
            </w:r>
          </w:p>
        </w:tc>
      </w:tr>
      <w:tr w:rsidR="006C0D6C" w:rsidRPr="00BF3CDE" w14:paraId="742C7C8A" w14:textId="77777777" w:rsidTr="006C0D6C">
        <w:trPr>
          <w:trHeight w:val="300"/>
          <w:jc w:val="center"/>
        </w:trPr>
        <w:tc>
          <w:tcPr>
            <w:tcW w:w="3300" w:type="dxa"/>
            <w:tcBorders>
              <w:top w:val="nil"/>
              <w:left w:val="nil"/>
              <w:bottom w:val="nil"/>
              <w:right w:val="nil"/>
            </w:tcBorders>
            <w:shd w:val="clear" w:color="auto" w:fill="auto"/>
            <w:noWrap/>
            <w:vAlign w:val="bottom"/>
            <w:hideMark/>
          </w:tcPr>
          <w:p w14:paraId="3E5178EE" w14:textId="77777777" w:rsidR="006C0D6C" w:rsidRPr="00BF3CDE" w:rsidRDefault="006C0D6C" w:rsidP="006C0D6C">
            <w:pPr>
              <w:spacing w:after="0" w:line="240" w:lineRule="auto"/>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BOBAR OSIGURANJE</w:t>
            </w:r>
          </w:p>
        </w:tc>
        <w:tc>
          <w:tcPr>
            <w:tcW w:w="1842" w:type="dxa"/>
            <w:tcBorders>
              <w:top w:val="nil"/>
              <w:left w:val="nil"/>
              <w:bottom w:val="nil"/>
              <w:right w:val="nil"/>
            </w:tcBorders>
            <w:shd w:val="clear" w:color="auto" w:fill="auto"/>
            <w:noWrap/>
            <w:vAlign w:val="center"/>
            <w:hideMark/>
          </w:tcPr>
          <w:p w14:paraId="569929DC"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1.196</w:t>
            </w:r>
          </w:p>
        </w:tc>
        <w:tc>
          <w:tcPr>
            <w:tcW w:w="2040" w:type="dxa"/>
            <w:tcBorders>
              <w:top w:val="nil"/>
              <w:left w:val="nil"/>
              <w:bottom w:val="nil"/>
              <w:right w:val="nil"/>
            </w:tcBorders>
            <w:shd w:val="clear" w:color="auto" w:fill="auto"/>
            <w:noWrap/>
            <w:vAlign w:val="center"/>
            <w:hideMark/>
          </w:tcPr>
          <w:p w14:paraId="4CE7D03C"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0,33%</w:t>
            </w:r>
          </w:p>
        </w:tc>
      </w:tr>
      <w:tr w:rsidR="006C0D6C" w:rsidRPr="00BF3CDE" w14:paraId="0BB8A19E" w14:textId="77777777" w:rsidTr="006C0D6C">
        <w:trPr>
          <w:trHeight w:val="300"/>
          <w:jc w:val="center"/>
        </w:trPr>
        <w:tc>
          <w:tcPr>
            <w:tcW w:w="3300" w:type="dxa"/>
            <w:tcBorders>
              <w:top w:val="nil"/>
              <w:left w:val="nil"/>
              <w:bottom w:val="nil"/>
              <w:right w:val="nil"/>
            </w:tcBorders>
            <w:shd w:val="clear" w:color="DCE6F1" w:fill="DCE6F1"/>
            <w:noWrap/>
            <w:vAlign w:val="bottom"/>
            <w:hideMark/>
          </w:tcPr>
          <w:p w14:paraId="69B2A5CD" w14:textId="77777777" w:rsidR="006C0D6C" w:rsidRPr="00BF3CDE" w:rsidRDefault="006C0D6C" w:rsidP="006C0D6C">
            <w:pPr>
              <w:spacing w:after="0" w:line="240" w:lineRule="auto"/>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UNITY RE</w:t>
            </w:r>
          </w:p>
        </w:tc>
        <w:tc>
          <w:tcPr>
            <w:tcW w:w="1842" w:type="dxa"/>
            <w:tcBorders>
              <w:top w:val="nil"/>
              <w:left w:val="nil"/>
              <w:bottom w:val="nil"/>
              <w:right w:val="nil"/>
            </w:tcBorders>
            <w:shd w:val="clear" w:color="DCE6F1" w:fill="DCE6F1"/>
            <w:noWrap/>
            <w:vAlign w:val="center"/>
            <w:hideMark/>
          </w:tcPr>
          <w:p w14:paraId="058FAA6E"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269</w:t>
            </w:r>
          </w:p>
        </w:tc>
        <w:tc>
          <w:tcPr>
            <w:tcW w:w="2040" w:type="dxa"/>
            <w:tcBorders>
              <w:top w:val="nil"/>
              <w:left w:val="nil"/>
              <w:bottom w:val="nil"/>
              <w:right w:val="nil"/>
            </w:tcBorders>
            <w:shd w:val="clear" w:color="DCE6F1" w:fill="DCE6F1"/>
            <w:noWrap/>
            <w:vAlign w:val="center"/>
            <w:hideMark/>
          </w:tcPr>
          <w:p w14:paraId="7389E239"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0,07%</w:t>
            </w:r>
          </w:p>
        </w:tc>
      </w:tr>
      <w:tr w:rsidR="006C0D6C" w:rsidRPr="00BF3CDE" w14:paraId="45B3FBF6" w14:textId="77777777" w:rsidTr="006C0D6C">
        <w:trPr>
          <w:trHeight w:val="300"/>
          <w:jc w:val="center"/>
        </w:trPr>
        <w:tc>
          <w:tcPr>
            <w:tcW w:w="3300" w:type="dxa"/>
            <w:tcBorders>
              <w:top w:val="nil"/>
              <w:left w:val="nil"/>
              <w:bottom w:val="nil"/>
              <w:right w:val="nil"/>
            </w:tcBorders>
            <w:shd w:val="clear" w:color="auto" w:fill="auto"/>
            <w:noWrap/>
            <w:vAlign w:val="bottom"/>
            <w:hideMark/>
          </w:tcPr>
          <w:p w14:paraId="451CD615" w14:textId="77777777" w:rsidR="006C0D6C" w:rsidRPr="00BF3CDE" w:rsidRDefault="006C0D6C" w:rsidP="006C0D6C">
            <w:pPr>
              <w:spacing w:after="0" w:line="240" w:lineRule="auto"/>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OMAN</w:t>
            </w:r>
          </w:p>
        </w:tc>
        <w:tc>
          <w:tcPr>
            <w:tcW w:w="1842" w:type="dxa"/>
            <w:tcBorders>
              <w:top w:val="nil"/>
              <w:left w:val="nil"/>
              <w:bottom w:val="nil"/>
              <w:right w:val="nil"/>
            </w:tcBorders>
            <w:shd w:val="clear" w:color="auto" w:fill="auto"/>
            <w:noWrap/>
            <w:vAlign w:val="center"/>
            <w:hideMark/>
          </w:tcPr>
          <w:p w14:paraId="7E4DB97E"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144</w:t>
            </w:r>
          </w:p>
        </w:tc>
        <w:tc>
          <w:tcPr>
            <w:tcW w:w="2040" w:type="dxa"/>
            <w:tcBorders>
              <w:top w:val="nil"/>
              <w:left w:val="nil"/>
              <w:bottom w:val="nil"/>
              <w:right w:val="nil"/>
            </w:tcBorders>
            <w:shd w:val="clear" w:color="auto" w:fill="auto"/>
            <w:noWrap/>
            <w:vAlign w:val="center"/>
            <w:hideMark/>
          </w:tcPr>
          <w:p w14:paraId="06D21D20"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0,04%</w:t>
            </w:r>
          </w:p>
        </w:tc>
      </w:tr>
      <w:tr w:rsidR="006C0D6C" w:rsidRPr="00BF3CDE" w14:paraId="46091826" w14:textId="77777777" w:rsidTr="006C0D6C">
        <w:trPr>
          <w:trHeight w:val="300"/>
          <w:jc w:val="center"/>
        </w:trPr>
        <w:tc>
          <w:tcPr>
            <w:tcW w:w="3300" w:type="dxa"/>
            <w:tcBorders>
              <w:top w:val="nil"/>
              <w:left w:val="nil"/>
              <w:bottom w:val="nil"/>
              <w:right w:val="nil"/>
            </w:tcBorders>
            <w:shd w:val="clear" w:color="DCE6F1" w:fill="DCE6F1"/>
            <w:noWrap/>
            <w:vAlign w:val="bottom"/>
            <w:hideMark/>
          </w:tcPr>
          <w:p w14:paraId="24D5F412" w14:textId="77777777" w:rsidR="006C0D6C" w:rsidRPr="00BF3CDE" w:rsidRDefault="006C0D6C" w:rsidP="006C0D6C">
            <w:pPr>
              <w:spacing w:after="0" w:line="240" w:lineRule="auto"/>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ORIENTAL INSURANCE COMPANY</w:t>
            </w:r>
          </w:p>
        </w:tc>
        <w:tc>
          <w:tcPr>
            <w:tcW w:w="1842" w:type="dxa"/>
            <w:tcBorders>
              <w:top w:val="nil"/>
              <w:left w:val="nil"/>
              <w:bottom w:val="nil"/>
              <w:right w:val="nil"/>
            </w:tcBorders>
            <w:shd w:val="clear" w:color="DCE6F1" w:fill="DCE6F1"/>
            <w:noWrap/>
            <w:vAlign w:val="center"/>
            <w:hideMark/>
          </w:tcPr>
          <w:p w14:paraId="3F011900"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107</w:t>
            </w:r>
          </w:p>
        </w:tc>
        <w:tc>
          <w:tcPr>
            <w:tcW w:w="2040" w:type="dxa"/>
            <w:tcBorders>
              <w:top w:val="nil"/>
              <w:left w:val="nil"/>
              <w:bottom w:val="nil"/>
              <w:right w:val="nil"/>
            </w:tcBorders>
            <w:shd w:val="clear" w:color="DCE6F1" w:fill="DCE6F1"/>
            <w:noWrap/>
            <w:vAlign w:val="center"/>
            <w:hideMark/>
          </w:tcPr>
          <w:p w14:paraId="2828F343"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0,03%</w:t>
            </w:r>
          </w:p>
        </w:tc>
      </w:tr>
      <w:tr w:rsidR="006C0D6C" w:rsidRPr="00BF3CDE" w14:paraId="375A6187" w14:textId="77777777" w:rsidTr="006C0D6C">
        <w:trPr>
          <w:trHeight w:val="300"/>
          <w:jc w:val="center"/>
        </w:trPr>
        <w:tc>
          <w:tcPr>
            <w:tcW w:w="3300" w:type="dxa"/>
            <w:tcBorders>
              <w:top w:val="nil"/>
              <w:left w:val="nil"/>
              <w:bottom w:val="nil"/>
              <w:right w:val="nil"/>
            </w:tcBorders>
            <w:shd w:val="clear" w:color="auto" w:fill="auto"/>
            <w:noWrap/>
            <w:vAlign w:val="bottom"/>
            <w:hideMark/>
          </w:tcPr>
          <w:p w14:paraId="65F0363B" w14:textId="77777777" w:rsidR="006C0D6C" w:rsidRPr="00BF3CDE" w:rsidRDefault="006C0D6C" w:rsidP="006C0D6C">
            <w:pPr>
              <w:spacing w:after="0" w:line="240" w:lineRule="auto"/>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AL KHAZNA</w:t>
            </w:r>
          </w:p>
        </w:tc>
        <w:tc>
          <w:tcPr>
            <w:tcW w:w="1842" w:type="dxa"/>
            <w:tcBorders>
              <w:top w:val="nil"/>
              <w:left w:val="nil"/>
              <w:bottom w:val="nil"/>
              <w:right w:val="nil"/>
            </w:tcBorders>
            <w:shd w:val="clear" w:color="auto" w:fill="auto"/>
            <w:noWrap/>
            <w:vAlign w:val="center"/>
            <w:hideMark/>
          </w:tcPr>
          <w:p w14:paraId="4B5D59C3"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1</w:t>
            </w:r>
          </w:p>
        </w:tc>
        <w:tc>
          <w:tcPr>
            <w:tcW w:w="2040" w:type="dxa"/>
            <w:tcBorders>
              <w:top w:val="nil"/>
              <w:left w:val="nil"/>
              <w:bottom w:val="nil"/>
              <w:right w:val="nil"/>
            </w:tcBorders>
            <w:shd w:val="clear" w:color="auto" w:fill="auto"/>
            <w:noWrap/>
            <w:vAlign w:val="center"/>
            <w:hideMark/>
          </w:tcPr>
          <w:p w14:paraId="57496FFF"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0,0004%</w:t>
            </w:r>
          </w:p>
        </w:tc>
      </w:tr>
      <w:tr w:rsidR="006C0D6C" w:rsidRPr="00BF3CDE" w14:paraId="1F0FBBDC" w14:textId="77777777" w:rsidTr="006C0D6C">
        <w:trPr>
          <w:trHeight w:val="300"/>
          <w:jc w:val="center"/>
        </w:trPr>
        <w:tc>
          <w:tcPr>
            <w:tcW w:w="3300" w:type="dxa"/>
            <w:tcBorders>
              <w:top w:val="nil"/>
              <w:left w:val="nil"/>
              <w:bottom w:val="single" w:sz="4" w:space="0" w:color="4F81BD"/>
              <w:right w:val="nil"/>
            </w:tcBorders>
            <w:shd w:val="clear" w:color="DCE6F1" w:fill="DCE6F1"/>
            <w:noWrap/>
            <w:vAlign w:val="bottom"/>
            <w:hideMark/>
          </w:tcPr>
          <w:p w14:paraId="215C545B" w14:textId="77777777" w:rsidR="006C0D6C" w:rsidRPr="00BF3CDE" w:rsidRDefault="006C0D6C" w:rsidP="006C0D6C">
            <w:pPr>
              <w:spacing w:after="0" w:line="240" w:lineRule="auto"/>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POLISH RE</w:t>
            </w:r>
          </w:p>
        </w:tc>
        <w:tc>
          <w:tcPr>
            <w:tcW w:w="1842" w:type="dxa"/>
            <w:tcBorders>
              <w:top w:val="nil"/>
              <w:left w:val="nil"/>
              <w:bottom w:val="single" w:sz="4" w:space="0" w:color="4F81BD"/>
              <w:right w:val="nil"/>
            </w:tcBorders>
            <w:shd w:val="clear" w:color="DCE6F1" w:fill="DCE6F1"/>
            <w:noWrap/>
            <w:vAlign w:val="center"/>
            <w:hideMark/>
          </w:tcPr>
          <w:p w14:paraId="6E1CF881"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1</w:t>
            </w:r>
          </w:p>
        </w:tc>
        <w:tc>
          <w:tcPr>
            <w:tcW w:w="2040" w:type="dxa"/>
            <w:tcBorders>
              <w:top w:val="nil"/>
              <w:left w:val="nil"/>
              <w:bottom w:val="single" w:sz="4" w:space="0" w:color="4F81BD"/>
              <w:right w:val="nil"/>
            </w:tcBorders>
            <w:shd w:val="clear" w:color="DCE6F1" w:fill="DCE6F1"/>
            <w:noWrap/>
            <w:vAlign w:val="center"/>
            <w:hideMark/>
          </w:tcPr>
          <w:p w14:paraId="687657B5" w14:textId="77777777" w:rsidR="006C0D6C" w:rsidRPr="00BF3CDE" w:rsidRDefault="006C0D6C" w:rsidP="006C0D6C">
            <w:pPr>
              <w:spacing w:after="0" w:line="240" w:lineRule="auto"/>
              <w:jc w:val="right"/>
              <w:rPr>
                <w:rFonts w:ascii="Verdana" w:eastAsia="Times New Roman" w:hAnsi="Verdana" w:cs="Times New Roman"/>
                <w:noProof/>
                <w:sz w:val="16"/>
                <w:szCs w:val="16"/>
                <w:lang w:val="sr-Cyrl-CS"/>
              </w:rPr>
            </w:pPr>
            <w:r w:rsidRPr="00BF3CDE">
              <w:rPr>
                <w:rFonts w:ascii="Verdana" w:eastAsia="Times New Roman" w:hAnsi="Verdana" w:cs="Times New Roman"/>
                <w:noProof/>
                <w:sz w:val="16"/>
                <w:szCs w:val="16"/>
                <w:lang w:val="sr-Cyrl-CS"/>
              </w:rPr>
              <w:t>0,0002%</w:t>
            </w:r>
          </w:p>
        </w:tc>
      </w:tr>
    </w:tbl>
    <w:p w14:paraId="39A69920" w14:textId="77777777" w:rsidR="006C0D6C" w:rsidRPr="00BF3CDE" w:rsidRDefault="006C0D6C" w:rsidP="006C0D6C">
      <w:pPr>
        <w:spacing w:after="120"/>
        <w:jc w:val="center"/>
        <w:rPr>
          <w:rFonts w:ascii="Verdana" w:hAnsi="Verdana" w:cs="Tahoma"/>
          <w:b/>
          <w:i/>
          <w:noProof/>
          <w:sz w:val="20"/>
          <w:szCs w:val="20"/>
          <w:bdr w:val="none" w:sz="0" w:space="0" w:color="auto" w:frame="1"/>
          <w:lang w:val="sr-Cyrl-CS"/>
        </w:rPr>
      </w:pPr>
    </w:p>
    <w:p w14:paraId="474D2EED" w14:textId="77777777" w:rsidR="006C0D6C" w:rsidRPr="00BF3CDE" w:rsidRDefault="006C0D6C" w:rsidP="006C0D6C">
      <w:pPr>
        <w:spacing w:after="120"/>
        <w:jc w:val="center"/>
        <w:rPr>
          <w:rFonts w:ascii="Verdana" w:hAnsi="Verdana" w:cs="Tahoma"/>
          <w:b/>
          <w:i/>
          <w:noProof/>
          <w:sz w:val="20"/>
          <w:szCs w:val="20"/>
          <w:bdr w:val="none" w:sz="0" w:space="0" w:color="auto" w:frame="1"/>
          <w:lang w:val="sr-Cyrl-CS"/>
        </w:rPr>
      </w:pPr>
    </w:p>
    <w:p w14:paraId="770E0CD1" w14:textId="77777777" w:rsidR="006C0D6C" w:rsidRPr="00BF3CDE" w:rsidRDefault="006C0D6C" w:rsidP="006C0D6C">
      <w:pPr>
        <w:spacing w:after="120"/>
        <w:jc w:val="center"/>
        <w:rPr>
          <w:rFonts w:ascii="Verdana" w:hAnsi="Verdana" w:cs="Tahoma"/>
          <w:b/>
          <w:i/>
          <w:noProof/>
          <w:sz w:val="20"/>
          <w:szCs w:val="20"/>
          <w:bdr w:val="none" w:sz="0" w:space="0" w:color="auto" w:frame="1"/>
          <w:lang w:val="sr-Cyrl-CS"/>
        </w:rPr>
      </w:pPr>
    </w:p>
    <w:p w14:paraId="710E9C25" w14:textId="77777777" w:rsidR="006C0D6C" w:rsidRPr="00BF3CDE" w:rsidRDefault="006C0D6C" w:rsidP="006C0D6C">
      <w:pPr>
        <w:spacing w:after="120"/>
        <w:jc w:val="center"/>
        <w:rPr>
          <w:rFonts w:ascii="Verdana" w:hAnsi="Verdana" w:cs="Tahoma"/>
          <w:b/>
          <w:i/>
          <w:noProof/>
          <w:sz w:val="20"/>
          <w:szCs w:val="20"/>
          <w:bdr w:val="none" w:sz="0" w:space="0" w:color="auto" w:frame="1"/>
          <w:lang w:val="sr-Cyrl-CS"/>
        </w:rPr>
      </w:pPr>
      <w:r w:rsidRPr="00BF3CDE">
        <w:rPr>
          <w:noProof/>
          <w:lang w:val="sr-Latn-RS" w:eastAsia="sr-Latn-RS"/>
        </w:rPr>
        <w:lastRenderedPageBreak/>
        <w:drawing>
          <wp:inline distT="0" distB="0" distL="0" distR="0" wp14:anchorId="3E5392B9" wp14:editId="273091E7">
            <wp:extent cx="4516341" cy="3951799"/>
            <wp:effectExtent l="0" t="0" r="0" b="0"/>
            <wp:docPr id="681" name="Chart 68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88918C6" w14:textId="77777777" w:rsidR="006C0D6C" w:rsidRPr="00BF3CDE" w:rsidRDefault="006C0D6C" w:rsidP="006C0D6C">
      <w:pPr>
        <w:spacing w:after="120"/>
        <w:jc w:val="center"/>
        <w:rPr>
          <w:rFonts w:ascii="Verdana" w:hAnsi="Verdana" w:cs="Tahoma"/>
          <w:b/>
          <w:i/>
          <w:noProof/>
          <w:sz w:val="20"/>
          <w:szCs w:val="20"/>
          <w:bdr w:val="none" w:sz="0" w:space="0" w:color="auto" w:frame="1"/>
          <w:lang w:val="sr-Cyrl-CS"/>
        </w:rPr>
      </w:pPr>
    </w:p>
    <w:p w14:paraId="79760DAE" w14:textId="77777777" w:rsidR="009B1CE0" w:rsidRPr="009D1CE7" w:rsidRDefault="009B1CE0" w:rsidP="006C0D6C">
      <w:pPr>
        <w:spacing w:after="120"/>
        <w:jc w:val="center"/>
        <w:rPr>
          <w:rFonts w:ascii="Verdana" w:hAnsi="Verdana" w:cs="Tahoma"/>
          <w:b/>
          <w:i/>
          <w:noProof/>
          <w:sz w:val="6"/>
          <w:szCs w:val="6"/>
          <w:bdr w:val="none" w:sz="0" w:space="0" w:color="auto" w:frame="1"/>
          <w:lang w:val="sr-Latn-RS"/>
        </w:rPr>
      </w:pPr>
    </w:p>
    <w:p w14:paraId="6B718357" w14:textId="77777777" w:rsidR="006C0D6C" w:rsidRPr="00BF3CDE" w:rsidRDefault="006C0D6C" w:rsidP="006C0D6C">
      <w:pPr>
        <w:spacing w:after="120"/>
        <w:jc w:val="center"/>
        <w:rPr>
          <w:rFonts w:ascii="Verdana" w:hAnsi="Verdana" w:cs="Tahoma"/>
          <w:b/>
          <w:i/>
          <w:noProof/>
          <w:sz w:val="20"/>
          <w:szCs w:val="20"/>
          <w:bdr w:val="none" w:sz="0" w:space="0" w:color="auto" w:frame="1"/>
          <w:lang w:val="sr-Cyrl-CS"/>
        </w:rPr>
      </w:pPr>
      <w:r w:rsidRPr="00BF3CDE">
        <w:rPr>
          <w:rFonts w:ascii="Verdana" w:hAnsi="Verdana" w:cs="Tahoma"/>
          <w:b/>
          <w:i/>
          <w:noProof/>
          <w:sz w:val="20"/>
          <w:szCs w:val="20"/>
          <w:bdr w:val="none" w:sz="0" w:space="0" w:color="auto" w:frame="1"/>
          <w:lang w:val="sr-Cyrl-CS"/>
        </w:rPr>
        <w:t>Премија у самопридржају по врстама осигурања у хиљадама динара</w:t>
      </w:r>
    </w:p>
    <w:tbl>
      <w:tblPr>
        <w:tblStyle w:val="MediumList1-Accent112"/>
        <w:tblW w:w="0" w:type="auto"/>
        <w:jc w:val="center"/>
        <w:tblLook w:val="04A0" w:firstRow="1" w:lastRow="0" w:firstColumn="1" w:lastColumn="0" w:noHBand="0" w:noVBand="1"/>
      </w:tblPr>
      <w:tblGrid>
        <w:gridCol w:w="880"/>
        <w:gridCol w:w="3460"/>
        <w:gridCol w:w="2080"/>
        <w:gridCol w:w="1387"/>
      </w:tblGrid>
      <w:tr w:rsidR="006C0D6C" w:rsidRPr="00BF3CDE" w14:paraId="544AD6DF" w14:textId="77777777" w:rsidTr="00B44D29">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880" w:type="dxa"/>
            <w:tcBorders>
              <w:top w:val="single" w:sz="8" w:space="0" w:color="4F81BD" w:themeColor="accent1"/>
            </w:tcBorders>
            <w:vAlign w:val="center"/>
            <w:hideMark/>
          </w:tcPr>
          <w:p w14:paraId="7CC8902C" w14:textId="77777777" w:rsidR="006C0D6C" w:rsidRPr="00BF3CDE" w:rsidRDefault="006C0D6C" w:rsidP="006C0D6C">
            <w:pPr>
              <w:ind w:right="-142"/>
              <w:jc w:val="center"/>
              <w:rPr>
                <w:rFonts w:ascii="Verdana" w:hAnsi="Verdana" w:cs="Tahoma"/>
                <w:b w:val="0"/>
                <w:noProof/>
                <w:sz w:val="18"/>
                <w:szCs w:val="18"/>
                <w:bdr w:val="none" w:sz="0" w:space="0" w:color="auto" w:frame="1"/>
                <w:lang w:val="sr-Cyrl-CS"/>
              </w:rPr>
            </w:pPr>
            <w:r w:rsidRPr="00BF3CDE">
              <w:rPr>
                <w:rFonts w:ascii="Verdana" w:hAnsi="Verdana" w:cs="Tahoma"/>
                <w:b w:val="0"/>
                <w:noProof/>
                <w:sz w:val="18"/>
                <w:szCs w:val="18"/>
                <w:bdr w:val="none" w:sz="0" w:space="0" w:color="auto" w:frame="1"/>
                <w:lang w:val="sr-Cyrl-CS"/>
              </w:rPr>
              <w:t>Шифра</w:t>
            </w:r>
          </w:p>
        </w:tc>
        <w:tc>
          <w:tcPr>
            <w:tcW w:w="3460" w:type="dxa"/>
            <w:tcBorders>
              <w:top w:val="single" w:sz="8" w:space="0" w:color="4F81BD" w:themeColor="accent1"/>
            </w:tcBorders>
            <w:vAlign w:val="center"/>
            <w:hideMark/>
          </w:tcPr>
          <w:p w14:paraId="354FD3A8" w14:textId="77777777" w:rsidR="006C0D6C" w:rsidRPr="00BF3CDE" w:rsidRDefault="006C0D6C" w:rsidP="006C0D6C">
            <w:pPr>
              <w:ind w:right="-142"/>
              <w:jc w:val="center"/>
              <w:cnfStyle w:val="100000000000" w:firstRow="1" w:lastRow="0" w:firstColumn="0" w:lastColumn="0" w:oddVBand="0" w:evenVBand="0" w:oddHBand="0" w:evenHBand="0" w:firstRowFirstColumn="0" w:firstRowLastColumn="0" w:lastRowFirstColumn="0" w:lastRowLastColumn="0"/>
              <w:rPr>
                <w:rFonts w:ascii="Verdana" w:hAnsi="Verdana" w:cs="Tahoma"/>
                <w:noProof/>
                <w:sz w:val="18"/>
                <w:szCs w:val="18"/>
                <w:bdr w:val="none" w:sz="0" w:space="0" w:color="auto" w:frame="1"/>
                <w:lang w:val="sr-Cyrl-CS"/>
              </w:rPr>
            </w:pPr>
            <w:r w:rsidRPr="00BF3CDE">
              <w:rPr>
                <w:rFonts w:ascii="Verdana" w:hAnsi="Verdana" w:cs="Tahoma"/>
                <w:noProof/>
                <w:sz w:val="18"/>
                <w:szCs w:val="18"/>
                <w:bdr w:val="none" w:sz="0" w:space="0" w:color="auto" w:frame="1"/>
                <w:lang w:val="sr-Cyrl-CS"/>
              </w:rPr>
              <w:t>Врста осигурања</w:t>
            </w:r>
          </w:p>
        </w:tc>
        <w:tc>
          <w:tcPr>
            <w:tcW w:w="2080" w:type="dxa"/>
            <w:tcBorders>
              <w:top w:val="single" w:sz="8" w:space="0" w:color="4F81BD" w:themeColor="accent1"/>
            </w:tcBorders>
            <w:vAlign w:val="center"/>
            <w:hideMark/>
          </w:tcPr>
          <w:p w14:paraId="5277AE9E" w14:textId="77777777" w:rsidR="006C0D6C" w:rsidRPr="00BF3CDE" w:rsidRDefault="006C0D6C" w:rsidP="006C0D6C">
            <w:pPr>
              <w:ind w:right="-142"/>
              <w:jc w:val="center"/>
              <w:cnfStyle w:val="100000000000" w:firstRow="1" w:lastRow="0" w:firstColumn="0" w:lastColumn="0" w:oddVBand="0" w:evenVBand="0" w:oddHBand="0" w:evenHBand="0" w:firstRowFirstColumn="0" w:firstRowLastColumn="0" w:lastRowFirstColumn="0" w:lastRowLastColumn="0"/>
              <w:rPr>
                <w:rFonts w:ascii="Verdana" w:hAnsi="Verdana" w:cs="Tahoma"/>
                <w:noProof/>
                <w:sz w:val="18"/>
                <w:szCs w:val="18"/>
                <w:bdr w:val="none" w:sz="0" w:space="0" w:color="auto" w:frame="1"/>
                <w:lang w:val="sr-Cyrl-CS"/>
              </w:rPr>
            </w:pPr>
            <w:r w:rsidRPr="00BF3CDE">
              <w:rPr>
                <w:rFonts w:ascii="Verdana" w:hAnsi="Verdana" w:cs="Tahoma"/>
                <w:noProof/>
                <w:sz w:val="18"/>
                <w:szCs w:val="18"/>
                <w:bdr w:val="none" w:sz="0" w:space="0" w:color="auto" w:frame="1"/>
                <w:lang w:val="sr-Cyrl-CS"/>
              </w:rPr>
              <w:t>Премија у самопридржају</w:t>
            </w:r>
          </w:p>
        </w:tc>
        <w:tc>
          <w:tcPr>
            <w:tcW w:w="1387" w:type="dxa"/>
            <w:tcBorders>
              <w:top w:val="single" w:sz="8" w:space="0" w:color="4F81BD" w:themeColor="accent1"/>
            </w:tcBorders>
            <w:vAlign w:val="center"/>
            <w:hideMark/>
          </w:tcPr>
          <w:p w14:paraId="5472D464" w14:textId="77777777" w:rsidR="006C0D6C" w:rsidRPr="00BF3CDE" w:rsidRDefault="006C0D6C" w:rsidP="006C0D6C">
            <w:pPr>
              <w:ind w:right="-142"/>
              <w:jc w:val="center"/>
              <w:cnfStyle w:val="100000000000" w:firstRow="1" w:lastRow="0" w:firstColumn="0" w:lastColumn="0" w:oddVBand="0" w:evenVBand="0" w:oddHBand="0" w:evenHBand="0" w:firstRowFirstColumn="0" w:firstRowLastColumn="0" w:lastRowFirstColumn="0" w:lastRowLastColumn="0"/>
              <w:rPr>
                <w:rFonts w:ascii="Verdana" w:hAnsi="Verdana" w:cs="Tahoma"/>
                <w:noProof/>
                <w:sz w:val="18"/>
                <w:szCs w:val="18"/>
                <w:bdr w:val="none" w:sz="0" w:space="0" w:color="auto" w:frame="1"/>
                <w:lang w:val="sr-Cyrl-CS"/>
              </w:rPr>
            </w:pPr>
            <w:r w:rsidRPr="00BF3CDE">
              <w:rPr>
                <w:rFonts w:ascii="Verdana" w:hAnsi="Verdana" w:cs="Tahoma"/>
                <w:noProof/>
                <w:sz w:val="18"/>
                <w:szCs w:val="18"/>
                <w:bdr w:val="none" w:sz="0" w:space="0" w:color="auto" w:frame="1"/>
                <w:lang w:val="sr-Cyrl-CS"/>
              </w:rPr>
              <w:t>Учешће</w:t>
            </w:r>
          </w:p>
        </w:tc>
      </w:tr>
      <w:tr w:rsidR="006C0D6C" w:rsidRPr="00BF3CDE" w14:paraId="218602EF" w14:textId="77777777" w:rsidTr="00C26F4B">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880" w:type="dxa"/>
            <w:vAlign w:val="center"/>
            <w:hideMark/>
          </w:tcPr>
          <w:p w14:paraId="5621FAFB"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03</w:t>
            </w:r>
          </w:p>
        </w:tc>
        <w:tc>
          <w:tcPr>
            <w:tcW w:w="3460" w:type="dxa"/>
            <w:vAlign w:val="center"/>
            <w:hideMark/>
          </w:tcPr>
          <w:p w14:paraId="70A66472"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моторних возила</w:t>
            </w:r>
          </w:p>
        </w:tc>
        <w:tc>
          <w:tcPr>
            <w:tcW w:w="2080" w:type="dxa"/>
            <w:vAlign w:val="center"/>
            <w:hideMark/>
          </w:tcPr>
          <w:p w14:paraId="3A684D85"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103.274</w:t>
            </w:r>
          </w:p>
        </w:tc>
        <w:tc>
          <w:tcPr>
            <w:tcW w:w="1387" w:type="dxa"/>
            <w:noWrap/>
            <w:vAlign w:val="center"/>
            <w:hideMark/>
          </w:tcPr>
          <w:p w14:paraId="4E72B491" w14:textId="5306B9C1"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28,12%</w:t>
            </w:r>
          </w:p>
        </w:tc>
      </w:tr>
      <w:tr w:rsidR="006C0D6C" w:rsidRPr="00BF3CDE" w14:paraId="06252B27" w14:textId="77777777" w:rsidTr="00C26F4B">
        <w:trPr>
          <w:trHeight w:val="386"/>
          <w:jc w:val="center"/>
        </w:trPr>
        <w:tc>
          <w:tcPr>
            <w:cnfStyle w:val="001000000000" w:firstRow="0" w:lastRow="0" w:firstColumn="1" w:lastColumn="0" w:oddVBand="0" w:evenVBand="0" w:oddHBand="0" w:evenHBand="0" w:firstRowFirstColumn="0" w:firstRowLastColumn="0" w:lastRowFirstColumn="0" w:lastRowLastColumn="0"/>
            <w:tcW w:w="880" w:type="dxa"/>
            <w:vAlign w:val="center"/>
            <w:hideMark/>
          </w:tcPr>
          <w:p w14:paraId="2D2B3FA6"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08</w:t>
            </w:r>
          </w:p>
        </w:tc>
        <w:tc>
          <w:tcPr>
            <w:tcW w:w="3460" w:type="dxa"/>
            <w:vAlign w:val="center"/>
            <w:hideMark/>
          </w:tcPr>
          <w:p w14:paraId="6F359F50"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имовине од пожара и др. опасности</w:t>
            </w:r>
          </w:p>
        </w:tc>
        <w:tc>
          <w:tcPr>
            <w:tcW w:w="2080" w:type="dxa"/>
            <w:vAlign w:val="center"/>
            <w:hideMark/>
          </w:tcPr>
          <w:p w14:paraId="772DC25C"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102.398</w:t>
            </w:r>
          </w:p>
        </w:tc>
        <w:tc>
          <w:tcPr>
            <w:tcW w:w="1387" w:type="dxa"/>
            <w:noWrap/>
            <w:vAlign w:val="center"/>
            <w:hideMark/>
          </w:tcPr>
          <w:p w14:paraId="31863ED4" w14:textId="5E2CC9A2"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27,88%</w:t>
            </w:r>
          </w:p>
        </w:tc>
      </w:tr>
      <w:tr w:rsidR="006C0D6C" w:rsidRPr="00BF3CDE" w14:paraId="3E37DBE4" w14:textId="77777777" w:rsidTr="00C26F4B">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880" w:type="dxa"/>
            <w:vAlign w:val="center"/>
            <w:hideMark/>
          </w:tcPr>
          <w:p w14:paraId="5AF52C5E"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09</w:t>
            </w:r>
          </w:p>
        </w:tc>
        <w:tc>
          <w:tcPr>
            <w:tcW w:w="3460" w:type="dxa"/>
            <w:vAlign w:val="center"/>
            <w:hideMark/>
          </w:tcPr>
          <w:p w14:paraId="0AB3EAA4"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Остала осигурања имовине</w:t>
            </w:r>
          </w:p>
        </w:tc>
        <w:tc>
          <w:tcPr>
            <w:tcW w:w="2080" w:type="dxa"/>
            <w:vAlign w:val="center"/>
            <w:hideMark/>
          </w:tcPr>
          <w:p w14:paraId="333D5CE9"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94.119</w:t>
            </w:r>
          </w:p>
        </w:tc>
        <w:tc>
          <w:tcPr>
            <w:tcW w:w="1387" w:type="dxa"/>
            <w:noWrap/>
            <w:vAlign w:val="center"/>
            <w:hideMark/>
          </w:tcPr>
          <w:p w14:paraId="54222D7C" w14:textId="4AFEFBAB"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25,63%</w:t>
            </w:r>
          </w:p>
        </w:tc>
      </w:tr>
      <w:tr w:rsidR="006C0D6C" w:rsidRPr="00BF3CDE" w14:paraId="6FBF5E1F" w14:textId="77777777" w:rsidTr="00C26F4B">
        <w:trPr>
          <w:trHeight w:val="255"/>
          <w:jc w:val="center"/>
        </w:trPr>
        <w:tc>
          <w:tcPr>
            <w:cnfStyle w:val="001000000000" w:firstRow="0" w:lastRow="0" w:firstColumn="1" w:lastColumn="0" w:oddVBand="0" w:evenVBand="0" w:oddHBand="0" w:evenHBand="0" w:firstRowFirstColumn="0" w:firstRowLastColumn="0" w:lastRowFirstColumn="0" w:lastRowLastColumn="0"/>
            <w:tcW w:w="880" w:type="dxa"/>
            <w:vAlign w:val="center"/>
            <w:hideMark/>
          </w:tcPr>
          <w:p w14:paraId="7FFB9E9A"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10</w:t>
            </w:r>
          </w:p>
        </w:tc>
        <w:tc>
          <w:tcPr>
            <w:tcW w:w="3460" w:type="dxa"/>
            <w:vAlign w:val="center"/>
            <w:hideMark/>
          </w:tcPr>
          <w:p w14:paraId="730085E9"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 xml:space="preserve">Осигурање од одговорности због употребе моторних возила  </w:t>
            </w:r>
          </w:p>
        </w:tc>
        <w:tc>
          <w:tcPr>
            <w:tcW w:w="2080" w:type="dxa"/>
            <w:vAlign w:val="center"/>
            <w:hideMark/>
          </w:tcPr>
          <w:p w14:paraId="761E212B"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12.407</w:t>
            </w:r>
          </w:p>
        </w:tc>
        <w:tc>
          <w:tcPr>
            <w:tcW w:w="1387" w:type="dxa"/>
            <w:noWrap/>
            <w:vAlign w:val="center"/>
            <w:hideMark/>
          </w:tcPr>
          <w:p w14:paraId="7CEB739E"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3,38%</w:t>
            </w:r>
          </w:p>
        </w:tc>
      </w:tr>
      <w:tr w:rsidR="006C0D6C" w:rsidRPr="00BF3CDE" w14:paraId="77FEBF49" w14:textId="77777777" w:rsidTr="00C26F4B">
        <w:trPr>
          <w:cnfStyle w:val="000000100000" w:firstRow="0" w:lastRow="0" w:firstColumn="0" w:lastColumn="0" w:oddVBand="0" w:evenVBand="0" w:oddHBand="1" w:evenHBand="0" w:firstRowFirstColumn="0" w:firstRowLastColumn="0" w:lastRowFirstColumn="0" w:lastRowLastColumn="0"/>
          <w:trHeight w:val="302"/>
          <w:jc w:val="center"/>
        </w:trPr>
        <w:tc>
          <w:tcPr>
            <w:cnfStyle w:val="001000000000" w:firstRow="0" w:lastRow="0" w:firstColumn="1" w:lastColumn="0" w:oddVBand="0" w:evenVBand="0" w:oddHBand="0" w:evenHBand="0" w:firstRowFirstColumn="0" w:firstRowLastColumn="0" w:lastRowFirstColumn="0" w:lastRowLastColumn="0"/>
            <w:tcW w:w="880" w:type="dxa"/>
            <w:vAlign w:val="center"/>
            <w:hideMark/>
          </w:tcPr>
          <w:p w14:paraId="1B8AB07E"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20</w:t>
            </w:r>
          </w:p>
        </w:tc>
        <w:tc>
          <w:tcPr>
            <w:tcW w:w="3460" w:type="dxa"/>
            <w:vAlign w:val="center"/>
            <w:hideMark/>
          </w:tcPr>
          <w:p w14:paraId="32A19489"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живота</w:t>
            </w:r>
          </w:p>
        </w:tc>
        <w:tc>
          <w:tcPr>
            <w:tcW w:w="2080" w:type="dxa"/>
            <w:vAlign w:val="center"/>
            <w:hideMark/>
          </w:tcPr>
          <w:p w14:paraId="7BCC1F89"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9.438</w:t>
            </w:r>
          </w:p>
        </w:tc>
        <w:tc>
          <w:tcPr>
            <w:tcW w:w="1387" w:type="dxa"/>
            <w:noWrap/>
            <w:vAlign w:val="center"/>
            <w:hideMark/>
          </w:tcPr>
          <w:p w14:paraId="60E2CDD1"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2,57%</w:t>
            </w:r>
          </w:p>
        </w:tc>
      </w:tr>
      <w:tr w:rsidR="006C0D6C" w:rsidRPr="00BF3CDE" w14:paraId="572D6BA2" w14:textId="77777777" w:rsidTr="00C26F4B">
        <w:trPr>
          <w:trHeight w:val="255"/>
          <w:jc w:val="center"/>
        </w:trPr>
        <w:tc>
          <w:tcPr>
            <w:cnfStyle w:val="001000000000" w:firstRow="0" w:lastRow="0" w:firstColumn="1" w:lastColumn="0" w:oddVBand="0" w:evenVBand="0" w:oddHBand="0" w:evenHBand="0" w:firstRowFirstColumn="0" w:firstRowLastColumn="0" w:lastRowFirstColumn="0" w:lastRowLastColumn="0"/>
            <w:tcW w:w="880" w:type="dxa"/>
            <w:vAlign w:val="center"/>
            <w:hideMark/>
          </w:tcPr>
          <w:p w14:paraId="02FD5719"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04</w:t>
            </w:r>
          </w:p>
        </w:tc>
        <w:tc>
          <w:tcPr>
            <w:tcW w:w="3460" w:type="dxa"/>
            <w:vAlign w:val="center"/>
            <w:hideMark/>
          </w:tcPr>
          <w:p w14:paraId="4C030C0F"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шинских возила</w:t>
            </w:r>
          </w:p>
        </w:tc>
        <w:tc>
          <w:tcPr>
            <w:tcW w:w="2080" w:type="dxa"/>
            <w:vAlign w:val="center"/>
            <w:hideMark/>
          </w:tcPr>
          <w:p w14:paraId="2BF27B36"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8.849</w:t>
            </w:r>
          </w:p>
        </w:tc>
        <w:tc>
          <w:tcPr>
            <w:tcW w:w="1387" w:type="dxa"/>
            <w:noWrap/>
            <w:vAlign w:val="center"/>
            <w:hideMark/>
          </w:tcPr>
          <w:p w14:paraId="106D9658"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2,41%</w:t>
            </w:r>
          </w:p>
        </w:tc>
      </w:tr>
      <w:tr w:rsidR="006C0D6C" w:rsidRPr="00BF3CDE" w14:paraId="09BE6ED3" w14:textId="77777777" w:rsidTr="00C26F4B">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880" w:type="dxa"/>
            <w:vAlign w:val="center"/>
            <w:hideMark/>
          </w:tcPr>
          <w:p w14:paraId="04871280"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05</w:t>
            </w:r>
          </w:p>
        </w:tc>
        <w:tc>
          <w:tcPr>
            <w:tcW w:w="3460" w:type="dxa"/>
            <w:vAlign w:val="center"/>
            <w:hideMark/>
          </w:tcPr>
          <w:p w14:paraId="4CDD7A83"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ваздухоплова</w:t>
            </w:r>
          </w:p>
        </w:tc>
        <w:tc>
          <w:tcPr>
            <w:tcW w:w="2080" w:type="dxa"/>
            <w:vAlign w:val="center"/>
            <w:hideMark/>
          </w:tcPr>
          <w:p w14:paraId="67B1CE67"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7.729</w:t>
            </w:r>
          </w:p>
        </w:tc>
        <w:tc>
          <w:tcPr>
            <w:tcW w:w="1387" w:type="dxa"/>
            <w:noWrap/>
            <w:vAlign w:val="center"/>
            <w:hideMark/>
          </w:tcPr>
          <w:p w14:paraId="2B4824F4"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2,10%</w:t>
            </w:r>
          </w:p>
        </w:tc>
      </w:tr>
      <w:tr w:rsidR="006C0D6C" w:rsidRPr="00BF3CDE" w14:paraId="5EB6C16E" w14:textId="77777777" w:rsidTr="00C26F4B">
        <w:trPr>
          <w:trHeight w:val="255"/>
          <w:jc w:val="center"/>
        </w:trPr>
        <w:tc>
          <w:tcPr>
            <w:cnfStyle w:val="001000000000" w:firstRow="0" w:lastRow="0" w:firstColumn="1" w:lastColumn="0" w:oddVBand="0" w:evenVBand="0" w:oddHBand="0" w:evenHBand="0" w:firstRowFirstColumn="0" w:firstRowLastColumn="0" w:lastRowFirstColumn="0" w:lastRowLastColumn="0"/>
            <w:tcW w:w="880" w:type="dxa"/>
            <w:vAlign w:val="center"/>
            <w:hideMark/>
          </w:tcPr>
          <w:p w14:paraId="69AE4162"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07</w:t>
            </w:r>
          </w:p>
        </w:tc>
        <w:tc>
          <w:tcPr>
            <w:tcW w:w="3460" w:type="dxa"/>
            <w:vAlign w:val="center"/>
            <w:hideMark/>
          </w:tcPr>
          <w:p w14:paraId="5D0F374C"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робе у превозу</w:t>
            </w:r>
          </w:p>
        </w:tc>
        <w:tc>
          <w:tcPr>
            <w:tcW w:w="2080" w:type="dxa"/>
            <w:vAlign w:val="center"/>
            <w:hideMark/>
          </w:tcPr>
          <w:p w14:paraId="2BC951A0"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6.616</w:t>
            </w:r>
          </w:p>
        </w:tc>
        <w:tc>
          <w:tcPr>
            <w:tcW w:w="1387" w:type="dxa"/>
            <w:noWrap/>
            <w:vAlign w:val="center"/>
            <w:hideMark/>
          </w:tcPr>
          <w:p w14:paraId="654D39FE"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1,80%</w:t>
            </w:r>
          </w:p>
        </w:tc>
      </w:tr>
      <w:tr w:rsidR="006C0D6C" w:rsidRPr="00BF3CDE" w14:paraId="32F04201" w14:textId="77777777" w:rsidTr="00C26F4B">
        <w:trPr>
          <w:cnfStyle w:val="000000100000" w:firstRow="0" w:lastRow="0" w:firstColumn="0" w:lastColumn="0" w:oddVBand="0" w:evenVBand="0" w:oddHBand="1" w:evenHBand="0" w:firstRowFirstColumn="0" w:firstRowLastColumn="0" w:lastRowFirstColumn="0" w:lastRowLastColumn="0"/>
          <w:trHeight w:val="369"/>
          <w:jc w:val="center"/>
        </w:trPr>
        <w:tc>
          <w:tcPr>
            <w:cnfStyle w:val="001000000000" w:firstRow="0" w:lastRow="0" w:firstColumn="1" w:lastColumn="0" w:oddVBand="0" w:evenVBand="0" w:oddHBand="0" w:evenHBand="0" w:firstRowFirstColumn="0" w:firstRowLastColumn="0" w:lastRowFirstColumn="0" w:lastRowLastColumn="0"/>
            <w:tcW w:w="880" w:type="dxa"/>
            <w:vAlign w:val="center"/>
            <w:hideMark/>
          </w:tcPr>
          <w:p w14:paraId="242771FA"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22.01</w:t>
            </w:r>
          </w:p>
        </w:tc>
        <w:tc>
          <w:tcPr>
            <w:tcW w:w="3460" w:type="dxa"/>
            <w:vAlign w:val="center"/>
            <w:hideMark/>
          </w:tcPr>
          <w:p w14:paraId="184C5592"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Oсигурање од последица незгоде, допунско уз осигурање живота</w:t>
            </w:r>
          </w:p>
        </w:tc>
        <w:tc>
          <w:tcPr>
            <w:tcW w:w="2080" w:type="dxa"/>
            <w:vAlign w:val="center"/>
            <w:hideMark/>
          </w:tcPr>
          <w:p w14:paraId="437B7C09"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6.068</w:t>
            </w:r>
          </w:p>
        </w:tc>
        <w:tc>
          <w:tcPr>
            <w:tcW w:w="1387" w:type="dxa"/>
            <w:noWrap/>
            <w:vAlign w:val="center"/>
            <w:hideMark/>
          </w:tcPr>
          <w:p w14:paraId="73522F5F"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1,65%</w:t>
            </w:r>
          </w:p>
        </w:tc>
      </w:tr>
      <w:tr w:rsidR="006C0D6C" w:rsidRPr="00BF3CDE" w14:paraId="64AB317D" w14:textId="77777777" w:rsidTr="00C26F4B">
        <w:trPr>
          <w:trHeight w:val="318"/>
          <w:jc w:val="center"/>
        </w:trPr>
        <w:tc>
          <w:tcPr>
            <w:cnfStyle w:val="001000000000" w:firstRow="0" w:lastRow="0" w:firstColumn="1" w:lastColumn="0" w:oddVBand="0" w:evenVBand="0" w:oddHBand="0" w:evenHBand="0" w:firstRowFirstColumn="0" w:firstRowLastColumn="0" w:lastRowFirstColumn="0" w:lastRowLastColumn="0"/>
            <w:tcW w:w="880" w:type="dxa"/>
            <w:vAlign w:val="center"/>
            <w:hideMark/>
          </w:tcPr>
          <w:p w14:paraId="4620E8D2"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01</w:t>
            </w:r>
          </w:p>
        </w:tc>
        <w:tc>
          <w:tcPr>
            <w:tcW w:w="3460" w:type="dxa"/>
            <w:vAlign w:val="center"/>
            <w:hideMark/>
          </w:tcPr>
          <w:p w14:paraId="77908C90"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од последица незгоде</w:t>
            </w:r>
          </w:p>
        </w:tc>
        <w:tc>
          <w:tcPr>
            <w:tcW w:w="2080" w:type="dxa"/>
            <w:vAlign w:val="center"/>
            <w:hideMark/>
          </w:tcPr>
          <w:p w14:paraId="7F6D6D11"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5.949</w:t>
            </w:r>
          </w:p>
        </w:tc>
        <w:tc>
          <w:tcPr>
            <w:tcW w:w="1387" w:type="dxa"/>
            <w:noWrap/>
            <w:vAlign w:val="center"/>
            <w:hideMark/>
          </w:tcPr>
          <w:p w14:paraId="23FE0FA7"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1,62%</w:t>
            </w:r>
          </w:p>
        </w:tc>
      </w:tr>
      <w:tr w:rsidR="006C0D6C" w:rsidRPr="00BF3CDE" w14:paraId="404D14D5" w14:textId="77777777" w:rsidTr="00C26F4B">
        <w:trPr>
          <w:cnfStyle w:val="000000100000" w:firstRow="0" w:lastRow="0" w:firstColumn="0" w:lastColumn="0" w:oddVBand="0" w:evenVBand="0" w:oddHBand="1" w:evenHBand="0" w:firstRowFirstColumn="0" w:firstRowLastColumn="0" w:lastRowFirstColumn="0" w:lastRowLastColumn="0"/>
          <w:trHeight w:val="311"/>
          <w:jc w:val="center"/>
        </w:trPr>
        <w:tc>
          <w:tcPr>
            <w:cnfStyle w:val="001000000000" w:firstRow="0" w:lastRow="0" w:firstColumn="1" w:lastColumn="0" w:oddVBand="0" w:evenVBand="0" w:oddHBand="0" w:evenHBand="0" w:firstRowFirstColumn="0" w:firstRowLastColumn="0" w:lastRowFirstColumn="0" w:lastRowLastColumn="0"/>
            <w:tcW w:w="880" w:type="dxa"/>
            <w:vAlign w:val="center"/>
            <w:hideMark/>
          </w:tcPr>
          <w:p w14:paraId="16966E9D"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13</w:t>
            </w:r>
          </w:p>
        </w:tc>
        <w:tc>
          <w:tcPr>
            <w:tcW w:w="3460" w:type="dxa"/>
            <w:vAlign w:val="center"/>
            <w:hideMark/>
          </w:tcPr>
          <w:p w14:paraId="241E4D96"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од опште одговорности</w:t>
            </w:r>
          </w:p>
        </w:tc>
        <w:tc>
          <w:tcPr>
            <w:tcW w:w="2080" w:type="dxa"/>
            <w:vAlign w:val="center"/>
            <w:hideMark/>
          </w:tcPr>
          <w:p w14:paraId="39933115"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5.257</w:t>
            </w:r>
          </w:p>
        </w:tc>
        <w:tc>
          <w:tcPr>
            <w:tcW w:w="1387" w:type="dxa"/>
            <w:noWrap/>
            <w:vAlign w:val="center"/>
            <w:hideMark/>
          </w:tcPr>
          <w:p w14:paraId="5ECED84E"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1,43%</w:t>
            </w:r>
          </w:p>
        </w:tc>
      </w:tr>
      <w:tr w:rsidR="006C0D6C" w:rsidRPr="00BF3CDE" w14:paraId="454FF83D" w14:textId="77777777" w:rsidTr="00C26F4B">
        <w:trPr>
          <w:trHeight w:val="123"/>
          <w:jc w:val="center"/>
        </w:trPr>
        <w:tc>
          <w:tcPr>
            <w:cnfStyle w:val="001000000000" w:firstRow="0" w:lastRow="0" w:firstColumn="1" w:lastColumn="0" w:oddVBand="0" w:evenVBand="0" w:oddHBand="0" w:evenHBand="0" w:firstRowFirstColumn="0" w:firstRowLastColumn="0" w:lastRowFirstColumn="0" w:lastRowLastColumn="0"/>
            <w:tcW w:w="880" w:type="dxa"/>
            <w:vAlign w:val="center"/>
            <w:hideMark/>
          </w:tcPr>
          <w:p w14:paraId="682509D1"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16</w:t>
            </w:r>
          </w:p>
        </w:tc>
        <w:tc>
          <w:tcPr>
            <w:tcW w:w="3460" w:type="dxa"/>
            <w:vAlign w:val="center"/>
            <w:hideMark/>
          </w:tcPr>
          <w:p w14:paraId="6FF679FA"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финансијских губитака</w:t>
            </w:r>
          </w:p>
        </w:tc>
        <w:tc>
          <w:tcPr>
            <w:tcW w:w="2080" w:type="dxa"/>
            <w:vAlign w:val="center"/>
            <w:hideMark/>
          </w:tcPr>
          <w:p w14:paraId="5DB270F7"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2.695</w:t>
            </w:r>
          </w:p>
        </w:tc>
        <w:tc>
          <w:tcPr>
            <w:tcW w:w="1387" w:type="dxa"/>
            <w:noWrap/>
            <w:vAlign w:val="center"/>
            <w:hideMark/>
          </w:tcPr>
          <w:p w14:paraId="21A4AB65"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0,73%</w:t>
            </w:r>
          </w:p>
        </w:tc>
      </w:tr>
      <w:tr w:rsidR="006C0D6C" w:rsidRPr="00BF3CDE" w14:paraId="670838FA" w14:textId="77777777" w:rsidTr="00C26F4B">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880" w:type="dxa"/>
            <w:vAlign w:val="center"/>
            <w:hideMark/>
          </w:tcPr>
          <w:p w14:paraId="27F31EFE"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06</w:t>
            </w:r>
          </w:p>
        </w:tc>
        <w:tc>
          <w:tcPr>
            <w:tcW w:w="3460" w:type="dxa"/>
            <w:vAlign w:val="center"/>
            <w:hideMark/>
          </w:tcPr>
          <w:p w14:paraId="34F8C027"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пловних објеката</w:t>
            </w:r>
          </w:p>
        </w:tc>
        <w:tc>
          <w:tcPr>
            <w:tcW w:w="2080" w:type="dxa"/>
            <w:vAlign w:val="center"/>
            <w:hideMark/>
          </w:tcPr>
          <w:p w14:paraId="45F075C1"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1.060</w:t>
            </w:r>
          </w:p>
        </w:tc>
        <w:tc>
          <w:tcPr>
            <w:tcW w:w="1387" w:type="dxa"/>
            <w:noWrap/>
            <w:vAlign w:val="center"/>
            <w:hideMark/>
          </w:tcPr>
          <w:p w14:paraId="34E241EF"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0,29%</w:t>
            </w:r>
          </w:p>
        </w:tc>
      </w:tr>
      <w:tr w:rsidR="006C0D6C" w:rsidRPr="00BF3CDE" w14:paraId="45E7EBBA" w14:textId="77777777" w:rsidTr="00C26F4B">
        <w:trPr>
          <w:trHeight w:val="255"/>
          <w:jc w:val="center"/>
        </w:trPr>
        <w:tc>
          <w:tcPr>
            <w:cnfStyle w:val="001000000000" w:firstRow="0" w:lastRow="0" w:firstColumn="1" w:lastColumn="0" w:oddVBand="0" w:evenVBand="0" w:oddHBand="0" w:evenHBand="0" w:firstRowFirstColumn="0" w:firstRowLastColumn="0" w:lastRowFirstColumn="0" w:lastRowLastColumn="0"/>
            <w:tcW w:w="880" w:type="dxa"/>
            <w:vAlign w:val="center"/>
            <w:hideMark/>
          </w:tcPr>
          <w:p w14:paraId="417EAFC7"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11</w:t>
            </w:r>
          </w:p>
        </w:tc>
        <w:tc>
          <w:tcPr>
            <w:tcW w:w="3460" w:type="dxa"/>
            <w:vAlign w:val="center"/>
            <w:hideMark/>
          </w:tcPr>
          <w:p w14:paraId="342A40C8"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од одговорности због употребе ваздухоплова</w:t>
            </w:r>
          </w:p>
        </w:tc>
        <w:tc>
          <w:tcPr>
            <w:tcW w:w="2080" w:type="dxa"/>
            <w:vAlign w:val="center"/>
            <w:hideMark/>
          </w:tcPr>
          <w:p w14:paraId="54040A2D"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435</w:t>
            </w:r>
          </w:p>
        </w:tc>
        <w:tc>
          <w:tcPr>
            <w:tcW w:w="1387" w:type="dxa"/>
            <w:noWrap/>
            <w:vAlign w:val="center"/>
            <w:hideMark/>
          </w:tcPr>
          <w:p w14:paraId="3A07522A"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0,12%</w:t>
            </w:r>
          </w:p>
        </w:tc>
      </w:tr>
      <w:tr w:rsidR="006C0D6C" w:rsidRPr="00BF3CDE" w14:paraId="1D9F321F" w14:textId="77777777" w:rsidTr="00C26F4B">
        <w:trPr>
          <w:cnfStyle w:val="000000100000" w:firstRow="0" w:lastRow="0" w:firstColumn="0" w:lastColumn="0" w:oddVBand="0" w:evenVBand="0" w:oddHBand="1" w:evenHBand="0" w:firstRowFirstColumn="0" w:firstRowLastColumn="0" w:lastRowFirstColumn="0" w:lastRowLastColumn="0"/>
          <w:trHeight w:val="362"/>
          <w:jc w:val="center"/>
        </w:trPr>
        <w:tc>
          <w:tcPr>
            <w:cnfStyle w:val="001000000000" w:firstRow="0" w:lastRow="0" w:firstColumn="1" w:lastColumn="0" w:oddVBand="0" w:evenVBand="0" w:oddHBand="0" w:evenHBand="0" w:firstRowFirstColumn="0" w:firstRowLastColumn="0" w:lastRowFirstColumn="0" w:lastRowLastColumn="0"/>
            <w:tcW w:w="880" w:type="dxa"/>
            <w:vAlign w:val="center"/>
            <w:hideMark/>
          </w:tcPr>
          <w:p w14:paraId="615B54A0"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17</w:t>
            </w:r>
          </w:p>
        </w:tc>
        <w:tc>
          <w:tcPr>
            <w:tcW w:w="3460" w:type="dxa"/>
            <w:vAlign w:val="center"/>
            <w:hideMark/>
          </w:tcPr>
          <w:p w14:paraId="07CA6C20"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трошкова правне заштите</w:t>
            </w:r>
          </w:p>
        </w:tc>
        <w:tc>
          <w:tcPr>
            <w:tcW w:w="2080" w:type="dxa"/>
            <w:vAlign w:val="center"/>
            <w:hideMark/>
          </w:tcPr>
          <w:p w14:paraId="7BA2AD9C"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319</w:t>
            </w:r>
          </w:p>
        </w:tc>
        <w:tc>
          <w:tcPr>
            <w:tcW w:w="1387" w:type="dxa"/>
            <w:noWrap/>
            <w:vAlign w:val="center"/>
            <w:hideMark/>
          </w:tcPr>
          <w:p w14:paraId="2AEB3D66"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0,09%</w:t>
            </w:r>
          </w:p>
        </w:tc>
      </w:tr>
      <w:tr w:rsidR="00C26F4B" w:rsidRPr="00BF3CDE" w14:paraId="17E68783" w14:textId="77777777" w:rsidTr="00B44D29">
        <w:trPr>
          <w:trHeight w:val="144"/>
          <w:jc w:val="center"/>
        </w:trPr>
        <w:tc>
          <w:tcPr>
            <w:cnfStyle w:val="001000000000" w:firstRow="0" w:lastRow="0" w:firstColumn="1" w:lastColumn="0" w:oddVBand="0" w:evenVBand="0" w:oddHBand="0" w:evenHBand="0" w:firstRowFirstColumn="0" w:firstRowLastColumn="0" w:lastRowFirstColumn="0" w:lastRowLastColumn="0"/>
            <w:tcW w:w="880" w:type="dxa"/>
            <w:tcBorders>
              <w:bottom w:val="single" w:sz="8" w:space="0" w:color="4F81BD" w:themeColor="accent1"/>
            </w:tcBorders>
            <w:vAlign w:val="center"/>
            <w:hideMark/>
          </w:tcPr>
          <w:p w14:paraId="00E66C7E" w14:textId="77777777" w:rsidR="00C26F4B" w:rsidRPr="00BF3CDE" w:rsidRDefault="00C26F4B" w:rsidP="009D1CE7">
            <w:pPr>
              <w:jc w:val="center"/>
              <w:rPr>
                <w:rFonts w:ascii="Verdana" w:hAnsi="Verdana"/>
                <w:b w:val="0"/>
                <w:noProof/>
                <w:sz w:val="18"/>
                <w:szCs w:val="18"/>
                <w:lang w:val="sr-Cyrl-CS"/>
              </w:rPr>
            </w:pPr>
            <w:r w:rsidRPr="00BF3CDE">
              <w:rPr>
                <w:rFonts w:ascii="Verdana" w:hAnsi="Verdana"/>
                <w:b w:val="0"/>
                <w:noProof/>
                <w:sz w:val="18"/>
                <w:szCs w:val="18"/>
                <w:lang w:val="sr-Cyrl-CS"/>
              </w:rPr>
              <w:t> </w:t>
            </w:r>
          </w:p>
        </w:tc>
        <w:tc>
          <w:tcPr>
            <w:tcW w:w="3460" w:type="dxa"/>
            <w:tcBorders>
              <w:bottom w:val="single" w:sz="8" w:space="0" w:color="4F81BD" w:themeColor="accent1"/>
            </w:tcBorders>
            <w:vAlign w:val="center"/>
            <w:hideMark/>
          </w:tcPr>
          <w:p w14:paraId="22DCCEDB" w14:textId="77777777" w:rsidR="00C26F4B" w:rsidRPr="00BF3CDE" w:rsidRDefault="00C26F4B" w:rsidP="009D1CE7">
            <w:pP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Остало</w:t>
            </w:r>
          </w:p>
        </w:tc>
        <w:tc>
          <w:tcPr>
            <w:tcW w:w="2080" w:type="dxa"/>
            <w:tcBorders>
              <w:bottom w:val="single" w:sz="8" w:space="0" w:color="4F81BD" w:themeColor="accent1"/>
            </w:tcBorders>
            <w:vAlign w:val="center"/>
            <w:hideMark/>
          </w:tcPr>
          <w:p w14:paraId="0BF85A11" w14:textId="227F2ABC" w:rsidR="00C26F4B" w:rsidRPr="00BF3CDE" w:rsidRDefault="00092D62" w:rsidP="009D1CE7">
            <w:pPr>
              <w:jc w:val="cente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Pr>
                <w:rFonts w:ascii="Verdana" w:hAnsi="Verdana"/>
                <w:noProof/>
                <w:sz w:val="18"/>
                <w:szCs w:val="18"/>
                <w:lang w:val="sr-Cyrl-CS"/>
              </w:rPr>
              <w:t>641</w:t>
            </w:r>
          </w:p>
        </w:tc>
        <w:tc>
          <w:tcPr>
            <w:tcW w:w="1387" w:type="dxa"/>
            <w:tcBorders>
              <w:bottom w:val="single" w:sz="8" w:space="0" w:color="4F81BD" w:themeColor="accent1"/>
            </w:tcBorders>
            <w:noWrap/>
            <w:vAlign w:val="center"/>
            <w:hideMark/>
          </w:tcPr>
          <w:p w14:paraId="51A3E720" w14:textId="7BEB9886" w:rsidR="00C26F4B" w:rsidRPr="00BF3CDE" w:rsidRDefault="00C26F4B" w:rsidP="009D1CE7">
            <w:pPr>
              <w:jc w:val="cente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Pr>
                <w:rFonts w:ascii="Verdana" w:hAnsi="Verdana"/>
                <w:noProof/>
                <w:sz w:val="18"/>
                <w:szCs w:val="18"/>
                <w:lang w:val="sr-Cyrl-CS"/>
              </w:rPr>
              <w:t>0,17</w:t>
            </w:r>
            <w:r w:rsidRPr="00BF3CDE">
              <w:rPr>
                <w:rFonts w:ascii="Verdana" w:hAnsi="Verdana"/>
                <w:noProof/>
                <w:sz w:val="18"/>
                <w:szCs w:val="18"/>
                <w:lang w:val="sr-Cyrl-CS"/>
              </w:rPr>
              <w:t>%</w:t>
            </w:r>
          </w:p>
        </w:tc>
      </w:tr>
      <w:tr w:rsidR="006C0D6C" w:rsidRPr="00BF3CDE" w14:paraId="2513E616" w14:textId="77777777" w:rsidTr="009D1CE7">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880" w:type="dxa"/>
            <w:tcBorders>
              <w:top w:val="single" w:sz="8" w:space="0" w:color="4F81BD" w:themeColor="accent1"/>
              <w:bottom w:val="single" w:sz="8" w:space="0" w:color="4F81BD" w:themeColor="accent1"/>
            </w:tcBorders>
            <w:shd w:val="clear" w:color="auto" w:fill="auto"/>
            <w:vAlign w:val="center"/>
            <w:hideMark/>
          </w:tcPr>
          <w:p w14:paraId="7F528E59" w14:textId="25CA544F" w:rsidR="006C0D6C" w:rsidRPr="00BF3CDE" w:rsidRDefault="006C0D6C" w:rsidP="009D1CE7">
            <w:pPr>
              <w:jc w:val="center"/>
              <w:rPr>
                <w:rFonts w:ascii="Verdana" w:hAnsi="Verdana"/>
                <w:b w:val="0"/>
                <w:noProof/>
                <w:sz w:val="18"/>
                <w:szCs w:val="18"/>
                <w:lang w:val="sr-Cyrl-CS"/>
              </w:rPr>
            </w:pPr>
          </w:p>
        </w:tc>
        <w:tc>
          <w:tcPr>
            <w:tcW w:w="3460" w:type="dxa"/>
            <w:tcBorders>
              <w:top w:val="single" w:sz="8" w:space="0" w:color="4F81BD" w:themeColor="accent1"/>
              <w:bottom w:val="single" w:sz="8" w:space="0" w:color="4F81BD" w:themeColor="accent1"/>
            </w:tcBorders>
            <w:shd w:val="clear" w:color="auto" w:fill="auto"/>
            <w:vAlign w:val="center"/>
            <w:hideMark/>
          </w:tcPr>
          <w:p w14:paraId="1D2BEA4A" w14:textId="1177AB8C" w:rsidR="006C0D6C" w:rsidRPr="009D1CE7" w:rsidRDefault="00092D62" w:rsidP="006C0D6C">
            <w:pPr>
              <w:cnfStyle w:val="000000100000" w:firstRow="0" w:lastRow="0" w:firstColumn="0" w:lastColumn="0" w:oddVBand="0" w:evenVBand="0" w:oddHBand="1" w:evenHBand="0" w:firstRowFirstColumn="0" w:firstRowLastColumn="0" w:lastRowFirstColumn="0" w:lastRowLastColumn="0"/>
              <w:rPr>
                <w:rFonts w:ascii="Verdana" w:hAnsi="Verdana"/>
                <w:b/>
                <w:strike/>
                <w:noProof/>
                <w:sz w:val="18"/>
                <w:szCs w:val="18"/>
                <w:lang w:val="sr-Cyrl-CS"/>
              </w:rPr>
            </w:pPr>
            <w:r w:rsidRPr="009D1CE7">
              <w:rPr>
                <w:rFonts w:ascii="Verdana" w:hAnsi="Verdana"/>
                <w:b/>
                <w:noProof/>
                <w:sz w:val="18"/>
                <w:szCs w:val="18"/>
                <w:lang w:val="sr-Cyrl-CS"/>
              </w:rPr>
              <w:t>Укупно</w:t>
            </w:r>
          </w:p>
        </w:tc>
        <w:tc>
          <w:tcPr>
            <w:tcW w:w="2080" w:type="dxa"/>
            <w:tcBorders>
              <w:top w:val="single" w:sz="8" w:space="0" w:color="4F81BD" w:themeColor="accent1"/>
              <w:bottom w:val="single" w:sz="8" w:space="0" w:color="4F81BD" w:themeColor="accent1"/>
            </w:tcBorders>
            <w:shd w:val="clear" w:color="auto" w:fill="auto"/>
            <w:vAlign w:val="center"/>
            <w:hideMark/>
          </w:tcPr>
          <w:p w14:paraId="38C7D966" w14:textId="5CF980EC" w:rsidR="00092D62" w:rsidRPr="009D1CE7" w:rsidRDefault="00092D62"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b/>
                <w:noProof/>
                <w:sz w:val="18"/>
                <w:szCs w:val="18"/>
                <w:lang w:val="sr-Cyrl-CS"/>
              </w:rPr>
            </w:pPr>
            <w:r w:rsidRPr="009D1CE7">
              <w:rPr>
                <w:rFonts w:ascii="Verdana" w:hAnsi="Verdana"/>
                <w:b/>
                <w:noProof/>
                <w:sz w:val="18"/>
                <w:szCs w:val="18"/>
                <w:lang w:val="sr-Cyrl-CS"/>
              </w:rPr>
              <w:t>367.254</w:t>
            </w:r>
          </w:p>
        </w:tc>
        <w:tc>
          <w:tcPr>
            <w:tcW w:w="1387" w:type="dxa"/>
            <w:tcBorders>
              <w:top w:val="single" w:sz="8" w:space="0" w:color="4F81BD" w:themeColor="accent1"/>
              <w:bottom w:val="single" w:sz="8" w:space="0" w:color="4F81BD" w:themeColor="accent1"/>
            </w:tcBorders>
            <w:shd w:val="clear" w:color="auto" w:fill="auto"/>
            <w:noWrap/>
            <w:vAlign w:val="center"/>
            <w:hideMark/>
          </w:tcPr>
          <w:p w14:paraId="65EBE097" w14:textId="4DE2113C" w:rsidR="00092D62" w:rsidRPr="009D1CE7" w:rsidRDefault="00092D62"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b/>
                <w:noProof/>
                <w:sz w:val="18"/>
                <w:szCs w:val="18"/>
                <w:lang w:val="sr-Cyrl-CS"/>
              </w:rPr>
            </w:pPr>
            <w:r w:rsidRPr="009D1CE7">
              <w:rPr>
                <w:rFonts w:ascii="Verdana" w:hAnsi="Verdana"/>
                <w:b/>
                <w:noProof/>
                <w:sz w:val="18"/>
                <w:szCs w:val="18"/>
                <w:lang w:val="sr-Cyrl-CS"/>
              </w:rPr>
              <w:t>100%</w:t>
            </w:r>
          </w:p>
        </w:tc>
      </w:tr>
    </w:tbl>
    <w:p w14:paraId="21AF7E71" w14:textId="77777777" w:rsidR="006C0D6C" w:rsidRPr="00BF3CDE" w:rsidRDefault="006C0D6C" w:rsidP="00655CD0">
      <w:pPr>
        <w:pStyle w:val="Heading1"/>
        <w:numPr>
          <w:ilvl w:val="1"/>
          <w:numId w:val="6"/>
        </w:numPr>
        <w:spacing w:before="480" w:after="360"/>
        <w:jc w:val="left"/>
        <w:rPr>
          <w:rFonts w:asciiTheme="majorHAnsi" w:hAnsiTheme="majorHAnsi" w:cs="Tahoma"/>
          <w:i/>
          <w:noProof/>
          <w:color w:val="4F81BD"/>
          <w:sz w:val="22"/>
          <w:szCs w:val="18"/>
          <w:lang w:val="sr-Cyrl-CS"/>
        </w:rPr>
      </w:pPr>
      <w:bookmarkStart w:id="18" w:name="_Toc414356805"/>
      <w:r w:rsidRPr="00BF3CDE">
        <w:rPr>
          <w:rFonts w:asciiTheme="majorHAnsi" w:hAnsiTheme="majorHAnsi" w:cs="Tahoma"/>
          <w:i/>
          <w:noProof/>
          <w:color w:val="4F81BD"/>
          <w:sz w:val="22"/>
          <w:szCs w:val="18"/>
          <w:lang w:val="sr-Cyrl-CS"/>
        </w:rPr>
        <w:lastRenderedPageBreak/>
        <w:t>ПРЕМИЈА РЕТРОЦЕСИЈЕ ДРУШТВА</w:t>
      </w:r>
      <w:bookmarkEnd w:id="17"/>
      <w:bookmarkEnd w:id="18"/>
    </w:p>
    <w:p w14:paraId="64927ABB" w14:textId="77777777" w:rsidR="006C0D6C" w:rsidRPr="00BF3CDE" w:rsidRDefault="006C0D6C" w:rsidP="006C0D6C">
      <w:pPr>
        <w:spacing w:after="120"/>
        <w:ind w:firstLine="567"/>
        <w:jc w:val="both"/>
        <w:rPr>
          <w:rStyle w:val="Hyperlink"/>
          <w:noProof/>
          <w:color w:val="auto"/>
          <w:sz w:val="20"/>
          <w:szCs w:val="20"/>
          <w:lang w:val="sr-Cyrl-CS"/>
        </w:rPr>
      </w:pPr>
      <w:r w:rsidRPr="00BF3CDE">
        <w:rPr>
          <w:rStyle w:val="Hyperlink"/>
          <w:noProof/>
          <w:color w:val="auto"/>
          <w:sz w:val="20"/>
          <w:szCs w:val="20"/>
          <w:lang w:val="sr-Cyrl-CS"/>
        </w:rPr>
        <w:t>Премија ретроцесије у периоду 01.01.2014. – 31.12.2014. године износи 1.957.637 хиљаде динара и мања је за 12,76% у односу на исти период претходне године, док је у односу на планиране вредности мања за 2,61%.</w:t>
      </w:r>
    </w:p>
    <w:p w14:paraId="627B5549" w14:textId="77777777" w:rsidR="000C73FE" w:rsidRPr="00BF3CDE" w:rsidRDefault="000C73FE" w:rsidP="006C0D6C">
      <w:pPr>
        <w:spacing w:after="120"/>
        <w:ind w:firstLine="567"/>
        <w:jc w:val="both"/>
        <w:rPr>
          <w:rStyle w:val="Hyperlink"/>
          <w:noProof/>
          <w:color w:val="auto"/>
          <w:sz w:val="10"/>
          <w:szCs w:val="10"/>
          <w:lang w:val="sr-Cyrl-CS"/>
        </w:rPr>
      </w:pPr>
    </w:p>
    <w:p w14:paraId="3083CD4D" w14:textId="77777777" w:rsidR="006C0D6C" w:rsidRPr="00BF3CDE" w:rsidRDefault="006C0D6C" w:rsidP="006C0D6C">
      <w:pPr>
        <w:spacing w:after="240" w:line="240" w:lineRule="auto"/>
        <w:ind w:right="-142"/>
        <w:jc w:val="center"/>
        <w:rPr>
          <w:rFonts w:ascii="Verdana" w:hAnsi="Verdana" w:cs="Tahoma"/>
          <w:b/>
          <w:i/>
          <w:noProof/>
          <w:sz w:val="20"/>
          <w:szCs w:val="20"/>
          <w:bdr w:val="none" w:sz="0" w:space="0" w:color="auto" w:frame="1"/>
          <w:lang w:val="sr-Cyrl-CS"/>
        </w:rPr>
      </w:pPr>
      <w:r w:rsidRPr="00BF3CDE">
        <w:rPr>
          <w:rFonts w:ascii="Verdana" w:hAnsi="Verdana" w:cs="Tahoma"/>
          <w:b/>
          <w:i/>
          <w:noProof/>
          <w:sz w:val="20"/>
          <w:szCs w:val="20"/>
          <w:bdr w:val="none" w:sz="0" w:space="0" w:color="auto" w:frame="1"/>
          <w:lang w:val="sr-Cyrl-CS"/>
        </w:rPr>
        <w:t>Премија ретроцесије</w:t>
      </w:r>
      <w:r w:rsidRPr="00BF3CDE">
        <w:rPr>
          <w:rStyle w:val="Hyperlink"/>
          <w:noProof/>
          <w:color w:val="auto"/>
          <w:sz w:val="20"/>
          <w:szCs w:val="20"/>
          <w:lang w:val="sr-Cyrl-CS"/>
        </w:rPr>
        <w:t xml:space="preserve"> </w:t>
      </w:r>
      <w:r w:rsidRPr="00BF3CDE">
        <w:rPr>
          <w:rFonts w:ascii="Verdana" w:hAnsi="Verdana" w:cs="Tahoma"/>
          <w:b/>
          <w:i/>
          <w:noProof/>
          <w:sz w:val="20"/>
          <w:szCs w:val="20"/>
          <w:bdr w:val="none" w:sz="0" w:space="0" w:color="auto" w:frame="1"/>
          <w:lang w:val="sr-Cyrl-CS"/>
        </w:rPr>
        <w:t>у хиљадама динара</w:t>
      </w:r>
    </w:p>
    <w:tbl>
      <w:tblPr>
        <w:tblStyle w:val="MediumList1-Accent11"/>
        <w:tblW w:w="9288" w:type="dxa"/>
        <w:tblLayout w:type="fixed"/>
        <w:tblLook w:val="0420" w:firstRow="1" w:lastRow="0" w:firstColumn="0" w:lastColumn="0" w:noHBand="0" w:noVBand="1"/>
      </w:tblPr>
      <w:tblGrid>
        <w:gridCol w:w="1326"/>
        <w:gridCol w:w="1327"/>
        <w:gridCol w:w="1327"/>
        <w:gridCol w:w="1327"/>
        <w:gridCol w:w="1327"/>
        <w:gridCol w:w="1327"/>
        <w:gridCol w:w="1327"/>
      </w:tblGrid>
      <w:tr w:rsidR="006C0D6C" w:rsidRPr="00BF3CDE" w14:paraId="636EA338" w14:textId="77777777" w:rsidTr="0069486B">
        <w:trPr>
          <w:cnfStyle w:val="100000000000" w:firstRow="1" w:lastRow="0" w:firstColumn="0" w:lastColumn="0" w:oddVBand="0" w:evenVBand="0" w:oddHBand="0" w:evenHBand="0" w:firstRowFirstColumn="0" w:firstRowLastColumn="0" w:lastRowFirstColumn="0" w:lastRowLastColumn="0"/>
          <w:trHeight w:val="397"/>
        </w:trPr>
        <w:tc>
          <w:tcPr>
            <w:tcW w:w="1326" w:type="dxa"/>
          </w:tcPr>
          <w:p w14:paraId="4B67DF82"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2008</w:t>
            </w:r>
          </w:p>
        </w:tc>
        <w:tc>
          <w:tcPr>
            <w:tcW w:w="1327" w:type="dxa"/>
          </w:tcPr>
          <w:p w14:paraId="6AF66494"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2009</w:t>
            </w:r>
          </w:p>
        </w:tc>
        <w:tc>
          <w:tcPr>
            <w:tcW w:w="1327" w:type="dxa"/>
          </w:tcPr>
          <w:p w14:paraId="097D6041"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2010</w:t>
            </w:r>
          </w:p>
        </w:tc>
        <w:tc>
          <w:tcPr>
            <w:tcW w:w="1327" w:type="dxa"/>
          </w:tcPr>
          <w:p w14:paraId="29E2530A"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2011</w:t>
            </w:r>
          </w:p>
        </w:tc>
        <w:tc>
          <w:tcPr>
            <w:tcW w:w="1327" w:type="dxa"/>
          </w:tcPr>
          <w:p w14:paraId="6A986DAA"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2012</w:t>
            </w:r>
          </w:p>
        </w:tc>
        <w:tc>
          <w:tcPr>
            <w:tcW w:w="1327" w:type="dxa"/>
          </w:tcPr>
          <w:p w14:paraId="74B3F416"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2013</w:t>
            </w:r>
          </w:p>
        </w:tc>
        <w:tc>
          <w:tcPr>
            <w:tcW w:w="1327" w:type="dxa"/>
          </w:tcPr>
          <w:p w14:paraId="36A7EE52"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2014</w:t>
            </w:r>
          </w:p>
        </w:tc>
      </w:tr>
      <w:tr w:rsidR="006C0D6C" w:rsidRPr="00BF3CDE" w14:paraId="46BA6A12" w14:textId="77777777" w:rsidTr="0069486B">
        <w:trPr>
          <w:cnfStyle w:val="000000100000" w:firstRow="0" w:lastRow="0" w:firstColumn="0" w:lastColumn="0" w:oddVBand="0" w:evenVBand="0" w:oddHBand="1" w:evenHBand="0" w:firstRowFirstColumn="0" w:firstRowLastColumn="0" w:lastRowFirstColumn="0" w:lastRowLastColumn="0"/>
          <w:trHeight w:val="510"/>
        </w:trPr>
        <w:tc>
          <w:tcPr>
            <w:tcW w:w="1326" w:type="dxa"/>
            <w:vAlign w:val="center"/>
          </w:tcPr>
          <w:p w14:paraId="2678769C" w14:textId="77777777" w:rsidR="006C0D6C" w:rsidRPr="00BF3CDE" w:rsidRDefault="006C0D6C" w:rsidP="0069486B">
            <w:pPr>
              <w:jc w:val="center"/>
              <w:rPr>
                <w:rFonts w:ascii="Verdana" w:hAnsi="Verdana"/>
                <w:noProof/>
                <w:lang w:val="sr-Cyrl-CS"/>
              </w:rPr>
            </w:pPr>
            <w:r w:rsidRPr="00BF3CDE">
              <w:rPr>
                <w:rFonts w:ascii="Verdana" w:hAnsi="Verdana"/>
                <w:noProof/>
                <w:lang w:val="sr-Cyrl-CS"/>
              </w:rPr>
              <w:t>2.317.252</w:t>
            </w:r>
          </w:p>
        </w:tc>
        <w:tc>
          <w:tcPr>
            <w:tcW w:w="1327" w:type="dxa"/>
            <w:vAlign w:val="center"/>
          </w:tcPr>
          <w:p w14:paraId="766AFB49" w14:textId="77777777" w:rsidR="006C0D6C" w:rsidRPr="00BF3CDE" w:rsidRDefault="006C0D6C" w:rsidP="0069486B">
            <w:pPr>
              <w:jc w:val="center"/>
              <w:rPr>
                <w:rFonts w:ascii="Verdana" w:hAnsi="Verdana"/>
                <w:noProof/>
                <w:lang w:val="sr-Cyrl-CS"/>
              </w:rPr>
            </w:pPr>
            <w:r w:rsidRPr="00BF3CDE">
              <w:rPr>
                <w:rFonts w:ascii="Verdana" w:hAnsi="Verdana"/>
                <w:noProof/>
                <w:lang w:val="sr-Cyrl-CS"/>
              </w:rPr>
              <w:t>2.366.778</w:t>
            </w:r>
          </w:p>
        </w:tc>
        <w:tc>
          <w:tcPr>
            <w:tcW w:w="1327" w:type="dxa"/>
            <w:vAlign w:val="center"/>
          </w:tcPr>
          <w:p w14:paraId="01371DB4" w14:textId="77777777" w:rsidR="006C0D6C" w:rsidRPr="00BF3CDE" w:rsidRDefault="006C0D6C" w:rsidP="0069486B">
            <w:pPr>
              <w:jc w:val="center"/>
              <w:rPr>
                <w:rFonts w:ascii="Verdana" w:hAnsi="Verdana"/>
                <w:noProof/>
                <w:lang w:val="sr-Cyrl-CS"/>
              </w:rPr>
            </w:pPr>
            <w:r w:rsidRPr="00BF3CDE">
              <w:rPr>
                <w:rFonts w:ascii="Verdana" w:hAnsi="Verdana"/>
                <w:noProof/>
                <w:lang w:val="sr-Cyrl-CS"/>
              </w:rPr>
              <w:t>1.831.591</w:t>
            </w:r>
          </w:p>
        </w:tc>
        <w:tc>
          <w:tcPr>
            <w:tcW w:w="1327" w:type="dxa"/>
            <w:vAlign w:val="center"/>
          </w:tcPr>
          <w:p w14:paraId="3A7B315F" w14:textId="77777777" w:rsidR="006C0D6C" w:rsidRPr="00BF3CDE" w:rsidRDefault="006C0D6C" w:rsidP="0069486B">
            <w:pPr>
              <w:jc w:val="center"/>
              <w:rPr>
                <w:rFonts w:ascii="Verdana" w:hAnsi="Verdana"/>
                <w:noProof/>
                <w:lang w:val="sr-Cyrl-CS"/>
              </w:rPr>
            </w:pPr>
            <w:r w:rsidRPr="00BF3CDE">
              <w:rPr>
                <w:rFonts w:ascii="Verdana" w:hAnsi="Verdana"/>
                <w:noProof/>
                <w:lang w:val="sr-Cyrl-CS"/>
              </w:rPr>
              <w:t>2.059.303</w:t>
            </w:r>
          </w:p>
        </w:tc>
        <w:tc>
          <w:tcPr>
            <w:tcW w:w="1327" w:type="dxa"/>
            <w:vAlign w:val="center"/>
          </w:tcPr>
          <w:p w14:paraId="2321DF15" w14:textId="77777777" w:rsidR="006C0D6C" w:rsidRPr="00BF3CDE" w:rsidRDefault="006C0D6C" w:rsidP="0069486B">
            <w:pPr>
              <w:jc w:val="center"/>
              <w:rPr>
                <w:rFonts w:ascii="Verdana" w:hAnsi="Verdana"/>
                <w:noProof/>
                <w:lang w:val="sr-Cyrl-CS"/>
              </w:rPr>
            </w:pPr>
            <w:r w:rsidRPr="00BF3CDE">
              <w:rPr>
                <w:rFonts w:ascii="Verdana" w:hAnsi="Verdana"/>
                <w:noProof/>
                <w:lang w:val="sr-Cyrl-CS"/>
              </w:rPr>
              <w:t>2.288.924</w:t>
            </w:r>
          </w:p>
        </w:tc>
        <w:tc>
          <w:tcPr>
            <w:tcW w:w="1327" w:type="dxa"/>
            <w:vAlign w:val="center"/>
          </w:tcPr>
          <w:p w14:paraId="6577F833" w14:textId="77777777" w:rsidR="006C0D6C" w:rsidRPr="00BF3CDE" w:rsidRDefault="006C0D6C" w:rsidP="0069486B">
            <w:pPr>
              <w:jc w:val="center"/>
              <w:rPr>
                <w:rFonts w:ascii="Verdana" w:hAnsi="Verdana"/>
                <w:noProof/>
                <w:lang w:val="sr-Cyrl-CS"/>
              </w:rPr>
            </w:pPr>
            <w:r w:rsidRPr="00BF3CDE">
              <w:rPr>
                <w:rFonts w:ascii="Verdana" w:hAnsi="Verdana"/>
                <w:noProof/>
                <w:lang w:val="sr-Cyrl-CS"/>
              </w:rPr>
              <w:t>2.243.892</w:t>
            </w:r>
          </w:p>
        </w:tc>
        <w:tc>
          <w:tcPr>
            <w:tcW w:w="1327" w:type="dxa"/>
            <w:vAlign w:val="center"/>
          </w:tcPr>
          <w:p w14:paraId="4679B8FC" w14:textId="77777777" w:rsidR="006C0D6C" w:rsidRPr="00BF3CDE" w:rsidRDefault="006C0D6C" w:rsidP="0069486B">
            <w:pPr>
              <w:jc w:val="center"/>
              <w:rPr>
                <w:rFonts w:ascii="Verdana" w:hAnsi="Verdana"/>
                <w:noProof/>
                <w:lang w:val="sr-Cyrl-CS"/>
              </w:rPr>
            </w:pPr>
            <w:r w:rsidRPr="00BF3CDE">
              <w:rPr>
                <w:rFonts w:ascii="Verdana" w:hAnsi="Verdana"/>
                <w:noProof/>
                <w:lang w:val="sr-Cyrl-CS"/>
              </w:rPr>
              <w:t>1.957.637</w:t>
            </w:r>
          </w:p>
        </w:tc>
      </w:tr>
    </w:tbl>
    <w:p w14:paraId="78841C29" w14:textId="77777777" w:rsidR="006C0D6C" w:rsidRPr="00BF3CDE" w:rsidRDefault="006C0D6C" w:rsidP="006C0D6C">
      <w:pPr>
        <w:spacing w:after="120"/>
        <w:ind w:firstLine="567"/>
        <w:jc w:val="both"/>
        <w:rPr>
          <w:noProof/>
          <w:sz w:val="20"/>
          <w:szCs w:val="20"/>
          <w:lang w:val="sr-Cyrl-CS"/>
        </w:rPr>
      </w:pPr>
    </w:p>
    <w:p w14:paraId="7F39591C" w14:textId="77777777" w:rsidR="006C0D6C" w:rsidRPr="00BF3CDE" w:rsidRDefault="006C0D6C" w:rsidP="0069486B">
      <w:pPr>
        <w:spacing w:before="240" w:after="240"/>
        <w:ind w:firstLine="567"/>
        <w:jc w:val="both"/>
        <w:rPr>
          <w:noProof/>
          <w:sz w:val="20"/>
          <w:szCs w:val="20"/>
          <w:lang w:val="sr-Cyrl-CS"/>
        </w:rPr>
      </w:pPr>
      <w:r w:rsidRPr="00BF3CDE">
        <w:rPr>
          <w:noProof/>
          <w:sz w:val="20"/>
          <w:szCs w:val="20"/>
          <w:lang w:val="sr-Cyrl-CS"/>
        </w:rPr>
        <w:t xml:space="preserve">Највећи пад ретроцедиране премије </w:t>
      </w:r>
      <w:r w:rsidRPr="00BF3CDE">
        <w:rPr>
          <w:rStyle w:val="Hyperlink"/>
          <w:noProof/>
          <w:color w:val="auto"/>
          <w:sz w:val="20"/>
          <w:szCs w:val="20"/>
          <w:lang w:val="sr-Cyrl-CS"/>
        </w:rPr>
        <w:t xml:space="preserve">за период 01.01.2014 – 31.12.2014. године у односу на исти период претходне године, </w:t>
      </w:r>
      <w:r w:rsidRPr="00BF3CDE">
        <w:rPr>
          <w:noProof/>
          <w:sz w:val="20"/>
          <w:szCs w:val="20"/>
          <w:lang w:val="sr-Cyrl-CS"/>
        </w:rPr>
        <w:t>забележен је у следећим врстама осигурања:</w:t>
      </w:r>
    </w:p>
    <w:p w14:paraId="561C9011" w14:textId="77777777" w:rsidR="006C0D6C" w:rsidRPr="00BF3CDE" w:rsidRDefault="006C0D6C" w:rsidP="0069486B">
      <w:pPr>
        <w:numPr>
          <w:ilvl w:val="0"/>
          <w:numId w:val="15"/>
        </w:numPr>
        <w:spacing w:before="240" w:after="240"/>
        <w:jc w:val="both"/>
        <w:rPr>
          <w:noProof/>
          <w:sz w:val="20"/>
          <w:szCs w:val="20"/>
          <w:lang w:val="sr-Cyrl-CS"/>
        </w:rPr>
      </w:pPr>
      <w:r w:rsidRPr="00BF3CDE">
        <w:rPr>
          <w:noProof/>
          <w:sz w:val="20"/>
          <w:szCs w:val="20"/>
          <w:lang w:val="sr-Cyrl-CS"/>
        </w:rPr>
        <w:t>врста 08 –</w:t>
      </w:r>
      <w:r w:rsidRPr="00BF3CDE">
        <w:rPr>
          <w:rStyle w:val="Hyperlink"/>
          <w:noProof/>
          <w:color w:val="auto"/>
          <w:sz w:val="20"/>
          <w:szCs w:val="20"/>
          <w:lang w:val="sr-Cyrl-CS"/>
        </w:rPr>
        <w:t xml:space="preserve"> осигурање имовине од пожара и других опасности</w:t>
      </w:r>
      <w:r w:rsidRPr="00BF3CDE">
        <w:rPr>
          <w:noProof/>
          <w:sz w:val="20"/>
          <w:szCs w:val="20"/>
          <w:lang w:val="sr-Cyrl-CS"/>
        </w:rPr>
        <w:t xml:space="preserve">, </w:t>
      </w:r>
      <w:r w:rsidRPr="00BF3CDE">
        <w:rPr>
          <w:rStyle w:val="Hyperlink"/>
          <w:noProof/>
          <w:color w:val="auto"/>
          <w:sz w:val="20"/>
          <w:szCs w:val="20"/>
          <w:lang w:val="sr-Cyrl-CS"/>
        </w:rPr>
        <w:t>где пад премије износи 269.740 хиљаде динара, односно 35,83%;</w:t>
      </w:r>
    </w:p>
    <w:p w14:paraId="20CFB09F" w14:textId="77777777" w:rsidR="006C0D6C" w:rsidRPr="00BF3CDE" w:rsidRDefault="006C0D6C" w:rsidP="0069486B">
      <w:pPr>
        <w:numPr>
          <w:ilvl w:val="0"/>
          <w:numId w:val="15"/>
        </w:numPr>
        <w:spacing w:before="240" w:after="240"/>
        <w:jc w:val="both"/>
        <w:rPr>
          <w:rStyle w:val="Hyperlink"/>
          <w:noProof/>
          <w:color w:val="auto"/>
          <w:sz w:val="20"/>
          <w:szCs w:val="20"/>
          <w:lang w:val="sr-Cyrl-CS"/>
        </w:rPr>
      </w:pPr>
      <w:r w:rsidRPr="00BF3CDE">
        <w:rPr>
          <w:noProof/>
          <w:sz w:val="20"/>
          <w:szCs w:val="20"/>
          <w:lang w:val="sr-Cyrl-CS"/>
        </w:rPr>
        <w:t>врста 09 – остала осигурања имовине,</w:t>
      </w:r>
      <w:r w:rsidRPr="00BF3CDE">
        <w:rPr>
          <w:rStyle w:val="Hyperlink"/>
          <w:noProof/>
          <w:color w:val="auto"/>
          <w:sz w:val="20"/>
          <w:szCs w:val="20"/>
          <w:lang w:val="sr-Cyrl-CS"/>
        </w:rPr>
        <w:t xml:space="preserve"> где пад премије износи 67.206 хиљада динара, односно 8,33%;</w:t>
      </w:r>
    </w:p>
    <w:p w14:paraId="5AB7926F" w14:textId="77777777" w:rsidR="006C0D6C" w:rsidRPr="00BF3CDE" w:rsidRDefault="006C0D6C" w:rsidP="0069486B">
      <w:pPr>
        <w:numPr>
          <w:ilvl w:val="0"/>
          <w:numId w:val="15"/>
        </w:numPr>
        <w:spacing w:before="240" w:after="240"/>
        <w:jc w:val="both"/>
        <w:rPr>
          <w:noProof/>
          <w:sz w:val="20"/>
          <w:szCs w:val="20"/>
          <w:lang w:val="sr-Cyrl-CS"/>
        </w:rPr>
      </w:pPr>
      <w:r w:rsidRPr="00BF3CDE">
        <w:rPr>
          <w:noProof/>
          <w:sz w:val="20"/>
          <w:szCs w:val="20"/>
          <w:lang w:val="sr-Cyrl-CS"/>
        </w:rPr>
        <w:t>врста 11 – осигурање од одговорности због употребе ваздухоплова, где пад премије износи 31.053 хиљада динара, односно 29,15% и</w:t>
      </w:r>
    </w:p>
    <w:p w14:paraId="4F79A1E3" w14:textId="77777777" w:rsidR="006C0D6C" w:rsidRPr="00BF3CDE" w:rsidRDefault="006C0D6C" w:rsidP="0069486B">
      <w:pPr>
        <w:numPr>
          <w:ilvl w:val="0"/>
          <w:numId w:val="15"/>
        </w:numPr>
        <w:spacing w:before="240" w:after="240"/>
        <w:jc w:val="both"/>
        <w:rPr>
          <w:noProof/>
          <w:sz w:val="20"/>
          <w:szCs w:val="20"/>
          <w:lang w:val="sr-Cyrl-CS"/>
        </w:rPr>
      </w:pPr>
      <w:r w:rsidRPr="00BF3CDE">
        <w:rPr>
          <w:noProof/>
          <w:sz w:val="20"/>
          <w:szCs w:val="20"/>
          <w:lang w:val="sr-Cyrl-CS"/>
        </w:rPr>
        <w:t>врста 10 – осигурање од одговорности због употребе моторних возила, где пад премије износи 19.397 хиљада динара, односно 13,34%.</w:t>
      </w:r>
    </w:p>
    <w:p w14:paraId="08445B15" w14:textId="77777777" w:rsidR="006C0D6C" w:rsidRPr="00BF3CDE" w:rsidRDefault="006C0D6C" w:rsidP="0069486B">
      <w:pPr>
        <w:spacing w:before="240" w:after="240"/>
        <w:ind w:left="720"/>
        <w:jc w:val="both"/>
        <w:rPr>
          <w:rStyle w:val="Hyperlink"/>
          <w:noProof/>
          <w:color w:val="auto"/>
          <w:sz w:val="20"/>
          <w:szCs w:val="20"/>
          <w:lang w:val="sr-Cyrl-CS"/>
        </w:rPr>
      </w:pPr>
      <w:r w:rsidRPr="00BF3CDE">
        <w:rPr>
          <w:rStyle w:val="Hyperlink"/>
          <w:noProof/>
          <w:color w:val="auto"/>
          <w:sz w:val="20"/>
          <w:szCs w:val="20"/>
          <w:lang w:val="sr-Cyrl-CS"/>
        </w:rPr>
        <w:t>Пад нивоа ретроцедиране премије следи смањење активне премије, односно узроци пада ретроцедиране премије су исти као и за активну премију, односно премију у самопридржају за наведене врсте.</w:t>
      </w:r>
    </w:p>
    <w:p w14:paraId="4166F165" w14:textId="77777777" w:rsidR="006C0D6C" w:rsidRPr="00BF3CDE" w:rsidRDefault="006C0D6C" w:rsidP="006C0D6C">
      <w:pPr>
        <w:spacing w:after="120"/>
        <w:ind w:left="720"/>
        <w:jc w:val="both"/>
        <w:rPr>
          <w:rStyle w:val="Hyperlink"/>
          <w:noProof/>
          <w:color w:val="auto"/>
          <w:sz w:val="20"/>
          <w:szCs w:val="20"/>
          <w:lang w:val="sr-Cyrl-CS"/>
        </w:rPr>
      </w:pPr>
    </w:p>
    <w:p w14:paraId="25479572" w14:textId="77777777" w:rsidR="006C0D6C" w:rsidRPr="00BF3CDE" w:rsidRDefault="006C0D6C" w:rsidP="006C0D6C">
      <w:pPr>
        <w:spacing w:after="240" w:line="240" w:lineRule="auto"/>
        <w:ind w:right="-142"/>
        <w:jc w:val="center"/>
        <w:rPr>
          <w:rFonts w:ascii="Verdana" w:hAnsi="Verdana" w:cs="Tahoma"/>
          <w:b/>
          <w:i/>
          <w:noProof/>
          <w:sz w:val="20"/>
          <w:szCs w:val="20"/>
          <w:bdr w:val="none" w:sz="0" w:space="0" w:color="auto" w:frame="1"/>
          <w:lang w:val="sr-Cyrl-CS"/>
        </w:rPr>
      </w:pPr>
      <w:r w:rsidRPr="00BF3CDE">
        <w:rPr>
          <w:rFonts w:ascii="Verdana" w:hAnsi="Verdana" w:cs="Tahoma"/>
          <w:b/>
          <w:i/>
          <w:noProof/>
          <w:sz w:val="20"/>
          <w:szCs w:val="20"/>
          <w:bdr w:val="none" w:sz="0" w:space="0" w:color="auto" w:frame="1"/>
          <w:lang w:val="sr-Cyrl-CS"/>
        </w:rPr>
        <w:t>Учешће премије ретроцесије у активној премији</w:t>
      </w:r>
    </w:p>
    <w:tbl>
      <w:tblPr>
        <w:tblStyle w:val="MediumList1-Accent11"/>
        <w:tblW w:w="9288" w:type="dxa"/>
        <w:tblLayout w:type="fixed"/>
        <w:tblLook w:val="0420" w:firstRow="1" w:lastRow="0" w:firstColumn="0" w:lastColumn="0" w:noHBand="0" w:noVBand="1"/>
      </w:tblPr>
      <w:tblGrid>
        <w:gridCol w:w="1326"/>
        <w:gridCol w:w="1327"/>
        <w:gridCol w:w="1327"/>
        <w:gridCol w:w="1327"/>
        <w:gridCol w:w="1327"/>
        <w:gridCol w:w="1327"/>
        <w:gridCol w:w="1327"/>
      </w:tblGrid>
      <w:tr w:rsidR="006C0D6C" w:rsidRPr="00BF3CDE" w14:paraId="260DBCD0" w14:textId="77777777" w:rsidTr="0069486B">
        <w:trPr>
          <w:cnfStyle w:val="100000000000" w:firstRow="1" w:lastRow="0" w:firstColumn="0" w:lastColumn="0" w:oddVBand="0" w:evenVBand="0" w:oddHBand="0" w:evenHBand="0" w:firstRowFirstColumn="0" w:firstRowLastColumn="0" w:lastRowFirstColumn="0" w:lastRowLastColumn="0"/>
          <w:trHeight w:val="397"/>
        </w:trPr>
        <w:tc>
          <w:tcPr>
            <w:tcW w:w="1326" w:type="dxa"/>
          </w:tcPr>
          <w:p w14:paraId="463D0384"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2008</w:t>
            </w:r>
          </w:p>
        </w:tc>
        <w:tc>
          <w:tcPr>
            <w:tcW w:w="1327" w:type="dxa"/>
          </w:tcPr>
          <w:p w14:paraId="2DBCB546"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2009</w:t>
            </w:r>
          </w:p>
        </w:tc>
        <w:tc>
          <w:tcPr>
            <w:tcW w:w="1327" w:type="dxa"/>
          </w:tcPr>
          <w:p w14:paraId="3B82FB7F"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2010</w:t>
            </w:r>
          </w:p>
        </w:tc>
        <w:tc>
          <w:tcPr>
            <w:tcW w:w="1327" w:type="dxa"/>
          </w:tcPr>
          <w:p w14:paraId="2AF71267"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2011</w:t>
            </w:r>
          </w:p>
        </w:tc>
        <w:tc>
          <w:tcPr>
            <w:tcW w:w="1327" w:type="dxa"/>
          </w:tcPr>
          <w:p w14:paraId="6389B608"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2012</w:t>
            </w:r>
          </w:p>
        </w:tc>
        <w:tc>
          <w:tcPr>
            <w:tcW w:w="1327" w:type="dxa"/>
          </w:tcPr>
          <w:p w14:paraId="35194F16"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2013</w:t>
            </w:r>
          </w:p>
        </w:tc>
        <w:tc>
          <w:tcPr>
            <w:tcW w:w="1327" w:type="dxa"/>
          </w:tcPr>
          <w:p w14:paraId="26FBD456"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2014</w:t>
            </w:r>
          </w:p>
        </w:tc>
      </w:tr>
      <w:tr w:rsidR="006C0D6C" w:rsidRPr="00BF3CDE" w14:paraId="3638C028" w14:textId="77777777" w:rsidTr="0069486B">
        <w:trPr>
          <w:cnfStyle w:val="000000100000" w:firstRow="0" w:lastRow="0" w:firstColumn="0" w:lastColumn="0" w:oddVBand="0" w:evenVBand="0" w:oddHBand="1" w:evenHBand="0" w:firstRowFirstColumn="0" w:firstRowLastColumn="0" w:lastRowFirstColumn="0" w:lastRowLastColumn="0"/>
          <w:trHeight w:val="510"/>
        </w:trPr>
        <w:tc>
          <w:tcPr>
            <w:tcW w:w="1326" w:type="dxa"/>
            <w:vAlign w:val="center"/>
          </w:tcPr>
          <w:p w14:paraId="78113BAB" w14:textId="77777777" w:rsidR="006C0D6C" w:rsidRPr="00BF3CDE" w:rsidRDefault="006C0D6C" w:rsidP="0069486B">
            <w:pPr>
              <w:widowControl w:val="0"/>
              <w:jc w:val="center"/>
              <w:rPr>
                <w:rFonts w:ascii="Verdana" w:hAnsi="Verdana" w:cs="Tahoma"/>
                <w:noProof/>
                <w:lang w:val="sr-Cyrl-CS"/>
              </w:rPr>
            </w:pPr>
            <w:r w:rsidRPr="00BF3CDE">
              <w:rPr>
                <w:rFonts w:ascii="Verdana" w:hAnsi="Verdana" w:cs="Tahoma"/>
                <w:noProof/>
                <w:lang w:val="sr-Cyrl-CS"/>
              </w:rPr>
              <w:t>68,08%</w:t>
            </w:r>
          </w:p>
        </w:tc>
        <w:tc>
          <w:tcPr>
            <w:tcW w:w="1327" w:type="dxa"/>
            <w:vAlign w:val="center"/>
          </w:tcPr>
          <w:p w14:paraId="482B1398" w14:textId="77777777" w:rsidR="006C0D6C" w:rsidRPr="00BF3CDE" w:rsidRDefault="006C0D6C" w:rsidP="0069486B">
            <w:pPr>
              <w:widowControl w:val="0"/>
              <w:jc w:val="center"/>
              <w:rPr>
                <w:rFonts w:ascii="Verdana" w:hAnsi="Verdana" w:cs="Tahoma"/>
                <w:noProof/>
                <w:lang w:val="sr-Cyrl-CS"/>
              </w:rPr>
            </w:pPr>
            <w:r w:rsidRPr="00BF3CDE">
              <w:rPr>
                <w:rFonts w:ascii="Verdana" w:hAnsi="Verdana" w:cs="Tahoma"/>
                <w:noProof/>
                <w:lang w:val="sr-Cyrl-CS"/>
              </w:rPr>
              <w:t>64,19%</w:t>
            </w:r>
          </w:p>
        </w:tc>
        <w:tc>
          <w:tcPr>
            <w:tcW w:w="1327" w:type="dxa"/>
            <w:vAlign w:val="center"/>
          </w:tcPr>
          <w:p w14:paraId="379B8D74" w14:textId="77777777" w:rsidR="006C0D6C" w:rsidRPr="00BF3CDE" w:rsidRDefault="006C0D6C" w:rsidP="0069486B">
            <w:pPr>
              <w:widowControl w:val="0"/>
              <w:jc w:val="center"/>
              <w:rPr>
                <w:rFonts w:ascii="Verdana" w:hAnsi="Verdana" w:cs="Tahoma"/>
                <w:noProof/>
                <w:lang w:val="sr-Cyrl-CS"/>
              </w:rPr>
            </w:pPr>
            <w:r w:rsidRPr="00BF3CDE">
              <w:rPr>
                <w:rFonts w:ascii="Verdana" w:hAnsi="Verdana" w:cs="Tahoma"/>
                <w:noProof/>
                <w:lang w:val="sr-Cyrl-CS"/>
              </w:rPr>
              <w:t>58,37%</w:t>
            </w:r>
          </w:p>
        </w:tc>
        <w:tc>
          <w:tcPr>
            <w:tcW w:w="1327" w:type="dxa"/>
            <w:vAlign w:val="center"/>
          </w:tcPr>
          <w:p w14:paraId="658E6FCF" w14:textId="77777777" w:rsidR="006C0D6C" w:rsidRPr="00BF3CDE" w:rsidRDefault="006C0D6C" w:rsidP="0069486B">
            <w:pPr>
              <w:widowControl w:val="0"/>
              <w:jc w:val="center"/>
              <w:rPr>
                <w:rFonts w:ascii="Verdana" w:hAnsi="Verdana" w:cs="Tahoma"/>
                <w:noProof/>
                <w:lang w:val="sr-Cyrl-CS"/>
              </w:rPr>
            </w:pPr>
            <w:r w:rsidRPr="00BF3CDE">
              <w:rPr>
                <w:rFonts w:ascii="Verdana" w:hAnsi="Verdana" w:cs="Tahoma"/>
                <w:noProof/>
                <w:lang w:val="sr-Cyrl-CS"/>
              </w:rPr>
              <w:t>65,74%</w:t>
            </w:r>
          </w:p>
        </w:tc>
        <w:tc>
          <w:tcPr>
            <w:tcW w:w="1327" w:type="dxa"/>
            <w:vAlign w:val="center"/>
          </w:tcPr>
          <w:p w14:paraId="24643BC8" w14:textId="77777777" w:rsidR="006C0D6C" w:rsidRPr="00BF3CDE" w:rsidRDefault="006C0D6C" w:rsidP="0069486B">
            <w:pPr>
              <w:widowControl w:val="0"/>
              <w:jc w:val="center"/>
              <w:rPr>
                <w:rFonts w:ascii="Verdana" w:hAnsi="Verdana" w:cs="Tahoma"/>
                <w:noProof/>
                <w:lang w:val="sr-Cyrl-CS"/>
              </w:rPr>
            </w:pPr>
            <w:r w:rsidRPr="00BF3CDE">
              <w:rPr>
                <w:rFonts w:ascii="Verdana" w:hAnsi="Verdana" w:cs="Tahoma"/>
                <w:noProof/>
                <w:lang w:val="sr-Cyrl-CS"/>
              </w:rPr>
              <w:t>74,56%</w:t>
            </w:r>
          </w:p>
        </w:tc>
        <w:tc>
          <w:tcPr>
            <w:tcW w:w="1327" w:type="dxa"/>
            <w:vAlign w:val="center"/>
          </w:tcPr>
          <w:p w14:paraId="34562A7E" w14:textId="77777777" w:rsidR="006C0D6C" w:rsidRPr="00BF3CDE" w:rsidRDefault="006C0D6C" w:rsidP="0069486B">
            <w:pPr>
              <w:widowControl w:val="0"/>
              <w:jc w:val="center"/>
              <w:rPr>
                <w:rFonts w:ascii="Verdana" w:hAnsi="Verdana" w:cs="Tahoma"/>
                <w:noProof/>
                <w:lang w:val="sr-Cyrl-CS"/>
              </w:rPr>
            </w:pPr>
            <w:r w:rsidRPr="00BF3CDE">
              <w:rPr>
                <w:rFonts w:ascii="Verdana" w:hAnsi="Verdana" w:cs="Tahoma"/>
                <w:noProof/>
                <w:lang w:val="sr-Cyrl-CS"/>
              </w:rPr>
              <w:t>84,11%</w:t>
            </w:r>
          </w:p>
        </w:tc>
        <w:tc>
          <w:tcPr>
            <w:tcW w:w="1327" w:type="dxa"/>
            <w:vAlign w:val="center"/>
          </w:tcPr>
          <w:p w14:paraId="68A8FE82" w14:textId="77777777" w:rsidR="006C0D6C" w:rsidRPr="00BF3CDE" w:rsidRDefault="006C0D6C" w:rsidP="0069486B">
            <w:pPr>
              <w:widowControl w:val="0"/>
              <w:jc w:val="center"/>
              <w:rPr>
                <w:rFonts w:ascii="Verdana" w:hAnsi="Verdana" w:cs="Tahoma"/>
                <w:noProof/>
                <w:lang w:val="sr-Cyrl-CS"/>
              </w:rPr>
            </w:pPr>
            <w:r w:rsidRPr="00BF3CDE">
              <w:rPr>
                <w:rFonts w:ascii="Verdana" w:hAnsi="Verdana" w:cs="Tahoma"/>
                <w:noProof/>
                <w:lang w:val="sr-Cyrl-CS"/>
              </w:rPr>
              <w:t>84,20%</w:t>
            </w:r>
          </w:p>
        </w:tc>
      </w:tr>
    </w:tbl>
    <w:p w14:paraId="3A308CD5" w14:textId="77777777" w:rsidR="006C0D6C" w:rsidRPr="00BF3CDE" w:rsidRDefault="006C0D6C" w:rsidP="006C0D6C">
      <w:pPr>
        <w:spacing w:after="120"/>
        <w:jc w:val="both"/>
        <w:rPr>
          <w:rFonts w:ascii="Verdana" w:hAnsi="Verdana" w:cs="Tahoma"/>
          <w:noProof/>
          <w:color w:val="000000"/>
          <w:sz w:val="20"/>
          <w:szCs w:val="20"/>
          <w:lang w:val="sr-Cyrl-CS"/>
        </w:rPr>
      </w:pPr>
    </w:p>
    <w:p w14:paraId="73979A19" w14:textId="77777777" w:rsidR="006C0D6C" w:rsidRPr="00BF3CDE" w:rsidRDefault="006C0D6C" w:rsidP="006C0D6C">
      <w:pPr>
        <w:spacing w:after="0" w:line="240" w:lineRule="auto"/>
        <w:ind w:firstLine="567"/>
        <w:jc w:val="both"/>
        <w:rPr>
          <w:rStyle w:val="Hyperlink"/>
          <w:noProof/>
          <w:color w:val="auto"/>
          <w:sz w:val="20"/>
          <w:szCs w:val="20"/>
          <w:lang w:val="sr-Cyrl-CS"/>
        </w:rPr>
      </w:pPr>
      <w:r w:rsidRPr="00BF3CDE">
        <w:rPr>
          <w:noProof/>
          <w:lang w:val="sr-Latn-RS" w:eastAsia="sr-Latn-RS"/>
        </w:rPr>
        <w:lastRenderedPageBreak/>
        <w:drawing>
          <wp:inline distT="0" distB="0" distL="0" distR="0" wp14:anchorId="0D5A1241" wp14:editId="537AF817">
            <wp:extent cx="5191200" cy="4467600"/>
            <wp:effectExtent l="0" t="0" r="0" b="0"/>
            <wp:docPr id="682" name="Chart 68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9FF9F4E" w14:textId="77777777" w:rsidR="006C0D6C" w:rsidRPr="00BF3CDE" w:rsidRDefault="006C0D6C" w:rsidP="006C0D6C">
      <w:pPr>
        <w:spacing w:after="120" w:line="240" w:lineRule="auto"/>
        <w:ind w:right="-142"/>
        <w:jc w:val="center"/>
        <w:rPr>
          <w:rFonts w:ascii="Verdana" w:hAnsi="Verdana" w:cs="Tahoma"/>
          <w:b/>
          <w:i/>
          <w:noProof/>
          <w:sz w:val="20"/>
          <w:szCs w:val="20"/>
          <w:bdr w:val="none" w:sz="0" w:space="0" w:color="auto" w:frame="1"/>
          <w:lang w:val="sr-Cyrl-CS"/>
        </w:rPr>
      </w:pPr>
      <w:r w:rsidRPr="00BF3CDE">
        <w:rPr>
          <w:rFonts w:ascii="Verdana" w:hAnsi="Verdana" w:cs="Tahoma"/>
          <w:b/>
          <w:i/>
          <w:noProof/>
          <w:sz w:val="20"/>
          <w:szCs w:val="20"/>
          <w:bdr w:val="none" w:sz="0" w:space="0" w:color="auto" w:frame="1"/>
          <w:lang w:val="sr-Cyrl-CS"/>
        </w:rPr>
        <w:t>Пасивна премија по врстама осигурања у хиљадама динара</w:t>
      </w:r>
    </w:p>
    <w:tbl>
      <w:tblPr>
        <w:tblStyle w:val="MediumList1-Accent112"/>
        <w:tblW w:w="0" w:type="auto"/>
        <w:jc w:val="center"/>
        <w:tblLook w:val="04A0" w:firstRow="1" w:lastRow="0" w:firstColumn="1" w:lastColumn="0" w:noHBand="0" w:noVBand="1"/>
      </w:tblPr>
      <w:tblGrid>
        <w:gridCol w:w="889"/>
        <w:gridCol w:w="3460"/>
        <w:gridCol w:w="2080"/>
        <w:gridCol w:w="2086"/>
      </w:tblGrid>
      <w:tr w:rsidR="006C0D6C" w:rsidRPr="00BF3CDE" w14:paraId="4131A357" w14:textId="77777777" w:rsidTr="006C0D6C">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7E8F2E4D"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bCs w:val="0"/>
                <w:noProof/>
                <w:sz w:val="18"/>
                <w:szCs w:val="18"/>
                <w:lang w:val="sr-Cyrl-CS"/>
              </w:rPr>
              <w:t>Шифра</w:t>
            </w:r>
          </w:p>
        </w:tc>
        <w:tc>
          <w:tcPr>
            <w:tcW w:w="3460" w:type="dxa"/>
            <w:vAlign w:val="center"/>
            <w:hideMark/>
          </w:tcPr>
          <w:p w14:paraId="55F03E4D" w14:textId="77777777" w:rsidR="006C0D6C" w:rsidRPr="00BF3CDE" w:rsidRDefault="006C0D6C" w:rsidP="006C0D6C">
            <w:pPr>
              <w:jc w:val="center"/>
              <w:cnfStyle w:val="100000000000" w:firstRow="1" w:lastRow="0" w:firstColumn="0" w:lastColumn="0" w:oddVBand="0" w:evenVBand="0" w:oddHBand="0" w:evenHBand="0" w:firstRowFirstColumn="0" w:firstRowLastColumn="0" w:lastRowFirstColumn="0" w:lastRowLastColumn="0"/>
              <w:rPr>
                <w:rFonts w:ascii="Verdana" w:hAnsi="Verdana"/>
                <w:bCs/>
                <w:noProof/>
                <w:sz w:val="18"/>
                <w:szCs w:val="18"/>
                <w:lang w:val="sr-Cyrl-CS"/>
              </w:rPr>
            </w:pPr>
            <w:r w:rsidRPr="00BF3CDE">
              <w:rPr>
                <w:rFonts w:ascii="Verdana" w:hAnsi="Verdana"/>
                <w:bCs/>
                <w:noProof/>
                <w:sz w:val="18"/>
                <w:szCs w:val="18"/>
                <w:lang w:val="sr-Cyrl-CS"/>
              </w:rPr>
              <w:t>Врста осигурања</w:t>
            </w:r>
          </w:p>
        </w:tc>
        <w:tc>
          <w:tcPr>
            <w:tcW w:w="2080" w:type="dxa"/>
            <w:vAlign w:val="center"/>
            <w:hideMark/>
          </w:tcPr>
          <w:p w14:paraId="7C92F366" w14:textId="77777777" w:rsidR="006C0D6C" w:rsidRPr="00BF3CDE" w:rsidRDefault="006C0D6C" w:rsidP="006C0D6C">
            <w:pPr>
              <w:jc w:val="center"/>
              <w:cnfStyle w:val="100000000000" w:firstRow="1" w:lastRow="0" w:firstColumn="0" w:lastColumn="0" w:oddVBand="0" w:evenVBand="0" w:oddHBand="0" w:evenHBand="0" w:firstRowFirstColumn="0" w:firstRowLastColumn="0" w:lastRowFirstColumn="0" w:lastRowLastColumn="0"/>
              <w:rPr>
                <w:rFonts w:ascii="Verdana" w:hAnsi="Verdana"/>
                <w:bCs/>
                <w:noProof/>
                <w:sz w:val="18"/>
                <w:szCs w:val="18"/>
                <w:lang w:val="sr-Cyrl-CS"/>
              </w:rPr>
            </w:pPr>
            <w:r w:rsidRPr="00BF3CDE">
              <w:rPr>
                <w:rFonts w:ascii="Verdana" w:hAnsi="Verdana"/>
                <w:bCs/>
                <w:noProof/>
                <w:sz w:val="18"/>
                <w:szCs w:val="18"/>
                <w:lang w:val="sr-Cyrl-CS"/>
              </w:rPr>
              <w:t>Пасивна премија</w:t>
            </w:r>
          </w:p>
        </w:tc>
        <w:tc>
          <w:tcPr>
            <w:tcW w:w="2086" w:type="dxa"/>
            <w:vAlign w:val="center"/>
            <w:hideMark/>
          </w:tcPr>
          <w:p w14:paraId="2C9091AF" w14:textId="77777777" w:rsidR="006C0D6C" w:rsidRPr="00BF3CDE" w:rsidRDefault="006C0D6C" w:rsidP="006C0D6C">
            <w:pPr>
              <w:jc w:val="center"/>
              <w:cnfStyle w:val="100000000000" w:firstRow="1" w:lastRow="0" w:firstColumn="0" w:lastColumn="0" w:oddVBand="0" w:evenVBand="0" w:oddHBand="0" w:evenHBand="0" w:firstRowFirstColumn="0" w:firstRowLastColumn="0" w:lastRowFirstColumn="0" w:lastRowLastColumn="0"/>
              <w:rPr>
                <w:rFonts w:ascii="Verdana" w:hAnsi="Verdana"/>
                <w:bCs/>
                <w:noProof/>
                <w:sz w:val="18"/>
                <w:szCs w:val="18"/>
                <w:lang w:val="sr-Cyrl-CS"/>
              </w:rPr>
            </w:pPr>
            <w:r w:rsidRPr="00BF3CDE">
              <w:rPr>
                <w:rFonts w:ascii="Verdana" w:hAnsi="Verdana"/>
                <w:bCs/>
                <w:noProof/>
                <w:sz w:val="18"/>
                <w:szCs w:val="18"/>
                <w:lang w:val="sr-Cyrl-CS"/>
              </w:rPr>
              <w:t>Учешће у укупној пасивној премији</w:t>
            </w:r>
          </w:p>
        </w:tc>
      </w:tr>
      <w:tr w:rsidR="006C0D6C" w:rsidRPr="00BF3CDE" w14:paraId="38C78770" w14:textId="77777777" w:rsidTr="006C0D6C">
        <w:trPr>
          <w:cnfStyle w:val="000000100000" w:firstRow="0" w:lastRow="0" w:firstColumn="0" w:lastColumn="0" w:oddVBand="0" w:evenVBand="0" w:oddHBand="1" w:evenHBand="0" w:firstRowFirstColumn="0" w:firstRowLastColumn="0" w:lastRowFirstColumn="0" w:lastRowLastColumn="0"/>
          <w:trHeight w:val="210"/>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2854265C"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09</w:t>
            </w:r>
          </w:p>
        </w:tc>
        <w:tc>
          <w:tcPr>
            <w:tcW w:w="3460" w:type="dxa"/>
            <w:vAlign w:val="center"/>
            <w:hideMark/>
          </w:tcPr>
          <w:p w14:paraId="3F506486"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 xml:space="preserve">Остала осигурања имовине                </w:t>
            </w:r>
          </w:p>
        </w:tc>
        <w:tc>
          <w:tcPr>
            <w:tcW w:w="2080" w:type="dxa"/>
            <w:vAlign w:val="center"/>
            <w:hideMark/>
          </w:tcPr>
          <w:p w14:paraId="0A2D3F00"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739.712</w:t>
            </w:r>
          </w:p>
        </w:tc>
        <w:tc>
          <w:tcPr>
            <w:tcW w:w="2086" w:type="dxa"/>
            <w:noWrap/>
            <w:vAlign w:val="center"/>
            <w:hideMark/>
          </w:tcPr>
          <w:p w14:paraId="04D6A012"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37,79%</w:t>
            </w:r>
          </w:p>
        </w:tc>
      </w:tr>
      <w:tr w:rsidR="006C0D6C" w:rsidRPr="00BF3CDE" w14:paraId="6ECFCDCC" w14:textId="77777777" w:rsidTr="006C0D6C">
        <w:trPr>
          <w:trHeight w:val="377"/>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59A3B6AB"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08</w:t>
            </w:r>
          </w:p>
        </w:tc>
        <w:tc>
          <w:tcPr>
            <w:tcW w:w="3460" w:type="dxa"/>
            <w:vAlign w:val="center"/>
            <w:hideMark/>
          </w:tcPr>
          <w:p w14:paraId="78A395EF"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имовине од пожара и др. опасности</w:t>
            </w:r>
          </w:p>
        </w:tc>
        <w:tc>
          <w:tcPr>
            <w:tcW w:w="2080" w:type="dxa"/>
            <w:vAlign w:val="center"/>
            <w:hideMark/>
          </w:tcPr>
          <w:p w14:paraId="36BBED88"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483.120</w:t>
            </w:r>
          </w:p>
        </w:tc>
        <w:tc>
          <w:tcPr>
            <w:tcW w:w="2086" w:type="dxa"/>
            <w:noWrap/>
            <w:vAlign w:val="center"/>
            <w:hideMark/>
          </w:tcPr>
          <w:p w14:paraId="6294500C"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24,68%</w:t>
            </w:r>
          </w:p>
        </w:tc>
      </w:tr>
      <w:tr w:rsidR="006C0D6C" w:rsidRPr="00BF3CDE" w14:paraId="603FB9F3" w14:textId="77777777" w:rsidTr="006C0D6C">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35170B76"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13</w:t>
            </w:r>
          </w:p>
        </w:tc>
        <w:tc>
          <w:tcPr>
            <w:tcW w:w="3460" w:type="dxa"/>
            <w:vAlign w:val="center"/>
            <w:hideMark/>
          </w:tcPr>
          <w:p w14:paraId="501F8D8D"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од опште одговорности</w:t>
            </w:r>
          </w:p>
        </w:tc>
        <w:tc>
          <w:tcPr>
            <w:tcW w:w="2080" w:type="dxa"/>
            <w:vAlign w:val="center"/>
            <w:hideMark/>
          </w:tcPr>
          <w:p w14:paraId="65863256"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244.837</w:t>
            </w:r>
          </w:p>
        </w:tc>
        <w:tc>
          <w:tcPr>
            <w:tcW w:w="2086" w:type="dxa"/>
            <w:noWrap/>
            <w:vAlign w:val="center"/>
            <w:hideMark/>
          </w:tcPr>
          <w:p w14:paraId="6845FE75"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12,51%</w:t>
            </w:r>
          </w:p>
        </w:tc>
      </w:tr>
      <w:tr w:rsidR="006C0D6C" w:rsidRPr="00BF3CDE" w14:paraId="719DB95B" w14:textId="77777777" w:rsidTr="006C0D6C">
        <w:trPr>
          <w:trHeight w:val="255"/>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07CD8B41"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10</w:t>
            </w:r>
          </w:p>
        </w:tc>
        <w:tc>
          <w:tcPr>
            <w:tcW w:w="3460" w:type="dxa"/>
            <w:vAlign w:val="center"/>
            <w:hideMark/>
          </w:tcPr>
          <w:p w14:paraId="7363E645"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 xml:space="preserve">Осигурање од одговорности због употребе моторних возила  </w:t>
            </w:r>
          </w:p>
        </w:tc>
        <w:tc>
          <w:tcPr>
            <w:tcW w:w="2080" w:type="dxa"/>
            <w:vAlign w:val="center"/>
            <w:hideMark/>
          </w:tcPr>
          <w:p w14:paraId="5A85E4F8"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126.040</w:t>
            </w:r>
          </w:p>
        </w:tc>
        <w:tc>
          <w:tcPr>
            <w:tcW w:w="2086" w:type="dxa"/>
            <w:noWrap/>
            <w:vAlign w:val="center"/>
            <w:hideMark/>
          </w:tcPr>
          <w:p w14:paraId="5DADDA54"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6,44%</w:t>
            </w:r>
          </w:p>
        </w:tc>
      </w:tr>
      <w:tr w:rsidR="006C0D6C" w:rsidRPr="00BF3CDE" w14:paraId="1A4EA3BC" w14:textId="77777777" w:rsidTr="006C0D6C">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4ADCC707"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11</w:t>
            </w:r>
          </w:p>
        </w:tc>
        <w:tc>
          <w:tcPr>
            <w:tcW w:w="3460" w:type="dxa"/>
            <w:vAlign w:val="center"/>
            <w:hideMark/>
          </w:tcPr>
          <w:p w14:paraId="12CC31D6"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од одговорности због употребе ваздухоплова</w:t>
            </w:r>
          </w:p>
        </w:tc>
        <w:tc>
          <w:tcPr>
            <w:tcW w:w="2080" w:type="dxa"/>
            <w:vAlign w:val="center"/>
            <w:hideMark/>
          </w:tcPr>
          <w:p w14:paraId="3EA08D7F"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75.486</w:t>
            </w:r>
          </w:p>
        </w:tc>
        <w:tc>
          <w:tcPr>
            <w:tcW w:w="2086" w:type="dxa"/>
            <w:noWrap/>
            <w:vAlign w:val="center"/>
            <w:hideMark/>
          </w:tcPr>
          <w:p w14:paraId="3061282A"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3,86%</w:t>
            </w:r>
          </w:p>
        </w:tc>
      </w:tr>
      <w:tr w:rsidR="006C0D6C" w:rsidRPr="00BF3CDE" w14:paraId="255FE5D9" w14:textId="77777777" w:rsidTr="006C0D6C">
        <w:trPr>
          <w:trHeight w:val="255"/>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55EC19EB"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07</w:t>
            </w:r>
          </w:p>
        </w:tc>
        <w:tc>
          <w:tcPr>
            <w:tcW w:w="3460" w:type="dxa"/>
            <w:vAlign w:val="center"/>
            <w:hideMark/>
          </w:tcPr>
          <w:p w14:paraId="5DAB362B"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робе у превозу</w:t>
            </w:r>
          </w:p>
        </w:tc>
        <w:tc>
          <w:tcPr>
            <w:tcW w:w="2080" w:type="dxa"/>
            <w:vAlign w:val="center"/>
            <w:hideMark/>
          </w:tcPr>
          <w:p w14:paraId="0C49FBBF"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67.536</w:t>
            </w:r>
          </w:p>
        </w:tc>
        <w:tc>
          <w:tcPr>
            <w:tcW w:w="2086" w:type="dxa"/>
            <w:noWrap/>
            <w:vAlign w:val="center"/>
            <w:hideMark/>
          </w:tcPr>
          <w:p w14:paraId="0D4B85FD"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3,45%</w:t>
            </w:r>
          </w:p>
        </w:tc>
      </w:tr>
      <w:tr w:rsidR="006C0D6C" w:rsidRPr="00BF3CDE" w14:paraId="4542F937" w14:textId="77777777" w:rsidTr="006C0D6C">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6B016C61"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22.01</w:t>
            </w:r>
          </w:p>
        </w:tc>
        <w:tc>
          <w:tcPr>
            <w:tcW w:w="3460" w:type="dxa"/>
            <w:vAlign w:val="center"/>
            <w:hideMark/>
          </w:tcPr>
          <w:p w14:paraId="30A7A812"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Oсигурање од последица незгоде, допунско уз осигурање живота</w:t>
            </w:r>
          </w:p>
        </w:tc>
        <w:tc>
          <w:tcPr>
            <w:tcW w:w="2080" w:type="dxa"/>
            <w:vAlign w:val="center"/>
            <w:hideMark/>
          </w:tcPr>
          <w:p w14:paraId="2AE7847F"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58.203</w:t>
            </w:r>
          </w:p>
        </w:tc>
        <w:tc>
          <w:tcPr>
            <w:tcW w:w="2086" w:type="dxa"/>
            <w:noWrap/>
            <w:vAlign w:val="center"/>
            <w:hideMark/>
          </w:tcPr>
          <w:p w14:paraId="0ED2BA55"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2,97%</w:t>
            </w:r>
          </w:p>
        </w:tc>
      </w:tr>
      <w:tr w:rsidR="006C0D6C" w:rsidRPr="00BF3CDE" w14:paraId="663E14AA" w14:textId="77777777" w:rsidTr="006C0D6C">
        <w:trPr>
          <w:trHeight w:val="326"/>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355F7E82"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05</w:t>
            </w:r>
          </w:p>
        </w:tc>
        <w:tc>
          <w:tcPr>
            <w:tcW w:w="3460" w:type="dxa"/>
            <w:vAlign w:val="center"/>
            <w:hideMark/>
          </w:tcPr>
          <w:p w14:paraId="2B851EAA"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ваздухоплова</w:t>
            </w:r>
          </w:p>
        </w:tc>
        <w:tc>
          <w:tcPr>
            <w:tcW w:w="2080" w:type="dxa"/>
            <w:vAlign w:val="center"/>
            <w:hideMark/>
          </w:tcPr>
          <w:p w14:paraId="2CF626A4"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49.129</w:t>
            </w:r>
          </w:p>
        </w:tc>
        <w:tc>
          <w:tcPr>
            <w:tcW w:w="2086" w:type="dxa"/>
            <w:noWrap/>
            <w:vAlign w:val="center"/>
            <w:hideMark/>
          </w:tcPr>
          <w:p w14:paraId="7A3534F8"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2,51%</w:t>
            </w:r>
          </w:p>
        </w:tc>
      </w:tr>
      <w:tr w:rsidR="006C0D6C" w:rsidRPr="00BF3CDE" w14:paraId="01780C32" w14:textId="77777777" w:rsidTr="006C0D6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76ABA049"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20</w:t>
            </w:r>
          </w:p>
        </w:tc>
        <w:tc>
          <w:tcPr>
            <w:tcW w:w="3460" w:type="dxa"/>
            <w:vAlign w:val="center"/>
            <w:hideMark/>
          </w:tcPr>
          <w:p w14:paraId="31310B41"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живота</w:t>
            </w:r>
          </w:p>
        </w:tc>
        <w:tc>
          <w:tcPr>
            <w:tcW w:w="2080" w:type="dxa"/>
            <w:vAlign w:val="center"/>
            <w:hideMark/>
          </w:tcPr>
          <w:p w14:paraId="41898478"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43.734</w:t>
            </w:r>
          </w:p>
        </w:tc>
        <w:tc>
          <w:tcPr>
            <w:tcW w:w="2086" w:type="dxa"/>
            <w:noWrap/>
            <w:vAlign w:val="center"/>
            <w:hideMark/>
          </w:tcPr>
          <w:p w14:paraId="53ABD0DA"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2,23%</w:t>
            </w:r>
          </w:p>
        </w:tc>
      </w:tr>
      <w:tr w:rsidR="006C0D6C" w:rsidRPr="00BF3CDE" w14:paraId="6397506D" w14:textId="77777777" w:rsidTr="006C0D6C">
        <w:trPr>
          <w:trHeight w:val="212"/>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75789B33"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16</w:t>
            </w:r>
          </w:p>
        </w:tc>
        <w:tc>
          <w:tcPr>
            <w:tcW w:w="3460" w:type="dxa"/>
            <w:vAlign w:val="center"/>
            <w:hideMark/>
          </w:tcPr>
          <w:p w14:paraId="2EE6E6D8"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финансијских губитака</w:t>
            </w:r>
          </w:p>
        </w:tc>
        <w:tc>
          <w:tcPr>
            <w:tcW w:w="2080" w:type="dxa"/>
            <w:vAlign w:val="center"/>
            <w:hideMark/>
          </w:tcPr>
          <w:p w14:paraId="6B32C076"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33.140</w:t>
            </w:r>
          </w:p>
        </w:tc>
        <w:tc>
          <w:tcPr>
            <w:tcW w:w="2086" w:type="dxa"/>
            <w:noWrap/>
            <w:vAlign w:val="center"/>
            <w:hideMark/>
          </w:tcPr>
          <w:p w14:paraId="150E6076"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1,69%</w:t>
            </w:r>
          </w:p>
        </w:tc>
      </w:tr>
      <w:tr w:rsidR="006C0D6C" w:rsidRPr="00BF3CDE" w14:paraId="400622E2" w14:textId="77777777" w:rsidTr="006C0D6C">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3EF56354"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15</w:t>
            </w:r>
          </w:p>
        </w:tc>
        <w:tc>
          <w:tcPr>
            <w:tcW w:w="3460" w:type="dxa"/>
            <w:vAlign w:val="center"/>
            <w:hideMark/>
          </w:tcPr>
          <w:p w14:paraId="66F05F69"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јемства</w:t>
            </w:r>
          </w:p>
        </w:tc>
        <w:tc>
          <w:tcPr>
            <w:tcW w:w="2080" w:type="dxa"/>
            <w:vAlign w:val="center"/>
            <w:hideMark/>
          </w:tcPr>
          <w:p w14:paraId="2E892D71"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18.606</w:t>
            </w:r>
          </w:p>
        </w:tc>
        <w:tc>
          <w:tcPr>
            <w:tcW w:w="2086" w:type="dxa"/>
            <w:noWrap/>
            <w:vAlign w:val="center"/>
            <w:hideMark/>
          </w:tcPr>
          <w:p w14:paraId="5FA109E9"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0,95%</w:t>
            </w:r>
          </w:p>
        </w:tc>
      </w:tr>
      <w:tr w:rsidR="006C0D6C" w:rsidRPr="00BF3CDE" w14:paraId="5F9C6615" w14:textId="77777777" w:rsidTr="006C0D6C">
        <w:trPr>
          <w:trHeight w:val="146"/>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46751FE1"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01</w:t>
            </w:r>
          </w:p>
        </w:tc>
        <w:tc>
          <w:tcPr>
            <w:tcW w:w="3460" w:type="dxa"/>
            <w:vAlign w:val="center"/>
            <w:hideMark/>
          </w:tcPr>
          <w:p w14:paraId="1654C42C"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од последица незгоде</w:t>
            </w:r>
          </w:p>
        </w:tc>
        <w:tc>
          <w:tcPr>
            <w:tcW w:w="2080" w:type="dxa"/>
            <w:vAlign w:val="center"/>
            <w:hideMark/>
          </w:tcPr>
          <w:p w14:paraId="4CF67FC2"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13.425</w:t>
            </w:r>
          </w:p>
        </w:tc>
        <w:tc>
          <w:tcPr>
            <w:tcW w:w="2086" w:type="dxa"/>
            <w:noWrap/>
            <w:vAlign w:val="center"/>
            <w:hideMark/>
          </w:tcPr>
          <w:p w14:paraId="27902306"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0,69%</w:t>
            </w:r>
          </w:p>
        </w:tc>
      </w:tr>
      <w:tr w:rsidR="006C0D6C" w:rsidRPr="00BF3CDE" w14:paraId="08C27F86" w14:textId="77777777" w:rsidTr="006C0D6C">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0E0529B8"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04</w:t>
            </w:r>
          </w:p>
        </w:tc>
        <w:tc>
          <w:tcPr>
            <w:tcW w:w="3460" w:type="dxa"/>
            <w:vAlign w:val="center"/>
            <w:hideMark/>
          </w:tcPr>
          <w:p w14:paraId="771E3582"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шинских возила</w:t>
            </w:r>
          </w:p>
        </w:tc>
        <w:tc>
          <w:tcPr>
            <w:tcW w:w="2080" w:type="dxa"/>
            <w:vAlign w:val="center"/>
            <w:hideMark/>
          </w:tcPr>
          <w:p w14:paraId="5CF7A8DF"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3.207</w:t>
            </w:r>
          </w:p>
        </w:tc>
        <w:tc>
          <w:tcPr>
            <w:tcW w:w="2086" w:type="dxa"/>
            <w:noWrap/>
            <w:vAlign w:val="center"/>
            <w:hideMark/>
          </w:tcPr>
          <w:p w14:paraId="24165B8A"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0,16%</w:t>
            </w:r>
          </w:p>
        </w:tc>
      </w:tr>
      <w:tr w:rsidR="006C0D6C" w:rsidRPr="00BF3CDE" w14:paraId="3196C7CF" w14:textId="77777777" w:rsidTr="006C0D6C">
        <w:trPr>
          <w:trHeight w:val="277"/>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28A2E89C"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17</w:t>
            </w:r>
          </w:p>
        </w:tc>
        <w:tc>
          <w:tcPr>
            <w:tcW w:w="3460" w:type="dxa"/>
            <w:vAlign w:val="center"/>
            <w:hideMark/>
          </w:tcPr>
          <w:p w14:paraId="0CC2739B"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трошкова правне заштите</w:t>
            </w:r>
          </w:p>
        </w:tc>
        <w:tc>
          <w:tcPr>
            <w:tcW w:w="2080" w:type="dxa"/>
            <w:vAlign w:val="center"/>
            <w:hideMark/>
          </w:tcPr>
          <w:p w14:paraId="1AD9A700"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1.278</w:t>
            </w:r>
          </w:p>
        </w:tc>
        <w:tc>
          <w:tcPr>
            <w:tcW w:w="2086" w:type="dxa"/>
            <w:noWrap/>
            <w:vAlign w:val="center"/>
            <w:hideMark/>
          </w:tcPr>
          <w:p w14:paraId="2AE86C7D"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0,07%</w:t>
            </w:r>
          </w:p>
        </w:tc>
      </w:tr>
      <w:tr w:rsidR="006C0D6C" w:rsidRPr="00BF3CDE" w14:paraId="60898B68" w14:textId="77777777" w:rsidTr="006C0D6C">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889" w:type="dxa"/>
            <w:vAlign w:val="center"/>
            <w:hideMark/>
          </w:tcPr>
          <w:p w14:paraId="007C2639"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03</w:t>
            </w:r>
          </w:p>
        </w:tc>
        <w:tc>
          <w:tcPr>
            <w:tcW w:w="3460" w:type="dxa"/>
            <w:vAlign w:val="center"/>
            <w:hideMark/>
          </w:tcPr>
          <w:p w14:paraId="35D2F9E7"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моторних возила</w:t>
            </w:r>
          </w:p>
        </w:tc>
        <w:tc>
          <w:tcPr>
            <w:tcW w:w="2080" w:type="dxa"/>
            <w:vAlign w:val="center"/>
            <w:hideMark/>
          </w:tcPr>
          <w:p w14:paraId="79C9D84D"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123</w:t>
            </w:r>
          </w:p>
        </w:tc>
        <w:tc>
          <w:tcPr>
            <w:tcW w:w="2086" w:type="dxa"/>
            <w:noWrap/>
            <w:vAlign w:val="center"/>
            <w:hideMark/>
          </w:tcPr>
          <w:p w14:paraId="4F7BEEEB"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0,01%</w:t>
            </w:r>
          </w:p>
        </w:tc>
      </w:tr>
      <w:tr w:rsidR="006C0D6C" w:rsidRPr="00BF3CDE" w14:paraId="2F0C6CC2" w14:textId="77777777" w:rsidTr="00B44D29">
        <w:trPr>
          <w:trHeight w:val="282"/>
          <w:jc w:val="center"/>
        </w:trPr>
        <w:tc>
          <w:tcPr>
            <w:cnfStyle w:val="001000000000" w:firstRow="0" w:lastRow="0" w:firstColumn="1" w:lastColumn="0" w:oddVBand="0" w:evenVBand="0" w:oddHBand="0" w:evenHBand="0" w:firstRowFirstColumn="0" w:firstRowLastColumn="0" w:lastRowFirstColumn="0" w:lastRowLastColumn="0"/>
            <w:tcW w:w="889" w:type="dxa"/>
            <w:tcBorders>
              <w:bottom w:val="single" w:sz="8" w:space="0" w:color="4F81BD" w:themeColor="accent1"/>
            </w:tcBorders>
            <w:vAlign w:val="center"/>
            <w:hideMark/>
          </w:tcPr>
          <w:p w14:paraId="17B5ED0D" w14:textId="77777777" w:rsidR="006C0D6C" w:rsidRPr="00BF3CDE" w:rsidRDefault="006C0D6C" w:rsidP="006C0D6C">
            <w:pPr>
              <w:jc w:val="center"/>
              <w:rPr>
                <w:rFonts w:ascii="Verdana" w:hAnsi="Verdana"/>
                <w:b w:val="0"/>
                <w:noProof/>
                <w:sz w:val="18"/>
                <w:szCs w:val="18"/>
                <w:lang w:val="sr-Cyrl-CS"/>
              </w:rPr>
            </w:pPr>
            <w:r w:rsidRPr="00BF3CDE">
              <w:rPr>
                <w:rFonts w:ascii="Verdana" w:hAnsi="Verdana"/>
                <w:b w:val="0"/>
                <w:noProof/>
                <w:sz w:val="18"/>
                <w:szCs w:val="18"/>
                <w:lang w:val="sr-Cyrl-CS"/>
              </w:rPr>
              <w:t>06</w:t>
            </w:r>
          </w:p>
        </w:tc>
        <w:tc>
          <w:tcPr>
            <w:tcW w:w="3460" w:type="dxa"/>
            <w:tcBorders>
              <w:bottom w:val="single" w:sz="8" w:space="0" w:color="4F81BD" w:themeColor="accent1"/>
            </w:tcBorders>
            <w:vAlign w:val="center"/>
            <w:hideMark/>
          </w:tcPr>
          <w:p w14:paraId="3953BE26"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Осигурање пловних објеката</w:t>
            </w:r>
          </w:p>
        </w:tc>
        <w:tc>
          <w:tcPr>
            <w:tcW w:w="2080" w:type="dxa"/>
            <w:tcBorders>
              <w:bottom w:val="single" w:sz="8" w:space="0" w:color="4F81BD" w:themeColor="accent1"/>
            </w:tcBorders>
            <w:vAlign w:val="center"/>
            <w:hideMark/>
          </w:tcPr>
          <w:p w14:paraId="5CB29B02"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63</w:t>
            </w:r>
          </w:p>
        </w:tc>
        <w:tc>
          <w:tcPr>
            <w:tcW w:w="2086" w:type="dxa"/>
            <w:tcBorders>
              <w:bottom w:val="single" w:sz="8" w:space="0" w:color="4F81BD" w:themeColor="accent1"/>
            </w:tcBorders>
            <w:noWrap/>
            <w:vAlign w:val="center"/>
            <w:hideMark/>
          </w:tcPr>
          <w:p w14:paraId="4AF18872"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noProof/>
                <w:sz w:val="18"/>
                <w:szCs w:val="18"/>
                <w:lang w:val="sr-Cyrl-CS"/>
              </w:rPr>
            </w:pPr>
            <w:r w:rsidRPr="00BF3CDE">
              <w:rPr>
                <w:rFonts w:ascii="Verdana" w:hAnsi="Verdana"/>
                <w:noProof/>
                <w:sz w:val="18"/>
                <w:szCs w:val="18"/>
                <w:lang w:val="sr-Cyrl-CS"/>
              </w:rPr>
              <w:t>0,003%</w:t>
            </w:r>
          </w:p>
        </w:tc>
      </w:tr>
      <w:tr w:rsidR="006C0D6C" w:rsidRPr="00BF3CDE" w14:paraId="75AF7A53" w14:textId="77777777" w:rsidTr="00B44D29">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889" w:type="dxa"/>
            <w:tcBorders>
              <w:top w:val="single" w:sz="8" w:space="0" w:color="4F81BD" w:themeColor="accent1"/>
              <w:bottom w:val="single" w:sz="8" w:space="0" w:color="4F81BD" w:themeColor="accent1"/>
            </w:tcBorders>
            <w:shd w:val="clear" w:color="auto" w:fill="auto"/>
            <w:vAlign w:val="center"/>
            <w:hideMark/>
          </w:tcPr>
          <w:p w14:paraId="0AB5252C" w14:textId="2039AC93" w:rsidR="006C0D6C" w:rsidRPr="00BF3CDE" w:rsidRDefault="006C0D6C" w:rsidP="009D1CE7">
            <w:pPr>
              <w:jc w:val="center"/>
              <w:rPr>
                <w:rFonts w:ascii="Verdana" w:hAnsi="Verdana"/>
                <w:b w:val="0"/>
                <w:noProof/>
                <w:sz w:val="18"/>
                <w:szCs w:val="18"/>
                <w:lang w:val="sr-Cyrl-CS"/>
              </w:rPr>
            </w:pPr>
          </w:p>
        </w:tc>
        <w:tc>
          <w:tcPr>
            <w:tcW w:w="3460" w:type="dxa"/>
            <w:tcBorders>
              <w:top w:val="single" w:sz="8" w:space="0" w:color="4F81BD" w:themeColor="accent1"/>
              <w:bottom w:val="single" w:sz="8" w:space="0" w:color="4F81BD" w:themeColor="accent1"/>
            </w:tcBorders>
            <w:shd w:val="clear" w:color="auto" w:fill="auto"/>
            <w:vAlign w:val="center"/>
            <w:hideMark/>
          </w:tcPr>
          <w:p w14:paraId="625FC287" w14:textId="573DE261" w:rsidR="006C0D6C" w:rsidRPr="009D1CE7" w:rsidRDefault="00766C59" w:rsidP="009D1CE7">
            <w:pPr>
              <w:jc w:val="center"/>
              <w:cnfStyle w:val="000000100000" w:firstRow="0" w:lastRow="0" w:firstColumn="0" w:lastColumn="0" w:oddVBand="0" w:evenVBand="0" w:oddHBand="1" w:evenHBand="0" w:firstRowFirstColumn="0" w:firstRowLastColumn="0" w:lastRowFirstColumn="0" w:lastRowLastColumn="0"/>
              <w:rPr>
                <w:rFonts w:ascii="Verdana" w:hAnsi="Verdana"/>
                <w:b/>
                <w:strike/>
                <w:noProof/>
                <w:sz w:val="18"/>
                <w:szCs w:val="18"/>
                <w:lang w:val="sr-Cyrl-CS"/>
              </w:rPr>
            </w:pPr>
            <w:r w:rsidRPr="009D1CE7">
              <w:rPr>
                <w:rFonts w:ascii="Verdana" w:hAnsi="Verdana"/>
                <w:b/>
                <w:noProof/>
                <w:sz w:val="18"/>
                <w:szCs w:val="18"/>
                <w:lang w:val="sr-Cyrl-CS"/>
              </w:rPr>
              <w:t>Укупно</w:t>
            </w:r>
          </w:p>
        </w:tc>
        <w:tc>
          <w:tcPr>
            <w:tcW w:w="2080" w:type="dxa"/>
            <w:tcBorders>
              <w:top w:val="single" w:sz="8" w:space="0" w:color="4F81BD" w:themeColor="accent1"/>
              <w:bottom w:val="single" w:sz="8" w:space="0" w:color="4F81BD" w:themeColor="accent1"/>
            </w:tcBorders>
            <w:shd w:val="clear" w:color="auto" w:fill="auto"/>
            <w:vAlign w:val="center"/>
            <w:hideMark/>
          </w:tcPr>
          <w:p w14:paraId="0EB6A211" w14:textId="5F9E51B3" w:rsidR="006C0D6C" w:rsidRPr="009D1CE7" w:rsidRDefault="00766C59" w:rsidP="009D1CE7">
            <w:pPr>
              <w:jc w:val="center"/>
              <w:cnfStyle w:val="000000100000" w:firstRow="0" w:lastRow="0" w:firstColumn="0" w:lastColumn="0" w:oddVBand="0" w:evenVBand="0" w:oddHBand="1" w:evenHBand="0" w:firstRowFirstColumn="0" w:firstRowLastColumn="0" w:lastRowFirstColumn="0" w:lastRowLastColumn="0"/>
              <w:rPr>
                <w:rFonts w:ascii="Verdana" w:hAnsi="Verdana"/>
                <w:b/>
                <w:noProof/>
                <w:sz w:val="18"/>
                <w:szCs w:val="18"/>
                <w:lang w:val="sr-Latn-RS"/>
              </w:rPr>
            </w:pPr>
            <w:r w:rsidRPr="009D1CE7">
              <w:rPr>
                <w:rFonts w:ascii="Verdana" w:hAnsi="Verdana"/>
                <w:b/>
                <w:noProof/>
                <w:sz w:val="18"/>
                <w:szCs w:val="18"/>
                <w:lang w:val="sr-Cyrl-CS"/>
              </w:rPr>
              <w:t>1.957.637</w:t>
            </w:r>
          </w:p>
        </w:tc>
        <w:tc>
          <w:tcPr>
            <w:tcW w:w="2086" w:type="dxa"/>
            <w:tcBorders>
              <w:top w:val="single" w:sz="8" w:space="0" w:color="4F81BD" w:themeColor="accent1"/>
              <w:bottom w:val="single" w:sz="8" w:space="0" w:color="4F81BD" w:themeColor="accent1"/>
            </w:tcBorders>
            <w:shd w:val="clear" w:color="auto" w:fill="auto"/>
            <w:noWrap/>
            <w:vAlign w:val="center"/>
            <w:hideMark/>
          </w:tcPr>
          <w:p w14:paraId="0F7424AB" w14:textId="63AE941F" w:rsidR="006C0D6C" w:rsidRPr="009D1CE7" w:rsidRDefault="00766C59" w:rsidP="009D1CE7">
            <w:pPr>
              <w:jc w:val="center"/>
              <w:cnfStyle w:val="000000100000" w:firstRow="0" w:lastRow="0" w:firstColumn="0" w:lastColumn="0" w:oddVBand="0" w:evenVBand="0" w:oddHBand="1" w:evenHBand="0" w:firstRowFirstColumn="0" w:firstRowLastColumn="0" w:lastRowFirstColumn="0" w:lastRowLastColumn="0"/>
              <w:rPr>
                <w:rFonts w:ascii="Verdana" w:hAnsi="Verdana"/>
                <w:b/>
                <w:noProof/>
                <w:sz w:val="18"/>
                <w:szCs w:val="18"/>
                <w:lang w:val="sr-Cyrl-CS"/>
              </w:rPr>
            </w:pPr>
            <w:r w:rsidRPr="009D1CE7">
              <w:rPr>
                <w:rFonts w:ascii="Verdana" w:hAnsi="Verdana"/>
                <w:b/>
                <w:noProof/>
                <w:sz w:val="18"/>
                <w:szCs w:val="18"/>
                <w:lang w:val="sr-Cyrl-CS"/>
              </w:rPr>
              <w:t>100%</w:t>
            </w:r>
          </w:p>
        </w:tc>
      </w:tr>
    </w:tbl>
    <w:p w14:paraId="67F4C9EC" w14:textId="77777777" w:rsidR="006C0D6C" w:rsidRPr="00BF3CDE" w:rsidRDefault="006C0D6C" w:rsidP="006C0D6C">
      <w:pPr>
        <w:spacing w:after="120"/>
        <w:rPr>
          <w:rFonts w:ascii="Verdana" w:hAnsi="Verdana" w:cs="Tahoma"/>
          <w:noProof/>
          <w:sz w:val="20"/>
          <w:szCs w:val="20"/>
          <w:lang w:val="sr-Cyrl-CS"/>
        </w:rPr>
      </w:pPr>
    </w:p>
    <w:p w14:paraId="2C53368F" w14:textId="77777777" w:rsidR="006C0D6C" w:rsidRPr="00BF3CDE" w:rsidRDefault="006C0D6C" w:rsidP="006C0D6C">
      <w:pPr>
        <w:spacing w:after="120"/>
        <w:jc w:val="center"/>
        <w:rPr>
          <w:rFonts w:ascii="Verdana" w:hAnsi="Verdana" w:cs="Tahoma"/>
          <w:noProof/>
          <w:sz w:val="20"/>
          <w:szCs w:val="20"/>
          <w:lang w:val="sr-Cyrl-CS"/>
        </w:rPr>
      </w:pPr>
      <w:r w:rsidRPr="00BF3CDE">
        <w:rPr>
          <w:noProof/>
          <w:lang w:val="sr-Latn-RS" w:eastAsia="sr-Latn-RS"/>
        </w:rPr>
        <w:lastRenderedPageBreak/>
        <w:drawing>
          <wp:inline distT="0" distB="0" distL="0" distR="0" wp14:anchorId="2F8C7834" wp14:editId="3AEC214E">
            <wp:extent cx="5756745" cy="4500438"/>
            <wp:effectExtent l="0" t="0" r="0" b="0"/>
            <wp:docPr id="683" name="Chart 68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E969F06" w14:textId="77777777" w:rsidR="006C0D6C" w:rsidRPr="00BF3CDE" w:rsidRDefault="006C0D6C" w:rsidP="00655CD0">
      <w:pPr>
        <w:pStyle w:val="Heading1"/>
        <w:numPr>
          <w:ilvl w:val="1"/>
          <w:numId w:val="6"/>
        </w:numPr>
        <w:spacing w:before="480" w:after="360"/>
        <w:jc w:val="left"/>
        <w:rPr>
          <w:rFonts w:asciiTheme="majorHAnsi" w:hAnsiTheme="majorHAnsi" w:cs="Tahoma"/>
          <w:i/>
          <w:noProof/>
          <w:color w:val="4F81BD"/>
          <w:sz w:val="22"/>
          <w:szCs w:val="18"/>
          <w:lang w:val="sr-Cyrl-CS"/>
        </w:rPr>
      </w:pPr>
      <w:bookmarkStart w:id="19" w:name="_Toc319489032"/>
      <w:bookmarkStart w:id="20" w:name="_Toc414356806"/>
      <w:r w:rsidRPr="00BF3CDE">
        <w:rPr>
          <w:rFonts w:asciiTheme="majorHAnsi" w:hAnsiTheme="majorHAnsi" w:cs="Tahoma"/>
          <w:i/>
          <w:noProof/>
          <w:color w:val="4F81BD"/>
          <w:sz w:val="22"/>
          <w:szCs w:val="18"/>
          <w:lang w:val="sr-Cyrl-CS"/>
        </w:rPr>
        <w:t>ЛИКВИДИРАНЕ ШТЕТЕ ДРУШТВА</w:t>
      </w:r>
      <w:bookmarkEnd w:id="19"/>
      <w:bookmarkEnd w:id="20"/>
    </w:p>
    <w:p w14:paraId="435F4EF2" w14:textId="77777777" w:rsidR="006C0D6C" w:rsidRPr="00BF3CDE" w:rsidRDefault="006C0D6C" w:rsidP="006C0D6C">
      <w:pPr>
        <w:ind w:firstLine="360"/>
        <w:jc w:val="both"/>
        <w:rPr>
          <w:rStyle w:val="Hyperlink"/>
          <w:noProof/>
          <w:color w:val="auto"/>
          <w:sz w:val="20"/>
          <w:szCs w:val="20"/>
          <w:lang w:val="sr-Cyrl-CS"/>
        </w:rPr>
      </w:pPr>
      <w:r w:rsidRPr="00BF3CDE">
        <w:rPr>
          <w:rStyle w:val="Hyperlink"/>
          <w:noProof/>
          <w:color w:val="auto"/>
          <w:sz w:val="20"/>
          <w:szCs w:val="20"/>
          <w:lang w:val="sr-Cyrl-CS"/>
        </w:rPr>
        <w:t>Укупно ликвидиране штете по активном послу у периоду 01.01.2014. – 31.12.2014. године износе 770.321 хиљаду динара и мање су за 16,65% у односу на исти период претходне године, док су у односу на планиране вредности мање за 14,41%.</w:t>
      </w:r>
    </w:p>
    <w:p w14:paraId="3A64625F" w14:textId="77777777" w:rsidR="006C0D6C" w:rsidRPr="00BF3CDE" w:rsidRDefault="006C0D6C" w:rsidP="006C0D6C">
      <w:pPr>
        <w:spacing w:after="0"/>
        <w:ind w:right="-142"/>
        <w:jc w:val="center"/>
        <w:rPr>
          <w:rFonts w:ascii="Verdana" w:hAnsi="Verdana" w:cs="Tahoma"/>
          <w:b/>
          <w:i/>
          <w:noProof/>
          <w:sz w:val="20"/>
          <w:szCs w:val="20"/>
          <w:bdr w:val="none" w:sz="0" w:space="0" w:color="auto" w:frame="1"/>
          <w:lang w:val="sr-Cyrl-CS"/>
        </w:rPr>
      </w:pPr>
      <w:r w:rsidRPr="00BF3CDE">
        <w:rPr>
          <w:rFonts w:ascii="Verdana" w:hAnsi="Verdana" w:cs="Tahoma"/>
          <w:b/>
          <w:i/>
          <w:noProof/>
          <w:sz w:val="20"/>
          <w:szCs w:val="20"/>
          <w:bdr w:val="none" w:sz="0" w:space="0" w:color="auto" w:frame="1"/>
          <w:lang w:val="sr-Cyrl-CS"/>
        </w:rPr>
        <w:t>Ликвидиране штете по активном послу</w:t>
      </w:r>
      <w:r w:rsidRPr="00BF3CDE">
        <w:rPr>
          <w:rStyle w:val="Hyperlink"/>
          <w:noProof/>
          <w:color w:val="auto"/>
          <w:sz w:val="20"/>
          <w:szCs w:val="20"/>
          <w:lang w:val="sr-Cyrl-CS"/>
        </w:rPr>
        <w:t xml:space="preserve"> </w:t>
      </w:r>
      <w:r w:rsidRPr="00BF3CDE">
        <w:rPr>
          <w:rFonts w:ascii="Verdana" w:hAnsi="Verdana" w:cs="Tahoma"/>
          <w:b/>
          <w:i/>
          <w:noProof/>
          <w:sz w:val="20"/>
          <w:szCs w:val="20"/>
          <w:bdr w:val="none" w:sz="0" w:space="0" w:color="auto" w:frame="1"/>
          <w:lang w:val="sr-Cyrl-CS"/>
        </w:rPr>
        <w:t>у хиљадама динара</w:t>
      </w:r>
    </w:p>
    <w:p w14:paraId="381EA2CA" w14:textId="77777777" w:rsidR="006C0D6C" w:rsidRPr="00BF3CDE" w:rsidRDefault="006C0D6C" w:rsidP="006C0D6C">
      <w:pPr>
        <w:spacing w:after="120"/>
        <w:jc w:val="right"/>
        <w:rPr>
          <w:rFonts w:ascii="Verdana" w:hAnsi="Verdana" w:cs="Tahoma"/>
          <w:noProof/>
          <w:color w:val="000000"/>
          <w:sz w:val="20"/>
          <w:szCs w:val="20"/>
          <w:lang w:val="sr-Cyrl-CS"/>
        </w:rPr>
      </w:pPr>
    </w:p>
    <w:tbl>
      <w:tblPr>
        <w:tblStyle w:val="MediumList1-Accent11"/>
        <w:tblW w:w="9288" w:type="dxa"/>
        <w:tblLayout w:type="fixed"/>
        <w:tblLook w:val="0420" w:firstRow="1" w:lastRow="0" w:firstColumn="0" w:lastColumn="0" w:noHBand="0" w:noVBand="1"/>
      </w:tblPr>
      <w:tblGrid>
        <w:gridCol w:w="1326"/>
        <w:gridCol w:w="1327"/>
        <w:gridCol w:w="1327"/>
        <w:gridCol w:w="1327"/>
        <w:gridCol w:w="1327"/>
        <w:gridCol w:w="1327"/>
        <w:gridCol w:w="1327"/>
      </w:tblGrid>
      <w:tr w:rsidR="006C0D6C" w:rsidRPr="00BF3CDE" w14:paraId="205FFAFD" w14:textId="77777777" w:rsidTr="006C0D6C">
        <w:trPr>
          <w:cnfStyle w:val="100000000000" w:firstRow="1" w:lastRow="0" w:firstColumn="0" w:lastColumn="0" w:oddVBand="0" w:evenVBand="0" w:oddHBand="0" w:evenHBand="0" w:firstRowFirstColumn="0" w:firstRowLastColumn="0" w:lastRowFirstColumn="0" w:lastRowLastColumn="0"/>
          <w:trHeight w:val="219"/>
        </w:trPr>
        <w:tc>
          <w:tcPr>
            <w:tcW w:w="1326" w:type="dxa"/>
          </w:tcPr>
          <w:p w14:paraId="0A57F5C7"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2008</w:t>
            </w:r>
          </w:p>
        </w:tc>
        <w:tc>
          <w:tcPr>
            <w:tcW w:w="1327" w:type="dxa"/>
          </w:tcPr>
          <w:p w14:paraId="6B7C9753"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2009</w:t>
            </w:r>
          </w:p>
        </w:tc>
        <w:tc>
          <w:tcPr>
            <w:tcW w:w="1327" w:type="dxa"/>
          </w:tcPr>
          <w:p w14:paraId="25C648A9"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2010</w:t>
            </w:r>
          </w:p>
        </w:tc>
        <w:tc>
          <w:tcPr>
            <w:tcW w:w="1327" w:type="dxa"/>
          </w:tcPr>
          <w:p w14:paraId="42DE3876"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2011</w:t>
            </w:r>
          </w:p>
        </w:tc>
        <w:tc>
          <w:tcPr>
            <w:tcW w:w="1327" w:type="dxa"/>
          </w:tcPr>
          <w:p w14:paraId="6228E221"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2012</w:t>
            </w:r>
          </w:p>
        </w:tc>
        <w:tc>
          <w:tcPr>
            <w:tcW w:w="1327" w:type="dxa"/>
          </w:tcPr>
          <w:p w14:paraId="5577EEF8"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2013</w:t>
            </w:r>
          </w:p>
        </w:tc>
        <w:tc>
          <w:tcPr>
            <w:tcW w:w="1327" w:type="dxa"/>
          </w:tcPr>
          <w:p w14:paraId="751777E8"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2014</w:t>
            </w:r>
          </w:p>
        </w:tc>
      </w:tr>
      <w:tr w:rsidR="006C0D6C" w:rsidRPr="00BF3CDE" w14:paraId="73D1DEE5" w14:textId="77777777" w:rsidTr="006C0D6C">
        <w:trPr>
          <w:cnfStyle w:val="000000100000" w:firstRow="0" w:lastRow="0" w:firstColumn="0" w:lastColumn="0" w:oddVBand="0" w:evenVBand="0" w:oddHBand="1" w:evenHBand="0" w:firstRowFirstColumn="0" w:firstRowLastColumn="0" w:lastRowFirstColumn="0" w:lastRowLastColumn="0"/>
          <w:trHeight w:val="233"/>
        </w:trPr>
        <w:tc>
          <w:tcPr>
            <w:tcW w:w="1326" w:type="dxa"/>
          </w:tcPr>
          <w:p w14:paraId="1D2C918E"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1.365.474</w:t>
            </w:r>
          </w:p>
        </w:tc>
        <w:tc>
          <w:tcPr>
            <w:tcW w:w="1327" w:type="dxa"/>
          </w:tcPr>
          <w:p w14:paraId="51D8BFAA"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1.878.936</w:t>
            </w:r>
          </w:p>
        </w:tc>
        <w:tc>
          <w:tcPr>
            <w:tcW w:w="1327" w:type="dxa"/>
          </w:tcPr>
          <w:p w14:paraId="033DB6C0"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1.729.417</w:t>
            </w:r>
          </w:p>
        </w:tc>
        <w:tc>
          <w:tcPr>
            <w:tcW w:w="1327" w:type="dxa"/>
          </w:tcPr>
          <w:p w14:paraId="71989CFE"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1.131.850</w:t>
            </w:r>
          </w:p>
        </w:tc>
        <w:tc>
          <w:tcPr>
            <w:tcW w:w="1327" w:type="dxa"/>
          </w:tcPr>
          <w:p w14:paraId="06CBB3CA"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1.245.759</w:t>
            </w:r>
          </w:p>
        </w:tc>
        <w:tc>
          <w:tcPr>
            <w:tcW w:w="1327" w:type="dxa"/>
          </w:tcPr>
          <w:p w14:paraId="4FBD0BFF"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924.234</w:t>
            </w:r>
          </w:p>
        </w:tc>
        <w:tc>
          <w:tcPr>
            <w:tcW w:w="1327" w:type="dxa"/>
          </w:tcPr>
          <w:p w14:paraId="228217A5"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770.321</w:t>
            </w:r>
          </w:p>
        </w:tc>
      </w:tr>
    </w:tbl>
    <w:p w14:paraId="5560DBBF" w14:textId="77777777" w:rsidR="006C0D6C" w:rsidRPr="00BF3CDE" w:rsidRDefault="006C0D6C" w:rsidP="006C0D6C">
      <w:pPr>
        <w:spacing w:after="120"/>
        <w:jc w:val="both"/>
        <w:rPr>
          <w:rFonts w:ascii="Verdana" w:hAnsi="Verdana" w:cs="Tahoma"/>
          <w:noProof/>
          <w:color w:val="000000"/>
          <w:sz w:val="10"/>
          <w:szCs w:val="10"/>
          <w:lang w:val="sr-Cyrl-CS"/>
        </w:rPr>
      </w:pPr>
    </w:p>
    <w:p w14:paraId="7FDAFF3B" w14:textId="77777777" w:rsidR="006C0D6C" w:rsidRPr="00BF3CDE" w:rsidRDefault="006C0D6C" w:rsidP="006C0D6C">
      <w:pPr>
        <w:spacing w:line="240" w:lineRule="auto"/>
        <w:ind w:firstLine="851"/>
        <w:jc w:val="both"/>
        <w:rPr>
          <w:rStyle w:val="Hyperlink"/>
          <w:noProof/>
          <w:color w:val="auto"/>
          <w:sz w:val="20"/>
          <w:szCs w:val="20"/>
          <w:lang w:val="sr-Cyrl-CS"/>
        </w:rPr>
      </w:pPr>
      <w:r w:rsidRPr="00BF3CDE">
        <w:rPr>
          <w:rStyle w:val="Hyperlink"/>
          <w:noProof/>
          <w:color w:val="auto"/>
          <w:sz w:val="20"/>
          <w:szCs w:val="20"/>
          <w:lang w:val="sr-Cyrl-CS"/>
        </w:rPr>
        <w:t xml:space="preserve">Пад ликвидираних штета активно у периоду 01.01.2014 – 31.12.2014. године у односу на исти период претходне године износи 153.913 хиљада динара и у највећем делу односи на следеће врсте осигурања: </w:t>
      </w:r>
    </w:p>
    <w:p w14:paraId="0F7E7A44" w14:textId="77777777" w:rsidR="006C0D6C" w:rsidRPr="00BF3CDE" w:rsidRDefault="006C0D6C" w:rsidP="00655CD0">
      <w:pPr>
        <w:pStyle w:val="ListParagraph"/>
        <w:numPr>
          <w:ilvl w:val="0"/>
          <w:numId w:val="16"/>
        </w:numPr>
        <w:spacing w:after="120"/>
        <w:jc w:val="both"/>
        <w:rPr>
          <w:rStyle w:val="Hyperlink"/>
          <w:noProof/>
          <w:color w:val="auto"/>
          <w:sz w:val="20"/>
          <w:szCs w:val="20"/>
          <w:lang w:val="sr-Cyrl-CS"/>
        </w:rPr>
      </w:pPr>
      <w:r w:rsidRPr="00BF3CDE">
        <w:rPr>
          <w:rStyle w:val="Hyperlink"/>
          <w:noProof/>
          <w:color w:val="auto"/>
          <w:sz w:val="20"/>
          <w:szCs w:val="20"/>
          <w:lang w:val="sr-Cyrl-CS"/>
        </w:rPr>
        <w:t>Врста 08 – осигурање имовине од пожара и других опасности,</w:t>
      </w:r>
    </w:p>
    <w:p w14:paraId="022531B0" w14:textId="77777777" w:rsidR="006C0D6C" w:rsidRPr="00BF3CDE" w:rsidRDefault="006C0D6C" w:rsidP="00655CD0">
      <w:pPr>
        <w:pStyle w:val="ListParagraph"/>
        <w:numPr>
          <w:ilvl w:val="0"/>
          <w:numId w:val="16"/>
        </w:numPr>
        <w:spacing w:after="120"/>
        <w:jc w:val="both"/>
        <w:rPr>
          <w:rStyle w:val="Hyperlink"/>
          <w:noProof/>
          <w:color w:val="auto"/>
          <w:sz w:val="20"/>
          <w:szCs w:val="20"/>
          <w:lang w:val="sr-Cyrl-CS"/>
        </w:rPr>
      </w:pPr>
      <w:r w:rsidRPr="00BF3CDE">
        <w:rPr>
          <w:rStyle w:val="Hyperlink"/>
          <w:noProof/>
          <w:color w:val="auto"/>
          <w:sz w:val="20"/>
          <w:szCs w:val="20"/>
          <w:lang w:val="sr-Cyrl-CS"/>
        </w:rPr>
        <w:t>Врста 03 – осигурање моторних возила,</w:t>
      </w:r>
    </w:p>
    <w:p w14:paraId="67EFDC24" w14:textId="77777777" w:rsidR="006C0D6C" w:rsidRPr="00BF3CDE" w:rsidRDefault="006C0D6C" w:rsidP="00655CD0">
      <w:pPr>
        <w:pStyle w:val="ListParagraph"/>
        <w:numPr>
          <w:ilvl w:val="0"/>
          <w:numId w:val="16"/>
        </w:numPr>
        <w:spacing w:after="120"/>
        <w:jc w:val="both"/>
        <w:rPr>
          <w:rStyle w:val="Hyperlink"/>
          <w:noProof/>
          <w:color w:val="auto"/>
          <w:sz w:val="20"/>
          <w:szCs w:val="20"/>
          <w:lang w:val="sr-Cyrl-CS"/>
        </w:rPr>
      </w:pPr>
      <w:r w:rsidRPr="00BF3CDE">
        <w:rPr>
          <w:rStyle w:val="Hyperlink"/>
          <w:noProof/>
          <w:color w:val="auto"/>
          <w:sz w:val="20"/>
          <w:szCs w:val="20"/>
          <w:lang w:val="sr-Cyrl-CS"/>
        </w:rPr>
        <w:t xml:space="preserve">Врста 01 – осигурање од последица незгоде и </w:t>
      </w:r>
    </w:p>
    <w:p w14:paraId="77DD3B8D" w14:textId="77777777" w:rsidR="006C0D6C" w:rsidRPr="00BF3CDE" w:rsidRDefault="006C0D6C" w:rsidP="00655CD0">
      <w:pPr>
        <w:pStyle w:val="ListParagraph"/>
        <w:numPr>
          <w:ilvl w:val="0"/>
          <w:numId w:val="16"/>
        </w:numPr>
        <w:spacing w:after="120"/>
        <w:jc w:val="both"/>
        <w:rPr>
          <w:rStyle w:val="Hyperlink"/>
          <w:noProof/>
          <w:color w:val="auto"/>
          <w:sz w:val="20"/>
          <w:szCs w:val="20"/>
          <w:lang w:val="sr-Cyrl-CS"/>
        </w:rPr>
      </w:pPr>
      <w:r w:rsidRPr="00BF3CDE">
        <w:rPr>
          <w:rStyle w:val="Hyperlink"/>
          <w:noProof/>
          <w:color w:val="auto"/>
          <w:sz w:val="20"/>
          <w:szCs w:val="20"/>
          <w:lang w:val="sr-Cyrl-CS"/>
        </w:rPr>
        <w:t xml:space="preserve">Врста 13 – осигурање од опште одговорности. </w:t>
      </w:r>
    </w:p>
    <w:p w14:paraId="7D428555" w14:textId="77777777" w:rsidR="006C0D6C" w:rsidRPr="00BF3CDE" w:rsidRDefault="006C0D6C" w:rsidP="006C0D6C">
      <w:pPr>
        <w:spacing w:after="240" w:line="240" w:lineRule="auto"/>
        <w:ind w:firstLine="851"/>
        <w:jc w:val="both"/>
        <w:rPr>
          <w:rStyle w:val="Hyperlink"/>
          <w:noProof/>
          <w:color w:val="auto"/>
          <w:sz w:val="20"/>
          <w:szCs w:val="20"/>
          <w:lang w:val="sr-Cyrl-CS"/>
        </w:rPr>
      </w:pPr>
      <w:r w:rsidRPr="00BF3CDE">
        <w:rPr>
          <w:rStyle w:val="Hyperlink"/>
          <w:noProof/>
          <w:color w:val="auto"/>
          <w:sz w:val="20"/>
          <w:szCs w:val="20"/>
          <w:lang w:val="sr-Cyrl-CS"/>
        </w:rPr>
        <w:t>Разлог смањења ликвидираних штета је мањи број  решених одштетних захтева  у периоду 01.01.2014 - 31.12.2014. од стране цедент компанија.</w:t>
      </w:r>
    </w:p>
    <w:p w14:paraId="7C020A7B" w14:textId="77777777" w:rsidR="006C0D6C" w:rsidRPr="00BF3CDE" w:rsidRDefault="006C0D6C" w:rsidP="0069486B">
      <w:pPr>
        <w:pStyle w:val="Heading1"/>
        <w:numPr>
          <w:ilvl w:val="1"/>
          <w:numId w:val="6"/>
        </w:numPr>
        <w:spacing w:before="240" w:after="240"/>
        <w:jc w:val="left"/>
        <w:rPr>
          <w:rFonts w:asciiTheme="majorHAnsi" w:hAnsiTheme="majorHAnsi" w:cs="Tahoma"/>
          <w:i/>
          <w:noProof/>
          <w:color w:val="4F81BD"/>
          <w:sz w:val="22"/>
          <w:szCs w:val="18"/>
          <w:lang w:val="sr-Cyrl-CS"/>
        </w:rPr>
      </w:pPr>
      <w:bookmarkStart w:id="21" w:name="_Toc319489033"/>
      <w:bookmarkStart w:id="22" w:name="_Toc414356807"/>
      <w:r w:rsidRPr="00BF3CDE">
        <w:rPr>
          <w:rFonts w:asciiTheme="majorHAnsi" w:hAnsiTheme="majorHAnsi" w:cs="Tahoma"/>
          <w:i/>
          <w:noProof/>
          <w:color w:val="4F81BD"/>
          <w:sz w:val="22"/>
          <w:szCs w:val="18"/>
          <w:lang w:val="sr-Cyrl-CS"/>
        </w:rPr>
        <w:lastRenderedPageBreak/>
        <w:t>ЛИКВИДИРАНЕ ШТЕТЕ У САМОПРИДРЖАЈУ ДРУШТВА</w:t>
      </w:r>
      <w:bookmarkEnd w:id="21"/>
      <w:bookmarkEnd w:id="22"/>
    </w:p>
    <w:p w14:paraId="75591395" w14:textId="77777777" w:rsidR="006C0D6C" w:rsidRPr="00BF3CDE" w:rsidRDefault="006C0D6C" w:rsidP="006C0D6C">
      <w:pPr>
        <w:jc w:val="both"/>
        <w:rPr>
          <w:rStyle w:val="Hyperlink"/>
          <w:noProof/>
          <w:color w:val="auto"/>
          <w:sz w:val="20"/>
          <w:szCs w:val="20"/>
          <w:lang w:val="sr-Cyrl-CS"/>
        </w:rPr>
      </w:pPr>
      <w:r w:rsidRPr="00BF3CDE">
        <w:rPr>
          <w:rStyle w:val="Hyperlink"/>
          <w:noProof/>
          <w:color w:val="auto"/>
          <w:sz w:val="20"/>
          <w:szCs w:val="20"/>
          <w:lang w:val="sr-Cyrl-CS"/>
        </w:rPr>
        <w:t>Ликвидиране штете у самопридржају остварене у периоду 01.01.2014. – 31.12.2014. године износе 317.431 хиљада динара и чине 41,21% укупно ликвидираних штета. У односу на исти период претходне године, мање су за 39,39%, док је у односу на планиране вредности мање за 30,85%.</w:t>
      </w:r>
    </w:p>
    <w:p w14:paraId="7551218E" w14:textId="77777777" w:rsidR="006C0D6C" w:rsidRPr="00BF3CDE" w:rsidRDefault="006C0D6C" w:rsidP="006C0D6C">
      <w:pPr>
        <w:spacing w:after="240" w:line="240" w:lineRule="auto"/>
        <w:ind w:right="-142"/>
        <w:jc w:val="center"/>
        <w:rPr>
          <w:rFonts w:ascii="Verdana" w:hAnsi="Verdana" w:cs="Tahoma"/>
          <w:noProof/>
          <w:color w:val="000000"/>
          <w:sz w:val="20"/>
          <w:szCs w:val="20"/>
          <w:lang w:val="sr-Cyrl-CS"/>
        </w:rPr>
      </w:pPr>
      <w:r w:rsidRPr="00BF3CDE">
        <w:rPr>
          <w:rFonts w:ascii="Verdana" w:hAnsi="Verdana" w:cs="Tahoma"/>
          <w:b/>
          <w:i/>
          <w:noProof/>
          <w:sz w:val="20"/>
          <w:szCs w:val="20"/>
          <w:bdr w:val="none" w:sz="0" w:space="0" w:color="auto" w:frame="1"/>
          <w:lang w:val="sr-Cyrl-CS"/>
        </w:rPr>
        <w:t>Ликвидиране штете у самопридржају Друштва</w:t>
      </w:r>
      <w:r w:rsidRPr="00BF3CDE">
        <w:rPr>
          <w:rStyle w:val="Hyperlink"/>
          <w:noProof/>
          <w:color w:val="auto"/>
          <w:sz w:val="20"/>
          <w:szCs w:val="20"/>
          <w:lang w:val="sr-Cyrl-CS"/>
        </w:rPr>
        <w:t xml:space="preserve"> </w:t>
      </w:r>
      <w:r w:rsidRPr="00BF3CDE">
        <w:rPr>
          <w:rFonts w:ascii="Verdana" w:hAnsi="Verdana" w:cs="Tahoma"/>
          <w:b/>
          <w:i/>
          <w:noProof/>
          <w:sz w:val="20"/>
          <w:szCs w:val="20"/>
          <w:bdr w:val="none" w:sz="0" w:space="0" w:color="auto" w:frame="1"/>
          <w:lang w:val="sr-Cyrl-CS"/>
        </w:rPr>
        <w:t>у хиљадама динара</w:t>
      </w:r>
    </w:p>
    <w:tbl>
      <w:tblPr>
        <w:tblStyle w:val="MediumList1-Accent11"/>
        <w:tblW w:w="9288" w:type="dxa"/>
        <w:tblLayout w:type="fixed"/>
        <w:tblLook w:val="0420" w:firstRow="1" w:lastRow="0" w:firstColumn="0" w:lastColumn="0" w:noHBand="0" w:noVBand="1"/>
      </w:tblPr>
      <w:tblGrid>
        <w:gridCol w:w="1326"/>
        <w:gridCol w:w="1327"/>
        <w:gridCol w:w="1327"/>
        <w:gridCol w:w="1327"/>
        <w:gridCol w:w="1327"/>
        <w:gridCol w:w="1327"/>
        <w:gridCol w:w="1327"/>
      </w:tblGrid>
      <w:tr w:rsidR="006C0D6C" w:rsidRPr="00BF3CDE" w14:paraId="3859BFB6" w14:textId="77777777" w:rsidTr="006C0D6C">
        <w:trPr>
          <w:cnfStyle w:val="100000000000" w:firstRow="1" w:lastRow="0" w:firstColumn="0" w:lastColumn="0" w:oddVBand="0" w:evenVBand="0" w:oddHBand="0" w:evenHBand="0" w:firstRowFirstColumn="0" w:firstRowLastColumn="0" w:lastRowFirstColumn="0" w:lastRowLastColumn="0"/>
          <w:trHeight w:val="219"/>
        </w:trPr>
        <w:tc>
          <w:tcPr>
            <w:tcW w:w="1326" w:type="dxa"/>
          </w:tcPr>
          <w:p w14:paraId="44812A1D"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2008</w:t>
            </w:r>
          </w:p>
        </w:tc>
        <w:tc>
          <w:tcPr>
            <w:tcW w:w="1327" w:type="dxa"/>
          </w:tcPr>
          <w:p w14:paraId="2A39792C"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2009</w:t>
            </w:r>
          </w:p>
        </w:tc>
        <w:tc>
          <w:tcPr>
            <w:tcW w:w="1327" w:type="dxa"/>
          </w:tcPr>
          <w:p w14:paraId="79EA5044"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2010</w:t>
            </w:r>
          </w:p>
        </w:tc>
        <w:tc>
          <w:tcPr>
            <w:tcW w:w="1327" w:type="dxa"/>
          </w:tcPr>
          <w:p w14:paraId="2D164541"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2011</w:t>
            </w:r>
          </w:p>
        </w:tc>
        <w:tc>
          <w:tcPr>
            <w:tcW w:w="1327" w:type="dxa"/>
          </w:tcPr>
          <w:p w14:paraId="4A6B8E87"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2012</w:t>
            </w:r>
          </w:p>
        </w:tc>
        <w:tc>
          <w:tcPr>
            <w:tcW w:w="1327" w:type="dxa"/>
          </w:tcPr>
          <w:p w14:paraId="1B47A890"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2013</w:t>
            </w:r>
          </w:p>
        </w:tc>
        <w:tc>
          <w:tcPr>
            <w:tcW w:w="1327" w:type="dxa"/>
          </w:tcPr>
          <w:p w14:paraId="271A55C9"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2014</w:t>
            </w:r>
          </w:p>
        </w:tc>
      </w:tr>
      <w:tr w:rsidR="006C0D6C" w:rsidRPr="00BF3CDE" w14:paraId="5FD5F7B5" w14:textId="77777777" w:rsidTr="006C0D6C">
        <w:trPr>
          <w:cnfStyle w:val="000000100000" w:firstRow="0" w:lastRow="0" w:firstColumn="0" w:lastColumn="0" w:oddVBand="0" w:evenVBand="0" w:oddHBand="1" w:evenHBand="0" w:firstRowFirstColumn="0" w:firstRowLastColumn="0" w:lastRowFirstColumn="0" w:lastRowLastColumn="0"/>
          <w:trHeight w:val="233"/>
        </w:trPr>
        <w:tc>
          <w:tcPr>
            <w:tcW w:w="1326" w:type="dxa"/>
          </w:tcPr>
          <w:p w14:paraId="661C6BBA"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340.004</w:t>
            </w:r>
          </w:p>
        </w:tc>
        <w:tc>
          <w:tcPr>
            <w:tcW w:w="1327" w:type="dxa"/>
          </w:tcPr>
          <w:p w14:paraId="6B5DAAC4"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749.564</w:t>
            </w:r>
          </w:p>
        </w:tc>
        <w:tc>
          <w:tcPr>
            <w:tcW w:w="1327" w:type="dxa"/>
          </w:tcPr>
          <w:p w14:paraId="036D0623"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855.402</w:t>
            </w:r>
          </w:p>
        </w:tc>
        <w:tc>
          <w:tcPr>
            <w:tcW w:w="1327" w:type="dxa"/>
          </w:tcPr>
          <w:p w14:paraId="0891139B"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754.337</w:t>
            </w:r>
          </w:p>
        </w:tc>
        <w:tc>
          <w:tcPr>
            <w:tcW w:w="1327" w:type="dxa"/>
          </w:tcPr>
          <w:p w14:paraId="40A9DF33"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658.642</w:t>
            </w:r>
          </w:p>
        </w:tc>
        <w:tc>
          <w:tcPr>
            <w:tcW w:w="1327" w:type="dxa"/>
          </w:tcPr>
          <w:p w14:paraId="4FE482B7"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523.727</w:t>
            </w:r>
          </w:p>
        </w:tc>
        <w:tc>
          <w:tcPr>
            <w:tcW w:w="1327" w:type="dxa"/>
          </w:tcPr>
          <w:p w14:paraId="0C77827F"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317.431</w:t>
            </w:r>
          </w:p>
        </w:tc>
      </w:tr>
    </w:tbl>
    <w:p w14:paraId="2E8CD616" w14:textId="77777777" w:rsidR="006C0D6C" w:rsidRPr="00BF3CDE" w:rsidRDefault="006C0D6C" w:rsidP="006C0D6C">
      <w:pPr>
        <w:spacing w:after="120"/>
        <w:jc w:val="both"/>
        <w:rPr>
          <w:rFonts w:ascii="Verdana" w:hAnsi="Verdana" w:cs="Tahoma"/>
          <w:noProof/>
          <w:color w:val="000000"/>
          <w:sz w:val="10"/>
          <w:szCs w:val="10"/>
          <w:lang w:val="sr-Cyrl-CS"/>
        </w:rPr>
      </w:pPr>
    </w:p>
    <w:p w14:paraId="6BFDE314" w14:textId="77777777" w:rsidR="006C0D6C" w:rsidRPr="00BF3CDE" w:rsidRDefault="006C0D6C" w:rsidP="006C0D6C">
      <w:pPr>
        <w:ind w:firstLine="851"/>
        <w:jc w:val="both"/>
        <w:rPr>
          <w:rStyle w:val="Hyperlink"/>
          <w:noProof/>
          <w:color w:val="auto"/>
          <w:sz w:val="20"/>
          <w:szCs w:val="20"/>
          <w:lang w:val="sr-Cyrl-CS"/>
        </w:rPr>
      </w:pPr>
      <w:r w:rsidRPr="00BF3CDE">
        <w:rPr>
          <w:rStyle w:val="Hyperlink"/>
          <w:noProof/>
          <w:color w:val="auto"/>
          <w:sz w:val="20"/>
          <w:szCs w:val="20"/>
          <w:lang w:val="sr-Cyrl-CS"/>
        </w:rPr>
        <w:t xml:space="preserve">У периоду 01.01.2014 – 31.12.2014. забележен је пад износа ликвидираних штета у самопридржају, који је узрокован падом активних ликвидираних штета у односу на претходну годину као и већим бројем штета по ризицима за које је уговорен већи проценат ретроцесије. Евидентно је да је и необнављање реосигурања портфеља аутокаска Компаније Дунав осигурање у 2013. и 2014. години, утицало и на смањење износа ликвидираних штета у самопридржају као и истек уговора на којима је Дунав Ре учествовао у претходним годинама а по којима није обновио учешће. </w:t>
      </w:r>
    </w:p>
    <w:p w14:paraId="6FB4F4BB" w14:textId="77777777" w:rsidR="006C0D6C" w:rsidRPr="00BF3CDE" w:rsidRDefault="006C0D6C" w:rsidP="0069486B">
      <w:pPr>
        <w:pStyle w:val="Heading1"/>
        <w:numPr>
          <w:ilvl w:val="1"/>
          <w:numId w:val="6"/>
        </w:numPr>
        <w:spacing w:before="240" w:after="240"/>
        <w:jc w:val="left"/>
        <w:rPr>
          <w:rFonts w:asciiTheme="majorHAnsi" w:hAnsiTheme="majorHAnsi" w:cs="Tahoma"/>
          <w:i/>
          <w:noProof/>
          <w:color w:val="4F81BD"/>
          <w:sz w:val="22"/>
          <w:szCs w:val="18"/>
          <w:lang w:val="sr-Cyrl-CS"/>
        </w:rPr>
      </w:pPr>
      <w:bookmarkStart w:id="23" w:name="_Toc414356808"/>
      <w:r w:rsidRPr="00BF3CDE">
        <w:rPr>
          <w:rFonts w:asciiTheme="majorHAnsi" w:hAnsiTheme="majorHAnsi" w:cs="Tahoma"/>
          <w:i/>
          <w:noProof/>
          <w:color w:val="4F81BD"/>
          <w:sz w:val="22"/>
          <w:szCs w:val="18"/>
          <w:lang w:val="sr-Cyrl-CS"/>
        </w:rPr>
        <w:t>ЛИКВИДИРАНЕ ШТЕТЕ РЕТРОЦЕСИЈЕ ДРУШТВА</w:t>
      </w:r>
      <w:bookmarkEnd w:id="23"/>
      <w:r w:rsidRPr="00BF3CDE">
        <w:rPr>
          <w:rFonts w:asciiTheme="majorHAnsi" w:hAnsiTheme="majorHAnsi" w:cs="Tahoma"/>
          <w:i/>
          <w:noProof/>
          <w:color w:val="4F81BD"/>
          <w:sz w:val="22"/>
          <w:szCs w:val="18"/>
          <w:lang w:val="sr-Cyrl-CS"/>
        </w:rPr>
        <w:t xml:space="preserve"> </w:t>
      </w:r>
    </w:p>
    <w:p w14:paraId="0C1D98E8" w14:textId="77777777" w:rsidR="006C0D6C" w:rsidRPr="00BF3CDE" w:rsidRDefault="006C0D6C" w:rsidP="006C0D6C">
      <w:pPr>
        <w:ind w:firstLine="360"/>
        <w:jc w:val="both"/>
        <w:rPr>
          <w:rStyle w:val="Hyperlink"/>
          <w:noProof/>
          <w:color w:val="auto"/>
          <w:sz w:val="20"/>
          <w:szCs w:val="20"/>
          <w:lang w:val="sr-Cyrl-CS"/>
        </w:rPr>
      </w:pPr>
      <w:r w:rsidRPr="00BF3CDE">
        <w:rPr>
          <w:rStyle w:val="Hyperlink"/>
          <w:noProof/>
          <w:color w:val="auto"/>
          <w:sz w:val="20"/>
          <w:szCs w:val="20"/>
          <w:lang w:val="sr-Cyrl-CS"/>
        </w:rPr>
        <w:t xml:space="preserve">Укупно ликвидиране штете ретроцесије у периоду 01.01.2014. – 31.12.2014. године износе 452.890 хиљада динара и веће су за 13,08% у односу на исти период претходне године, док су у односу на планиране вредности веће за 2,70%. </w:t>
      </w:r>
    </w:p>
    <w:p w14:paraId="667FB034" w14:textId="77777777" w:rsidR="006C0D6C" w:rsidRPr="00BF3CDE" w:rsidRDefault="006C0D6C" w:rsidP="006C0D6C">
      <w:pPr>
        <w:spacing w:after="120"/>
        <w:ind w:firstLine="851"/>
        <w:jc w:val="both"/>
        <w:rPr>
          <w:rStyle w:val="Hyperlink"/>
          <w:noProof/>
          <w:color w:val="auto"/>
          <w:sz w:val="20"/>
          <w:szCs w:val="20"/>
          <w:lang w:val="sr-Cyrl-CS"/>
        </w:rPr>
      </w:pPr>
      <w:r w:rsidRPr="00BF3CDE">
        <w:rPr>
          <w:rStyle w:val="Hyperlink"/>
          <w:noProof/>
          <w:color w:val="auto"/>
          <w:sz w:val="20"/>
          <w:szCs w:val="20"/>
          <w:lang w:val="sr-Cyrl-CS"/>
        </w:rPr>
        <w:t xml:space="preserve">На раст нивоа ликвидираних штета из ретроцесије утицале су штете по ризицима за које је уговорен већи проценат ретроцесије а које се махом односе на штете од поплава по међународним програмима и реосигурању катастрофе . </w:t>
      </w:r>
    </w:p>
    <w:p w14:paraId="4B97B65F" w14:textId="77777777" w:rsidR="006C0D6C" w:rsidRPr="00BF3CDE" w:rsidRDefault="006C0D6C" w:rsidP="006C0D6C">
      <w:pPr>
        <w:spacing w:after="0"/>
        <w:ind w:right="-142"/>
        <w:jc w:val="center"/>
        <w:rPr>
          <w:rFonts w:ascii="Verdana" w:hAnsi="Verdana" w:cs="Tahoma"/>
          <w:b/>
          <w:i/>
          <w:noProof/>
          <w:sz w:val="20"/>
          <w:szCs w:val="20"/>
          <w:bdr w:val="none" w:sz="0" w:space="0" w:color="auto" w:frame="1"/>
          <w:lang w:val="sr-Cyrl-CS"/>
        </w:rPr>
      </w:pPr>
      <w:r w:rsidRPr="00BF3CDE">
        <w:rPr>
          <w:rFonts w:ascii="Verdana" w:hAnsi="Verdana" w:cs="Tahoma"/>
          <w:b/>
          <w:i/>
          <w:noProof/>
          <w:sz w:val="20"/>
          <w:szCs w:val="20"/>
          <w:bdr w:val="none" w:sz="0" w:space="0" w:color="auto" w:frame="1"/>
          <w:lang w:val="sr-Cyrl-CS"/>
        </w:rPr>
        <w:t>Ликвидиране штете ретроцесије Друштва</w:t>
      </w:r>
      <w:r w:rsidRPr="00BF3CDE">
        <w:rPr>
          <w:rStyle w:val="Hyperlink"/>
          <w:noProof/>
          <w:color w:val="auto"/>
          <w:sz w:val="20"/>
          <w:szCs w:val="20"/>
          <w:lang w:val="sr-Cyrl-CS"/>
        </w:rPr>
        <w:t xml:space="preserve"> </w:t>
      </w:r>
      <w:r w:rsidRPr="00BF3CDE">
        <w:rPr>
          <w:rFonts w:ascii="Verdana" w:hAnsi="Verdana" w:cs="Tahoma"/>
          <w:b/>
          <w:i/>
          <w:noProof/>
          <w:sz w:val="20"/>
          <w:szCs w:val="20"/>
          <w:bdr w:val="none" w:sz="0" w:space="0" w:color="auto" w:frame="1"/>
          <w:lang w:val="sr-Cyrl-CS"/>
        </w:rPr>
        <w:t>у хиљадама динара</w:t>
      </w:r>
    </w:p>
    <w:p w14:paraId="163C418A" w14:textId="77777777" w:rsidR="006C0D6C" w:rsidRPr="00BF3CDE" w:rsidRDefault="006C0D6C" w:rsidP="006C0D6C">
      <w:pPr>
        <w:spacing w:after="0"/>
        <w:ind w:right="-142"/>
        <w:jc w:val="center"/>
        <w:rPr>
          <w:rFonts w:ascii="Verdana" w:hAnsi="Verdana" w:cs="Tahoma"/>
          <w:b/>
          <w:i/>
          <w:noProof/>
          <w:sz w:val="20"/>
          <w:szCs w:val="20"/>
          <w:bdr w:val="none" w:sz="0" w:space="0" w:color="auto" w:frame="1"/>
          <w:lang w:val="sr-Cyrl-CS"/>
        </w:rPr>
      </w:pPr>
    </w:p>
    <w:tbl>
      <w:tblPr>
        <w:tblStyle w:val="MediumList1-Accent11"/>
        <w:tblW w:w="9288" w:type="dxa"/>
        <w:tblLayout w:type="fixed"/>
        <w:tblLook w:val="0420" w:firstRow="1" w:lastRow="0" w:firstColumn="0" w:lastColumn="0" w:noHBand="0" w:noVBand="1"/>
      </w:tblPr>
      <w:tblGrid>
        <w:gridCol w:w="1326"/>
        <w:gridCol w:w="1327"/>
        <w:gridCol w:w="1327"/>
        <w:gridCol w:w="1327"/>
        <w:gridCol w:w="1327"/>
        <w:gridCol w:w="1327"/>
        <w:gridCol w:w="1327"/>
      </w:tblGrid>
      <w:tr w:rsidR="006C0D6C" w:rsidRPr="00BF3CDE" w14:paraId="1287EDA6" w14:textId="77777777" w:rsidTr="006C0D6C">
        <w:trPr>
          <w:cnfStyle w:val="100000000000" w:firstRow="1" w:lastRow="0" w:firstColumn="0" w:lastColumn="0" w:oddVBand="0" w:evenVBand="0" w:oddHBand="0" w:evenHBand="0" w:firstRowFirstColumn="0" w:firstRowLastColumn="0" w:lastRowFirstColumn="0" w:lastRowLastColumn="0"/>
          <w:trHeight w:val="219"/>
        </w:trPr>
        <w:tc>
          <w:tcPr>
            <w:tcW w:w="1326" w:type="dxa"/>
          </w:tcPr>
          <w:p w14:paraId="20AB1B9C"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2008</w:t>
            </w:r>
          </w:p>
        </w:tc>
        <w:tc>
          <w:tcPr>
            <w:tcW w:w="1327" w:type="dxa"/>
          </w:tcPr>
          <w:p w14:paraId="5F4EE64B"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2009</w:t>
            </w:r>
          </w:p>
        </w:tc>
        <w:tc>
          <w:tcPr>
            <w:tcW w:w="1327" w:type="dxa"/>
          </w:tcPr>
          <w:p w14:paraId="70E5B50B"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2010</w:t>
            </w:r>
          </w:p>
        </w:tc>
        <w:tc>
          <w:tcPr>
            <w:tcW w:w="1327" w:type="dxa"/>
          </w:tcPr>
          <w:p w14:paraId="375F531E"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2011</w:t>
            </w:r>
          </w:p>
        </w:tc>
        <w:tc>
          <w:tcPr>
            <w:tcW w:w="1327" w:type="dxa"/>
          </w:tcPr>
          <w:p w14:paraId="5F0483EF"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2012</w:t>
            </w:r>
          </w:p>
        </w:tc>
        <w:tc>
          <w:tcPr>
            <w:tcW w:w="1327" w:type="dxa"/>
          </w:tcPr>
          <w:p w14:paraId="4B464017"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2013</w:t>
            </w:r>
          </w:p>
        </w:tc>
        <w:tc>
          <w:tcPr>
            <w:tcW w:w="1327" w:type="dxa"/>
          </w:tcPr>
          <w:p w14:paraId="61158B25"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2014</w:t>
            </w:r>
          </w:p>
        </w:tc>
      </w:tr>
      <w:tr w:rsidR="006C0D6C" w:rsidRPr="00BF3CDE" w14:paraId="57BAC8C3" w14:textId="77777777" w:rsidTr="006C0D6C">
        <w:trPr>
          <w:cnfStyle w:val="000000100000" w:firstRow="0" w:lastRow="0" w:firstColumn="0" w:lastColumn="0" w:oddVBand="0" w:evenVBand="0" w:oddHBand="1" w:evenHBand="0" w:firstRowFirstColumn="0" w:firstRowLastColumn="0" w:lastRowFirstColumn="0" w:lastRowLastColumn="0"/>
          <w:trHeight w:val="233"/>
        </w:trPr>
        <w:tc>
          <w:tcPr>
            <w:tcW w:w="1326" w:type="dxa"/>
          </w:tcPr>
          <w:p w14:paraId="03B4BFAB"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1.025.470</w:t>
            </w:r>
          </w:p>
        </w:tc>
        <w:tc>
          <w:tcPr>
            <w:tcW w:w="1327" w:type="dxa"/>
          </w:tcPr>
          <w:p w14:paraId="4829A5BD"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1.129.372</w:t>
            </w:r>
          </w:p>
        </w:tc>
        <w:tc>
          <w:tcPr>
            <w:tcW w:w="1327" w:type="dxa"/>
          </w:tcPr>
          <w:p w14:paraId="00C81A5B"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874.015</w:t>
            </w:r>
          </w:p>
        </w:tc>
        <w:tc>
          <w:tcPr>
            <w:tcW w:w="1327" w:type="dxa"/>
          </w:tcPr>
          <w:p w14:paraId="17A7CE9B"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377.514</w:t>
            </w:r>
          </w:p>
        </w:tc>
        <w:tc>
          <w:tcPr>
            <w:tcW w:w="1327" w:type="dxa"/>
          </w:tcPr>
          <w:p w14:paraId="1BADD6F8"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587,118</w:t>
            </w:r>
          </w:p>
        </w:tc>
        <w:tc>
          <w:tcPr>
            <w:tcW w:w="1327" w:type="dxa"/>
          </w:tcPr>
          <w:p w14:paraId="771CB215"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400,508</w:t>
            </w:r>
          </w:p>
        </w:tc>
        <w:tc>
          <w:tcPr>
            <w:tcW w:w="1327" w:type="dxa"/>
          </w:tcPr>
          <w:p w14:paraId="22E8CADA"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452.890</w:t>
            </w:r>
          </w:p>
        </w:tc>
      </w:tr>
    </w:tbl>
    <w:p w14:paraId="33B4CA31" w14:textId="77777777" w:rsidR="006C0D6C" w:rsidRPr="00BF3CDE" w:rsidRDefault="006C0D6C" w:rsidP="000C73FE">
      <w:pPr>
        <w:jc w:val="both"/>
        <w:rPr>
          <w:rStyle w:val="Hyperlink"/>
          <w:noProof/>
          <w:color w:val="auto"/>
          <w:sz w:val="2"/>
          <w:szCs w:val="2"/>
          <w:lang w:val="sr-Cyrl-CS"/>
        </w:rPr>
      </w:pPr>
      <w:r w:rsidRPr="00BF3CDE">
        <w:rPr>
          <w:noProof/>
          <w:lang w:val="sr-Latn-RS" w:eastAsia="sr-Latn-RS"/>
        </w:rPr>
        <w:drawing>
          <wp:inline distT="0" distB="0" distL="0" distR="0" wp14:anchorId="0FC692F1" wp14:editId="639587DE">
            <wp:extent cx="5749637" cy="2867891"/>
            <wp:effectExtent l="0" t="0" r="3810" b="8890"/>
            <wp:docPr id="684" name="Chart 68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39BD7C1D" w14:textId="77777777" w:rsidR="006C0D6C" w:rsidRPr="00BF3CDE" w:rsidRDefault="006C0D6C" w:rsidP="0069486B">
      <w:pPr>
        <w:pStyle w:val="Heading1"/>
        <w:numPr>
          <w:ilvl w:val="1"/>
          <w:numId w:val="6"/>
        </w:numPr>
        <w:spacing w:after="240"/>
        <w:jc w:val="left"/>
        <w:rPr>
          <w:rFonts w:asciiTheme="majorHAnsi" w:hAnsiTheme="majorHAnsi" w:cs="Tahoma"/>
          <w:i/>
          <w:noProof/>
          <w:color w:val="4F81BD"/>
          <w:sz w:val="22"/>
          <w:szCs w:val="18"/>
          <w:lang w:val="sr-Cyrl-CS"/>
        </w:rPr>
      </w:pPr>
      <w:bookmarkStart w:id="24" w:name="_Toc319489034"/>
      <w:bookmarkStart w:id="25" w:name="_Toc414356809"/>
      <w:r w:rsidRPr="00BF3CDE">
        <w:rPr>
          <w:rFonts w:asciiTheme="majorHAnsi" w:hAnsiTheme="majorHAnsi" w:cs="Tahoma"/>
          <w:i/>
          <w:noProof/>
          <w:color w:val="4F81BD"/>
          <w:sz w:val="22"/>
          <w:szCs w:val="18"/>
          <w:lang w:val="sr-Cyrl-CS"/>
        </w:rPr>
        <w:lastRenderedPageBreak/>
        <w:t>РЕЗЕРВИСАНЕ ШТЕТЕ ДРУШТВА</w:t>
      </w:r>
      <w:bookmarkEnd w:id="24"/>
      <w:bookmarkEnd w:id="25"/>
    </w:p>
    <w:p w14:paraId="354F34DC" w14:textId="3C05997E" w:rsidR="006C0D6C" w:rsidRPr="004B60E3" w:rsidRDefault="006C0D6C" w:rsidP="000C73FE">
      <w:pPr>
        <w:spacing w:before="120" w:after="120"/>
        <w:ind w:firstLine="567"/>
        <w:jc w:val="both"/>
        <w:rPr>
          <w:rStyle w:val="Hyperlink"/>
          <w:noProof/>
          <w:color w:val="auto"/>
          <w:sz w:val="20"/>
          <w:szCs w:val="20"/>
          <w:lang w:val="sr-Cyrl-RS"/>
        </w:rPr>
      </w:pPr>
      <w:r w:rsidRPr="00BF3CDE">
        <w:rPr>
          <w:rStyle w:val="Hyperlink"/>
          <w:noProof/>
          <w:color w:val="auto"/>
          <w:sz w:val="20"/>
          <w:szCs w:val="20"/>
          <w:lang w:val="sr-Cyrl-CS"/>
        </w:rPr>
        <w:t>Укупно резервисане штете по активним пословима на дан 31.12.2014. године износе 1.420.647 хиљада динара и веће су за 82,80% у односу на исти период претходне године, док су у односу на планиране вредности веће за 53,40%.</w:t>
      </w:r>
      <w:r w:rsidR="004B60E3">
        <w:rPr>
          <w:rStyle w:val="Hyperlink"/>
          <w:noProof/>
          <w:color w:val="auto"/>
          <w:sz w:val="20"/>
          <w:szCs w:val="20"/>
          <w:lang w:val="sr-Latn-RS"/>
        </w:rPr>
        <w:t xml:space="preserve"> </w:t>
      </w:r>
      <w:r w:rsidR="004B60E3">
        <w:rPr>
          <w:rStyle w:val="Hyperlink"/>
          <w:noProof/>
          <w:color w:val="auto"/>
          <w:sz w:val="20"/>
          <w:szCs w:val="20"/>
          <w:lang w:val="sr-Cyrl-RS"/>
        </w:rPr>
        <w:t xml:space="preserve">Укупна активна резервација заједно са </w:t>
      </w:r>
      <w:r w:rsidR="004B60E3" w:rsidRPr="004B60E3">
        <w:rPr>
          <w:rStyle w:val="Hyperlink"/>
          <w:noProof/>
          <w:color w:val="auto"/>
          <w:sz w:val="20"/>
          <w:szCs w:val="20"/>
          <w:lang w:val="sr-Cyrl-RS"/>
        </w:rPr>
        <w:t>ИБНР и резервацијама за трошкове ликвидације</w:t>
      </w:r>
      <w:r w:rsidR="004B60E3">
        <w:rPr>
          <w:rStyle w:val="Hyperlink"/>
          <w:noProof/>
          <w:color w:val="auto"/>
          <w:sz w:val="20"/>
          <w:szCs w:val="20"/>
          <w:lang w:val="sr-Cyrl-RS"/>
        </w:rPr>
        <w:t xml:space="preserve"> штета износи </w:t>
      </w:r>
      <w:r w:rsidR="004B60E3" w:rsidRPr="004B60E3">
        <w:rPr>
          <w:rStyle w:val="Hyperlink"/>
          <w:noProof/>
          <w:color w:val="auto"/>
          <w:sz w:val="20"/>
          <w:szCs w:val="20"/>
          <w:lang w:val="sr-Cyrl-RS"/>
        </w:rPr>
        <w:t>1</w:t>
      </w:r>
      <w:r w:rsidR="004B60E3">
        <w:rPr>
          <w:rStyle w:val="Hyperlink"/>
          <w:noProof/>
          <w:color w:val="auto"/>
          <w:sz w:val="20"/>
          <w:szCs w:val="20"/>
          <w:lang w:val="sr-Cyrl-RS"/>
        </w:rPr>
        <w:t>.</w:t>
      </w:r>
      <w:r w:rsidR="004B60E3" w:rsidRPr="004B60E3">
        <w:rPr>
          <w:rStyle w:val="Hyperlink"/>
          <w:noProof/>
          <w:color w:val="auto"/>
          <w:sz w:val="20"/>
          <w:szCs w:val="20"/>
          <w:lang w:val="sr-Cyrl-RS"/>
        </w:rPr>
        <w:t>577</w:t>
      </w:r>
      <w:r w:rsidR="004B60E3">
        <w:rPr>
          <w:rStyle w:val="Hyperlink"/>
          <w:noProof/>
          <w:color w:val="auto"/>
          <w:sz w:val="20"/>
          <w:szCs w:val="20"/>
          <w:lang w:val="sr-Cyrl-RS"/>
        </w:rPr>
        <w:t>.</w:t>
      </w:r>
      <w:r w:rsidR="004B60E3" w:rsidRPr="004B60E3">
        <w:rPr>
          <w:rStyle w:val="Hyperlink"/>
          <w:noProof/>
          <w:color w:val="auto"/>
          <w:sz w:val="20"/>
          <w:szCs w:val="20"/>
          <w:lang w:val="sr-Cyrl-RS"/>
        </w:rPr>
        <w:t>705</w:t>
      </w:r>
      <w:r w:rsidR="004B60E3">
        <w:rPr>
          <w:rStyle w:val="Hyperlink"/>
          <w:noProof/>
          <w:color w:val="auto"/>
          <w:sz w:val="20"/>
          <w:szCs w:val="20"/>
          <w:lang w:val="sr-Cyrl-RS"/>
        </w:rPr>
        <w:t xml:space="preserve"> хиљада динара.</w:t>
      </w:r>
    </w:p>
    <w:p w14:paraId="3AABAAF9" w14:textId="77777777" w:rsidR="006C0D6C" w:rsidRPr="00BF3CDE" w:rsidRDefault="006C0D6C" w:rsidP="000C73FE">
      <w:pPr>
        <w:spacing w:before="120" w:after="120"/>
        <w:ind w:right="-142"/>
        <w:jc w:val="center"/>
        <w:rPr>
          <w:rFonts w:ascii="Verdana" w:hAnsi="Verdana" w:cs="Tahoma"/>
          <w:b/>
          <w:i/>
          <w:noProof/>
          <w:sz w:val="20"/>
          <w:szCs w:val="20"/>
          <w:bdr w:val="none" w:sz="0" w:space="0" w:color="auto" w:frame="1"/>
          <w:lang w:val="sr-Cyrl-CS"/>
        </w:rPr>
      </w:pPr>
      <w:r w:rsidRPr="00BF3CDE">
        <w:rPr>
          <w:rFonts w:ascii="Verdana" w:hAnsi="Verdana" w:cs="Tahoma"/>
          <w:b/>
          <w:i/>
          <w:noProof/>
          <w:sz w:val="20"/>
          <w:szCs w:val="20"/>
          <w:bdr w:val="none" w:sz="0" w:space="0" w:color="auto" w:frame="1"/>
          <w:lang w:val="sr-Cyrl-CS"/>
        </w:rPr>
        <w:t>Резервисане штете по активним пословима</w:t>
      </w:r>
      <w:r w:rsidRPr="00BF3CDE">
        <w:rPr>
          <w:rStyle w:val="Hyperlink"/>
          <w:noProof/>
          <w:color w:val="auto"/>
          <w:sz w:val="20"/>
          <w:szCs w:val="20"/>
          <w:lang w:val="sr-Cyrl-CS"/>
        </w:rPr>
        <w:t xml:space="preserve"> </w:t>
      </w:r>
      <w:r w:rsidRPr="00BF3CDE">
        <w:rPr>
          <w:rFonts w:ascii="Verdana" w:hAnsi="Verdana" w:cs="Tahoma"/>
          <w:b/>
          <w:i/>
          <w:noProof/>
          <w:sz w:val="20"/>
          <w:szCs w:val="20"/>
          <w:bdr w:val="none" w:sz="0" w:space="0" w:color="auto" w:frame="1"/>
          <w:lang w:val="sr-Cyrl-CS"/>
        </w:rPr>
        <w:t>у хиљадама динара</w:t>
      </w:r>
    </w:p>
    <w:tbl>
      <w:tblPr>
        <w:tblStyle w:val="MediumList1-Accent11"/>
        <w:tblW w:w="9288" w:type="dxa"/>
        <w:tblLayout w:type="fixed"/>
        <w:tblLook w:val="0420" w:firstRow="1" w:lastRow="0" w:firstColumn="0" w:lastColumn="0" w:noHBand="0" w:noVBand="1"/>
      </w:tblPr>
      <w:tblGrid>
        <w:gridCol w:w="1326"/>
        <w:gridCol w:w="1327"/>
        <w:gridCol w:w="1327"/>
        <w:gridCol w:w="1327"/>
        <w:gridCol w:w="1327"/>
        <w:gridCol w:w="1327"/>
        <w:gridCol w:w="1327"/>
      </w:tblGrid>
      <w:tr w:rsidR="006C0D6C" w:rsidRPr="00BF3CDE" w14:paraId="4EEE592D" w14:textId="77777777" w:rsidTr="006C0D6C">
        <w:trPr>
          <w:cnfStyle w:val="100000000000" w:firstRow="1" w:lastRow="0" w:firstColumn="0" w:lastColumn="0" w:oddVBand="0" w:evenVBand="0" w:oddHBand="0" w:evenHBand="0" w:firstRowFirstColumn="0" w:firstRowLastColumn="0" w:lastRowFirstColumn="0" w:lastRowLastColumn="0"/>
          <w:trHeight w:val="219"/>
        </w:trPr>
        <w:tc>
          <w:tcPr>
            <w:tcW w:w="1326" w:type="dxa"/>
          </w:tcPr>
          <w:p w14:paraId="66CADE22" w14:textId="77777777" w:rsidR="006C0D6C" w:rsidRPr="00BF3CDE" w:rsidRDefault="006C0D6C" w:rsidP="000C73FE">
            <w:pPr>
              <w:widowControl w:val="0"/>
              <w:spacing w:before="120" w:after="120"/>
              <w:ind w:right="-62"/>
              <w:jc w:val="center"/>
              <w:rPr>
                <w:rFonts w:ascii="Verdana" w:hAnsi="Verdana" w:cs="Tahoma"/>
                <w:b/>
                <w:noProof/>
                <w:lang w:val="sr-Cyrl-CS"/>
              </w:rPr>
            </w:pPr>
            <w:r w:rsidRPr="00BF3CDE">
              <w:rPr>
                <w:rFonts w:ascii="Verdana" w:hAnsi="Verdana" w:cs="Tahoma"/>
                <w:b/>
                <w:noProof/>
                <w:lang w:val="sr-Cyrl-CS"/>
              </w:rPr>
              <w:t>2008</w:t>
            </w:r>
          </w:p>
        </w:tc>
        <w:tc>
          <w:tcPr>
            <w:tcW w:w="1327" w:type="dxa"/>
          </w:tcPr>
          <w:p w14:paraId="0FB8A9BA" w14:textId="77777777" w:rsidR="006C0D6C" w:rsidRPr="00BF3CDE" w:rsidRDefault="006C0D6C" w:rsidP="000C73FE">
            <w:pPr>
              <w:widowControl w:val="0"/>
              <w:spacing w:before="120" w:after="120"/>
              <w:ind w:right="-62"/>
              <w:jc w:val="center"/>
              <w:rPr>
                <w:rFonts w:ascii="Verdana" w:hAnsi="Verdana" w:cs="Tahoma"/>
                <w:b/>
                <w:noProof/>
                <w:lang w:val="sr-Cyrl-CS"/>
              </w:rPr>
            </w:pPr>
            <w:r w:rsidRPr="00BF3CDE">
              <w:rPr>
                <w:rFonts w:ascii="Verdana" w:hAnsi="Verdana" w:cs="Tahoma"/>
                <w:b/>
                <w:noProof/>
                <w:lang w:val="sr-Cyrl-CS"/>
              </w:rPr>
              <w:t>2009</w:t>
            </w:r>
          </w:p>
        </w:tc>
        <w:tc>
          <w:tcPr>
            <w:tcW w:w="1327" w:type="dxa"/>
          </w:tcPr>
          <w:p w14:paraId="3A540336" w14:textId="77777777" w:rsidR="006C0D6C" w:rsidRPr="00BF3CDE" w:rsidRDefault="006C0D6C" w:rsidP="000C73FE">
            <w:pPr>
              <w:widowControl w:val="0"/>
              <w:spacing w:before="120" w:after="120"/>
              <w:ind w:right="-62"/>
              <w:jc w:val="center"/>
              <w:rPr>
                <w:rFonts w:ascii="Verdana" w:hAnsi="Verdana" w:cs="Tahoma"/>
                <w:b/>
                <w:noProof/>
                <w:lang w:val="sr-Cyrl-CS"/>
              </w:rPr>
            </w:pPr>
            <w:r w:rsidRPr="00BF3CDE">
              <w:rPr>
                <w:rFonts w:ascii="Verdana" w:hAnsi="Verdana" w:cs="Tahoma"/>
                <w:b/>
                <w:noProof/>
                <w:lang w:val="sr-Cyrl-CS"/>
              </w:rPr>
              <w:t>2010</w:t>
            </w:r>
          </w:p>
        </w:tc>
        <w:tc>
          <w:tcPr>
            <w:tcW w:w="1327" w:type="dxa"/>
          </w:tcPr>
          <w:p w14:paraId="440C02C3" w14:textId="77777777" w:rsidR="006C0D6C" w:rsidRPr="00BF3CDE" w:rsidRDefault="006C0D6C" w:rsidP="000C73FE">
            <w:pPr>
              <w:widowControl w:val="0"/>
              <w:spacing w:before="120" w:after="120"/>
              <w:ind w:right="-62"/>
              <w:jc w:val="center"/>
              <w:rPr>
                <w:rFonts w:ascii="Verdana" w:hAnsi="Verdana" w:cs="Tahoma"/>
                <w:b/>
                <w:noProof/>
                <w:lang w:val="sr-Cyrl-CS"/>
              </w:rPr>
            </w:pPr>
            <w:r w:rsidRPr="00BF3CDE">
              <w:rPr>
                <w:rFonts w:ascii="Verdana" w:hAnsi="Verdana" w:cs="Tahoma"/>
                <w:b/>
                <w:noProof/>
                <w:lang w:val="sr-Cyrl-CS"/>
              </w:rPr>
              <w:t>2011</w:t>
            </w:r>
          </w:p>
        </w:tc>
        <w:tc>
          <w:tcPr>
            <w:tcW w:w="1327" w:type="dxa"/>
          </w:tcPr>
          <w:p w14:paraId="1BD2CC02" w14:textId="77777777" w:rsidR="006C0D6C" w:rsidRPr="00BF3CDE" w:rsidRDefault="006C0D6C" w:rsidP="000C73FE">
            <w:pPr>
              <w:widowControl w:val="0"/>
              <w:spacing w:before="120" w:after="120"/>
              <w:ind w:right="-62"/>
              <w:jc w:val="center"/>
              <w:rPr>
                <w:rFonts w:ascii="Verdana" w:hAnsi="Verdana" w:cs="Tahoma"/>
                <w:b/>
                <w:noProof/>
                <w:lang w:val="sr-Cyrl-CS"/>
              </w:rPr>
            </w:pPr>
            <w:r w:rsidRPr="00BF3CDE">
              <w:rPr>
                <w:rFonts w:ascii="Verdana" w:hAnsi="Verdana" w:cs="Tahoma"/>
                <w:b/>
                <w:noProof/>
                <w:lang w:val="sr-Cyrl-CS"/>
              </w:rPr>
              <w:t>2012</w:t>
            </w:r>
          </w:p>
        </w:tc>
        <w:tc>
          <w:tcPr>
            <w:tcW w:w="1327" w:type="dxa"/>
          </w:tcPr>
          <w:p w14:paraId="00E9220D" w14:textId="77777777" w:rsidR="006C0D6C" w:rsidRPr="00BF3CDE" w:rsidRDefault="006C0D6C" w:rsidP="000C73FE">
            <w:pPr>
              <w:widowControl w:val="0"/>
              <w:spacing w:before="120" w:after="120"/>
              <w:ind w:right="-62"/>
              <w:jc w:val="center"/>
              <w:rPr>
                <w:rFonts w:ascii="Verdana" w:hAnsi="Verdana" w:cs="Tahoma"/>
                <w:b/>
                <w:noProof/>
                <w:lang w:val="sr-Cyrl-CS"/>
              </w:rPr>
            </w:pPr>
            <w:r w:rsidRPr="00BF3CDE">
              <w:rPr>
                <w:rFonts w:ascii="Verdana" w:hAnsi="Verdana" w:cs="Tahoma"/>
                <w:b/>
                <w:noProof/>
                <w:lang w:val="sr-Cyrl-CS"/>
              </w:rPr>
              <w:t>2013</w:t>
            </w:r>
          </w:p>
        </w:tc>
        <w:tc>
          <w:tcPr>
            <w:tcW w:w="1327" w:type="dxa"/>
          </w:tcPr>
          <w:p w14:paraId="0ACBFE7B" w14:textId="77777777" w:rsidR="006C0D6C" w:rsidRPr="00BF3CDE" w:rsidRDefault="006C0D6C" w:rsidP="000C73FE">
            <w:pPr>
              <w:widowControl w:val="0"/>
              <w:spacing w:before="120" w:after="120"/>
              <w:ind w:right="-62"/>
              <w:jc w:val="center"/>
              <w:rPr>
                <w:rFonts w:ascii="Verdana" w:hAnsi="Verdana" w:cs="Tahoma"/>
                <w:b/>
                <w:noProof/>
                <w:lang w:val="sr-Cyrl-CS"/>
              </w:rPr>
            </w:pPr>
            <w:r w:rsidRPr="00BF3CDE">
              <w:rPr>
                <w:rFonts w:ascii="Verdana" w:hAnsi="Verdana" w:cs="Tahoma"/>
                <w:b/>
                <w:noProof/>
                <w:lang w:val="sr-Cyrl-CS"/>
              </w:rPr>
              <w:t>2014</w:t>
            </w:r>
          </w:p>
        </w:tc>
      </w:tr>
      <w:tr w:rsidR="006C0D6C" w:rsidRPr="00BF3CDE" w14:paraId="697EC6AB" w14:textId="77777777" w:rsidTr="006C0D6C">
        <w:trPr>
          <w:cnfStyle w:val="000000100000" w:firstRow="0" w:lastRow="0" w:firstColumn="0" w:lastColumn="0" w:oddVBand="0" w:evenVBand="0" w:oddHBand="1" w:evenHBand="0" w:firstRowFirstColumn="0" w:firstRowLastColumn="0" w:lastRowFirstColumn="0" w:lastRowLastColumn="0"/>
          <w:trHeight w:val="233"/>
        </w:trPr>
        <w:tc>
          <w:tcPr>
            <w:tcW w:w="1326" w:type="dxa"/>
          </w:tcPr>
          <w:p w14:paraId="28DFE3EF" w14:textId="77777777" w:rsidR="006C0D6C" w:rsidRPr="00BF3CDE" w:rsidRDefault="006C0D6C" w:rsidP="000C73FE">
            <w:pPr>
              <w:spacing w:before="120" w:after="120"/>
              <w:jc w:val="center"/>
              <w:rPr>
                <w:rFonts w:ascii="Verdana" w:hAnsi="Verdana"/>
                <w:noProof/>
                <w:lang w:val="sr-Cyrl-CS"/>
              </w:rPr>
            </w:pPr>
            <w:r w:rsidRPr="00BF3CDE">
              <w:rPr>
                <w:rFonts w:ascii="Verdana" w:hAnsi="Verdana"/>
                <w:noProof/>
                <w:lang w:val="sr-Cyrl-CS"/>
              </w:rPr>
              <w:t>1.045.473</w:t>
            </w:r>
          </w:p>
        </w:tc>
        <w:tc>
          <w:tcPr>
            <w:tcW w:w="1327" w:type="dxa"/>
          </w:tcPr>
          <w:p w14:paraId="30381C0B" w14:textId="77777777" w:rsidR="006C0D6C" w:rsidRPr="00BF3CDE" w:rsidRDefault="006C0D6C" w:rsidP="000C73FE">
            <w:pPr>
              <w:spacing w:before="120" w:after="120"/>
              <w:jc w:val="center"/>
              <w:rPr>
                <w:rFonts w:ascii="Verdana" w:hAnsi="Verdana"/>
                <w:noProof/>
                <w:lang w:val="sr-Cyrl-CS"/>
              </w:rPr>
            </w:pPr>
            <w:r w:rsidRPr="00BF3CDE">
              <w:rPr>
                <w:rFonts w:ascii="Verdana" w:hAnsi="Verdana"/>
                <w:noProof/>
                <w:lang w:val="sr-Cyrl-CS"/>
              </w:rPr>
              <w:t>899.987</w:t>
            </w:r>
          </w:p>
        </w:tc>
        <w:tc>
          <w:tcPr>
            <w:tcW w:w="1327" w:type="dxa"/>
          </w:tcPr>
          <w:p w14:paraId="7398B220" w14:textId="77777777" w:rsidR="006C0D6C" w:rsidRPr="00BF3CDE" w:rsidRDefault="006C0D6C" w:rsidP="000C73FE">
            <w:pPr>
              <w:spacing w:before="120" w:after="120"/>
              <w:jc w:val="center"/>
              <w:rPr>
                <w:rFonts w:ascii="Verdana" w:hAnsi="Verdana"/>
                <w:noProof/>
                <w:lang w:val="sr-Cyrl-CS"/>
              </w:rPr>
            </w:pPr>
            <w:r w:rsidRPr="00BF3CDE">
              <w:rPr>
                <w:rFonts w:ascii="Verdana" w:hAnsi="Verdana"/>
                <w:noProof/>
                <w:lang w:val="sr-Cyrl-CS"/>
              </w:rPr>
              <w:t>1.349.403</w:t>
            </w:r>
          </w:p>
        </w:tc>
        <w:tc>
          <w:tcPr>
            <w:tcW w:w="1327" w:type="dxa"/>
          </w:tcPr>
          <w:p w14:paraId="43F6778D" w14:textId="77777777" w:rsidR="006C0D6C" w:rsidRPr="00BF3CDE" w:rsidRDefault="006C0D6C" w:rsidP="000C73FE">
            <w:pPr>
              <w:spacing w:before="120" w:after="120"/>
              <w:jc w:val="center"/>
              <w:rPr>
                <w:rFonts w:ascii="Verdana" w:hAnsi="Verdana"/>
                <w:noProof/>
                <w:lang w:val="sr-Cyrl-CS"/>
              </w:rPr>
            </w:pPr>
            <w:r w:rsidRPr="00BF3CDE">
              <w:rPr>
                <w:rFonts w:ascii="Verdana" w:hAnsi="Verdana"/>
                <w:noProof/>
                <w:lang w:val="sr-Cyrl-CS"/>
              </w:rPr>
              <w:t>1.106.117</w:t>
            </w:r>
          </w:p>
        </w:tc>
        <w:tc>
          <w:tcPr>
            <w:tcW w:w="1327" w:type="dxa"/>
          </w:tcPr>
          <w:p w14:paraId="615534DC" w14:textId="77777777" w:rsidR="006C0D6C" w:rsidRPr="00BF3CDE" w:rsidRDefault="006C0D6C" w:rsidP="000C73FE">
            <w:pPr>
              <w:spacing w:before="120" w:after="120"/>
              <w:jc w:val="center"/>
              <w:rPr>
                <w:rFonts w:ascii="Verdana" w:hAnsi="Verdana"/>
                <w:noProof/>
                <w:lang w:val="sr-Cyrl-CS"/>
              </w:rPr>
            </w:pPr>
            <w:r w:rsidRPr="00BF3CDE">
              <w:rPr>
                <w:rFonts w:ascii="Verdana" w:hAnsi="Verdana"/>
                <w:noProof/>
                <w:lang w:val="sr-Cyrl-CS"/>
              </w:rPr>
              <w:t>1.134.163</w:t>
            </w:r>
          </w:p>
        </w:tc>
        <w:tc>
          <w:tcPr>
            <w:tcW w:w="1327" w:type="dxa"/>
          </w:tcPr>
          <w:p w14:paraId="1CD9D78E" w14:textId="77777777" w:rsidR="006C0D6C" w:rsidRPr="00BF3CDE" w:rsidRDefault="006C0D6C" w:rsidP="000C73FE">
            <w:pPr>
              <w:spacing w:before="120" w:after="120"/>
              <w:jc w:val="center"/>
              <w:rPr>
                <w:rFonts w:ascii="Verdana" w:hAnsi="Verdana"/>
                <w:noProof/>
                <w:lang w:val="sr-Cyrl-CS"/>
              </w:rPr>
            </w:pPr>
            <w:r w:rsidRPr="00BF3CDE">
              <w:rPr>
                <w:rFonts w:ascii="Verdana" w:hAnsi="Verdana"/>
                <w:noProof/>
                <w:lang w:val="sr-Cyrl-CS"/>
              </w:rPr>
              <w:t>777.170</w:t>
            </w:r>
          </w:p>
        </w:tc>
        <w:tc>
          <w:tcPr>
            <w:tcW w:w="1327" w:type="dxa"/>
          </w:tcPr>
          <w:p w14:paraId="6C2F312F" w14:textId="77777777" w:rsidR="006C0D6C" w:rsidRPr="00BF3CDE" w:rsidRDefault="006C0D6C" w:rsidP="000C73FE">
            <w:pPr>
              <w:spacing w:before="120" w:after="120"/>
              <w:jc w:val="center"/>
              <w:rPr>
                <w:rFonts w:ascii="Verdana" w:hAnsi="Verdana"/>
                <w:noProof/>
                <w:lang w:val="sr-Cyrl-CS"/>
              </w:rPr>
            </w:pPr>
            <w:r w:rsidRPr="00BF3CDE">
              <w:rPr>
                <w:rFonts w:ascii="Verdana" w:hAnsi="Verdana"/>
                <w:noProof/>
                <w:lang w:val="sr-Cyrl-CS"/>
              </w:rPr>
              <w:t>1.420.647</w:t>
            </w:r>
          </w:p>
        </w:tc>
      </w:tr>
    </w:tbl>
    <w:p w14:paraId="3F986BDB" w14:textId="77777777" w:rsidR="006C0D6C" w:rsidRPr="00BF3CDE" w:rsidRDefault="006C0D6C" w:rsidP="000C73FE">
      <w:pPr>
        <w:spacing w:before="120" w:after="120"/>
        <w:ind w:right="-2" w:firstLine="708"/>
        <w:jc w:val="both"/>
        <w:rPr>
          <w:noProof/>
          <w:sz w:val="20"/>
          <w:szCs w:val="20"/>
          <w:lang w:val="sr-Cyrl-CS"/>
        </w:rPr>
      </w:pPr>
      <w:bookmarkStart w:id="26" w:name="_Toc319489035"/>
      <w:r w:rsidRPr="00BF3CDE">
        <w:rPr>
          <w:noProof/>
          <w:sz w:val="20"/>
          <w:szCs w:val="20"/>
          <w:lang w:val="sr-Cyrl-CS"/>
        </w:rPr>
        <w:t xml:space="preserve">Највећи утицај на пораст износа резервисаних активних штета на дан 31.12.2014. године у односу на 31.12.2013. године су имале резервације за штете узроковане поплавама у мају месецу 2014. године. </w:t>
      </w:r>
    </w:p>
    <w:p w14:paraId="556E9350" w14:textId="77777777" w:rsidR="006C0D6C" w:rsidRPr="00BF3CDE" w:rsidRDefault="006C0D6C" w:rsidP="00224D42">
      <w:pPr>
        <w:spacing w:after="80"/>
        <w:ind w:firstLine="708"/>
        <w:jc w:val="both"/>
        <w:rPr>
          <w:noProof/>
          <w:sz w:val="20"/>
          <w:szCs w:val="20"/>
          <w:highlight w:val="yellow"/>
          <w:lang w:val="sr-Cyrl-CS"/>
        </w:rPr>
      </w:pPr>
      <w:r w:rsidRPr="00BF3CDE">
        <w:rPr>
          <w:noProof/>
          <w:sz w:val="20"/>
          <w:szCs w:val="20"/>
          <w:lang w:val="sr-Cyrl-CS"/>
        </w:rPr>
        <w:t>Услед поплава, новорезервисане су штете по уговору о ексцедентном реосигурању имовинских ризика за три багера осигураника РЕИК Колубара у износу 79.716 хиљада динара.</w:t>
      </w:r>
    </w:p>
    <w:p w14:paraId="0E164D57" w14:textId="77777777" w:rsidR="006C0D6C" w:rsidRPr="00BF3CDE" w:rsidRDefault="006C0D6C" w:rsidP="00224D42">
      <w:pPr>
        <w:spacing w:after="80"/>
        <w:ind w:firstLine="708"/>
        <w:jc w:val="both"/>
        <w:rPr>
          <w:noProof/>
          <w:sz w:val="20"/>
          <w:szCs w:val="20"/>
          <w:lang w:val="sr-Cyrl-CS"/>
        </w:rPr>
      </w:pPr>
      <w:r w:rsidRPr="00BF3CDE">
        <w:rPr>
          <w:noProof/>
          <w:sz w:val="20"/>
          <w:szCs w:val="20"/>
          <w:lang w:val="sr-Cyrl-CS"/>
        </w:rPr>
        <w:t>Такође, резервисане су и штете настале услед поплава у мају 2014. године по уговору о реосигурању вишка штета за природне опасности у износу 325.162 хиљаде динара, у којима највеће учешће имају штете по аутокаску као и багерима осигураника РЕИК Колубара.</w:t>
      </w:r>
    </w:p>
    <w:p w14:paraId="08A1BDF4" w14:textId="77777777" w:rsidR="006C0D6C" w:rsidRPr="00BF3CDE" w:rsidRDefault="006C0D6C" w:rsidP="00224D42">
      <w:pPr>
        <w:spacing w:after="80"/>
        <w:ind w:firstLine="851"/>
        <w:jc w:val="both"/>
        <w:rPr>
          <w:noProof/>
          <w:sz w:val="20"/>
          <w:szCs w:val="20"/>
          <w:lang w:val="sr-Cyrl-CS"/>
        </w:rPr>
      </w:pPr>
      <w:r w:rsidRPr="00BF3CDE">
        <w:rPr>
          <w:noProof/>
          <w:sz w:val="20"/>
          <w:szCs w:val="20"/>
          <w:lang w:val="sr-Cyrl-CS"/>
        </w:rPr>
        <w:t>По врсти 09 је новорезервисана штета за осигураника Колубара из портфеља Компаније Дунав Осигурање – пожарни уговор (износ 38.992 хиљаде динара) која је делимично ликвидирана у 2014. године на износ 17.330 хиљада динара.</w:t>
      </w:r>
    </w:p>
    <w:p w14:paraId="4000E7B9" w14:textId="77777777" w:rsidR="006C0D6C" w:rsidRPr="00BF3CDE" w:rsidRDefault="006C0D6C" w:rsidP="00224D42">
      <w:pPr>
        <w:spacing w:after="80"/>
        <w:ind w:firstLine="851"/>
        <w:jc w:val="both"/>
        <w:rPr>
          <w:noProof/>
          <w:sz w:val="20"/>
          <w:szCs w:val="20"/>
          <w:lang w:val="sr-Cyrl-CS"/>
        </w:rPr>
      </w:pPr>
      <w:r w:rsidRPr="00BF3CDE">
        <w:rPr>
          <w:noProof/>
          <w:sz w:val="20"/>
          <w:szCs w:val="20"/>
          <w:lang w:val="sr-Cyrl-CS"/>
        </w:rPr>
        <w:t>На износ активних резервисаних активних штета значајно утиче и резервација по штетном догађају осигураника Колзец на износ 236.690 хиљада динара, с обзиром на то да је Друштво примило тужбу цедента Триглав осигурање.</w:t>
      </w:r>
    </w:p>
    <w:p w14:paraId="7DC672E1" w14:textId="77777777" w:rsidR="006C0D6C" w:rsidRPr="00BF3CDE" w:rsidRDefault="006C0D6C" w:rsidP="00655CD0">
      <w:pPr>
        <w:pStyle w:val="Heading1"/>
        <w:numPr>
          <w:ilvl w:val="1"/>
          <w:numId w:val="6"/>
        </w:numPr>
        <w:spacing w:before="240" w:after="240"/>
        <w:jc w:val="left"/>
        <w:rPr>
          <w:rFonts w:asciiTheme="majorHAnsi" w:hAnsiTheme="majorHAnsi" w:cs="Tahoma"/>
          <w:i/>
          <w:noProof/>
          <w:color w:val="4F81BD"/>
          <w:sz w:val="22"/>
          <w:szCs w:val="18"/>
          <w:lang w:val="sr-Cyrl-CS"/>
        </w:rPr>
      </w:pPr>
      <w:bookmarkStart w:id="27" w:name="_Toc414356810"/>
      <w:r w:rsidRPr="00BF3CDE">
        <w:rPr>
          <w:rFonts w:asciiTheme="majorHAnsi" w:hAnsiTheme="majorHAnsi" w:cs="Tahoma"/>
          <w:i/>
          <w:noProof/>
          <w:color w:val="4F81BD"/>
          <w:sz w:val="22"/>
          <w:szCs w:val="18"/>
          <w:lang w:val="sr-Cyrl-CS"/>
        </w:rPr>
        <w:t>РЕЗЕРВИСАНЕ ШТЕТЕ У САМОПРИДРЖАЈУ ДРУШТВА</w:t>
      </w:r>
      <w:bookmarkEnd w:id="26"/>
      <w:bookmarkEnd w:id="27"/>
    </w:p>
    <w:p w14:paraId="4132174D" w14:textId="1AAFF757" w:rsidR="006C0D6C" w:rsidRPr="00BF3CDE" w:rsidRDefault="006C0D6C" w:rsidP="00224D42">
      <w:pPr>
        <w:spacing w:after="80"/>
        <w:ind w:firstLine="567"/>
        <w:jc w:val="both"/>
        <w:rPr>
          <w:rStyle w:val="Hyperlink"/>
          <w:noProof/>
          <w:color w:val="auto"/>
          <w:sz w:val="20"/>
          <w:szCs w:val="20"/>
          <w:lang w:val="sr-Cyrl-CS"/>
        </w:rPr>
      </w:pPr>
      <w:r w:rsidRPr="00BF3CDE">
        <w:rPr>
          <w:rStyle w:val="Hyperlink"/>
          <w:noProof/>
          <w:color w:val="auto"/>
          <w:sz w:val="20"/>
          <w:szCs w:val="20"/>
          <w:lang w:val="sr-Cyrl-CS"/>
        </w:rPr>
        <w:t>Резервисане штете у самопридржају Друштва на дан 31.12.2014. године износе 411.069 хиљада динара и чине 28,94% укупно резервисаних штета на дан 31.12.2014. године. У односу на исти период претходне године веће су за 43,76%, док су у односу на планиране вредности веће за 12,35%.</w:t>
      </w:r>
      <w:r w:rsidR="004B60E3">
        <w:rPr>
          <w:rStyle w:val="Hyperlink"/>
          <w:noProof/>
          <w:color w:val="auto"/>
          <w:sz w:val="20"/>
          <w:szCs w:val="20"/>
          <w:lang w:val="sr-Cyrl-CS"/>
        </w:rPr>
        <w:t xml:space="preserve"> </w:t>
      </w:r>
      <w:r w:rsidR="004B60E3">
        <w:rPr>
          <w:rStyle w:val="Hyperlink"/>
          <w:noProof/>
          <w:color w:val="auto"/>
          <w:sz w:val="20"/>
          <w:szCs w:val="20"/>
          <w:lang w:val="sr-Cyrl-RS"/>
        </w:rPr>
        <w:t xml:space="preserve">Укупне резервације у самопридржају заједно са </w:t>
      </w:r>
      <w:r w:rsidR="004B60E3" w:rsidRPr="004B60E3">
        <w:rPr>
          <w:rStyle w:val="Hyperlink"/>
          <w:noProof/>
          <w:color w:val="auto"/>
          <w:sz w:val="20"/>
          <w:szCs w:val="20"/>
          <w:lang w:val="sr-Cyrl-RS"/>
        </w:rPr>
        <w:t>ИБНР и резервацијама за трошкове ликвидације</w:t>
      </w:r>
      <w:r w:rsidR="004B60E3">
        <w:rPr>
          <w:rStyle w:val="Hyperlink"/>
          <w:noProof/>
          <w:color w:val="auto"/>
          <w:sz w:val="20"/>
          <w:szCs w:val="20"/>
          <w:lang w:val="sr-Cyrl-RS"/>
        </w:rPr>
        <w:t xml:space="preserve"> штета износе </w:t>
      </w:r>
      <w:r w:rsidR="004B60E3" w:rsidRPr="004B60E3">
        <w:rPr>
          <w:rStyle w:val="Hyperlink"/>
          <w:noProof/>
          <w:color w:val="auto"/>
          <w:sz w:val="20"/>
          <w:szCs w:val="20"/>
          <w:lang w:val="sr-Cyrl-RS"/>
        </w:rPr>
        <w:t>568</w:t>
      </w:r>
      <w:r w:rsidR="004B60E3">
        <w:rPr>
          <w:rStyle w:val="Hyperlink"/>
          <w:noProof/>
          <w:color w:val="auto"/>
          <w:sz w:val="20"/>
          <w:szCs w:val="20"/>
          <w:lang w:val="sr-Cyrl-RS"/>
        </w:rPr>
        <w:t>.</w:t>
      </w:r>
      <w:r w:rsidR="004B60E3" w:rsidRPr="004B60E3">
        <w:rPr>
          <w:rStyle w:val="Hyperlink"/>
          <w:noProof/>
          <w:color w:val="auto"/>
          <w:sz w:val="20"/>
          <w:szCs w:val="20"/>
          <w:lang w:val="sr-Cyrl-RS"/>
        </w:rPr>
        <w:t>127</w:t>
      </w:r>
      <w:r w:rsidR="004B60E3">
        <w:rPr>
          <w:rStyle w:val="Hyperlink"/>
          <w:noProof/>
          <w:color w:val="auto"/>
          <w:sz w:val="20"/>
          <w:szCs w:val="20"/>
          <w:lang w:val="sr-Cyrl-RS"/>
        </w:rPr>
        <w:t xml:space="preserve"> хиљада динара.</w:t>
      </w:r>
    </w:p>
    <w:p w14:paraId="39B4BEAA" w14:textId="77777777" w:rsidR="006C0D6C" w:rsidRPr="00BF3CDE" w:rsidRDefault="006C0D6C" w:rsidP="006C0D6C">
      <w:pPr>
        <w:spacing w:after="0"/>
        <w:ind w:right="-142"/>
        <w:jc w:val="center"/>
        <w:rPr>
          <w:rFonts w:ascii="Verdana" w:hAnsi="Verdana" w:cs="Tahoma"/>
          <w:b/>
          <w:i/>
          <w:noProof/>
          <w:sz w:val="20"/>
          <w:szCs w:val="20"/>
          <w:bdr w:val="none" w:sz="0" w:space="0" w:color="auto" w:frame="1"/>
          <w:lang w:val="sr-Cyrl-CS"/>
        </w:rPr>
      </w:pPr>
      <w:r w:rsidRPr="00BF3CDE">
        <w:rPr>
          <w:rFonts w:ascii="Verdana" w:hAnsi="Verdana" w:cs="Tahoma"/>
          <w:b/>
          <w:i/>
          <w:noProof/>
          <w:sz w:val="20"/>
          <w:szCs w:val="20"/>
          <w:bdr w:val="none" w:sz="0" w:space="0" w:color="auto" w:frame="1"/>
          <w:lang w:val="sr-Cyrl-CS"/>
        </w:rPr>
        <w:t>Резервисане штете у самопридржају Друштва</w:t>
      </w:r>
      <w:r w:rsidRPr="00BF3CDE">
        <w:rPr>
          <w:rStyle w:val="Hyperlink"/>
          <w:noProof/>
          <w:color w:val="auto"/>
          <w:sz w:val="20"/>
          <w:szCs w:val="20"/>
          <w:lang w:val="sr-Cyrl-CS"/>
        </w:rPr>
        <w:t xml:space="preserve"> </w:t>
      </w:r>
      <w:r w:rsidRPr="00BF3CDE">
        <w:rPr>
          <w:rFonts w:ascii="Verdana" w:hAnsi="Verdana" w:cs="Tahoma"/>
          <w:b/>
          <w:i/>
          <w:noProof/>
          <w:sz w:val="20"/>
          <w:szCs w:val="20"/>
          <w:bdr w:val="none" w:sz="0" w:space="0" w:color="auto" w:frame="1"/>
          <w:lang w:val="sr-Cyrl-CS"/>
        </w:rPr>
        <w:t>у хиљадама динара</w:t>
      </w:r>
    </w:p>
    <w:p w14:paraId="6603437E" w14:textId="77777777" w:rsidR="00224D42" w:rsidRPr="00BF3CDE" w:rsidRDefault="00224D42" w:rsidP="006C0D6C">
      <w:pPr>
        <w:spacing w:after="0"/>
        <w:ind w:right="-142"/>
        <w:jc w:val="center"/>
        <w:rPr>
          <w:rFonts w:ascii="Verdana" w:hAnsi="Verdana" w:cs="Tahoma"/>
          <w:b/>
          <w:i/>
          <w:noProof/>
          <w:sz w:val="10"/>
          <w:szCs w:val="10"/>
          <w:bdr w:val="none" w:sz="0" w:space="0" w:color="auto" w:frame="1"/>
          <w:lang w:val="sr-Cyrl-CS"/>
        </w:rPr>
      </w:pPr>
    </w:p>
    <w:tbl>
      <w:tblPr>
        <w:tblStyle w:val="MediumList1-Accent11"/>
        <w:tblW w:w="9288" w:type="dxa"/>
        <w:tblLayout w:type="fixed"/>
        <w:tblLook w:val="0420" w:firstRow="1" w:lastRow="0" w:firstColumn="0" w:lastColumn="0" w:noHBand="0" w:noVBand="1"/>
      </w:tblPr>
      <w:tblGrid>
        <w:gridCol w:w="1326"/>
        <w:gridCol w:w="1327"/>
        <w:gridCol w:w="1327"/>
        <w:gridCol w:w="1327"/>
        <w:gridCol w:w="1327"/>
        <w:gridCol w:w="1327"/>
        <w:gridCol w:w="1327"/>
      </w:tblGrid>
      <w:tr w:rsidR="006C0D6C" w:rsidRPr="00BF3CDE" w14:paraId="7229D153" w14:textId="77777777" w:rsidTr="006C0D6C">
        <w:trPr>
          <w:cnfStyle w:val="100000000000" w:firstRow="1" w:lastRow="0" w:firstColumn="0" w:lastColumn="0" w:oddVBand="0" w:evenVBand="0" w:oddHBand="0" w:evenHBand="0" w:firstRowFirstColumn="0" w:firstRowLastColumn="0" w:lastRowFirstColumn="0" w:lastRowLastColumn="0"/>
          <w:trHeight w:val="219"/>
        </w:trPr>
        <w:tc>
          <w:tcPr>
            <w:tcW w:w="1326" w:type="dxa"/>
          </w:tcPr>
          <w:p w14:paraId="26411A68"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2008</w:t>
            </w:r>
          </w:p>
        </w:tc>
        <w:tc>
          <w:tcPr>
            <w:tcW w:w="1327" w:type="dxa"/>
          </w:tcPr>
          <w:p w14:paraId="2A9ED542"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2009</w:t>
            </w:r>
          </w:p>
        </w:tc>
        <w:tc>
          <w:tcPr>
            <w:tcW w:w="1327" w:type="dxa"/>
          </w:tcPr>
          <w:p w14:paraId="2A6817C6"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2010</w:t>
            </w:r>
          </w:p>
        </w:tc>
        <w:tc>
          <w:tcPr>
            <w:tcW w:w="1327" w:type="dxa"/>
          </w:tcPr>
          <w:p w14:paraId="7664D5C0"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2011</w:t>
            </w:r>
          </w:p>
        </w:tc>
        <w:tc>
          <w:tcPr>
            <w:tcW w:w="1327" w:type="dxa"/>
          </w:tcPr>
          <w:p w14:paraId="15692A41"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2012</w:t>
            </w:r>
          </w:p>
        </w:tc>
        <w:tc>
          <w:tcPr>
            <w:tcW w:w="1327" w:type="dxa"/>
          </w:tcPr>
          <w:p w14:paraId="7E86AAB2"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2013</w:t>
            </w:r>
          </w:p>
        </w:tc>
        <w:tc>
          <w:tcPr>
            <w:tcW w:w="1327" w:type="dxa"/>
          </w:tcPr>
          <w:p w14:paraId="0F4F5984"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2014</w:t>
            </w:r>
          </w:p>
        </w:tc>
      </w:tr>
      <w:tr w:rsidR="006C0D6C" w:rsidRPr="00BF3CDE" w14:paraId="64F5EF7C" w14:textId="77777777" w:rsidTr="006C0D6C">
        <w:trPr>
          <w:cnfStyle w:val="000000100000" w:firstRow="0" w:lastRow="0" w:firstColumn="0" w:lastColumn="0" w:oddVBand="0" w:evenVBand="0" w:oddHBand="1" w:evenHBand="0" w:firstRowFirstColumn="0" w:firstRowLastColumn="0" w:lastRowFirstColumn="0" w:lastRowLastColumn="0"/>
          <w:trHeight w:val="233"/>
        </w:trPr>
        <w:tc>
          <w:tcPr>
            <w:tcW w:w="1326" w:type="dxa"/>
          </w:tcPr>
          <w:p w14:paraId="49505C15"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303.833</w:t>
            </w:r>
          </w:p>
        </w:tc>
        <w:tc>
          <w:tcPr>
            <w:tcW w:w="1327" w:type="dxa"/>
          </w:tcPr>
          <w:p w14:paraId="2AE96015"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354.964</w:t>
            </w:r>
          </w:p>
        </w:tc>
        <w:tc>
          <w:tcPr>
            <w:tcW w:w="1327" w:type="dxa"/>
          </w:tcPr>
          <w:p w14:paraId="5617BFEC"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492.086</w:t>
            </w:r>
          </w:p>
        </w:tc>
        <w:tc>
          <w:tcPr>
            <w:tcW w:w="1327" w:type="dxa"/>
          </w:tcPr>
          <w:p w14:paraId="682AA6B6"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392.636</w:t>
            </w:r>
          </w:p>
        </w:tc>
        <w:tc>
          <w:tcPr>
            <w:tcW w:w="1327" w:type="dxa"/>
          </w:tcPr>
          <w:p w14:paraId="474A7620"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442.864</w:t>
            </w:r>
          </w:p>
        </w:tc>
        <w:tc>
          <w:tcPr>
            <w:tcW w:w="1327" w:type="dxa"/>
          </w:tcPr>
          <w:p w14:paraId="0EA27395"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285.933</w:t>
            </w:r>
          </w:p>
        </w:tc>
        <w:tc>
          <w:tcPr>
            <w:tcW w:w="1327" w:type="dxa"/>
          </w:tcPr>
          <w:p w14:paraId="0938D953"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411.069</w:t>
            </w:r>
          </w:p>
        </w:tc>
      </w:tr>
    </w:tbl>
    <w:p w14:paraId="49F159F0" w14:textId="77777777" w:rsidR="006C0D6C" w:rsidRPr="00BF3CDE" w:rsidRDefault="006C0D6C" w:rsidP="006C0D6C">
      <w:pPr>
        <w:spacing w:after="0"/>
        <w:ind w:right="-142"/>
        <w:jc w:val="center"/>
        <w:rPr>
          <w:rFonts w:ascii="Verdana" w:hAnsi="Verdana" w:cs="Tahoma"/>
          <w:noProof/>
          <w:sz w:val="10"/>
          <w:szCs w:val="10"/>
          <w:bdr w:val="none" w:sz="0" w:space="0" w:color="auto" w:frame="1"/>
          <w:lang w:val="sr-Cyrl-CS"/>
        </w:rPr>
      </w:pPr>
    </w:p>
    <w:p w14:paraId="4B14299F" w14:textId="77777777" w:rsidR="006C0D6C" w:rsidRPr="00BF3CDE" w:rsidRDefault="006C0D6C" w:rsidP="00224D42">
      <w:pPr>
        <w:spacing w:after="60"/>
        <w:ind w:firstLine="851"/>
        <w:jc w:val="both"/>
        <w:rPr>
          <w:rStyle w:val="Hyperlink"/>
          <w:noProof/>
          <w:color w:val="auto"/>
          <w:sz w:val="20"/>
          <w:szCs w:val="20"/>
          <w:lang w:val="sr-Cyrl-CS"/>
        </w:rPr>
      </w:pPr>
      <w:r w:rsidRPr="00BF3CDE">
        <w:rPr>
          <w:rStyle w:val="Hyperlink"/>
          <w:noProof/>
          <w:color w:val="auto"/>
          <w:sz w:val="20"/>
          <w:szCs w:val="20"/>
          <w:lang w:val="sr-Cyrl-CS"/>
        </w:rPr>
        <w:t xml:space="preserve">У укупном износу резервисаних штета у самопридржају Друштва, штете по старим активним иностраним пословима учествују 13,62% и односе се на уговоре о реосигурању за 3 друштва: </w:t>
      </w:r>
    </w:p>
    <w:p w14:paraId="5F8DA601" w14:textId="77777777" w:rsidR="006C0D6C" w:rsidRPr="00BF3CDE" w:rsidRDefault="006C0D6C" w:rsidP="00655CD0">
      <w:pPr>
        <w:pStyle w:val="ListParagraph"/>
        <w:numPr>
          <w:ilvl w:val="0"/>
          <w:numId w:val="17"/>
        </w:numPr>
        <w:spacing w:after="120"/>
        <w:jc w:val="both"/>
        <w:rPr>
          <w:rStyle w:val="Hyperlink"/>
          <w:noProof/>
          <w:color w:val="auto"/>
          <w:sz w:val="20"/>
          <w:szCs w:val="20"/>
          <w:lang w:val="sr-Cyrl-CS"/>
        </w:rPr>
      </w:pPr>
      <w:r w:rsidRPr="00BF3CDE">
        <w:rPr>
          <w:rStyle w:val="Hyperlink"/>
          <w:noProof/>
          <w:color w:val="auto"/>
          <w:sz w:val="20"/>
          <w:szCs w:val="20"/>
          <w:lang w:val="sr-Cyrl-CS"/>
        </w:rPr>
        <w:t>Centry Indemnity Company</w:t>
      </w:r>
    </w:p>
    <w:p w14:paraId="58266E1F" w14:textId="77777777" w:rsidR="006C0D6C" w:rsidRPr="00BF3CDE" w:rsidRDefault="006C0D6C" w:rsidP="00655CD0">
      <w:pPr>
        <w:pStyle w:val="ListParagraph"/>
        <w:numPr>
          <w:ilvl w:val="0"/>
          <w:numId w:val="17"/>
        </w:numPr>
        <w:spacing w:after="120"/>
        <w:jc w:val="both"/>
        <w:rPr>
          <w:rStyle w:val="Hyperlink"/>
          <w:noProof/>
          <w:color w:val="auto"/>
          <w:sz w:val="20"/>
          <w:szCs w:val="20"/>
          <w:lang w:val="sr-Cyrl-CS"/>
        </w:rPr>
      </w:pPr>
      <w:r w:rsidRPr="00BF3CDE">
        <w:rPr>
          <w:rStyle w:val="Hyperlink"/>
          <w:noProof/>
          <w:color w:val="auto"/>
          <w:sz w:val="20"/>
          <w:szCs w:val="20"/>
          <w:lang w:val="sr-Cyrl-CS"/>
        </w:rPr>
        <w:t>Midland Ins. Co.</w:t>
      </w:r>
    </w:p>
    <w:p w14:paraId="555B7B78" w14:textId="77777777" w:rsidR="006C0D6C" w:rsidRPr="00BF3CDE" w:rsidRDefault="006C0D6C" w:rsidP="00655CD0">
      <w:pPr>
        <w:pStyle w:val="ListParagraph"/>
        <w:numPr>
          <w:ilvl w:val="0"/>
          <w:numId w:val="17"/>
        </w:numPr>
        <w:spacing w:after="80"/>
        <w:ind w:left="924" w:hanging="357"/>
        <w:jc w:val="both"/>
        <w:rPr>
          <w:rStyle w:val="Hyperlink"/>
          <w:noProof/>
          <w:color w:val="auto"/>
          <w:sz w:val="20"/>
          <w:szCs w:val="20"/>
          <w:lang w:val="sr-Cyrl-CS"/>
        </w:rPr>
      </w:pPr>
      <w:r w:rsidRPr="00BF3CDE">
        <w:rPr>
          <w:rStyle w:val="Hyperlink"/>
          <w:noProof/>
          <w:color w:val="auto"/>
          <w:sz w:val="20"/>
          <w:szCs w:val="20"/>
          <w:lang w:val="sr-Cyrl-CS"/>
        </w:rPr>
        <w:t>Sant Georges Re.</w:t>
      </w:r>
    </w:p>
    <w:p w14:paraId="319C8D20" w14:textId="77777777" w:rsidR="006C0D6C" w:rsidRPr="00BF3CDE" w:rsidRDefault="006C0D6C" w:rsidP="00224D42">
      <w:pPr>
        <w:spacing w:after="80"/>
        <w:ind w:firstLine="567"/>
        <w:jc w:val="both"/>
        <w:rPr>
          <w:rStyle w:val="Hyperlink"/>
          <w:noProof/>
          <w:color w:val="auto"/>
          <w:sz w:val="20"/>
          <w:szCs w:val="20"/>
          <w:lang w:val="sr-Cyrl-CS"/>
        </w:rPr>
      </w:pPr>
      <w:r w:rsidRPr="00BF3CDE">
        <w:rPr>
          <w:rStyle w:val="Hyperlink"/>
          <w:noProof/>
          <w:color w:val="auto"/>
          <w:sz w:val="20"/>
          <w:szCs w:val="20"/>
          <w:lang w:val="sr-Cyrl-CS"/>
        </w:rPr>
        <w:lastRenderedPageBreak/>
        <w:t xml:space="preserve">Укупне резервисане штете по уговорима за наведене Цеденте износе 55.994 хиљаде динара. </w:t>
      </w:r>
    </w:p>
    <w:p w14:paraId="5DDED8FE" w14:textId="77777777" w:rsidR="006C0D6C" w:rsidRPr="00BF3CDE" w:rsidRDefault="006C0D6C" w:rsidP="00224D42">
      <w:pPr>
        <w:spacing w:after="80"/>
        <w:ind w:firstLine="851"/>
        <w:jc w:val="both"/>
        <w:rPr>
          <w:rStyle w:val="Hyperlink"/>
          <w:noProof/>
          <w:color w:val="auto"/>
          <w:sz w:val="20"/>
          <w:szCs w:val="20"/>
          <w:lang w:val="sr-Cyrl-CS"/>
        </w:rPr>
      </w:pPr>
      <w:r w:rsidRPr="00BF3CDE">
        <w:rPr>
          <w:rStyle w:val="Hyperlink"/>
          <w:noProof/>
          <w:color w:val="auto"/>
          <w:sz w:val="20"/>
          <w:szCs w:val="20"/>
          <w:lang w:val="sr-Cyrl-CS"/>
        </w:rPr>
        <w:t>Највеће штете у самопридржају Друштва резервисане на дан 31.12.2014. године су:</w:t>
      </w:r>
    </w:p>
    <w:p w14:paraId="49377658" w14:textId="77777777" w:rsidR="00224D42" w:rsidRPr="00BF3CDE" w:rsidRDefault="006C0D6C" w:rsidP="00655CD0">
      <w:pPr>
        <w:pStyle w:val="ListParagraph"/>
        <w:numPr>
          <w:ilvl w:val="0"/>
          <w:numId w:val="31"/>
        </w:numPr>
        <w:spacing w:after="120" w:line="240" w:lineRule="auto"/>
        <w:jc w:val="both"/>
        <w:rPr>
          <w:rFonts w:ascii="Verdana" w:hAnsi="Verdana"/>
          <w:noProof/>
          <w:sz w:val="20"/>
          <w:szCs w:val="20"/>
          <w:lang w:val="sr-Cyrl-CS"/>
        </w:rPr>
      </w:pPr>
      <w:r w:rsidRPr="00BF3CDE">
        <w:rPr>
          <w:rFonts w:ascii="Verdana" w:hAnsi="Verdana"/>
          <w:noProof/>
          <w:sz w:val="20"/>
          <w:szCs w:val="20"/>
          <w:lang w:val="sr-Cyrl-CS"/>
        </w:rPr>
        <w:t xml:space="preserve">Цедент Триглав осигурање, штета Колзец: </w:t>
      </w:r>
    </w:p>
    <w:p w14:paraId="6FC3E149" w14:textId="77777777" w:rsidR="006C0D6C" w:rsidRPr="00BF3CDE" w:rsidRDefault="006C0D6C" w:rsidP="00224D42">
      <w:pPr>
        <w:pStyle w:val="ListParagraph"/>
        <w:spacing w:after="120" w:line="240" w:lineRule="auto"/>
        <w:jc w:val="both"/>
        <w:rPr>
          <w:rFonts w:ascii="Verdana" w:hAnsi="Verdana"/>
          <w:noProof/>
          <w:sz w:val="20"/>
          <w:szCs w:val="20"/>
          <w:lang w:val="sr-Cyrl-CS"/>
        </w:rPr>
      </w:pPr>
      <w:r w:rsidRPr="00BF3CDE">
        <w:rPr>
          <w:rFonts w:ascii="Verdana" w:hAnsi="Verdana"/>
          <w:noProof/>
          <w:sz w:val="20"/>
          <w:szCs w:val="20"/>
          <w:lang w:val="sr-Cyrl-CS"/>
        </w:rPr>
        <w:t>износ штете 118.345 хиљада динара,</w:t>
      </w:r>
    </w:p>
    <w:p w14:paraId="48A6AD1F" w14:textId="77777777" w:rsidR="00224D42" w:rsidRPr="00BF3CDE" w:rsidRDefault="006C0D6C" w:rsidP="00655CD0">
      <w:pPr>
        <w:pStyle w:val="ListParagraph"/>
        <w:numPr>
          <w:ilvl w:val="0"/>
          <w:numId w:val="31"/>
        </w:numPr>
        <w:spacing w:after="0" w:line="240" w:lineRule="auto"/>
        <w:jc w:val="both"/>
        <w:rPr>
          <w:rFonts w:ascii="Verdana" w:hAnsi="Verdana"/>
          <w:noProof/>
          <w:sz w:val="20"/>
          <w:szCs w:val="20"/>
          <w:lang w:val="sr-Cyrl-CS"/>
        </w:rPr>
      </w:pPr>
      <w:r w:rsidRPr="00BF3CDE">
        <w:rPr>
          <w:rFonts w:ascii="Verdana" w:hAnsi="Verdana"/>
          <w:noProof/>
          <w:sz w:val="20"/>
          <w:szCs w:val="20"/>
          <w:lang w:val="sr-Cyrl-CS"/>
        </w:rPr>
        <w:t>Midland Ins. Co</w:t>
      </w:r>
      <w:r w:rsidRPr="00BF3CDE">
        <w:rPr>
          <w:rStyle w:val="Hyperlink"/>
          <w:noProof/>
          <w:color w:val="auto"/>
          <w:sz w:val="20"/>
          <w:szCs w:val="20"/>
          <w:lang w:val="sr-Cyrl-CS"/>
        </w:rPr>
        <w:t>.</w:t>
      </w:r>
      <w:r w:rsidRPr="00BF3CDE">
        <w:rPr>
          <w:rFonts w:ascii="Verdana" w:hAnsi="Verdana"/>
          <w:noProof/>
          <w:sz w:val="20"/>
          <w:szCs w:val="20"/>
          <w:lang w:val="sr-Cyrl-CS"/>
        </w:rPr>
        <w:t xml:space="preserve"> - стари активно иностани послови, </w:t>
      </w:r>
    </w:p>
    <w:p w14:paraId="3D4C64FD" w14:textId="77777777" w:rsidR="006C0D6C" w:rsidRPr="00BF3CDE" w:rsidRDefault="006C0D6C" w:rsidP="00224D42">
      <w:pPr>
        <w:pStyle w:val="ListParagraph"/>
        <w:spacing w:after="0" w:line="240" w:lineRule="auto"/>
        <w:jc w:val="both"/>
        <w:rPr>
          <w:rFonts w:ascii="Verdana" w:hAnsi="Verdana"/>
          <w:noProof/>
          <w:sz w:val="20"/>
          <w:szCs w:val="20"/>
          <w:lang w:val="sr-Cyrl-CS"/>
        </w:rPr>
      </w:pPr>
      <w:r w:rsidRPr="00BF3CDE">
        <w:rPr>
          <w:rFonts w:ascii="Verdana" w:hAnsi="Verdana"/>
          <w:noProof/>
          <w:sz w:val="20"/>
          <w:szCs w:val="20"/>
          <w:lang w:val="sr-Cyrl-CS"/>
        </w:rPr>
        <w:t xml:space="preserve">износ штете: 51.038 хиљада динара, </w:t>
      </w:r>
    </w:p>
    <w:p w14:paraId="36CB18E0" w14:textId="77777777" w:rsidR="006C0D6C" w:rsidRPr="00BF3CDE" w:rsidRDefault="006C0D6C" w:rsidP="00655CD0">
      <w:pPr>
        <w:pStyle w:val="ListParagraph"/>
        <w:numPr>
          <w:ilvl w:val="0"/>
          <w:numId w:val="31"/>
        </w:numPr>
        <w:spacing w:after="0"/>
        <w:jc w:val="both"/>
        <w:rPr>
          <w:rFonts w:ascii="Verdana" w:hAnsi="Verdana"/>
          <w:noProof/>
          <w:sz w:val="20"/>
          <w:szCs w:val="20"/>
          <w:lang w:val="sr-Cyrl-CS"/>
        </w:rPr>
      </w:pPr>
      <w:r w:rsidRPr="00BF3CDE">
        <w:rPr>
          <w:rFonts w:ascii="Verdana" w:hAnsi="Verdana"/>
          <w:noProof/>
          <w:sz w:val="20"/>
          <w:szCs w:val="20"/>
          <w:lang w:val="sr-Cyrl-CS"/>
        </w:rPr>
        <w:t>Цедент Компанија Дунав Осигурање, штета Багер Ведричар РЕИК Колубара, износ штете: 26.892 хиљада динара, штета од поплаве у мају 2014.</w:t>
      </w:r>
    </w:p>
    <w:p w14:paraId="2886107C" w14:textId="77777777" w:rsidR="00224D42" w:rsidRPr="00BF3CDE" w:rsidRDefault="006C0D6C" w:rsidP="00655CD0">
      <w:pPr>
        <w:pStyle w:val="ListParagraph"/>
        <w:numPr>
          <w:ilvl w:val="0"/>
          <w:numId w:val="31"/>
        </w:numPr>
        <w:jc w:val="both"/>
        <w:rPr>
          <w:rFonts w:ascii="Verdana" w:hAnsi="Verdana"/>
          <w:noProof/>
          <w:sz w:val="20"/>
          <w:szCs w:val="20"/>
          <w:lang w:val="sr-Cyrl-CS"/>
        </w:rPr>
      </w:pPr>
      <w:r w:rsidRPr="00BF3CDE">
        <w:rPr>
          <w:rFonts w:ascii="Verdana" w:hAnsi="Verdana"/>
          <w:noProof/>
          <w:sz w:val="20"/>
          <w:szCs w:val="20"/>
          <w:lang w:val="sr-Cyrl-CS"/>
        </w:rPr>
        <w:t>Компанија Дунав Осигурање, Уговор о реосигурању вишка штета за природне опасности: износ штета 36.317 хиљада динара и односи се на штете изазване поплавама у мају 2014. године.</w:t>
      </w:r>
    </w:p>
    <w:p w14:paraId="3A3326FC" w14:textId="77777777" w:rsidR="00224D42" w:rsidRPr="00BF3CDE" w:rsidRDefault="006C0D6C" w:rsidP="00655CD0">
      <w:pPr>
        <w:pStyle w:val="ListParagraph"/>
        <w:numPr>
          <w:ilvl w:val="0"/>
          <w:numId w:val="31"/>
        </w:numPr>
        <w:jc w:val="both"/>
        <w:rPr>
          <w:rFonts w:ascii="Verdana" w:hAnsi="Verdana"/>
          <w:noProof/>
          <w:sz w:val="20"/>
          <w:szCs w:val="20"/>
          <w:lang w:val="sr-Cyrl-CS"/>
        </w:rPr>
      </w:pPr>
      <w:r w:rsidRPr="00BF3CDE">
        <w:rPr>
          <w:rFonts w:ascii="Verdana" w:hAnsi="Verdana"/>
          <w:noProof/>
          <w:sz w:val="20"/>
          <w:szCs w:val="20"/>
          <w:lang w:val="sr-Cyrl-CS"/>
        </w:rPr>
        <w:t xml:space="preserve">Цедент Ас осигурање, штета Глобос Мс Траде, </w:t>
      </w:r>
    </w:p>
    <w:p w14:paraId="576B6564" w14:textId="77777777" w:rsidR="00224D42" w:rsidRPr="00BF3CDE" w:rsidRDefault="006C0D6C" w:rsidP="00224D42">
      <w:pPr>
        <w:pStyle w:val="ListParagraph"/>
        <w:jc w:val="both"/>
        <w:rPr>
          <w:rFonts w:ascii="Verdana" w:hAnsi="Verdana"/>
          <w:noProof/>
          <w:sz w:val="20"/>
          <w:szCs w:val="20"/>
          <w:lang w:val="sr-Cyrl-CS"/>
        </w:rPr>
      </w:pPr>
      <w:r w:rsidRPr="00BF3CDE">
        <w:rPr>
          <w:rFonts w:ascii="Verdana" w:hAnsi="Verdana"/>
          <w:noProof/>
          <w:sz w:val="20"/>
          <w:szCs w:val="20"/>
          <w:lang w:val="sr-Cyrl-CS"/>
        </w:rPr>
        <w:t>износ штете: 16.800 хиљада динара</w:t>
      </w:r>
    </w:p>
    <w:p w14:paraId="4E1D90FB" w14:textId="77777777" w:rsidR="00224D42" w:rsidRPr="00BF3CDE" w:rsidRDefault="006C0D6C" w:rsidP="00655CD0">
      <w:pPr>
        <w:pStyle w:val="ListParagraph"/>
        <w:numPr>
          <w:ilvl w:val="0"/>
          <w:numId w:val="31"/>
        </w:numPr>
        <w:jc w:val="both"/>
        <w:rPr>
          <w:rFonts w:ascii="Verdana" w:hAnsi="Verdana"/>
          <w:noProof/>
          <w:sz w:val="20"/>
          <w:szCs w:val="20"/>
          <w:lang w:val="sr-Cyrl-CS"/>
        </w:rPr>
      </w:pPr>
      <w:r w:rsidRPr="00BF3CDE">
        <w:rPr>
          <w:rFonts w:ascii="Verdana" w:hAnsi="Verdana"/>
          <w:noProof/>
          <w:sz w:val="20"/>
          <w:szCs w:val="20"/>
          <w:lang w:val="sr-Cyrl-CS"/>
        </w:rPr>
        <w:t xml:space="preserve">Цедент Croatia Lloyd, штета Супер Вива SHPK, </w:t>
      </w:r>
    </w:p>
    <w:p w14:paraId="5F4FDD5A" w14:textId="77777777" w:rsidR="006C0D6C" w:rsidRPr="00BF3CDE" w:rsidRDefault="006C0D6C" w:rsidP="00224D42">
      <w:pPr>
        <w:pStyle w:val="ListParagraph"/>
        <w:jc w:val="both"/>
        <w:rPr>
          <w:rFonts w:ascii="Verdana" w:hAnsi="Verdana"/>
          <w:noProof/>
          <w:sz w:val="20"/>
          <w:szCs w:val="20"/>
          <w:lang w:val="sr-Cyrl-CS"/>
        </w:rPr>
      </w:pPr>
      <w:r w:rsidRPr="00BF3CDE">
        <w:rPr>
          <w:rFonts w:ascii="Verdana" w:hAnsi="Verdana"/>
          <w:noProof/>
          <w:sz w:val="20"/>
          <w:szCs w:val="20"/>
          <w:lang w:val="sr-Cyrl-CS"/>
        </w:rPr>
        <w:t>износ штете: 13.910 хиљада динара</w:t>
      </w:r>
    </w:p>
    <w:p w14:paraId="15EB9C51" w14:textId="1A9B5955" w:rsidR="006C0D6C" w:rsidRPr="00BF3CDE" w:rsidRDefault="006C0D6C" w:rsidP="00655CD0">
      <w:pPr>
        <w:pStyle w:val="Heading1"/>
        <w:numPr>
          <w:ilvl w:val="1"/>
          <w:numId w:val="6"/>
        </w:numPr>
        <w:spacing w:before="240" w:after="240"/>
        <w:jc w:val="left"/>
        <w:rPr>
          <w:rFonts w:asciiTheme="majorHAnsi" w:hAnsiTheme="majorHAnsi" w:cs="Tahoma"/>
          <w:i/>
          <w:noProof/>
          <w:color w:val="4F81BD"/>
          <w:sz w:val="22"/>
          <w:szCs w:val="18"/>
          <w:lang w:val="sr-Cyrl-CS"/>
        </w:rPr>
      </w:pPr>
      <w:bookmarkStart w:id="28" w:name="_Toc414356811"/>
      <w:r w:rsidRPr="00BF3CDE">
        <w:rPr>
          <w:rFonts w:asciiTheme="majorHAnsi" w:hAnsiTheme="majorHAnsi" w:cs="Tahoma"/>
          <w:i/>
          <w:noProof/>
          <w:color w:val="4F81BD"/>
          <w:sz w:val="22"/>
          <w:szCs w:val="18"/>
          <w:lang w:val="sr-Cyrl-CS"/>
        </w:rPr>
        <w:t>РЕЗЕРВИСАНЕ ШТЕТЕ РЕТРОЦЕСИЈЕ ДРУШТВА</w:t>
      </w:r>
      <w:bookmarkEnd w:id="28"/>
    </w:p>
    <w:p w14:paraId="0AD88202" w14:textId="77777777" w:rsidR="006C0D6C" w:rsidRPr="00BF3CDE" w:rsidRDefault="006C0D6C" w:rsidP="006C0D6C">
      <w:pPr>
        <w:spacing w:after="120"/>
        <w:ind w:firstLine="567"/>
        <w:jc w:val="both"/>
        <w:rPr>
          <w:rStyle w:val="Hyperlink"/>
          <w:noProof/>
          <w:color w:val="auto"/>
          <w:sz w:val="20"/>
          <w:szCs w:val="20"/>
          <w:lang w:val="sr-Cyrl-CS"/>
        </w:rPr>
      </w:pPr>
      <w:r w:rsidRPr="00BF3CDE">
        <w:rPr>
          <w:rStyle w:val="Hyperlink"/>
          <w:noProof/>
          <w:color w:val="auto"/>
          <w:sz w:val="20"/>
          <w:szCs w:val="20"/>
          <w:lang w:val="sr-Cyrl-CS"/>
        </w:rPr>
        <w:t>Укупно резервисане штете ретроцесије на дан 31.12.2014. године износе 1.009.578 хиљада динара и веће су за 105,52% у односу на исти период претходне године, док су у односу на планиране вредности веће за 80,21%.</w:t>
      </w:r>
    </w:p>
    <w:p w14:paraId="2F002B25" w14:textId="77777777" w:rsidR="006C0D6C" w:rsidRPr="00BF3CDE" w:rsidRDefault="006C0D6C" w:rsidP="006C0D6C">
      <w:pPr>
        <w:spacing w:after="120"/>
        <w:ind w:firstLine="567"/>
        <w:jc w:val="both"/>
        <w:rPr>
          <w:rStyle w:val="Hyperlink"/>
          <w:noProof/>
          <w:color w:val="auto"/>
          <w:sz w:val="20"/>
          <w:szCs w:val="20"/>
          <w:lang w:val="sr-Cyrl-CS"/>
        </w:rPr>
      </w:pPr>
      <w:r w:rsidRPr="00BF3CDE">
        <w:rPr>
          <w:rStyle w:val="Hyperlink"/>
          <w:noProof/>
          <w:color w:val="auto"/>
          <w:sz w:val="20"/>
          <w:szCs w:val="20"/>
          <w:lang w:val="sr-Cyrl-CS"/>
        </w:rPr>
        <w:t xml:space="preserve">Резервисане штете из ретроцесије износе </w:t>
      </w:r>
      <w:r w:rsidRPr="00BF3CDE">
        <w:rPr>
          <w:rFonts w:ascii="Verdana" w:eastAsia="Times New Roman" w:hAnsi="Verdana" w:cs="Times New Roman"/>
          <w:noProof/>
          <w:sz w:val="20"/>
          <w:szCs w:val="20"/>
          <w:lang w:val="sr-Cyrl-CS"/>
        </w:rPr>
        <w:t xml:space="preserve">71,06% </w:t>
      </w:r>
      <w:r w:rsidRPr="00BF3CDE">
        <w:rPr>
          <w:rStyle w:val="Hyperlink"/>
          <w:noProof/>
          <w:color w:val="auto"/>
          <w:sz w:val="20"/>
          <w:szCs w:val="20"/>
          <w:lang w:val="sr-Cyrl-CS"/>
        </w:rPr>
        <w:t>укупног износа активних резервисаних штета на дан 31.12.2014. године.</w:t>
      </w:r>
    </w:p>
    <w:p w14:paraId="3483E88F" w14:textId="77777777" w:rsidR="006C0D6C" w:rsidRPr="00BF3CDE" w:rsidRDefault="006C0D6C" w:rsidP="006C0D6C">
      <w:pPr>
        <w:ind w:right="-2" w:firstLine="567"/>
        <w:jc w:val="both"/>
        <w:rPr>
          <w:rStyle w:val="Hyperlink"/>
          <w:noProof/>
          <w:color w:val="auto"/>
          <w:sz w:val="20"/>
          <w:szCs w:val="20"/>
          <w:lang w:val="sr-Cyrl-CS"/>
        </w:rPr>
      </w:pPr>
      <w:r w:rsidRPr="00BF3CDE">
        <w:rPr>
          <w:noProof/>
          <w:sz w:val="20"/>
          <w:szCs w:val="20"/>
          <w:lang w:val="sr-Cyrl-CS"/>
        </w:rPr>
        <w:t xml:space="preserve">Највећи утицај на пораст износа резервисаних штета из ретроцесије на дан 31.12.2014. године у односу на 31.12.2013. године су имале резервације за штете узроковане поплавама у мају месецу 2014. године. </w:t>
      </w:r>
    </w:p>
    <w:p w14:paraId="437D7FAE" w14:textId="77777777" w:rsidR="006C0D6C" w:rsidRPr="00BF3CDE" w:rsidRDefault="006C0D6C" w:rsidP="006C0D6C">
      <w:pPr>
        <w:spacing w:after="0"/>
        <w:ind w:right="-142"/>
        <w:jc w:val="center"/>
        <w:rPr>
          <w:rFonts w:ascii="Verdana" w:hAnsi="Verdana" w:cs="Tahoma"/>
          <w:b/>
          <w:i/>
          <w:noProof/>
          <w:sz w:val="20"/>
          <w:szCs w:val="20"/>
          <w:bdr w:val="none" w:sz="0" w:space="0" w:color="auto" w:frame="1"/>
          <w:lang w:val="sr-Cyrl-CS"/>
        </w:rPr>
      </w:pPr>
      <w:r w:rsidRPr="00BF3CDE">
        <w:rPr>
          <w:rFonts w:ascii="Verdana" w:hAnsi="Verdana" w:cs="Tahoma"/>
          <w:b/>
          <w:i/>
          <w:noProof/>
          <w:sz w:val="20"/>
          <w:szCs w:val="20"/>
          <w:bdr w:val="none" w:sz="0" w:space="0" w:color="auto" w:frame="1"/>
          <w:lang w:val="sr-Cyrl-CS"/>
        </w:rPr>
        <w:t>Резервисане штете ретроцесије Друштва</w:t>
      </w:r>
      <w:r w:rsidRPr="00BF3CDE">
        <w:rPr>
          <w:rStyle w:val="Hyperlink"/>
          <w:noProof/>
          <w:color w:val="auto"/>
          <w:sz w:val="20"/>
          <w:szCs w:val="20"/>
          <w:lang w:val="sr-Cyrl-CS"/>
        </w:rPr>
        <w:t xml:space="preserve"> </w:t>
      </w:r>
      <w:r w:rsidRPr="00BF3CDE">
        <w:rPr>
          <w:rFonts w:ascii="Verdana" w:hAnsi="Verdana" w:cs="Tahoma"/>
          <w:b/>
          <w:i/>
          <w:noProof/>
          <w:sz w:val="20"/>
          <w:szCs w:val="20"/>
          <w:bdr w:val="none" w:sz="0" w:space="0" w:color="auto" w:frame="1"/>
          <w:lang w:val="sr-Cyrl-CS"/>
        </w:rPr>
        <w:t>у хиљадама динара</w:t>
      </w:r>
    </w:p>
    <w:p w14:paraId="409805DC" w14:textId="77777777" w:rsidR="006C0D6C" w:rsidRPr="00BF3CDE" w:rsidRDefault="006C0D6C" w:rsidP="00224D42">
      <w:pPr>
        <w:ind w:right="-2"/>
        <w:jc w:val="center"/>
        <w:rPr>
          <w:rFonts w:ascii="Verdana" w:hAnsi="Verdana" w:cs="Tahoma"/>
          <w:noProof/>
          <w:color w:val="000000"/>
          <w:sz w:val="2"/>
          <w:szCs w:val="2"/>
          <w:lang w:val="sr-Cyrl-CS"/>
        </w:rPr>
      </w:pPr>
    </w:p>
    <w:tbl>
      <w:tblPr>
        <w:tblStyle w:val="MediumList1-Accent11"/>
        <w:tblW w:w="9288" w:type="dxa"/>
        <w:tblLayout w:type="fixed"/>
        <w:tblLook w:val="0420" w:firstRow="1" w:lastRow="0" w:firstColumn="0" w:lastColumn="0" w:noHBand="0" w:noVBand="1"/>
      </w:tblPr>
      <w:tblGrid>
        <w:gridCol w:w="1326"/>
        <w:gridCol w:w="1327"/>
        <w:gridCol w:w="1327"/>
        <w:gridCol w:w="1327"/>
        <w:gridCol w:w="1327"/>
        <w:gridCol w:w="1327"/>
        <w:gridCol w:w="1327"/>
      </w:tblGrid>
      <w:tr w:rsidR="006C0D6C" w:rsidRPr="00BF3CDE" w14:paraId="14AF104D" w14:textId="77777777" w:rsidTr="006C0D6C">
        <w:trPr>
          <w:cnfStyle w:val="100000000000" w:firstRow="1" w:lastRow="0" w:firstColumn="0" w:lastColumn="0" w:oddVBand="0" w:evenVBand="0" w:oddHBand="0" w:evenHBand="0" w:firstRowFirstColumn="0" w:firstRowLastColumn="0" w:lastRowFirstColumn="0" w:lastRowLastColumn="0"/>
          <w:trHeight w:val="219"/>
        </w:trPr>
        <w:tc>
          <w:tcPr>
            <w:tcW w:w="1326" w:type="dxa"/>
          </w:tcPr>
          <w:p w14:paraId="2325A5FC"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2008</w:t>
            </w:r>
          </w:p>
        </w:tc>
        <w:tc>
          <w:tcPr>
            <w:tcW w:w="1327" w:type="dxa"/>
          </w:tcPr>
          <w:p w14:paraId="765D7EF3"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2009</w:t>
            </w:r>
          </w:p>
        </w:tc>
        <w:tc>
          <w:tcPr>
            <w:tcW w:w="1327" w:type="dxa"/>
          </w:tcPr>
          <w:p w14:paraId="7BDC1846"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2010</w:t>
            </w:r>
          </w:p>
        </w:tc>
        <w:tc>
          <w:tcPr>
            <w:tcW w:w="1327" w:type="dxa"/>
          </w:tcPr>
          <w:p w14:paraId="459C3A21"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2011</w:t>
            </w:r>
          </w:p>
        </w:tc>
        <w:tc>
          <w:tcPr>
            <w:tcW w:w="1327" w:type="dxa"/>
          </w:tcPr>
          <w:p w14:paraId="156ED1D7"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2012</w:t>
            </w:r>
          </w:p>
        </w:tc>
        <w:tc>
          <w:tcPr>
            <w:tcW w:w="1327" w:type="dxa"/>
          </w:tcPr>
          <w:p w14:paraId="5774F461"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2013</w:t>
            </w:r>
          </w:p>
        </w:tc>
        <w:tc>
          <w:tcPr>
            <w:tcW w:w="1327" w:type="dxa"/>
          </w:tcPr>
          <w:p w14:paraId="3CD00DD2"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2014</w:t>
            </w:r>
          </w:p>
        </w:tc>
      </w:tr>
      <w:tr w:rsidR="006C0D6C" w:rsidRPr="00BF3CDE" w14:paraId="16A8639A" w14:textId="77777777" w:rsidTr="006C0D6C">
        <w:trPr>
          <w:cnfStyle w:val="000000100000" w:firstRow="0" w:lastRow="0" w:firstColumn="0" w:lastColumn="0" w:oddVBand="0" w:evenVBand="0" w:oddHBand="1" w:evenHBand="0" w:firstRowFirstColumn="0" w:firstRowLastColumn="0" w:lastRowFirstColumn="0" w:lastRowLastColumn="0"/>
          <w:trHeight w:val="233"/>
        </w:trPr>
        <w:tc>
          <w:tcPr>
            <w:tcW w:w="1326" w:type="dxa"/>
          </w:tcPr>
          <w:p w14:paraId="1B1119BD"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303.833</w:t>
            </w:r>
          </w:p>
        </w:tc>
        <w:tc>
          <w:tcPr>
            <w:tcW w:w="1327" w:type="dxa"/>
          </w:tcPr>
          <w:p w14:paraId="7A15313D"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545.023</w:t>
            </w:r>
          </w:p>
        </w:tc>
        <w:tc>
          <w:tcPr>
            <w:tcW w:w="1327" w:type="dxa"/>
          </w:tcPr>
          <w:p w14:paraId="1A0ED93D"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492.086</w:t>
            </w:r>
          </w:p>
        </w:tc>
        <w:tc>
          <w:tcPr>
            <w:tcW w:w="1327" w:type="dxa"/>
          </w:tcPr>
          <w:p w14:paraId="46B0B82D"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713.481</w:t>
            </w:r>
          </w:p>
        </w:tc>
        <w:tc>
          <w:tcPr>
            <w:tcW w:w="1327" w:type="dxa"/>
          </w:tcPr>
          <w:p w14:paraId="049666F9"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691.299</w:t>
            </w:r>
          </w:p>
        </w:tc>
        <w:tc>
          <w:tcPr>
            <w:tcW w:w="1327" w:type="dxa"/>
          </w:tcPr>
          <w:p w14:paraId="18F92305"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491.238</w:t>
            </w:r>
          </w:p>
        </w:tc>
        <w:tc>
          <w:tcPr>
            <w:tcW w:w="1327" w:type="dxa"/>
          </w:tcPr>
          <w:p w14:paraId="28C13203"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1.009.578</w:t>
            </w:r>
          </w:p>
        </w:tc>
      </w:tr>
    </w:tbl>
    <w:p w14:paraId="5501BB7F" w14:textId="77777777" w:rsidR="006C0D6C" w:rsidRPr="00BF3CDE" w:rsidRDefault="006C0D6C" w:rsidP="006C0D6C">
      <w:pPr>
        <w:jc w:val="both"/>
        <w:rPr>
          <w:rStyle w:val="Hyperlink"/>
          <w:noProof/>
          <w:color w:val="auto"/>
          <w:sz w:val="20"/>
          <w:szCs w:val="20"/>
          <w:lang w:val="sr-Cyrl-CS"/>
        </w:rPr>
      </w:pPr>
      <w:r w:rsidRPr="00BF3CDE">
        <w:rPr>
          <w:noProof/>
          <w:lang w:val="sr-Latn-RS" w:eastAsia="sr-Latn-RS"/>
        </w:rPr>
        <w:drawing>
          <wp:inline distT="0" distB="0" distL="0" distR="0" wp14:anchorId="2742D90B" wp14:editId="3346848E">
            <wp:extent cx="5763491" cy="3020291"/>
            <wp:effectExtent l="0" t="0" r="8890" b="8890"/>
            <wp:docPr id="685" name="Chart 68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3E82EBF3" w14:textId="77777777" w:rsidR="006C0D6C" w:rsidRPr="00BF3CDE" w:rsidRDefault="006C0D6C" w:rsidP="00655CD0">
      <w:pPr>
        <w:pStyle w:val="Heading1"/>
        <w:numPr>
          <w:ilvl w:val="1"/>
          <w:numId w:val="6"/>
        </w:numPr>
        <w:spacing w:after="240"/>
        <w:jc w:val="left"/>
        <w:rPr>
          <w:rFonts w:asciiTheme="majorHAnsi" w:hAnsiTheme="majorHAnsi" w:cs="Tahoma"/>
          <w:i/>
          <w:noProof/>
          <w:color w:val="4F81BD"/>
          <w:sz w:val="22"/>
          <w:szCs w:val="18"/>
          <w:lang w:val="sr-Cyrl-CS"/>
        </w:rPr>
      </w:pPr>
      <w:bookmarkStart w:id="29" w:name="_Toc319489036"/>
      <w:bookmarkStart w:id="30" w:name="_Toc414356812"/>
      <w:r w:rsidRPr="00BF3CDE">
        <w:rPr>
          <w:rFonts w:asciiTheme="majorHAnsi" w:hAnsiTheme="majorHAnsi" w:cs="Tahoma"/>
          <w:i/>
          <w:noProof/>
          <w:color w:val="4F81BD"/>
          <w:sz w:val="22"/>
          <w:szCs w:val="18"/>
          <w:lang w:val="sr-Cyrl-CS"/>
        </w:rPr>
        <w:lastRenderedPageBreak/>
        <w:t>НАСТАЛЕ НЕПРИЈАВЉЕНЕ ШТЕТЕ (ИБНР)</w:t>
      </w:r>
      <w:bookmarkEnd w:id="29"/>
      <w:bookmarkEnd w:id="30"/>
    </w:p>
    <w:p w14:paraId="3FA2A9EF" w14:textId="6BB08C76" w:rsidR="006C0D6C" w:rsidRPr="00BF3CDE" w:rsidRDefault="006C0D6C" w:rsidP="00224D42">
      <w:pPr>
        <w:spacing w:after="60"/>
        <w:jc w:val="both"/>
        <w:rPr>
          <w:rStyle w:val="Hyperlink"/>
          <w:noProof/>
          <w:color w:val="auto"/>
          <w:sz w:val="20"/>
          <w:szCs w:val="20"/>
          <w:lang w:val="sr-Cyrl-CS"/>
        </w:rPr>
      </w:pPr>
      <w:r w:rsidRPr="00BF3CDE">
        <w:rPr>
          <w:rStyle w:val="Hyperlink"/>
          <w:noProof/>
          <w:color w:val="auto"/>
          <w:sz w:val="20"/>
          <w:szCs w:val="20"/>
          <w:lang w:val="sr-Cyrl-CS"/>
        </w:rPr>
        <w:t>Резервисане настале непријављене штете (ИБНР) на дан 31.12.2014. године износе</w:t>
      </w:r>
      <w:r w:rsidRPr="00BF3CDE">
        <w:rPr>
          <w:rStyle w:val="Hyperlink"/>
          <w:noProof/>
          <w:color w:val="auto"/>
          <w:sz w:val="20"/>
          <w:szCs w:val="20"/>
          <w:highlight w:val="yellow"/>
          <w:lang w:val="sr-Cyrl-CS"/>
        </w:rPr>
        <w:t xml:space="preserve"> </w:t>
      </w:r>
      <w:r w:rsidR="00D60B82">
        <w:rPr>
          <w:rStyle w:val="Hyperlink"/>
          <w:noProof/>
          <w:color w:val="auto"/>
          <w:sz w:val="20"/>
          <w:szCs w:val="20"/>
          <w:lang w:val="sr-Cyrl-CS"/>
        </w:rPr>
        <w:t>123.350</w:t>
      </w:r>
      <w:r w:rsidRPr="00BF3CDE">
        <w:rPr>
          <w:rStyle w:val="Hyperlink"/>
          <w:noProof/>
          <w:color w:val="auto"/>
          <w:sz w:val="20"/>
          <w:szCs w:val="20"/>
          <w:lang w:val="sr-Cyrl-CS"/>
        </w:rPr>
        <w:t xml:space="preserve"> хиљада динара, и мање су за 55,92% у односу на исти период претходне године.</w:t>
      </w:r>
    </w:p>
    <w:p w14:paraId="5E5E1BCD" w14:textId="77777777" w:rsidR="006C0D6C" w:rsidRPr="00BF3CDE" w:rsidRDefault="006C0D6C" w:rsidP="006C0D6C">
      <w:pPr>
        <w:spacing w:after="0"/>
        <w:ind w:right="-142"/>
        <w:jc w:val="center"/>
        <w:rPr>
          <w:rFonts w:ascii="Verdana" w:hAnsi="Verdana" w:cs="Tahoma"/>
          <w:b/>
          <w:i/>
          <w:noProof/>
          <w:sz w:val="20"/>
          <w:szCs w:val="20"/>
          <w:bdr w:val="none" w:sz="0" w:space="0" w:color="auto" w:frame="1"/>
          <w:lang w:val="sr-Cyrl-CS"/>
        </w:rPr>
      </w:pPr>
      <w:r w:rsidRPr="00BF3CDE">
        <w:rPr>
          <w:rFonts w:ascii="Verdana" w:hAnsi="Verdana" w:cs="Tahoma"/>
          <w:b/>
          <w:i/>
          <w:noProof/>
          <w:sz w:val="20"/>
          <w:szCs w:val="20"/>
          <w:bdr w:val="none" w:sz="0" w:space="0" w:color="auto" w:frame="1"/>
          <w:lang w:val="sr-Cyrl-CS"/>
        </w:rPr>
        <w:t>Настале непријављене штете (ИБНР)</w:t>
      </w:r>
      <w:r w:rsidRPr="00BF3CDE">
        <w:rPr>
          <w:rStyle w:val="Hyperlink"/>
          <w:noProof/>
          <w:color w:val="auto"/>
          <w:sz w:val="20"/>
          <w:szCs w:val="20"/>
          <w:lang w:val="sr-Cyrl-CS"/>
        </w:rPr>
        <w:t xml:space="preserve"> </w:t>
      </w:r>
      <w:r w:rsidRPr="00BF3CDE">
        <w:rPr>
          <w:rFonts w:ascii="Verdana" w:hAnsi="Verdana" w:cs="Tahoma"/>
          <w:b/>
          <w:i/>
          <w:noProof/>
          <w:sz w:val="20"/>
          <w:szCs w:val="20"/>
          <w:bdr w:val="none" w:sz="0" w:space="0" w:color="auto" w:frame="1"/>
          <w:lang w:val="sr-Cyrl-CS"/>
        </w:rPr>
        <w:t>у хиљадама динара</w:t>
      </w:r>
    </w:p>
    <w:p w14:paraId="5B5D697A" w14:textId="77777777" w:rsidR="006C0D6C" w:rsidRPr="00BF3CDE" w:rsidRDefault="006C0D6C" w:rsidP="006C0D6C">
      <w:pPr>
        <w:spacing w:after="0"/>
        <w:jc w:val="right"/>
        <w:rPr>
          <w:rFonts w:ascii="Verdana" w:hAnsi="Verdana" w:cs="Tahoma"/>
          <w:noProof/>
          <w:color w:val="000000"/>
          <w:sz w:val="6"/>
          <w:szCs w:val="6"/>
          <w:lang w:val="sr-Cyrl-CS"/>
        </w:rPr>
      </w:pPr>
    </w:p>
    <w:tbl>
      <w:tblPr>
        <w:tblStyle w:val="MediumList1-Accent11"/>
        <w:tblW w:w="9288" w:type="dxa"/>
        <w:tblLayout w:type="fixed"/>
        <w:tblLook w:val="0420" w:firstRow="1" w:lastRow="0" w:firstColumn="0" w:lastColumn="0" w:noHBand="0" w:noVBand="1"/>
      </w:tblPr>
      <w:tblGrid>
        <w:gridCol w:w="1326"/>
        <w:gridCol w:w="1327"/>
        <w:gridCol w:w="1327"/>
        <w:gridCol w:w="1327"/>
        <w:gridCol w:w="1327"/>
        <w:gridCol w:w="1327"/>
        <w:gridCol w:w="1327"/>
      </w:tblGrid>
      <w:tr w:rsidR="006C0D6C" w:rsidRPr="00BF3CDE" w14:paraId="0084B998" w14:textId="77777777" w:rsidTr="006C0D6C">
        <w:trPr>
          <w:cnfStyle w:val="100000000000" w:firstRow="1" w:lastRow="0" w:firstColumn="0" w:lastColumn="0" w:oddVBand="0" w:evenVBand="0" w:oddHBand="0" w:evenHBand="0" w:firstRowFirstColumn="0" w:firstRowLastColumn="0" w:lastRowFirstColumn="0" w:lastRowLastColumn="0"/>
          <w:trHeight w:val="219"/>
        </w:trPr>
        <w:tc>
          <w:tcPr>
            <w:tcW w:w="1326" w:type="dxa"/>
          </w:tcPr>
          <w:p w14:paraId="29A45DA4"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2008</w:t>
            </w:r>
          </w:p>
        </w:tc>
        <w:tc>
          <w:tcPr>
            <w:tcW w:w="1327" w:type="dxa"/>
          </w:tcPr>
          <w:p w14:paraId="21A91AC5"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2009</w:t>
            </w:r>
          </w:p>
        </w:tc>
        <w:tc>
          <w:tcPr>
            <w:tcW w:w="1327" w:type="dxa"/>
          </w:tcPr>
          <w:p w14:paraId="6F74C843"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2010</w:t>
            </w:r>
          </w:p>
        </w:tc>
        <w:tc>
          <w:tcPr>
            <w:tcW w:w="1327" w:type="dxa"/>
          </w:tcPr>
          <w:p w14:paraId="6E33A43A"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2011</w:t>
            </w:r>
          </w:p>
        </w:tc>
        <w:tc>
          <w:tcPr>
            <w:tcW w:w="1327" w:type="dxa"/>
          </w:tcPr>
          <w:p w14:paraId="4E3048DE"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2012</w:t>
            </w:r>
          </w:p>
        </w:tc>
        <w:tc>
          <w:tcPr>
            <w:tcW w:w="1327" w:type="dxa"/>
          </w:tcPr>
          <w:p w14:paraId="2D6859F8"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2013</w:t>
            </w:r>
          </w:p>
        </w:tc>
        <w:tc>
          <w:tcPr>
            <w:tcW w:w="1327" w:type="dxa"/>
          </w:tcPr>
          <w:p w14:paraId="17505976" w14:textId="77777777" w:rsidR="006C0D6C" w:rsidRPr="00BF3CDE" w:rsidRDefault="006C0D6C" w:rsidP="006C0D6C">
            <w:pPr>
              <w:widowControl w:val="0"/>
              <w:ind w:right="-62"/>
              <w:jc w:val="center"/>
              <w:rPr>
                <w:rFonts w:ascii="Verdana" w:hAnsi="Verdana" w:cs="Tahoma"/>
                <w:b/>
                <w:noProof/>
                <w:lang w:val="sr-Cyrl-CS"/>
              </w:rPr>
            </w:pPr>
            <w:r w:rsidRPr="00BF3CDE">
              <w:rPr>
                <w:rFonts w:ascii="Verdana" w:hAnsi="Verdana" w:cs="Tahoma"/>
                <w:b/>
                <w:noProof/>
                <w:lang w:val="sr-Cyrl-CS"/>
              </w:rPr>
              <w:t>2014</w:t>
            </w:r>
          </w:p>
        </w:tc>
      </w:tr>
      <w:tr w:rsidR="006C0D6C" w:rsidRPr="00BF3CDE" w14:paraId="5299C333" w14:textId="77777777" w:rsidTr="006C0D6C">
        <w:trPr>
          <w:cnfStyle w:val="000000100000" w:firstRow="0" w:lastRow="0" w:firstColumn="0" w:lastColumn="0" w:oddVBand="0" w:evenVBand="0" w:oddHBand="1" w:evenHBand="0" w:firstRowFirstColumn="0" w:firstRowLastColumn="0" w:lastRowFirstColumn="0" w:lastRowLastColumn="0"/>
          <w:trHeight w:val="233"/>
        </w:trPr>
        <w:tc>
          <w:tcPr>
            <w:tcW w:w="1326" w:type="dxa"/>
          </w:tcPr>
          <w:p w14:paraId="7ED0B8C2"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80.640</w:t>
            </w:r>
          </w:p>
        </w:tc>
        <w:tc>
          <w:tcPr>
            <w:tcW w:w="1327" w:type="dxa"/>
          </w:tcPr>
          <w:p w14:paraId="284CE1B1"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227.459</w:t>
            </w:r>
          </w:p>
        </w:tc>
        <w:tc>
          <w:tcPr>
            <w:tcW w:w="1327" w:type="dxa"/>
          </w:tcPr>
          <w:p w14:paraId="287B0204"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208.051</w:t>
            </w:r>
          </w:p>
        </w:tc>
        <w:tc>
          <w:tcPr>
            <w:tcW w:w="1327" w:type="dxa"/>
          </w:tcPr>
          <w:p w14:paraId="12092E92"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190.345</w:t>
            </w:r>
          </w:p>
        </w:tc>
        <w:tc>
          <w:tcPr>
            <w:tcW w:w="1327" w:type="dxa"/>
          </w:tcPr>
          <w:p w14:paraId="054C45B9"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268.304</w:t>
            </w:r>
          </w:p>
        </w:tc>
        <w:tc>
          <w:tcPr>
            <w:tcW w:w="1327" w:type="dxa"/>
          </w:tcPr>
          <w:p w14:paraId="5A1B83E7"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220.568</w:t>
            </w:r>
          </w:p>
        </w:tc>
        <w:tc>
          <w:tcPr>
            <w:tcW w:w="1327" w:type="dxa"/>
          </w:tcPr>
          <w:p w14:paraId="6CA00982"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123.350</w:t>
            </w:r>
          </w:p>
        </w:tc>
      </w:tr>
    </w:tbl>
    <w:p w14:paraId="6FE268D8" w14:textId="77777777" w:rsidR="006C0D6C" w:rsidRPr="0069486B" w:rsidRDefault="006C0D6C" w:rsidP="006C0D6C">
      <w:pPr>
        <w:spacing w:after="0"/>
        <w:ind w:right="-142"/>
        <w:jc w:val="center"/>
        <w:rPr>
          <w:rFonts w:ascii="Verdana" w:hAnsi="Verdana" w:cs="Tahoma"/>
          <w:b/>
          <w:i/>
          <w:noProof/>
          <w:sz w:val="6"/>
          <w:szCs w:val="6"/>
          <w:bdr w:val="none" w:sz="0" w:space="0" w:color="auto" w:frame="1"/>
          <w:lang w:val="sr-Cyrl-CS"/>
        </w:rPr>
      </w:pPr>
    </w:p>
    <w:p w14:paraId="5BDD2732" w14:textId="77777777" w:rsidR="006C0D6C" w:rsidRPr="00BF3CDE" w:rsidRDefault="006C0D6C" w:rsidP="0069486B">
      <w:pPr>
        <w:spacing w:after="120"/>
        <w:jc w:val="both"/>
        <w:rPr>
          <w:rStyle w:val="Hyperlink"/>
          <w:noProof/>
          <w:color w:val="auto"/>
          <w:sz w:val="20"/>
          <w:szCs w:val="20"/>
          <w:lang w:val="sr-Cyrl-CS"/>
        </w:rPr>
      </w:pPr>
      <w:r w:rsidRPr="00BF3CDE">
        <w:rPr>
          <w:rStyle w:val="Hyperlink"/>
          <w:noProof/>
          <w:color w:val="auto"/>
          <w:sz w:val="20"/>
          <w:szCs w:val="20"/>
          <w:lang w:val="sr-Cyrl-CS"/>
        </w:rPr>
        <w:t xml:space="preserve">Резервисане настале непријављене штете (ИБНР) на дан 31.12.2014. године су мање у односу на 31.12.2013. године за 97.218 хиљада динара, односно забележено је смањење за 55,92% по основу резервација за настале непријављене штете. </w:t>
      </w:r>
    </w:p>
    <w:p w14:paraId="4E358566" w14:textId="77777777" w:rsidR="006C0D6C" w:rsidRPr="00BF3CDE" w:rsidRDefault="006C0D6C" w:rsidP="0069486B">
      <w:pPr>
        <w:spacing w:after="120"/>
        <w:ind w:firstLine="851"/>
        <w:jc w:val="both"/>
        <w:rPr>
          <w:rStyle w:val="Hyperlink"/>
          <w:noProof/>
          <w:color w:val="auto"/>
          <w:sz w:val="20"/>
          <w:szCs w:val="20"/>
          <w:lang w:val="sr-Cyrl-CS"/>
        </w:rPr>
      </w:pPr>
      <w:r w:rsidRPr="00BF3CDE">
        <w:rPr>
          <w:rStyle w:val="Hyperlink"/>
          <w:noProof/>
          <w:color w:val="auto"/>
          <w:sz w:val="20"/>
          <w:szCs w:val="20"/>
          <w:lang w:val="sr-Cyrl-CS"/>
        </w:rPr>
        <w:t>Смањење износа ИБНР проузрокован је пре свега значајним падом насталих непријављених штета у 2014. години како ликвидираних, тако и резревисаних. Наиме, пад ликвидираних насталих непријвљених штета износи 38,57% у односу на претходну годину, док пад резервисаних насталих непријављених штета износи чак 50,22% у односу на претходну годину.</w:t>
      </w:r>
    </w:p>
    <w:p w14:paraId="764B8AE5" w14:textId="77777777" w:rsidR="006C0D6C" w:rsidRPr="00BF3CDE" w:rsidRDefault="006C0D6C" w:rsidP="0069486B">
      <w:pPr>
        <w:spacing w:after="120"/>
        <w:ind w:firstLine="851"/>
        <w:jc w:val="both"/>
        <w:rPr>
          <w:rStyle w:val="Hyperlink"/>
          <w:noProof/>
          <w:color w:val="auto"/>
          <w:sz w:val="20"/>
          <w:szCs w:val="20"/>
          <w:lang w:val="sr-Cyrl-CS"/>
        </w:rPr>
      </w:pPr>
      <w:r w:rsidRPr="00BF3CDE">
        <w:rPr>
          <w:rStyle w:val="Hyperlink"/>
          <w:noProof/>
          <w:color w:val="auto"/>
          <w:sz w:val="20"/>
          <w:szCs w:val="20"/>
          <w:lang w:val="sr-Cyrl-CS"/>
        </w:rPr>
        <w:t xml:space="preserve">Такође, смањење резервација за настале непријављене штете узроковано је и значајним смањењем ликвидираних штета у самопридржају за период 01.01.2014 – 31.12.2014. године у односу на исти период претходне године. </w:t>
      </w:r>
    </w:p>
    <w:p w14:paraId="4B1C6229" w14:textId="77777777" w:rsidR="006C0D6C" w:rsidRPr="00BF3CDE" w:rsidRDefault="006C0D6C" w:rsidP="0069486B">
      <w:pPr>
        <w:spacing w:after="120"/>
        <w:ind w:firstLine="851"/>
        <w:jc w:val="both"/>
        <w:rPr>
          <w:rStyle w:val="Hyperlink"/>
          <w:noProof/>
          <w:color w:val="auto"/>
          <w:sz w:val="20"/>
          <w:szCs w:val="20"/>
          <w:lang w:val="sr-Cyrl-CS"/>
        </w:rPr>
      </w:pPr>
      <w:r w:rsidRPr="00BF3CDE">
        <w:rPr>
          <w:rStyle w:val="Hyperlink"/>
          <w:noProof/>
          <w:color w:val="auto"/>
          <w:sz w:val="20"/>
          <w:szCs w:val="20"/>
          <w:lang w:val="sr-Cyrl-CS"/>
        </w:rPr>
        <w:t>Наиме, ликвидиране штете у самопридржају за период 01.01.2014 – 31.12.2014. мање су за 206.296 хиљаде динара, односно 39,39%, у односу на исти период претходне године.</w:t>
      </w:r>
    </w:p>
    <w:p w14:paraId="1AEE9930" w14:textId="77777777" w:rsidR="006C0D6C" w:rsidRPr="00BF3CDE" w:rsidRDefault="006C0D6C" w:rsidP="00655CD0">
      <w:pPr>
        <w:pStyle w:val="Heading1"/>
        <w:numPr>
          <w:ilvl w:val="1"/>
          <w:numId w:val="6"/>
        </w:numPr>
        <w:spacing w:after="240"/>
        <w:jc w:val="left"/>
        <w:rPr>
          <w:rFonts w:asciiTheme="majorHAnsi" w:hAnsiTheme="majorHAnsi" w:cs="Tahoma"/>
          <w:i/>
          <w:noProof/>
          <w:color w:val="4F81BD"/>
          <w:sz w:val="22"/>
          <w:szCs w:val="18"/>
          <w:lang w:val="sr-Cyrl-CS"/>
        </w:rPr>
      </w:pPr>
      <w:bookmarkStart w:id="31" w:name="_Toc414356813"/>
      <w:r w:rsidRPr="00BF3CDE">
        <w:rPr>
          <w:rFonts w:asciiTheme="majorHAnsi" w:hAnsiTheme="majorHAnsi" w:cs="Tahoma"/>
          <w:i/>
          <w:noProof/>
          <w:color w:val="4F81BD"/>
          <w:sz w:val="22"/>
          <w:szCs w:val="18"/>
          <w:lang w:val="sr-Cyrl-CS"/>
        </w:rPr>
        <w:t>МЕРОДАВНИ ТЕХНИЧКИ РЕЗУЛТАТ (МТР)</w:t>
      </w:r>
      <w:bookmarkEnd w:id="31"/>
    </w:p>
    <w:p w14:paraId="4E777531" w14:textId="77777777" w:rsidR="006C0D6C" w:rsidRPr="00BF3CDE" w:rsidRDefault="006C0D6C" w:rsidP="006C0D6C">
      <w:pPr>
        <w:spacing w:after="120"/>
        <w:ind w:firstLine="567"/>
        <w:jc w:val="both"/>
        <w:rPr>
          <w:noProof/>
          <w:sz w:val="20"/>
          <w:szCs w:val="20"/>
          <w:lang w:val="sr-Cyrl-CS"/>
        </w:rPr>
      </w:pPr>
      <w:r w:rsidRPr="00BF3CDE">
        <w:rPr>
          <w:noProof/>
          <w:sz w:val="20"/>
          <w:szCs w:val="20"/>
          <w:lang w:val="sr-Cyrl-CS"/>
        </w:rPr>
        <w:t>Остварени меродавни технички резултат у самопридржају на дан 31.12.2014. године износи 149,01%.</w:t>
      </w:r>
    </w:p>
    <w:p w14:paraId="57D7BFD3" w14:textId="77777777" w:rsidR="006C0D6C" w:rsidRPr="00BF3CDE" w:rsidRDefault="006C0D6C" w:rsidP="0069486B">
      <w:pPr>
        <w:spacing w:after="0"/>
        <w:ind w:firstLine="567"/>
        <w:jc w:val="both"/>
        <w:rPr>
          <w:noProof/>
          <w:sz w:val="20"/>
          <w:szCs w:val="20"/>
          <w:lang w:val="sr-Cyrl-CS"/>
        </w:rPr>
      </w:pPr>
      <w:r w:rsidRPr="00BF3CDE">
        <w:rPr>
          <w:noProof/>
          <w:sz w:val="20"/>
          <w:szCs w:val="20"/>
          <w:lang w:val="sr-Cyrl-CS"/>
        </w:rPr>
        <w:t>Друштво је остварило позитиван меродавни технички резултат из активног пословања од 87,55%.</w:t>
      </w:r>
    </w:p>
    <w:p w14:paraId="0AE6F87E" w14:textId="77777777" w:rsidR="006C0D6C" w:rsidRPr="00BF3CDE" w:rsidRDefault="006C0D6C" w:rsidP="006C0D6C">
      <w:pPr>
        <w:spacing w:after="0"/>
        <w:ind w:right="-142"/>
        <w:jc w:val="center"/>
        <w:rPr>
          <w:rFonts w:ascii="Verdana" w:hAnsi="Verdana" w:cs="Tahoma"/>
          <w:b/>
          <w:i/>
          <w:noProof/>
          <w:sz w:val="20"/>
          <w:szCs w:val="20"/>
          <w:bdr w:val="none" w:sz="0" w:space="0" w:color="auto" w:frame="1"/>
          <w:lang w:val="sr-Cyrl-CS"/>
        </w:rPr>
      </w:pPr>
      <w:r w:rsidRPr="00BF3CDE">
        <w:rPr>
          <w:rFonts w:ascii="Verdana" w:hAnsi="Verdana" w:cs="Tahoma"/>
          <w:b/>
          <w:i/>
          <w:noProof/>
          <w:sz w:val="20"/>
          <w:szCs w:val="20"/>
          <w:bdr w:val="none" w:sz="0" w:space="0" w:color="auto" w:frame="1"/>
          <w:lang w:val="sr-Cyrl-CS"/>
        </w:rPr>
        <w:t>Меродавни технички резултат у самопридржају</w:t>
      </w:r>
    </w:p>
    <w:p w14:paraId="59D7B065" w14:textId="77777777" w:rsidR="006C0D6C" w:rsidRPr="00BF3CDE" w:rsidRDefault="006C0D6C" w:rsidP="006C0D6C">
      <w:pPr>
        <w:spacing w:after="0"/>
        <w:ind w:right="-142"/>
        <w:jc w:val="center"/>
        <w:rPr>
          <w:rFonts w:ascii="Verdana" w:hAnsi="Verdana" w:cs="Tahoma"/>
          <w:b/>
          <w:i/>
          <w:noProof/>
          <w:color w:val="365F91" w:themeColor="accent1" w:themeShade="BF"/>
          <w:sz w:val="10"/>
          <w:szCs w:val="10"/>
          <w:highlight w:val="yellow"/>
          <w:bdr w:val="none" w:sz="0" w:space="0" w:color="auto" w:frame="1"/>
          <w:lang w:val="sr-Cyrl-CS"/>
        </w:rPr>
      </w:pPr>
    </w:p>
    <w:tbl>
      <w:tblPr>
        <w:tblStyle w:val="MediumList1-Accent11"/>
        <w:tblW w:w="9288" w:type="dxa"/>
        <w:tblLayout w:type="fixed"/>
        <w:tblLook w:val="0420" w:firstRow="1" w:lastRow="0" w:firstColumn="0" w:lastColumn="0" w:noHBand="0" w:noVBand="1"/>
      </w:tblPr>
      <w:tblGrid>
        <w:gridCol w:w="1326"/>
        <w:gridCol w:w="1327"/>
        <w:gridCol w:w="1327"/>
        <w:gridCol w:w="1327"/>
        <w:gridCol w:w="1327"/>
        <w:gridCol w:w="1327"/>
        <w:gridCol w:w="1327"/>
      </w:tblGrid>
      <w:tr w:rsidR="006C0D6C" w:rsidRPr="00BF3CDE" w14:paraId="66A6BD62" w14:textId="77777777" w:rsidTr="006C0D6C">
        <w:trPr>
          <w:cnfStyle w:val="100000000000" w:firstRow="1" w:lastRow="0" w:firstColumn="0" w:lastColumn="0" w:oddVBand="0" w:evenVBand="0" w:oddHBand="0" w:evenHBand="0" w:firstRowFirstColumn="0" w:firstRowLastColumn="0" w:lastRowFirstColumn="0" w:lastRowLastColumn="0"/>
          <w:trHeight w:val="159"/>
        </w:trPr>
        <w:tc>
          <w:tcPr>
            <w:tcW w:w="1326" w:type="dxa"/>
          </w:tcPr>
          <w:p w14:paraId="4296FC7E"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2008</w:t>
            </w:r>
          </w:p>
        </w:tc>
        <w:tc>
          <w:tcPr>
            <w:tcW w:w="1327" w:type="dxa"/>
          </w:tcPr>
          <w:p w14:paraId="35613388"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2009</w:t>
            </w:r>
          </w:p>
        </w:tc>
        <w:tc>
          <w:tcPr>
            <w:tcW w:w="1327" w:type="dxa"/>
          </w:tcPr>
          <w:p w14:paraId="6D02C65D"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2010</w:t>
            </w:r>
          </w:p>
        </w:tc>
        <w:tc>
          <w:tcPr>
            <w:tcW w:w="1327" w:type="dxa"/>
          </w:tcPr>
          <w:p w14:paraId="1E80D573"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2011</w:t>
            </w:r>
          </w:p>
        </w:tc>
        <w:tc>
          <w:tcPr>
            <w:tcW w:w="1327" w:type="dxa"/>
          </w:tcPr>
          <w:p w14:paraId="4F895366"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2012</w:t>
            </w:r>
          </w:p>
        </w:tc>
        <w:tc>
          <w:tcPr>
            <w:tcW w:w="1327" w:type="dxa"/>
          </w:tcPr>
          <w:p w14:paraId="625159DA"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2013</w:t>
            </w:r>
          </w:p>
        </w:tc>
        <w:tc>
          <w:tcPr>
            <w:tcW w:w="1327" w:type="dxa"/>
          </w:tcPr>
          <w:p w14:paraId="65F0EC51" w14:textId="77777777" w:rsidR="006C0D6C" w:rsidRPr="00BF3CDE" w:rsidRDefault="006C0D6C" w:rsidP="006C0D6C">
            <w:pPr>
              <w:widowControl w:val="0"/>
              <w:jc w:val="center"/>
              <w:rPr>
                <w:rFonts w:ascii="Verdana" w:hAnsi="Verdana" w:cs="Tahoma"/>
                <w:b/>
                <w:noProof/>
                <w:lang w:val="sr-Cyrl-CS"/>
              </w:rPr>
            </w:pPr>
            <w:r w:rsidRPr="00BF3CDE">
              <w:rPr>
                <w:rFonts w:ascii="Verdana" w:hAnsi="Verdana" w:cs="Tahoma"/>
                <w:b/>
                <w:noProof/>
                <w:lang w:val="sr-Cyrl-CS"/>
              </w:rPr>
              <w:t>2014</w:t>
            </w:r>
          </w:p>
        </w:tc>
      </w:tr>
      <w:tr w:rsidR="006C0D6C" w:rsidRPr="00BF3CDE" w14:paraId="09D00713" w14:textId="77777777" w:rsidTr="006C0D6C">
        <w:trPr>
          <w:cnfStyle w:val="000000100000" w:firstRow="0" w:lastRow="0" w:firstColumn="0" w:lastColumn="0" w:oddVBand="0" w:evenVBand="0" w:oddHBand="1" w:evenHBand="0" w:firstRowFirstColumn="0" w:firstRowLastColumn="0" w:lastRowFirstColumn="0" w:lastRowLastColumn="0"/>
          <w:trHeight w:val="167"/>
        </w:trPr>
        <w:tc>
          <w:tcPr>
            <w:tcW w:w="1326" w:type="dxa"/>
          </w:tcPr>
          <w:p w14:paraId="25BC5044"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58,57%</w:t>
            </w:r>
          </w:p>
        </w:tc>
        <w:tc>
          <w:tcPr>
            <w:tcW w:w="1327" w:type="dxa"/>
          </w:tcPr>
          <w:p w14:paraId="445FF740"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78,85%</w:t>
            </w:r>
          </w:p>
        </w:tc>
        <w:tc>
          <w:tcPr>
            <w:tcW w:w="1327" w:type="dxa"/>
          </w:tcPr>
          <w:p w14:paraId="309D3515"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84,06%</w:t>
            </w:r>
          </w:p>
        </w:tc>
        <w:tc>
          <w:tcPr>
            <w:tcW w:w="1327" w:type="dxa"/>
          </w:tcPr>
          <w:p w14:paraId="1A0A3083"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70,54%</w:t>
            </w:r>
          </w:p>
        </w:tc>
        <w:tc>
          <w:tcPr>
            <w:tcW w:w="1327" w:type="dxa"/>
          </w:tcPr>
          <w:p w14:paraId="13F3C8D1"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121,77%</w:t>
            </w:r>
          </w:p>
        </w:tc>
        <w:tc>
          <w:tcPr>
            <w:tcW w:w="1327" w:type="dxa"/>
          </w:tcPr>
          <w:p w14:paraId="0A6BA863"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103,98%</w:t>
            </w:r>
          </w:p>
        </w:tc>
        <w:tc>
          <w:tcPr>
            <w:tcW w:w="1327" w:type="dxa"/>
          </w:tcPr>
          <w:p w14:paraId="5F2782C1" w14:textId="77777777" w:rsidR="006C0D6C" w:rsidRPr="00BF3CDE" w:rsidRDefault="006C0D6C" w:rsidP="006C0D6C">
            <w:pPr>
              <w:jc w:val="center"/>
              <w:rPr>
                <w:rFonts w:ascii="Verdana" w:hAnsi="Verdana"/>
                <w:noProof/>
                <w:lang w:val="sr-Cyrl-CS"/>
              </w:rPr>
            </w:pPr>
            <w:r w:rsidRPr="00BF3CDE">
              <w:rPr>
                <w:rFonts w:ascii="Verdana" w:hAnsi="Verdana"/>
                <w:noProof/>
                <w:lang w:val="sr-Cyrl-CS"/>
              </w:rPr>
              <w:t>149,01%</w:t>
            </w:r>
          </w:p>
        </w:tc>
      </w:tr>
    </w:tbl>
    <w:p w14:paraId="4148F311" w14:textId="77777777" w:rsidR="006C0D6C" w:rsidRPr="00BF3CDE" w:rsidRDefault="006C0D6C" w:rsidP="006C0D6C">
      <w:pPr>
        <w:spacing w:after="0"/>
        <w:ind w:right="-142"/>
        <w:jc w:val="center"/>
        <w:rPr>
          <w:rFonts w:ascii="Verdana" w:hAnsi="Verdana" w:cs="Tahoma"/>
          <w:b/>
          <w:i/>
          <w:noProof/>
          <w:sz w:val="20"/>
          <w:szCs w:val="20"/>
          <w:bdr w:val="none" w:sz="0" w:space="0" w:color="auto" w:frame="1"/>
          <w:lang w:val="sr-Cyrl-CS"/>
        </w:rPr>
      </w:pPr>
      <w:r w:rsidRPr="00BF3CDE">
        <w:rPr>
          <w:noProof/>
          <w:lang w:val="sr-Latn-RS" w:eastAsia="sr-Latn-RS"/>
        </w:rPr>
        <w:drawing>
          <wp:inline distT="0" distB="0" distL="0" distR="0" wp14:anchorId="268FDA5F" wp14:editId="2E3B8568">
            <wp:extent cx="5763491" cy="2826328"/>
            <wp:effectExtent l="0" t="0" r="8890" b="0"/>
            <wp:docPr id="686" name="Chart 68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214F5CF5" w14:textId="77777777" w:rsidR="006C0D6C" w:rsidRPr="00BF3CDE" w:rsidRDefault="006C0D6C" w:rsidP="0069486B">
      <w:pPr>
        <w:spacing w:after="0"/>
        <w:ind w:left="993" w:hanging="142"/>
        <w:jc w:val="center"/>
        <w:rPr>
          <w:b/>
          <w:noProof/>
          <w:sz w:val="20"/>
          <w:szCs w:val="20"/>
          <w:lang w:val="sr-Cyrl-CS"/>
        </w:rPr>
      </w:pPr>
      <w:r w:rsidRPr="00BF3CDE">
        <w:rPr>
          <w:b/>
          <w:noProof/>
          <w:sz w:val="20"/>
          <w:szCs w:val="20"/>
          <w:lang w:val="sr-Cyrl-CS"/>
        </w:rPr>
        <w:lastRenderedPageBreak/>
        <w:t>ПРЕГЛЕД МЕРОДАВНОГ ТЕХНИЧКОГ РЕЗУЛТАТА У САМОПРИДРЖАЈУ ПО ВРСТАМА ОСИГУРАЊА</w:t>
      </w:r>
    </w:p>
    <w:tbl>
      <w:tblPr>
        <w:tblStyle w:val="MediumList1-Accent112"/>
        <w:tblW w:w="7473" w:type="dxa"/>
        <w:jc w:val="center"/>
        <w:tblLook w:val="04A0" w:firstRow="1" w:lastRow="0" w:firstColumn="1" w:lastColumn="0" w:noHBand="0" w:noVBand="1"/>
      </w:tblPr>
      <w:tblGrid>
        <w:gridCol w:w="431"/>
        <w:gridCol w:w="3528"/>
        <w:gridCol w:w="1173"/>
        <w:gridCol w:w="1173"/>
        <w:gridCol w:w="1168"/>
      </w:tblGrid>
      <w:tr w:rsidR="006C0D6C" w:rsidRPr="00BF3CDE" w14:paraId="43D5E980" w14:textId="77777777" w:rsidTr="0069486B">
        <w:trPr>
          <w:cnfStyle w:val="100000000000" w:firstRow="1" w:lastRow="0" w:firstColumn="0" w:lastColumn="0" w:oddVBand="0" w:evenVBand="0" w:oddHBand="0"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431" w:type="dxa"/>
            <w:noWrap/>
            <w:vAlign w:val="center"/>
            <w:hideMark/>
          </w:tcPr>
          <w:p w14:paraId="7CADEE01" w14:textId="77777777" w:rsidR="006C0D6C" w:rsidRPr="00BF3CDE" w:rsidRDefault="006C0D6C" w:rsidP="006C0D6C">
            <w:pPr>
              <w:jc w:val="center"/>
              <w:rPr>
                <w:rFonts w:ascii="Verdana" w:hAnsi="Verdana"/>
                <w:b w:val="0"/>
                <w:noProof/>
                <w:color w:val="auto"/>
                <w:sz w:val="16"/>
                <w:szCs w:val="16"/>
                <w:lang w:val="sr-Cyrl-CS"/>
              </w:rPr>
            </w:pPr>
            <w:r w:rsidRPr="00BF3CDE">
              <w:rPr>
                <w:rFonts w:ascii="Verdana" w:hAnsi="Verdana"/>
                <w:b w:val="0"/>
                <w:noProof/>
                <w:color w:val="auto"/>
                <w:sz w:val="16"/>
                <w:szCs w:val="16"/>
                <w:lang w:val="sr-Cyrl-CS"/>
              </w:rPr>
              <w:t>РБ</w:t>
            </w:r>
          </w:p>
        </w:tc>
        <w:tc>
          <w:tcPr>
            <w:tcW w:w="3528" w:type="dxa"/>
            <w:noWrap/>
            <w:vAlign w:val="center"/>
            <w:hideMark/>
          </w:tcPr>
          <w:p w14:paraId="379095BF" w14:textId="77777777" w:rsidR="006C0D6C" w:rsidRPr="00BF3CDE" w:rsidRDefault="006C0D6C" w:rsidP="006C0D6C">
            <w:pPr>
              <w:cnfStyle w:val="100000000000" w:firstRow="1"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Врста осигурања</w:t>
            </w:r>
          </w:p>
        </w:tc>
        <w:tc>
          <w:tcPr>
            <w:tcW w:w="1173" w:type="dxa"/>
            <w:vAlign w:val="center"/>
          </w:tcPr>
          <w:p w14:paraId="40CDA41E" w14:textId="77777777" w:rsidR="006C0D6C" w:rsidRPr="00BF3CDE" w:rsidRDefault="006C0D6C" w:rsidP="006C0D6C">
            <w:pPr>
              <w:jc w:val="center"/>
              <w:cnfStyle w:val="100000000000" w:firstRow="1"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МТР 31.12.2013</w:t>
            </w:r>
          </w:p>
        </w:tc>
        <w:tc>
          <w:tcPr>
            <w:tcW w:w="1173" w:type="dxa"/>
            <w:vAlign w:val="center"/>
            <w:hideMark/>
          </w:tcPr>
          <w:p w14:paraId="2C1DE3AC" w14:textId="77777777" w:rsidR="006C0D6C" w:rsidRPr="00BF3CDE" w:rsidRDefault="006C0D6C" w:rsidP="006C0D6C">
            <w:pPr>
              <w:jc w:val="center"/>
              <w:cnfStyle w:val="100000000000" w:firstRow="1"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МТР 30.09.2014</w:t>
            </w:r>
          </w:p>
        </w:tc>
        <w:tc>
          <w:tcPr>
            <w:tcW w:w="1168" w:type="dxa"/>
            <w:vAlign w:val="center"/>
            <w:hideMark/>
          </w:tcPr>
          <w:p w14:paraId="11B40FFC" w14:textId="77777777" w:rsidR="006C0D6C" w:rsidRPr="00BF3CDE" w:rsidRDefault="006C0D6C" w:rsidP="006C0D6C">
            <w:pPr>
              <w:jc w:val="center"/>
              <w:cnfStyle w:val="100000000000" w:firstRow="1"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МТР 31.12.2014</w:t>
            </w:r>
          </w:p>
        </w:tc>
      </w:tr>
      <w:tr w:rsidR="006C0D6C" w:rsidRPr="00BF3CDE" w14:paraId="017DCB07" w14:textId="77777777" w:rsidTr="0069486B">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431" w:type="dxa"/>
            <w:shd w:val="clear" w:color="auto" w:fill="auto"/>
            <w:noWrap/>
            <w:vAlign w:val="center"/>
            <w:hideMark/>
          </w:tcPr>
          <w:p w14:paraId="006B9AC3" w14:textId="77777777" w:rsidR="006C0D6C" w:rsidRPr="00BF3CDE" w:rsidRDefault="006C0D6C" w:rsidP="006C0D6C">
            <w:pPr>
              <w:jc w:val="center"/>
              <w:rPr>
                <w:rFonts w:ascii="Verdana" w:hAnsi="Verdana"/>
                <w:b w:val="0"/>
                <w:noProof/>
                <w:color w:val="auto"/>
                <w:sz w:val="16"/>
                <w:szCs w:val="16"/>
                <w:lang w:val="sr-Cyrl-CS"/>
              </w:rPr>
            </w:pPr>
            <w:r w:rsidRPr="00BF3CDE">
              <w:rPr>
                <w:rFonts w:ascii="Verdana" w:hAnsi="Verdana"/>
                <w:b w:val="0"/>
                <w:noProof/>
                <w:color w:val="auto"/>
                <w:sz w:val="16"/>
                <w:szCs w:val="16"/>
                <w:lang w:val="sr-Cyrl-CS"/>
              </w:rPr>
              <w:t>01</w:t>
            </w:r>
          </w:p>
        </w:tc>
        <w:tc>
          <w:tcPr>
            <w:tcW w:w="3528" w:type="dxa"/>
            <w:shd w:val="clear" w:color="auto" w:fill="auto"/>
            <w:vAlign w:val="center"/>
            <w:hideMark/>
          </w:tcPr>
          <w:p w14:paraId="3B1CD45A"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Осигурање од последица незгоде</w:t>
            </w:r>
          </w:p>
        </w:tc>
        <w:tc>
          <w:tcPr>
            <w:tcW w:w="1173" w:type="dxa"/>
            <w:shd w:val="clear" w:color="auto" w:fill="auto"/>
            <w:vAlign w:val="center"/>
          </w:tcPr>
          <w:p w14:paraId="5C0B4C4C"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FF0000"/>
                <w:sz w:val="16"/>
                <w:szCs w:val="16"/>
                <w:lang w:val="sr-Cyrl-CS"/>
              </w:rPr>
              <w:t>3,9532</w:t>
            </w:r>
          </w:p>
        </w:tc>
        <w:tc>
          <w:tcPr>
            <w:tcW w:w="1173" w:type="dxa"/>
            <w:shd w:val="clear" w:color="auto" w:fill="auto"/>
            <w:noWrap/>
            <w:vAlign w:val="bottom"/>
          </w:tcPr>
          <w:p w14:paraId="387AEF7A"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FF0000"/>
                <w:sz w:val="16"/>
                <w:szCs w:val="16"/>
                <w:lang w:val="sr-Cyrl-CS"/>
              </w:rPr>
              <w:t>4,8199</w:t>
            </w:r>
          </w:p>
        </w:tc>
        <w:tc>
          <w:tcPr>
            <w:tcW w:w="1168" w:type="dxa"/>
            <w:shd w:val="clear" w:color="auto" w:fill="auto"/>
            <w:noWrap/>
            <w:vAlign w:val="bottom"/>
          </w:tcPr>
          <w:p w14:paraId="5F41FC6D"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-9.1818</w:t>
            </w:r>
          </w:p>
        </w:tc>
      </w:tr>
      <w:tr w:rsidR="006C0D6C" w:rsidRPr="00BF3CDE" w14:paraId="0253CF3A" w14:textId="77777777" w:rsidTr="0069486B">
        <w:trPr>
          <w:trHeight w:val="283"/>
          <w:jc w:val="center"/>
        </w:trPr>
        <w:tc>
          <w:tcPr>
            <w:cnfStyle w:val="001000000000" w:firstRow="0" w:lastRow="0" w:firstColumn="1" w:lastColumn="0" w:oddVBand="0" w:evenVBand="0" w:oddHBand="0" w:evenHBand="0" w:firstRowFirstColumn="0" w:firstRowLastColumn="0" w:lastRowFirstColumn="0" w:lastRowLastColumn="0"/>
            <w:tcW w:w="431" w:type="dxa"/>
            <w:shd w:val="clear" w:color="auto" w:fill="auto"/>
            <w:noWrap/>
            <w:vAlign w:val="center"/>
            <w:hideMark/>
          </w:tcPr>
          <w:p w14:paraId="51E26E75" w14:textId="77777777" w:rsidR="006C0D6C" w:rsidRPr="00BF3CDE" w:rsidRDefault="006C0D6C" w:rsidP="006C0D6C">
            <w:pPr>
              <w:jc w:val="center"/>
              <w:rPr>
                <w:rFonts w:ascii="Verdana" w:hAnsi="Verdana"/>
                <w:b w:val="0"/>
                <w:noProof/>
                <w:color w:val="auto"/>
                <w:sz w:val="16"/>
                <w:szCs w:val="16"/>
                <w:lang w:val="sr-Cyrl-CS"/>
              </w:rPr>
            </w:pPr>
            <w:r w:rsidRPr="00BF3CDE">
              <w:rPr>
                <w:rFonts w:ascii="Verdana" w:hAnsi="Verdana"/>
                <w:b w:val="0"/>
                <w:noProof/>
                <w:color w:val="auto"/>
                <w:sz w:val="16"/>
                <w:szCs w:val="16"/>
                <w:lang w:val="sr-Cyrl-CS"/>
              </w:rPr>
              <w:t>02</w:t>
            </w:r>
          </w:p>
        </w:tc>
        <w:tc>
          <w:tcPr>
            <w:tcW w:w="3528" w:type="dxa"/>
            <w:shd w:val="clear" w:color="auto" w:fill="auto"/>
            <w:vAlign w:val="center"/>
            <w:hideMark/>
          </w:tcPr>
          <w:p w14:paraId="76B47111"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Добровољно здравствено осигурање</w:t>
            </w:r>
          </w:p>
        </w:tc>
        <w:tc>
          <w:tcPr>
            <w:tcW w:w="1173" w:type="dxa"/>
            <w:shd w:val="clear" w:color="auto" w:fill="auto"/>
            <w:vAlign w:val="center"/>
          </w:tcPr>
          <w:p w14:paraId="03629A6E"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0,0000</w:t>
            </w:r>
          </w:p>
        </w:tc>
        <w:tc>
          <w:tcPr>
            <w:tcW w:w="1173" w:type="dxa"/>
            <w:shd w:val="clear" w:color="auto" w:fill="auto"/>
            <w:noWrap/>
            <w:vAlign w:val="bottom"/>
          </w:tcPr>
          <w:p w14:paraId="78CB2E2C"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0,0000</w:t>
            </w:r>
          </w:p>
        </w:tc>
        <w:tc>
          <w:tcPr>
            <w:tcW w:w="1168" w:type="dxa"/>
            <w:shd w:val="clear" w:color="auto" w:fill="auto"/>
            <w:noWrap/>
            <w:vAlign w:val="bottom"/>
          </w:tcPr>
          <w:p w14:paraId="25B74160"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0.0000</w:t>
            </w:r>
          </w:p>
        </w:tc>
      </w:tr>
      <w:tr w:rsidR="006C0D6C" w:rsidRPr="00BF3CDE" w14:paraId="1C2613BF" w14:textId="77777777" w:rsidTr="0069486B">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431" w:type="dxa"/>
            <w:shd w:val="clear" w:color="auto" w:fill="auto"/>
            <w:noWrap/>
            <w:vAlign w:val="center"/>
            <w:hideMark/>
          </w:tcPr>
          <w:p w14:paraId="6441A542" w14:textId="77777777" w:rsidR="006C0D6C" w:rsidRPr="00BF3CDE" w:rsidRDefault="006C0D6C" w:rsidP="006C0D6C">
            <w:pPr>
              <w:jc w:val="center"/>
              <w:rPr>
                <w:rFonts w:ascii="Verdana" w:hAnsi="Verdana"/>
                <w:b w:val="0"/>
                <w:noProof/>
                <w:color w:val="auto"/>
                <w:sz w:val="16"/>
                <w:szCs w:val="16"/>
                <w:lang w:val="sr-Cyrl-CS"/>
              </w:rPr>
            </w:pPr>
            <w:r w:rsidRPr="00BF3CDE">
              <w:rPr>
                <w:rFonts w:ascii="Verdana" w:hAnsi="Verdana"/>
                <w:b w:val="0"/>
                <w:noProof/>
                <w:color w:val="auto"/>
                <w:sz w:val="16"/>
                <w:szCs w:val="16"/>
                <w:lang w:val="sr-Cyrl-CS"/>
              </w:rPr>
              <w:t>03</w:t>
            </w:r>
          </w:p>
        </w:tc>
        <w:tc>
          <w:tcPr>
            <w:tcW w:w="3528" w:type="dxa"/>
            <w:shd w:val="clear" w:color="auto" w:fill="auto"/>
            <w:vAlign w:val="center"/>
            <w:hideMark/>
          </w:tcPr>
          <w:p w14:paraId="456DAFDE"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Осигурање моторних возила</w:t>
            </w:r>
          </w:p>
        </w:tc>
        <w:tc>
          <w:tcPr>
            <w:tcW w:w="1173" w:type="dxa"/>
            <w:shd w:val="clear" w:color="auto" w:fill="auto"/>
            <w:vAlign w:val="center"/>
          </w:tcPr>
          <w:p w14:paraId="1C00AECB"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FF0000"/>
                <w:sz w:val="16"/>
                <w:szCs w:val="16"/>
                <w:lang w:val="sr-Cyrl-CS"/>
              </w:rPr>
              <w:t>1,3990</w:t>
            </w:r>
          </w:p>
        </w:tc>
        <w:tc>
          <w:tcPr>
            <w:tcW w:w="1173" w:type="dxa"/>
            <w:shd w:val="clear" w:color="auto" w:fill="auto"/>
            <w:noWrap/>
            <w:vAlign w:val="bottom"/>
          </w:tcPr>
          <w:p w14:paraId="613E5EBC"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0,9199</w:t>
            </w:r>
          </w:p>
        </w:tc>
        <w:tc>
          <w:tcPr>
            <w:tcW w:w="1168" w:type="dxa"/>
            <w:shd w:val="clear" w:color="auto" w:fill="auto"/>
            <w:noWrap/>
            <w:vAlign w:val="bottom"/>
          </w:tcPr>
          <w:p w14:paraId="30C54CF5"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0.4937</w:t>
            </w:r>
          </w:p>
        </w:tc>
      </w:tr>
      <w:tr w:rsidR="006C0D6C" w:rsidRPr="00BF3CDE" w14:paraId="40EF5FC3" w14:textId="77777777" w:rsidTr="0069486B">
        <w:trPr>
          <w:trHeight w:val="283"/>
          <w:jc w:val="center"/>
        </w:trPr>
        <w:tc>
          <w:tcPr>
            <w:cnfStyle w:val="001000000000" w:firstRow="0" w:lastRow="0" w:firstColumn="1" w:lastColumn="0" w:oddVBand="0" w:evenVBand="0" w:oddHBand="0" w:evenHBand="0" w:firstRowFirstColumn="0" w:firstRowLastColumn="0" w:lastRowFirstColumn="0" w:lastRowLastColumn="0"/>
            <w:tcW w:w="431" w:type="dxa"/>
            <w:shd w:val="clear" w:color="auto" w:fill="auto"/>
            <w:noWrap/>
            <w:vAlign w:val="center"/>
            <w:hideMark/>
          </w:tcPr>
          <w:p w14:paraId="7BD03776" w14:textId="77777777" w:rsidR="006C0D6C" w:rsidRPr="00BF3CDE" w:rsidRDefault="006C0D6C" w:rsidP="006C0D6C">
            <w:pPr>
              <w:jc w:val="center"/>
              <w:rPr>
                <w:rFonts w:ascii="Verdana" w:hAnsi="Verdana"/>
                <w:b w:val="0"/>
                <w:noProof/>
                <w:color w:val="auto"/>
                <w:sz w:val="16"/>
                <w:szCs w:val="16"/>
                <w:lang w:val="sr-Cyrl-CS"/>
              </w:rPr>
            </w:pPr>
            <w:r w:rsidRPr="00BF3CDE">
              <w:rPr>
                <w:rFonts w:ascii="Verdana" w:hAnsi="Verdana"/>
                <w:b w:val="0"/>
                <w:noProof/>
                <w:color w:val="auto"/>
                <w:sz w:val="16"/>
                <w:szCs w:val="16"/>
                <w:lang w:val="sr-Cyrl-CS"/>
              </w:rPr>
              <w:t>04</w:t>
            </w:r>
          </w:p>
        </w:tc>
        <w:tc>
          <w:tcPr>
            <w:tcW w:w="3528" w:type="dxa"/>
            <w:shd w:val="clear" w:color="auto" w:fill="auto"/>
            <w:vAlign w:val="center"/>
            <w:hideMark/>
          </w:tcPr>
          <w:p w14:paraId="7DECA918"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Осигурање шинских возила</w:t>
            </w:r>
          </w:p>
        </w:tc>
        <w:tc>
          <w:tcPr>
            <w:tcW w:w="1173" w:type="dxa"/>
            <w:shd w:val="clear" w:color="auto" w:fill="auto"/>
            <w:vAlign w:val="center"/>
          </w:tcPr>
          <w:p w14:paraId="7B1FE80A"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0,0000</w:t>
            </w:r>
          </w:p>
        </w:tc>
        <w:tc>
          <w:tcPr>
            <w:tcW w:w="1173" w:type="dxa"/>
            <w:shd w:val="clear" w:color="auto" w:fill="auto"/>
            <w:noWrap/>
            <w:vAlign w:val="bottom"/>
          </w:tcPr>
          <w:p w14:paraId="1215BE3F"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0,0000</w:t>
            </w:r>
          </w:p>
        </w:tc>
        <w:tc>
          <w:tcPr>
            <w:tcW w:w="1168" w:type="dxa"/>
            <w:shd w:val="clear" w:color="auto" w:fill="auto"/>
            <w:noWrap/>
            <w:vAlign w:val="bottom"/>
          </w:tcPr>
          <w:p w14:paraId="67303F0A"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0.0000</w:t>
            </w:r>
          </w:p>
        </w:tc>
      </w:tr>
      <w:tr w:rsidR="006C0D6C" w:rsidRPr="00BF3CDE" w14:paraId="2E5CC8D0" w14:textId="77777777" w:rsidTr="0069486B">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431" w:type="dxa"/>
            <w:shd w:val="clear" w:color="auto" w:fill="auto"/>
            <w:noWrap/>
            <w:vAlign w:val="center"/>
            <w:hideMark/>
          </w:tcPr>
          <w:p w14:paraId="3A39A2B8" w14:textId="77777777" w:rsidR="006C0D6C" w:rsidRPr="00BF3CDE" w:rsidRDefault="006C0D6C" w:rsidP="006C0D6C">
            <w:pPr>
              <w:jc w:val="center"/>
              <w:rPr>
                <w:rFonts w:ascii="Verdana" w:hAnsi="Verdana"/>
                <w:b w:val="0"/>
                <w:noProof/>
                <w:color w:val="auto"/>
                <w:sz w:val="16"/>
                <w:szCs w:val="16"/>
                <w:lang w:val="sr-Cyrl-CS"/>
              </w:rPr>
            </w:pPr>
            <w:r w:rsidRPr="00BF3CDE">
              <w:rPr>
                <w:rFonts w:ascii="Verdana" w:hAnsi="Verdana"/>
                <w:b w:val="0"/>
                <w:noProof/>
                <w:color w:val="auto"/>
                <w:sz w:val="16"/>
                <w:szCs w:val="16"/>
                <w:lang w:val="sr-Cyrl-CS"/>
              </w:rPr>
              <w:t>05</w:t>
            </w:r>
          </w:p>
        </w:tc>
        <w:tc>
          <w:tcPr>
            <w:tcW w:w="3528" w:type="dxa"/>
            <w:shd w:val="clear" w:color="auto" w:fill="auto"/>
            <w:vAlign w:val="center"/>
            <w:hideMark/>
          </w:tcPr>
          <w:p w14:paraId="50242F61"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Осигурање ваздухоплова</w:t>
            </w:r>
          </w:p>
        </w:tc>
        <w:tc>
          <w:tcPr>
            <w:tcW w:w="1173" w:type="dxa"/>
            <w:shd w:val="clear" w:color="auto" w:fill="auto"/>
            <w:vAlign w:val="center"/>
          </w:tcPr>
          <w:p w14:paraId="173A8178"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-1,0287</w:t>
            </w:r>
          </w:p>
        </w:tc>
        <w:tc>
          <w:tcPr>
            <w:tcW w:w="1173" w:type="dxa"/>
            <w:shd w:val="clear" w:color="auto" w:fill="auto"/>
            <w:noWrap/>
            <w:vAlign w:val="bottom"/>
          </w:tcPr>
          <w:p w14:paraId="3A859B48"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0,7225</w:t>
            </w:r>
          </w:p>
        </w:tc>
        <w:tc>
          <w:tcPr>
            <w:tcW w:w="1168" w:type="dxa"/>
            <w:shd w:val="clear" w:color="auto" w:fill="auto"/>
            <w:noWrap/>
            <w:vAlign w:val="bottom"/>
          </w:tcPr>
          <w:p w14:paraId="32A2E5F5"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0.2655</w:t>
            </w:r>
          </w:p>
        </w:tc>
      </w:tr>
      <w:tr w:rsidR="006C0D6C" w:rsidRPr="00BF3CDE" w14:paraId="1C2344B5" w14:textId="77777777" w:rsidTr="0069486B">
        <w:trPr>
          <w:trHeight w:val="283"/>
          <w:jc w:val="center"/>
        </w:trPr>
        <w:tc>
          <w:tcPr>
            <w:cnfStyle w:val="001000000000" w:firstRow="0" w:lastRow="0" w:firstColumn="1" w:lastColumn="0" w:oddVBand="0" w:evenVBand="0" w:oddHBand="0" w:evenHBand="0" w:firstRowFirstColumn="0" w:firstRowLastColumn="0" w:lastRowFirstColumn="0" w:lastRowLastColumn="0"/>
            <w:tcW w:w="431" w:type="dxa"/>
            <w:shd w:val="clear" w:color="auto" w:fill="auto"/>
            <w:noWrap/>
            <w:vAlign w:val="center"/>
            <w:hideMark/>
          </w:tcPr>
          <w:p w14:paraId="3890A11D" w14:textId="77777777" w:rsidR="006C0D6C" w:rsidRPr="00BF3CDE" w:rsidRDefault="006C0D6C" w:rsidP="006C0D6C">
            <w:pPr>
              <w:jc w:val="center"/>
              <w:rPr>
                <w:rFonts w:ascii="Verdana" w:hAnsi="Verdana"/>
                <w:b w:val="0"/>
                <w:noProof/>
                <w:color w:val="auto"/>
                <w:sz w:val="16"/>
                <w:szCs w:val="16"/>
                <w:lang w:val="sr-Cyrl-CS"/>
              </w:rPr>
            </w:pPr>
            <w:r w:rsidRPr="00BF3CDE">
              <w:rPr>
                <w:rFonts w:ascii="Verdana" w:hAnsi="Verdana"/>
                <w:b w:val="0"/>
                <w:noProof/>
                <w:color w:val="auto"/>
                <w:sz w:val="16"/>
                <w:szCs w:val="16"/>
                <w:lang w:val="sr-Cyrl-CS"/>
              </w:rPr>
              <w:t>06</w:t>
            </w:r>
          </w:p>
        </w:tc>
        <w:tc>
          <w:tcPr>
            <w:tcW w:w="3528" w:type="dxa"/>
            <w:shd w:val="clear" w:color="auto" w:fill="auto"/>
            <w:vAlign w:val="center"/>
            <w:hideMark/>
          </w:tcPr>
          <w:p w14:paraId="1F81AF4D"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Осигурање пловних објеката</w:t>
            </w:r>
          </w:p>
        </w:tc>
        <w:tc>
          <w:tcPr>
            <w:tcW w:w="1173" w:type="dxa"/>
            <w:shd w:val="clear" w:color="auto" w:fill="auto"/>
            <w:vAlign w:val="center"/>
          </w:tcPr>
          <w:p w14:paraId="4D2EE7AD"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-0,0358</w:t>
            </w:r>
          </w:p>
        </w:tc>
        <w:tc>
          <w:tcPr>
            <w:tcW w:w="1173" w:type="dxa"/>
            <w:shd w:val="clear" w:color="auto" w:fill="auto"/>
            <w:noWrap/>
            <w:vAlign w:val="bottom"/>
          </w:tcPr>
          <w:p w14:paraId="1B7AB55C"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0,0000</w:t>
            </w:r>
          </w:p>
        </w:tc>
        <w:tc>
          <w:tcPr>
            <w:tcW w:w="1168" w:type="dxa"/>
            <w:shd w:val="clear" w:color="auto" w:fill="auto"/>
            <w:noWrap/>
            <w:vAlign w:val="bottom"/>
          </w:tcPr>
          <w:p w14:paraId="4D8C5846"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-0.0235</w:t>
            </w:r>
          </w:p>
        </w:tc>
      </w:tr>
      <w:tr w:rsidR="006C0D6C" w:rsidRPr="00BF3CDE" w14:paraId="7C190034" w14:textId="77777777" w:rsidTr="0069486B">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431" w:type="dxa"/>
            <w:shd w:val="clear" w:color="auto" w:fill="auto"/>
            <w:noWrap/>
            <w:vAlign w:val="center"/>
            <w:hideMark/>
          </w:tcPr>
          <w:p w14:paraId="100F8DFA" w14:textId="77777777" w:rsidR="006C0D6C" w:rsidRPr="00BF3CDE" w:rsidRDefault="006C0D6C" w:rsidP="006C0D6C">
            <w:pPr>
              <w:jc w:val="center"/>
              <w:rPr>
                <w:rFonts w:ascii="Verdana" w:hAnsi="Verdana"/>
                <w:b w:val="0"/>
                <w:noProof/>
                <w:color w:val="auto"/>
                <w:sz w:val="16"/>
                <w:szCs w:val="16"/>
                <w:lang w:val="sr-Cyrl-CS"/>
              </w:rPr>
            </w:pPr>
            <w:r w:rsidRPr="00BF3CDE">
              <w:rPr>
                <w:rFonts w:ascii="Verdana" w:hAnsi="Verdana"/>
                <w:b w:val="0"/>
                <w:noProof/>
                <w:color w:val="auto"/>
                <w:sz w:val="16"/>
                <w:szCs w:val="16"/>
                <w:lang w:val="sr-Cyrl-CS"/>
              </w:rPr>
              <w:t>07</w:t>
            </w:r>
          </w:p>
        </w:tc>
        <w:tc>
          <w:tcPr>
            <w:tcW w:w="3528" w:type="dxa"/>
            <w:shd w:val="clear" w:color="auto" w:fill="auto"/>
            <w:vAlign w:val="center"/>
            <w:hideMark/>
          </w:tcPr>
          <w:p w14:paraId="3FC66877"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Осигурање робе у превозу</w:t>
            </w:r>
          </w:p>
        </w:tc>
        <w:tc>
          <w:tcPr>
            <w:tcW w:w="1173" w:type="dxa"/>
            <w:shd w:val="clear" w:color="auto" w:fill="auto"/>
            <w:vAlign w:val="center"/>
          </w:tcPr>
          <w:p w14:paraId="39A2835C"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FF0000"/>
                <w:sz w:val="16"/>
                <w:szCs w:val="16"/>
                <w:lang w:val="sr-Cyrl-CS"/>
              </w:rPr>
              <w:t>1,4897</w:t>
            </w:r>
          </w:p>
        </w:tc>
        <w:tc>
          <w:tcPr>
            <w:tcW w:w="1173" w:type="dxa"/>
            <w:shd w:val="clear" w:color="auto" w:fill="auto"/>
            <w:noWrap/>
            <w:vAlign w:val="bottom"/>
          </w:tcPr>
          <w:p w14:paraId="2A962A01"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-0,1397</w:t>
            </w:r>
          </w:p>
        </w:tc>
        <w:tc>
          <w:tcPr>
            <w:tcW w:w="1168" w:type="dxa"/>
            <w:shd w:val="clear" w:color="auto" w:fill="auto"/>
            <w:noWrap/>
            <w:vAlign w:val="bottom"/>
          </w:tcPr>
          <w:p w14:paraId="5DD62A13"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-0.3947</w:t>
            </w:r>
          </w:p>
        </w:tc>
      </w:tr>
      <w:tr w:rsidR="006C0D6C" w:rsidRPr="00BF3CDE" w14:paraId="2D477F36" w14:textId="77777777" w:rsidTr="0069486B">
        <w:trPr>
          <w:trHeight w:val="283"/>
          <w:jc w:val="center"/>
        </w:trPr>
        <w:tc>
          <w:tcPr>
            <w:cnfStyle w:val="001000000000" w:firstRow="0" w:lastRow="0" w:firstColumn="1" w:lastColumn="0" w:oddVBand="0" w:evenVBand="0" w:oddHBand="0" w:evenHBand="0" w:firstRowFirstColumn="0" w:firstRowLastColumn="0" w:lastRowFirstColumn="0" w:lastRowLastColumn="0"/>
            <w:tcW w:w="431" w:type="dxa"/>
            <w:shd w:val="clear" w:color="auto" w:fill="auto"/>
            <w:noWrap/>
            <w:vAlign w:val="center"/>
            <w:hideMark/>
          </w:tcPr>
          <w:p w14:paraId="6629BAE8" w14:textId="77777777" w:rsidR="006C0D6C" w:rsidRPr="00BF3CDE" w:rsidRDefault="006C0D6C" w:rsidP="006C0D6C">
            <w:pPr>
              <w:jc w:val="center"/>
              <w:rPr>
                <w:rFonts w:ascii="Verdana" w:hAnsi="Verdana"/>
                <w:b w:val="0"/>
                <w:noProof/>
                <w:color w:val="auto"/>
                <w:sz w:val="16"/>
                <w:szCs w:val="16"/>
                <w:lang w:val="sr-Cyrl-CS"/>
              </w:rPr>
            </w:pPr>
            <w:r w:rsidRPr="00BF3CDE">
              <w:rPr>
                <w:rFonts w:ascii="Verdana" w:hAnsi="Verdana"/>
                <w:b w:val="0"/>
                <w:noProof/>
                <w:color w:val="auto"/>
                <w:sz w:val="16"/>
                <w:szCs w:val="16"/>
                <w:lang w:val="sr-Cyrl-CS"/>
              </w:rPr>
              <w:t>08</w:t>
            </w:r>
          </w:p>
        </w:tc>
        <w:tc>
          <w:tcPr>
            <w:tcW w:w="3528" w:type="dxa"/>
            <w:shd w:val="clear" w:color="auto" w:fill="auto"/>
            <w:vAlign w:val="center"/>
            <w:hideMark/>
          </w:tcPr>
          <w:p w14:paraId="69F44566"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Осигурање имовине од пожара и других опасности</w:t>
            </w:r>
          </w:p>
        </w:tc>
        <w:tc>
          <w:tcPr>
            <w:tcW w:w="1173" w:type="dxa"/>
            <w:shd w:val="clear" w:color="auto" w:fill="auto"/>
            <w:vAlign w:val="center"/>
          </w:tcPr>
          <w:p w14:paraId="5B174234"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p>
          <w:p w14:paraId="2653B12A"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0,8914</w:t>
            </w:r>
          </w:p>
        </w:tc>
        <w:tc>
          <w:tcPr>
            <w:tcW w:w="1173" w:type="dxa"/>
            <w:shd w:val="clear" w:color="auto" w:fill="auto"/>
            <w:noWrap/>
            <w:vAlign w:val="bottom"/>
          </w:tcPr>
          <w:p w14:paraId="73C05DCA"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FF0000"/>
                <w:sz w:val="16"/>
                <w:szCs w:val="16"/>
                <w:lang w:val="sr-Cyrl-CS"/>
              </w:rPr>
              <w:t>6,3260</w:t>
            </w:r>
          </w:p>
        </w:tc>
        <w:tc>
          <w:tcPr>
            <w:tcW w:w="1168" w:type="dxa"/>
            <w:shd w:val="clear" w:color="auto" w:fill="auto"/>
            <w:noWrap/>
            <w:vAlign w:val="bottom"/>
          </w:tcPr>
          <w:p w14:paraId="35DAFDCD"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FF0000"/>
                <w:sz w:val="16"/>
                <w:szCs w:val="16"/>
                <w:lang w:val="sr-Cyrl-CS"/>
              </w:rPr>
              <w:t>3.9192</w:t>
            </w:r>
          </w:p>
        </w:tc>
      </w:tr>
      <w:tr w:rsidR="006C0D6C" w:rsidRPr="00BF3CDE" w14:paraId="7CC61B16" w14:textId="77777777" w:rsidTr="0069486B">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431" w:type="dxa"/>
            <w:shd w:val="clear" w:color="auto" w:fill="auto"/>
            <w:noWrap/>
            <w:vAlign w:val="center"/>
            <w:hideMark/>
          </w:tcPr>
          <w:p w14:paraId="2AE7F703" w14:textId="77777777" w:rsidR="006C0D6C" w:rsidRPr="00BF3CDE" w:rsidRDefault="006C0D6C" w:rsidP="006C0D6C">
            <w:pPr>
              <w:jc w:val="center"/>
              <w:rPr>
                <w:rFonts w:ascii="Verdana" w:hAnsi="Verdana"/>
                <w:b w:val="0"/>
                <w:noProof/>
                <w:color w:val="auto"/>
                <w:sz w:val="16"/>
                <w:szCs w:val="16"/>
                <w:lang w:val="sr-Cyrl-CS"/>
              </w:rPr>
            </w:pPr>
            <w:r w:rsidRPr="00BF3CDE">
              <w:rPr>
                <w:rFonts w:ascii="Verdana" w:hAnsi="Verdana"/>
                <w:b w:val="0"/>
                <w:noProof/>
                <w:color w:val="auto"/>
                <w:sz w:val="16"/>
                <w:szCs w:val="16"/>
                <w:lang w:val="sr-Cyrl-CS"/>
              </w:rPr>
              <w:t>09</w:t>
            </w:r>
          </w:p>
        </w:tc>
        <w:tc>
          <w:tcPr>
            <w:tcW w:w="3528" w:type="dxa"/>
            <w:shd w:val="clear" w:color="auto" w:fill="auto"/>
            <w:vAlign w:val="center"/>
            <w:hideMark/>
          </w:tcPr>
          <w:p w14:paraId="1FFBF101"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Остала осигурања имовине</w:t>
            </w:r>
          </w:p>
        </w:tc>
        <w:tc>
          <w:tcPr>
            <w:tcW w:w="1173" w:type="dxa"/>
            <w:shd w:val="clear" w:color="auto" w:fill="auto"/>
            <w:vAlign w:val="center"/>
          </w:tcPr>
          <w:p w14:paraId="1F596EB5"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0,4240</w:t>
            </w:r>
          </w:p>
        </w:tc>
        <w:tc>
          <w:tcPr>
            <w:tcW w:w="1173" w:type="dxa"/>
            <w:shd w:val="clear" w:color="auto" w:fill="auto"/>
            <w:noWrap/>
            <w:vAlign w:val="bottom"/>
          </w:tcPr>
          <w:p w14:paraId="44F8EA33"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1,1466</w:t>
            </w:r>
          </w:p>
        </w:tc>
        <w:tc>
          <w:tcPr>
            <w:tcW w:w="1168" w:type="dxa"/>
            <w:shd w:val="clear" w:color="auto" w:fill="auto"/>
            <w:noWrap/>
            <w:vAlign w:val="bottom"/>
          </w:tcPr>
          <w:p w14:paraId="1C3D7534"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FF0000"/>
                <w:sz w:val="16"/>
                <w:szCs w:val="16"/>
                <w:lang w:val="sr-Cyrl-CS"/>
              </w:rPr>
              <w:t>1.1991</w:t>
            </w:r>
          </w:p>
        </w:tc>
      </w:tr>
      <w:tr w:rsidR="006C0D6C" w:rsidRPr="00BF3CDE" w14:paraId="55F9CFBD" w14:textId="77777777" w:rsidTr="0069486B">
        <w:trPr>
          <w:trHeight w:val="283"/>
          <w:jc w:val="center"/>
        </w:trPr>
        <w:tc>
          <w:tcPr>
            <w:cnfStyle w:val="001000000000" w:firstRow="0" w:lastRow="0" w:firstColumn="1" w:lastColumn="0" w:oddVBand="0" w:evenVBand="0" w:oddHBand="0" w:evenHBand="0" w:firstRowFirstColumn="0" w:firstRowLastColumn="0" w:lastRowFirstColumn="0" w:lastRowLastColumn="0"/>
            <w:tcW w:w="431" w:type="dxa"/>
            <w:shd w:val="clear" w:color="auto" w:fill="auto"/>
            <w:noWrap/>
            <w:vAlign w:val="center"/>
            <w:hideMark/>
          </w:tcPr>
          <w:p w14:paraId="570A1AF8" w14:textId="77777777" w:rsidR="006C0D6C" w:rsidRPr="00BF3CDE" w:rsidRDefault="006C0D6C" w:rsidP="006C0D6C">
            <w:pPr>
              <w:jc w:val="center"/>
              <w:rPr>
                <w:rFonts w:ascii="Verdana" w:hAnsi="Verdana"/>
                <w:b w:val="0"/>
                <w:noProof/>
                <w:color w:val="auto"/>
                <w:sz w:val="16"/>
                <w:szCs w:val="16"/>
                <w:lang w:val="sr-Cyrl-CS"/>
              </w:rPr>
            </w:pPr>
            <w:r w:rsidRPr="00BF3CDE">
              <w:rPr>
                <w:rFonts w:ascii="Verdana" w:hAnsi="Verdana"/>
                <w:b w:val="0"/>
                <w:noProof/>
                <w:color w:val="auto"/>
                <w:sz w:val="16"/>
                <w:szCs w:val="16"/>
                <w:lang w:val="sr-Cyrl-CS"/>
              </w:rPr>
              <w:t>10</w:t>
            </w:r>
          </w:p>
        </w:tc>
        <w:tc>
          <w:tcPr>
            <w:tcW w:w="3528" w:type="dxa"/>
            <w:shd w:val="clear" w:color="auto" w:fill="auto"/>
            <w:vAlign w:val="center"/>
            <w:hideMark/>
          </w:tcPr>
          <w:p w14:paraId="39B97F39"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Осигурање од одговорности због употребе моторних возила</w:t>
            </w:r>
          </w:p>
        </w:tc>
        <w:tc>
          <w:tcPr>
            <w:tcW w:w="1173" w:type="dxa"/>
            <w:shd w:val="clear" w:color="auto" w:fill="auto"/>
            <w:vAlign w:val="center"/>
          </w:tcPr>
          <w:p w14:paraId="1C529376"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p>
          <w:p w14:paraId="26EFE2F8"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p>
          <w:p w14:paraId="5BE31A69"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0,9809</w:t>
            </w:r>
          </w:p>
        </w:tc>
        <w:tc>
          <w:tcPr>
            <w:tcW w:w="1173" w:type="dxa"/>
            <w:shd w:val="clear" w:color="auto" w:fill="auto"/>
            <w:noWrap/>
            <w:vAlign w:val="bottom"/>
          </w:tcPr>
          <w:p w14:paraId="32791193"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0,5637</w:t>
            </w:r>
          </w:p>
        </w:tc>
        <w:tc>
          <w:tcPr>
            <w:tcW w:w="1168" w:type="dxa"/>
            <w:shd w:val="clear" w:color="auto" w:fill="auto"/>
            <w:noWrap/>
            <w:vAlign w:val="bottom"/>
          </w:tcPr>
          <w:p w14:paraId="69A40FAA"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0.9551</w:t>
            </w:r>
          </w:p>
        </w:tc>
      </w:tr>
      <w:tr w:rsidR="006C0D6C" w:rsidRPr="00BF3CDE" w14:paraId="18A1FEE4" w14:textId="77777777" w:rsidTr="0069486B">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431" w:type="dxa"/>
            <w:shd w:val="clear" w:color="auto" w:fill="auto"/>
            <w:noWrap/>
            <w:vAlign w:val="center"/>
            <w:hideMark/>
          </w:tcPr>
          <w:p w14:paraId="6BA35D79" w14:textId="77777777" w:rsidR="006C0D6C" w:rsidRPr="00BF3CDE" w:rsidRDefault="006C0D6C" w:rsidP="006C0D6C">
            <w:pPr>
              <w:jc w:val="center"/>
              <w:rPr>
                <w:rFonts w:ascii="Verdana" w:hAnsi="Verdana"/>
                <w:b w:val="0"/>
                <w:noProof/>
                <w:color w:val="auto"/>
                <w:sz w:val="16"/>
                <w:szCs w:val="16"/>
                <w:lang w:val="sr-Cyrl-CS"/>
              </w:rPr>
            </w:pPr>
            <w:r w:rsidRPr="00BF3CDE">
              <w:rPr>
                <w:rFonts w:ascii="Verdana" w:hAnsi="Verdana"/>
                <w:b w:val="0"/>
                <w:noProof/>
                <w:color w:val="auto"/>
                <w:sz w:val="16"/>
                <w:szCs w:val="16"/>
                <w:lang w:val="sr-Cyrl-CS"/>
              </w:rPr>
              <w:t>11</w:t>
            </w:r>
          </w:p>
        </w:tc>
        <w:tc>
          <w:tcPr>
            <w:tcW w:w="3528" w:type="dxa"/>
            <w:shd w:val="clear" w:color="auto" w:fill="auto"/>
            <w:vAlign w:val="center"/>
            <w:hideMark/>
          </w:tcPr>
          <w:p w14:paraId="7545E6A9"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Осигурање од одговорности због употребе ваздухоплова</w:t>
            </w:r>
          </w:p>
        </w:tc>
        <w:tc>
          <w:tcPr>
            <w:tcW w:w="1173" w:type="dxa"/>
            <w:shd w:val="clear" w:color="auto" w:fill="auto"/>
            <w:vAlign w:val="center"/>
          </w:tcPr>
          <w:p w14:paraId="15AEDD67"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color w:val="auto"/>
                <w:sz w:val="16"/>
                <w:szCs w:val="16"/>
                <w:lang w:val="sr-Cyrl-CS"/>
              </w:rPr>
            </w:pPr>
          </w:p>
          <w:p w14:paraId="70708392"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-0,0103</w:t>
            </w:r>
          </w:p>
        </w:tc>
        <w:tc>
          <w:tcPr>
            <w:tcW w:w="1173" w:type="dxa"/>
            <w:shd w:val="clear" w:color="auto" w:fill="auto"/>
            <w:noWrap/>
            <w:vAlign w:val="bottom"/>
          </w:tcPr>
          <w:p w14:paraId="27745900"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0,0000</w:t>
            </w:r>
          </w:p>
        </w:tc>
        <w:tc>
          <w:tcPr>
            <w:tcW w:w="1168" w:type="dxa"/>
            <w:shd w:val="clear" w:color="auto" w:fill="auto"/>
            <w:noWrap/>
            <w:vAlign w:val="bottom"/>
          </w:tcPr>
          <w:p w14:paraId="35870A46"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0.0000</w:t>
            </w:r>
          </w:p>
        </w:tc>
      </w:tr>
      <w:tr w:rsidR="006C0D6C" w:rsidRPr="00BF3CDE" w14:paraId="0BB00C99" w14:textId="77777777" w:rsidTr="0069486B">
        <w:trPr>
          <w:trHeight w:val="283"/>
          <w:jc w:val="center"/>
        </w:trPr>
        <w:tc>
          <w:tcPr>
            <w:cnfStyle w:val="001000000000" w:firstRow="0" w:lastRow="0" w:firstColumn="1" w:lastColumn="0" w:oddVBand="0" w:evenVBand="0" w:oddHBand="0" w:evenHBand="0" w:firstRowFirstColumn="0" w:firstRowLastColumn="0" w:lastRowFirstColumn="0" w:lastRowLastColumn="0"/>
            <w:tcW w:w="431" w:type="dxa"/>
            <w:shd w:val="clear" w:color="auto" w:fill="auto"/>
            <w:noWrap/>
            <w:vAlign w:val="center"/>
            <w:hideMark/>
          </w:tcPr>
          <w:p w14:paraId="19BC340B" w14:textId="77777777" w:rsidR="006C0D6C" w:rsidRPr="00BF3CDE" w:rsidRDefault="006C0D6C" w:rsidP="006C0D6C">
            <w:pPr>
              <w:jc w:val="center"/>
              <w:rPr>
                <w:rFonts w:ascii="Verdana" w:hAnsi="Verdana"/>
                <w:b w:val="0"/>
                <w:noProof/>
                <w:color w:val="auto"/>
                <w:sz w:val="16"/>
                <w:szCs w:val="16"/>
                <w:lang w:val="sr-Cyrl-CS"/>
              </w:rPr>
            </w:pPr>
            <w:r w:rsidRPr="00BF3CDE">
              <w:rPr>
                <w:rFonts w:ascii="Verdana" w:hAnsi="Verdana"/>
                <w:b w:val="0"/>
                <w:noProof/>
                <w:color w:val="auto"/>
                <w:sz w:val="16"/>
                <w:szCs w:val="16"/>
                <w:lang w:val="sr-Cyrl-CS"/>
              </w:rPr>
              <w:t>12</w:t>
            </w:r>
          </w:p>
        </w:tc>
        <w:tc>
          <w:tcPr>
            <w:tcW w:w="3528" w:type="dxa"/>
            <w:shd w:val="clear" w:color="auto" w:fill="auto"/>
            <w:vAlign w:val="center"/>
            <w:hideMark/>
          </w:tcPr>
          <w:p w14:paraId="64253AD9"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Осигурање од одговорности због употребе пловних објеката</w:t>
            </w:r>
          </w:p>
        </w:tc>
        <w:tc>
          <w:tcPr>
            <w:tcW w:w="1173" w:type="dxa"/>
            <w:shd w:val="clear" w:color="auto" w:fill="auto"/>
            <w:vAlign w:val="center"/>
          </w:tcPr>
          <w:p w14:paraId="034F8129"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p>
          <w:p w14:paraId="1C1AABB5"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0,0000</w:t>
            </w:r>
          </w:p>
        </w:tc>
        <w:tc>
          <w:tcPr>
            <w:tcW w:w="1173" w:type="dxa"/>
            <w:shd w:val="clear" w:color="auto" w:fill="auto"/>
            <w:noWrap/>
            <w:vAlign w:val="bottom"/>
          </w:tcPr>
          <w:p w14:paraId="4639FFDE"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0,0000</w:t>
            </w:r>
          </w:p>
        </w:tc>
        <w:tc>
          <w:tcPr>
            <w:tcW w:w="1168" w:type="dxa"/>
            <w:shd w:val="clear" w:color="auto" w:fill="auto"/>
            <w:noWrap/>
            <w:vAlign w:val="bottom"/>
          </w:tcPr>
          <w:p w14:paraId="3A19D292"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0.0000</w:t>
            </w:r>
          </w:p>
        </w:tc>
      </w:tr>
      <w:tr w:rsidR="006C0D6C" w:rsidRPr="00BF3CDE" w14:paraId="2E3E61DF" w14:textId="77777777" w:rsidTr="0069486B">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431" w:type="dxa"/>
            <w:shd w:val="clear" w:color="auto" w:fill="auto"/>
            <w:noWrap/>
            <w:vAlign w:val="center"/>
            <w:hideMark/>
          </w:tcPr>
          <w:p w14:paraId="7BE01016" w14:textId="77777777" w:rsidR="006C0D6C" w:rsidRPr="00BF3CDE" w:rsidRDefault="006C0D6C" w:rsidP="006C0D6C">
            <w:pPr>
              <w:jc w:val="center"/>
              <w:rPr>
                <w:rFonts w:ascii="Verdana" w:hAnsi="Verdana"/>
                <w:b w:val="0"/>
                <w:noProof/>
                <w:color w:val="auto"/>
                <w:sz w:val="16"/>
                <w:szCs w:val="16"/>
                <w:lang w:val="sr-Cyrl-CS"/>
              </w:rPr>
            </w:pPr>
            <w:r w:rsidRPr="00BF3CDE">
              <w:rPr>
                <w:rFonts w:ascii="Verdana" w:hAnsi="Verdana"/>
                <w:b w:val="0"/>
                <w:noProof/>
                <w:color w:val="auto"/>
                <w:sz w:val="16"/>
                <w:szCs w:val="16"/>
                <w:lang w:val="sr-Cyrl-CS"/>
              </w:rPr>
              <w:t>13</w:t>
            </w:r>
          </w:p>
        </w:tc>
        <w:tc>
          <w:tcPr>
            <w:tcW w:w="3528" w:type="dxa"/>
            <w:shd w:val="clear" w:color="auto" w:fill="auto"/>
            <w:vAlign w:val="center"/>
            <w:hideMark/>
          </w:tcPr>
          <w:p w14:paraId="5DD61945"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Осигурање од опште одговорности</w:t>
            </w:r>
          </w:p>
        </w:tc>
        <w:tc>
          <w:tcPr>
            <w:tcW w:w="1173" w:type="dxa"/>
            <w:shd w:val="clear" w:color="auto" w:fill="auto"/>
            <w:vAlign w:val="center"/>
          </w:tcPr>
          <w:p w14:paraId="799460E0"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0,0321</w:t>
            </w:r>
          </w:p>
        </w:tc>
        <w:tc>
          <w:tcPr>
            <w:tcW w:w="1173" w:type="dxa"/>
            <w:shd w:val="clear" w:color="auto" w:fill="auto"/>
            <w:noWrap/>
            <w:vAlign w:val="bottom"/>
          </w:tcPr>
          <w:p w14:paraId="4C557865"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FF0000"/>
                <w:sz w:val="16"/>
                <w:szCs w:val="16"/>
                <w:lang w:val="sr-Cyrl-CS"/>
              </w:rPr>
              <w:t>6,1821</w:t>
            </w:r>
          </w:p>
        </w:tc>
        <w:tc>
          <w:tcPr>
            <w:tcW w:w="1168" w:type="dxa"/>
            <w:shd w:val="clear" w:color="auto" w:fill="auto"/>
            <w:noWrap/>
            <w:vAlign w:val="bottom"/>
          </w:tcPr>
          <w:p w14:paraId="05F8A0D3"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0.0506</w:t>
            </w:r>
          </w:p>
        </w:tc>
      </w:tr>
      <w:tr w:rsidR="006C0D6C" w:rsidRPr="00BF3CDE" w14:paraId="2F351BF4" w14:textId="77777777" w:rsidTr="0069486B">
        <w:trPr>
          <w:trHeight w:val="283"/>
          <w:jc w:val="center"/>
        </w:trPr>
        <w:tc>
          <w:tcPr>
            <w:cnfStyle w:val="001000000000" w:firstRow="0" w:lastRow="0" w:firstColumn="1" w:lastColumn="0" w:oddVBand="0" w:evenVBand="0" w:oddHBand="0" w:evenHBand="0" w:firstRowFirstColumn="0" w:firstRowLastColumn="0" w:lastRowFirstColumn="0" w:lastRowLastColumn="0"/>
            <w:tcW w:w="431" w:type="dxa"/>
            <w:shd w:val="clear" w:color="auto" w:fill="auto"/>
            <w:noWrap/>
            <w:vAlign w:val="center"/>
            <w:hideMark/>
          </w:tcPr>
          <w:p w14:paraId="2A3D69BA" w14:textId="77777777" w:rsidR="006C0D6C" w:rsidRPr="00BF3CDE" w:rsidRDefault="006C0D6C" w:rsidP="006C0D6C">
            <w:pPr>
              <w:jc w:val="center"/>
              <w:rPr>
                <w:rFonts w:ascii="Verdana" w:hAnsi="Verdana"/>
                <w:b w:val="0"/>
                <w:noProof/>
                <w:color w:val="auto"/>
                <w:sz w:val="16"/>
                <w:szCs w:val="16"/>
                <w:lang w:val="sr-Cyrl-CS"/>
              </w:rPr>
            </w:pPr>
            <w:r w:rsidRPr="00BF3CDE">
              <w:rPr>
                <w:rFonts w:ascii="Verdana" w:hAnsi="Verdana"/>
                <w:b w:val="0"/>
                <w:noProof/>
                <w:color w:val="auto"/>
                <w:sz w:val="16"/>
                <w:szCs w:val="16"/>
                <w:lang w:val="sr-Cyrl-CS"/>
              </w:rPr>
              <w:t>14</w:t>
            </w:r>
          </w:p>
        </w:tc>
        <w:tc>
          <w:tcPr>
            <w:tcW w:w="3528" w:type="dxa"/>
            <w:shd w:val="clear" w:color="auto" w:fill="auto"/>
            <w:vAlign w:val="center"/>
            <w:hideMark/>
          </w:tcPr>
          <w:p w14:paraId="110DC383"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Осигурање кредита</w:t>
            </w:r>
          </w:p>
        </w:tc>
        <w:tc>
          <w:tcPr>
            <w:tcW w:w="1173" w:type="dxa"/>
            <w:shd w:val="clear" w:color="auto" w:fill="auto"/>
            <w:vAlign w:val="center"/>
          </w:tcPr>
          <w:p w14:paraId="5812423E"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FF0000"/>
                <w:sz w:val="16"/>
                <w:szCs w:val="16"/>
                <w:lang w:val="sr-Cyrl-CS"/>
              </w:rPr>
              <w:t>1,5181</w:t>
            </w:r>
          </w:p>
        </w:tc>
        <w:tc>
          <w:tcPr>
            <w:tcW w:w="1173" w:type="dxa"/>
            <w:shd w:val="clear" w:color="auto" w:fill="auto"/>
            <w:noWrap/>
            <w:vAlign w:val="bottom"/>
          </w:tcPr>
          <w:p w14:paraId="4F843391"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0,0000</w:t>
            </w:r>
          </w:p>
        </w:tc>
        <w:tc>
          <w:tcPr>
            <w:tcW w:w="1168" w:type="dxa"/>
            <w:shd w:val="clear" w:color="auto" w:fill="auto"/>
            <w:noWrap/>
            <w:vAlign w:val="bottom"/>
          </w:tcPr>
          <w:p w14:paraId="1DBB22DC"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-0.1126</w:t>
            </w:r>
          </w:p>
        </w:tc>
      </w:tr>
      <w:tr w:rsidR="006C0D6C" w:rsidRPr="00BF3CDE" w14:paraId="29C75DB3" w14:textId="77777777" w:rsidTr="0069486B">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431" w:type="dxa"/>
            <w:shd w:val="clear" w:color="auto" w:fill="auto"/>
            <w:noWrap/>
            <w:vAlign w:val="center"/>
            <w:hideMark/>
          </w:tcPr>
          <w:p w14:paraId="237E24CD" w14:textId="77777777" w:rsidR="006C0D6C" w:rsidRPr="00BF3CDE" w:rsidRDefault="006C0D6C" w:rsidP="006C0D6C">
            <w:pPr>
              <w:jc w:val="center"/>
              <w:rPr>
                <w:rFonts w:ascii="Verdana" w:hAnsi="Verdana"/>
                <w:b w:val="0"/>
                <w:noProof/>
                <w:color w:val="auto"/>
                <w:sz w:val="16"/>
                <w:szCs w:val="16"/>
                <w:lang w:val="sr-Cyrl-CS"/>
              </w:rPr>
            </w:pPr>
            <w:r w:rsidRPr="00BF3CDE">
              <w:rPr>
                <w:rFonts w:ascii="Verdana" w:hAnsi="Verdana"/>
                <w:b w:val="0"/>
                <w:noProof/>
                <w:color w:val="auto"/>
                <w:sz w:val="16"/>
                <w:szCs w:val="16"/>
                <w:lang w:val="sr-Cyrl-CS"/>
              </w:rPr>
              <w:t>15</w:t>
            </w:r>
          </w:p>
        </w:tc>
        <w:tc>
          <w:tcPr>
            <w:tcW w:w="3528" w:type="dxa"/>
            <w:shd w:val="clear" w:color="auto" w:fill="auto"/>
            <w:vAlign w:val="center"/>
            <w:hideMark/>
          </w:tcPr>
          <w:p w14:paraId="3956990D"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Осигурање јемства</w:t>
            </w:r>
          </w:p>
        </w:tc>
        <w:tc>
          <w:tcPr>
            <w:tcW w:w="1173" w:type="dxa"/>
            <w:shd w:val="clear" w:color="auto" w:fill="auto"/>
            <w:vAlign w:val="center"/>
          </w:tcPr>
          <w:p w14:paraId="4A3A53A0"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0,1427</w:t>
            </w:r>
          </w:p>
        </w:tc>
        <w:tc>
          <w:tcPr>
            <w:tcW w:w="1173" w:type="dxa"/>
            <w:shd w:val="clear" w:color="auto" w:fill="auto"/>
            <w:noWrap/>
            <w:vAlign w:val="bottom"/>
          </w:tcPr>
          <w:p w14:paraId="3AA6FB0A"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0,0000</w:t>
            </w:r>
          </w:p>
        </w:tc>
        <w:tc>
          <w:tcPr>
            <w:tcW w:w="1168" w:type="dxa"/>
            <w:shd w:val="clear" w:color="auto" w:fill="auto"/>
            <w:noWrap/>
            <w:vAlign w:val="bottom"/>
          </w:tcPr>
          <w:p w14:paraId="32F98746"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-0.1594</w:t>
            </w:r>
          </w:p>
        </w:tc>
      </w:tr>
      <w:tr w:rsidR="006C0D6C" w:rsidRPr="00BF3CDE" w14:paraId="760AE78F" w14:textId="77777777" w:rsidTr="0069486B">
        <w:trPr>
          <w:trHeight w:val="283"/>
          <w:jc w:val="center"/>
        </w:trPr>
        <w:tc>
          <w:tcPr>
            <w:cnfStyle w:val="001000000000" w:firstRow="0" w:lastRow="0" w:firstColumn="1" w:lastColumn="0" w:oddVBand="0" w:evenVBand="0" w:oddHBand="0" w:evenHBand="0" w:firstRowFirstColumn="0" w:firstRowLastColumn="0" w:lastRowFirstColumn="0" w:lastRowLastColumn="0"/>
            <w:tcW w:w="431" w:type="dxa"/>
            <w:shd w:val="clear" w:color="auto" w:fill="auto"/>
            <w:noWrap/>
            <w:vAlign w:val="center"/>
            <w:hideMark/>
          </w:tcPr>
          <w:p w14:paraId="60626AA0" w14:textId="77777777" w:rsidR="006C0D6C" w:rsidRPr="00BF3CDE" w:rsidRDefault="006C0D6C" w:rsidP="006C0D6C">
            <w:pPr>
              <w:jc w:val="center"/>
              <w:rPr>
                <w:rFonts w:ascii="Verdana" w:hAnsi="Verdana"/>
                <w:b w:val="0"/>
                <w:noProof/>
                <w:color w:val="auto"/>
                <w:sz w:val="16"/>
                <w:szCs w:val="16"/>
                <w:lang w:val="sr-Cyrl-CS"/>
              </w:rPr>
            </w:pPr>
            <w:r w:rsidRPr="00BF3CDE">
              <w:rPr>
                <w:rFonts w:ascii="Verdana" w:hAnsi="Verdana"/>
                <w:b w:val="0"/>
                <w:noProof/>
                <w:color w:val="auto"/>
                <w:sz w:val="16"/>
                <w:szCs w:val="16"/>
                <w:lang w:val="sr-Cyrl-CS"/>
              </w:rPr>
              <w:t>16</w:t>
            </w:r>
          </w:p>
        </w:tc>
        <w:tc>
          <w:tcPr>
            <w:tcW w:w="3528" w:type="dxa"/>
            <w:shd w:val="clear" w:color="auto" w:fill="auto"/>
            <w:vAlign w:val="center"/>
            <w:hideMark/>
          </w:tcPr>
          <w:p w14:paraId="3AA16AB8"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Осигурање финансијских губитака</w:t>
            </w:r>
          </w:p>
        </w:tc>
        <w:tc>
          <w:tcPr>
            <w:tcW w:w="1173" w:type="dxa"/>
            <w:shd w:val="clear" w:color="auto" w:fill="auto"/>
            <w:vAlign w:val="center"/>
          </w:tcPr>
          <w:p w14:paraId="5D87F294"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0,0107</w:t>
            </w:r>
          </w:p>
        </w:tc>
        <w:tc>
          <w:tcPr>
            <w:tcW w:w="1173" w:type="dxa"/>
            <w:shd w:val="clear" w:color="auto" w:fill="auto"/>
            <w:noWrap/>
            <w:vAlign w:val="bottom"/>
          </w:tcPr>
          <w:p w14:paraId="4371FA85"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FF0000"/>
                <w:sz w:val="16"/>
                <w:szCs w:val="16"/>
                <w:lang w:val="sr-Cyrl-CS"/>
              </w:rPr>
              <w:t>1,6243</w:t>
            </w:r>
          </w:p>
        </w:tc>
        <w:tc>
          <w:tcPr>
            <w:tcW w:w="1168" w:type="dxa"/>
            <w:shd w:val="clear" w:color="auto" w:fill="auto"/>
            <w:noWrap/>
            <w:vAlign w:val="bottom"/>
          </w:tcPr>
          <w:p w14:paraId="06A4A998"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FF0000"/>
                <w:sz w:val="16"/>
                <w:szCs w:val="16"/>
                <w:lang w:val="sr-Cyrl-CS"/>
              </w:rPr>
              <w:t>2.2527</w:t>
            </w:r>
          </w:p>
        </w:tc>
      </w:tr>
      <w:tr w:rsidR="006C0D6C" w:rsidRPr="00BF3CDE" w14:paraId="1A412838" w14:textId="77777777" w:rsidTr="0069486B">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431" w:type="dxa"/>
            <w:shd w:val="clear" w:color="auto" w:fill="auto"/>
            <w:noWrap/>
            <w:vAlign w:val="center"/>
            <w:hideMark/>
          </w:tcPr>
          <w:p w14:paraId="1B6253C2" w14:textId="77777777" w:rsidR="006C0D6C" w:rsidRPr="00BF3CDE" w:rsidRDefault="006C0D6C" w:rsidP="006C0D6C">
            <w:pPr>
              <w:jc w:val="center"/>
              <w:rPr>
                <w:rFonts w:ascii="Verdana" w:hAnsi="Verdana"/>
                <w:b w:val="0"/>
                <w:noProof/>
                <w:color w:val="auto"/>
                <w:sz w:val="16"/>
                <w:szCs w:val="16"/>
                <w:lang w:val="sr-Cyrl-CS"/>
              </w:rPr>
            </w:pPr>
            <w:r w:rsidRPr="00BF3CDE">
              <w:rPr>
                <w:rFonts w:ascii="Verdana" w:hAnsi="Verdana"/>
                <w:b w:val="0"/>
                <w:noProof/>
                <w:color w:val="auto"/>
                <w:sz w:val="16"/>
                <w:szCs w:val="16"/>
                <w:lang w:val="sr-Cyrl-CS"/>
              </w:rPr>
              <w:t>17</w:t>
            </w:r>
          </w:p>
        </w:tc>
        <w:tc>
          <w:tcPr>
            <w:tcW w:w="3528" w:type="dxa"/>
            <w:shd w:val="clear" w:color="auto" w:fill="auto"/>
            <w:vAlign w:val="center"/>
            <w:hideMark/>
          </w:tcPr>
          <w:p w14:paraId="2634083A"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Осигурање трошкова правне заштите</w:t>
            </w:r>
          </w:p>
        </w:tc>
        <w:tc>
          <w:tcPr>
            <w:tcW w:w="1173" w:type="dxa"/>
            <w:shd w:val="clear" w:color="auto" w:fill="auto"/>
            <w:vAlign w:val="center"/>
          </w:tcPr>
          <w:p w14:paraId="352C6F3D"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0,0231</w:t>
            </w:r>
          </w:p>
        </w:tc>
        <w:tc>
          <w:tcPr>
            <w:tcW w:w="1173" w:type="dxa"/>
            <w:shd w:val="clear" w:color="auto" w:fill="auto"/>
            <w:noWrap/>
            <w:vAlign w:val="bottom"/>
          </w:tcPr>
          <w:p w14:paraId="04B44CA8"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0,0391</w:t>
            </w:r>
          </w:p>
        </w:tc>
        <w:tc>
          <w:tcPr>
            <w:tcW w:w="1168" w:type="dxa"/>
            <w:shd w:val="clear" w:color="auto" w:fill="auto"/>
            <w:noWrap/>
            <w:vAlign w:val="bottom"/>
          </w:tcPr>
          <w:p w14:paraId="13ED862D"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-0.0501</w:t>
            </w:r>
          </w:p>
        </w:tc>
      </w:tr>
      <w:tr w:rsidR="006C0D6C" w:rsidRPr="00BF3CDE" w14:paraId="2BBDA527" w14:textId="77777777" w:rsidTr="0069486B">
        <w:trPr>
          <w:trHeight w:val="283"/>
          <w:jc w:val="center"/>
        </w:trPr>
        <w:tc>
          <w:tcPr>
            <w:cnfStyle w:val="001000000000" w:firstRow="0" w:lastRow="0" w:firstColumn="1" w:lastColumn="0" w:oddVBand="0" w:evenVBand="0" w:oddHBand="0" w:evenHBand="0" w:firstRowFirstColumn="0" w:firstRowLastColumn="0" w:lastRowFirstColumn="0" w:lastRowLastColumn="0"/>
            <w:tcW w:w="431" w:type="dxa"/>
            <w:shd w:val="clear" w:color="auto" w:fill="auto"/>
            <w:noWrap/>
            <w:vAlign w:val="center"/>
            <w:hideMark/>
          </w:tcPr>
          <w:p w14:paraId="50B0A4D7" w14:textId="77777777" w:rsidR="006C0D6C" w:rsidRPr="00BF3CDE" w:rsidRDefault="006C0D6C" w:rsidP="006C0D6C">
            <w:pPr>
              <w:jc w:val="center"/>
              <w:rPr>
                <w:rFonts w:ascii="Verdana" w:hAnsi="Verdana"/>
                <w:b w:val="0"/>
                <w:noProof/>
                <w:color w:val="auto"/>
                <w:sz w:val="16"/>
                <w:szCs w:val="16"/>
                <w:lang w:val="sr-Cyrl-CS"/>
              </w:rPr>
            </w:pPr>
            <w:r w:rsidRPr="00BF3CDE">
              <w:rPr>
                <w:rFonts w:ascii="Verdana" w:hAnsi="Verdana"/>
                <w:b w:val="0"/>
                <w:noProof/>
                <w:color w:val="auto"/>
                <w:sz w:val="16"/>
                <w:szCs w:val="16"/>
                <w:lang w:val="sr-Cyrl-CS"/>
              </w:rPr>
              <w:t>18</w:t>
            </w:r>
          </w:p>
        </w:tc>
        <w:tc>
          <w:tcPr>
            <w:tcW w:w="3528" w:type="dxa"/>
            <w:shd w:val="clear" w:color="auto" w:fill="auto"/>
            <w:vAlign w:val="center"/>
            <w:hideMark/>
          </w:tcPr>
          <w:p w14:paraId="23B0A44C"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Осигурање помоћи на путу</w:t>
            </w:r>
          </w:p>
        </w:tc>
        <w:tc>
          <w:tcPr>
            <w:tcW w:w="1173" w:type="dxa"/>
            <w:shd w:val="clear" w:color="auto" w:fill="auto"/>
            <w:vAlign w:val="center"/>
          </w:tcPr>
          <w:p w14:paraId="4A9BC96E"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0,0000</w:t>
            </w:r>
          </w:p>
        </w:tc>
        <w:tc>
          <w:tcPr>
            <w:tcW w:w="1173" w:type="dxa"/>
            <w:shd w:val="clear" w:color="auto" w:fill="auto"/>
            <w:noWrap/>
            <w:vAlign w:val="bottom"/>
          </w:tcPr>
          <w:p w14:paraId="558B6849"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0,0000</w:t>
            </w:r>
          </w:p>
        </w:tc>
        <w:tc>
          <w:tcPr>
            <w:tcW w:w="1168" w:type="dxa"/>
            <w:shd w:val="clear" w:color="auto" w:fill="auto"/>
            <w:noWrap/>
            <w:vAlign w:val="bottom"/>
          </w:tcPr>
          <w:p w14:paraId="602CA4DD"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0.0000</w:t>
            </w:r>
          </w:p>
        </w:tc>
      </w:tr>
      <w:tr w:rsidR="006C0D6C" w:rsidRPr="00BF3CDE" w14:paraId="54E26AF5" w14:textId="77777777" w:rsidTr="0069486B">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431" w:type="dxa"/>
            <w:shd w:val="clear" w:color="auto" w:fill="auto"/>
            <w:noWrap/>
            <w:vAlign w:val="center"/>
            <w:hideMark/>
          </w:tcPr>
          <w:p w14:paraId="25758E1B" w14:textId="77777777" w:rsidR="006C0D6C" w:rsidRPr="00BF3CDE" w:rsidRDefault="006C0D6C" w:rsidP="006C0D6C">
            <w:pPr>
              <w:jc w:val="center"/>
              <w:rPr>
                <w:rFonts w:ascii="Verdana" w:hAnsi="Verdana"/>
                <w:b w:val="0"/>
                <w:noProof/>
                <w:color w:val="auto"/>
                <w:sz w:val="16"/>
                <w:szCs w:val="16"/>
                <w:lang w:val="sr-Cyrl-CS"/>
              </w:rPr>
            </w:pPr>
            <w:r w:rsidRPr="00BF3CDE">
              <w:rPr>
                <w:rFonts w:ascii="Verdana" w:hAnsi="Verdana"/>
                <w:b w:val="0"/>
                <w:noProof/>
                <w:color w:val="auto"/>
                <w:sz w:val="16"/>
                <w:szCs w:val="16"/>
                <w:lang w:val="sr-Cyrl-CS"/>
              </w:rPr>
              <w:t>19</w:t>
            </w:r>
          </w:p>
        </w:tc>
        <w:tc>
          <w:tcPr>
            <w:tcW w:w="3528" w:type="dxa"/>
            <w:shd w:val="clear" w:color="auto" w:fill="auto"/>
            <w:vAlign w:val="center"/>
            <w:hideMark/>
          </w:tcPr>
          <w:p w14:paraId="29D9597B"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Друго неживотно осигурање</w:t>
            </w:r>
          </w:p>
        </w:tc>
        <w:tc>
          <w:tcPr>
            <w:tcW w:w="1173" w:type="dxa"/>
            <w:shd w:val="clear" w:color="auto" w:fill="auto"/>
            <w:vAlign w:val="center"/>
          </w:tcPr>
          <w:p w14:paraId="124A9BF4"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0,0000</w:t>
            </w:r>
          </w:p>
        </w:tc>
        <w:tc>
          <w:tcPr>
            <w:tcW w:w="1173" w:type="dxa"/>
            <w:shd w:val="clear" w:color="auto" w:fill="auto"/>
            <w:noWrap/>
            <w:vAlign w:val="bottom"/>
          </w:tcPr>
          <w:p w14:paraId="534D9211"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0,0000</w:t>
            </w:r>
          </w:p>
        </w:tc>
        <w:tc>
          <w:tcPr>
            <w:tcW w:w="1168" w:type="dxa"/>
            <w:shd w:val="clear" w:color="auto" w:fill="auto"/>
            <w:noWrap/>
            <w:vAlign w:val="bottom"/>
          </w:tcPr>
          <w:p w14:paraId="61E97961"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0.0000</w:t>
            </w:r>
          </w:p>
        </w:tc>
      </w:tr>
      <w:tr w:rsidR="006C0D6C" w:rsidRPr="00BF3CDE" w14:paraId="384F0946" w14:textId="77777777" w:rsidTr="0069486B">
        <w:trPr>
          <w:trHeight w:val="283"/>
          <w:jc w:val="center"/>
        </w:trPr>
        <w:tc>
          <w:tcPr>
            <w:cnfStyle w:val="001000000000" w:firstRow="0" w:lastRow="0" w:firstColumn="1" w:lastColumn="0" w:oddVBand="0" w:evenVBand="0" w:oddHBand="0" w:evenHBand="0" w:firstRowFirstColumn="0" w:firstRowLastColumn="0" w:lastRowFirstColumn="0" w:lastRowLastColumn="0"/>
            <w:tcW w:w="431" w:type="dxa"/>
            <w:shd w:val="clear" w:color="auto" w:fill="auto"/>
            <w:noWrap/>
            <w:vAlign w:val="center"/>
            <w:hideMark/>
          </w:tcPr>
          <w:p w14:paraId="0D2E285A" w14:textId="77777777" w:rsidR="006C0D6C" w:rsidRPr="00BF3CDE" w:rsidRDefault="006C0D6C" w:rsidP="006C0D6C">
            <w:pPr>
              <w:jc w:val="center"/>
              <w:rPr>
                <w:rFonts w:ascii="Verdana" w:hAnsi="Verdana"/>
                <w:b w:val="0"/>
                <w:noProof/>
                <w:color w:val="auto"/>
                <w:sz w:val="16"/>
                <w:szCs w:val="16"/>
                <w:lang w:val="sr-Cyrl-CS"/>
              </w:rPr>
            </w:pPr>
            <w:r w:rsidRPr="00BF3CDE">
              <w:rPr>
                <w:rFonts w:ascii="Verdana" w:hAnsi="Verdana"/>
                <w:b w:val="0"/>
                <w:noProof/>
                <w:color w:val="auto"/>
                <w:sz w:val="16"/>
                <w:szCs w:val="16"/>
                <w:lang w:val="sr-Cyrl-CS"/>
              </w:rPr>
              <w:t>20</w:t>
            </w:r>
          </w:p>
        </w:tc>
        <w:tc>
          <w:tcPr>
            <w:tcW w:w="3528" w:type="dxa"/>
            <w:shd w:val="clear" w:color="auto" w:fill="auto"/>
            <w:vAlign w:val="center"/>
            <w:hideMark/>
          </w:tcPr>
          <w:p w14:paraId="3ECEB506"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Осигурање живота</w:t>
            </w:r>
          </w:p>
        </w:tc>
        <w:tc>
          <w:tcPr>
            <w:tcW w:w="1173" w:type="dxa"/>
            <w:shd w:val="clear" w:color="auto" w:fill="auto"/>
            <w:vAlign w:val="center"/>
          </w:tcPr>
          <w:p w14:paraId="1B038717"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0,2835</w:t>
            </w:r>
          </w:p>
        </w:tc>
        <w:tc>
          <w:tcPr>
            <w:tcW w:w="1173" w:type="dxa"/>
            <w:shd w:val="clear" w:color="auto" w:fill="auto"/>
            <w:noWrap/>
            <w:vAlign w:val="bottom"/>
          </w:tcPr>
          <w:p w14:paraId="71624403"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FF0000"/>
                <w:sz w:val="16"/>
                <w:szCs w:val="16"/>
                <w:lang w:val="sr-Cyrl-CS"/>
              </w:rPr>
              <w:t>1,9995</w:t>
            </w:r>
          </w:p>
        </w:tc>
        <w:tc>
          <w:tcPr>
            <w:tcW w:w="1168" w:type="dxa"/>
            <w:shd w:val="clear" w:color="auto" w:fill="auto"/>
            <w:noWrap/>
            <w:vAlign w:val="bottom"/>
          </w:tcPr>
          <w:p w14:paraId="61D80BF1"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FF0000"/>
                <w:sz w:val="16"/>
                <w:szCs w:val="16"/>
                <w:lang w:val="sr-Cyrl-CS"/>
              </w:rPr>
              <w:t>1.2755</w:t>
            </w:r>
          </w:p>
        </w:tc>
      </w:tr>
      <w:tr w:rsidR="006C0D6C" w:rsidRPr="00BF3CDE" w14:paraId="2E1B7EF0" w14:textId="77777777" w:rsidTr="0069486B">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431" w:type="dxa"/>
            <w:shd w:val="clear" w:color="auto" w:fill="auto"/>
            <w:noWrap/>
            <w:vAlign w:val="center"/>
            <w:hideMark/>
          </w:tcPr>
          <w:p w14:paraId="4B238B69" w14:textId="77777777" w:rsidR="006C0D6C" w:rsidRPr="00BF3CDE" w:rsidRDefault="006C0D6C" w:rsidP="006C0D6C">
            <w:pPr>
              <w:jc w:val="center"/>
              <w:rPr>
                <w:rFonts w:ascii="Verdana" w:hAnsi="Verdana"/>
                <w:b w:val="0"/>
                <w:noProof/>
                <w:color w:val="auto"/>
                <w:sz w:val="16"/>
                <w:szCs w:val="16"/>
                <w:lang w:val="sr-Cyrl-CS"/>
              </w:rPr>
            </w:pPr>
            <w:r w:rsidRPr="00BF3CDE">
              <w:rPr>
                <w:rFonts w:ascii="Verdana" w:hAnsi="Verdana"/>
                <w:b w:val="0"/>
                <w:noProof/>
                <w:color w:val="auto"/>
                <w:sz w:val="16"/>
                <w:szCs w:val="16"/>
                <w:lang w:val="sr-Cyrl-CS"/>
              </w:rPr>
              <w:t>21</w:t>
            </w:r>
          </w:p>
        </w:tc>
        <w:tc>
          <w:tcPr>
            <w:tcW w:w="3528" w:type="dxa"/>
            <w:shd w:val="clear" w:color="auto" w:fill="auto"/>
            <w:vAlign w:val="center"/>
            <w:hideMark/>
          </w:tcPr>
          <w:p w14:paraId="2DA811D7"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Рентно осигурање</w:t>
            </w:r>
          </w:p>
        </w:tc>
        <w:tc>
          <w:tcPr>
            <w:tcW w:w="1173" w:type="dxa"/>
            <w:shd w:val="clear" w:color="auto" w:fill="auto"/>
            <w:vAlign w:val="center"/>
          </w:tcPr>
          <w:p w14:paraId="23C11EA7"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0,0000</w:t>
            </w:r>
          </w:p>
        </w:tc>
        <w:tc>
          <w:tcPr>
            <w:tcW w:w="1173" w:type="dxa"/>
            <w:shd w:val="clear" w:color="auto" w:fill="auto"/>
            <w:noWrap/>
            <w:vAlign w:val="bottom"/>
          </w:tcPr>
          <w:p w14:paraId="42C1B353"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0,0000</w:t>
            </w:r>
          </w:p>
        </w:tc>
        <w:tc>
          <w:tcPr>
            <w:tcW w:w="1168" w:type="dxa"/>
            <w:shd w:val="clear" w:color="auto" w:fill="auto"/>
            <w:noWrap/>
            <w:vAlign w:val="bottom"/>
          </w:tcPr>
          <w:p w14:paraId="1C095C02"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0.0000</w:t>
            </w:r>
          </w:p>
        </w:tc>
      </w:tr>
      <w:tr w:rsidR="006C0D6C" w:rsidRPr="00BF3CDE" w14:paraId="75DDA6C2" w14:textId="77777777" w:rsidTr="0069486B">
        <w:trPr>
          <w:trHeight w:val="283"/>
          <w:jc w:val="center"/>
        </w:trPr>
        <w:tc>
          <w:tcPr>
            <w:cnfStyle w:val="001000000000" w:firstRow="0" w:lastRow="0" w:firstColumn="1" w:lastColumn="0" w:oddVBand="0" w:evenVBand="0" w:oddHBand="0" w:evenHBand="0" w:firstRowFirstColumn="0" w:firstRowLastColumn="0" w:lastRowFirstColumn="0" w:lastRowLastColumn="0"/>
            <w:tcW w:w="431" w:type="dxa"/>
            <w:shd w:val="clear" w:color="auto" w:fill="auto"/>
            <w:noWrap/>
            <w:vAlign w:val="center"/>
            <w:hideMark/>
          </w:tcPr>
          <w:p w14:paraId="6FE1783A" w14:textId="77777777" w:rsidR="006C0D6C" w:rsidRPr="00BF3CDE" w:rsidRDefault="006C0D6C" w:rsidP="006C0D6C">
            <w:pPr>
              <w:jc w:val="center"/>
              <w:rPr>
                <w:rFonts w:ascii="Verdana" w:hAnsi="Verdana"/>
                <w:b w:val="0"/>
                <w:noProof/>
                <w:color w:val="auto"/>
                <w:sz w:val="16"/>
                <w:szCs w:val="16"/>
                <w:lang w:val="sr-Cyrl-CS"/>
              </w:rPr>
            </w:pPr>
            <w:r w:rsidRPr="00BF3CDE">
              <w:rPr>
                <w:rFonts w:ascii="Verdana" w:hAnsi="Verdana"/>
                <w:b w:val="0"/>
                <w:noProof/>
                <w:color w:val="auto"/>
                <w:sz w:val="16"/>
                <w:szCs w:val="16"/>
                <w:lang w:val="sr-Cyrl-CS"/>
              </w:rPr>
              <w:t>22</w:t>
            </w:r>
          </w:p>
        </w:tc>
        <w:tc>
          <w:tcPr>
            <w:tcW w:w="3528" w:type="dxa"/>
            <w:shd w:val="clear" w:color="auto" w:fill="auto"/>
            <w:vAlign w:val="center"/>
            <w:hideMark/>
          </w:tcPr>
          <w:p w14:paraId="37CE4E5E"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Осигурање од последица незгоде и здравствено осигурање, допунско уз живот</w:t>
            </w:r>
          </w:p>
        </w:tc>
        <w:tc>
          <w:tcPr>
            <w:tcW w:w="1173" w:type="dxa"/>
            <w:shd w:val="clear" w:color="auto" w:fill="auto"/>
            <w:vAlign w:val="center"/>
          </w:tcPr>
          <w:p w14:paraId="00A14B63"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p>
          <w:p w14:paraId="46D5C345"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p>
          <w:p w14:paraId="11B111A7"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0,7509</w:t>
            </w:r>
          </w:p>
        </w:tc>
        <w:tc>
          <w:tcPr>
            <w:tcW w:w="1173" w:type="dxa"/>
            <w:shd w:val="clear" w:color="auto" w:fill="auto"/>
            <w:noWrap/>
            <w:vAlign w:val="bottom"/>
          </w:tcPr>
          <w:p w14:paraId="50FEDB9B"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0,7556</w:t>
            </w:r>
          </w:p>
        </w:tc>
        <w:tc>
          <w:tcPr>
            <w:tcW w:w="1168" w:type="dxa"/>
            <w:shd w:val="clear" w:color="auto" w:fill="auto"/>
            <w:noWrap/>
            <w:vAlign w:val="bottom"/>
          </w:tcPr>
          <w:p w14:paraId="5C3B9C07"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0.8366</w:t>
            </w:r>
          </w:p>
        </w:tc>
      </w:tr>
      <w:tr w:rsidR="006C0D6C" w:rsidRPr="00BF3CDE" w14:paraId="2DA0AC70" w14:textId="77777777" w:rsidTr="0069486B">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431" w:type="dxa"/>
            <w:shd w:val="clear" w:color="auto" w:fill="auto"/>
            <w:noWrap/>
            <w:vAlign w:val="center"/>
            <w:hideMark/>
          </w:tcPr>
          <w:p w14:paraId="53536819" w14:textId="77777777" w:rsidR="006C0D6C" w:rsidRPr="00BF3CDE" w:rsidRDefault="006C0D6C" w:rsidP="006C0D6C">
            <w:pPr>
              <w:jc w:val="center"/>
              <w:rPr>
                <w:rFonts w:ascii="Verdana" w:hAnsi="Verdana"/>
                <w:b w:val="0"/>
                <w:noProof/>
                <w:color w:val="auto"/>
                <w:sz w:val="16"/>
                <w:szCs w:val="16"/>
                <w:lang w:val="sr-Cyrl-CS"/>
              </w:rPr>
            </w:pPr>
            <w:r w:rsidRPr="00BF3CDE">
              <w:rPr>
                <w:rFonts w:ascii="Verdana" w:hAnsi="Verdana"/>
                <w:b w:val="0"/>
                <w:noProof/>
                <w:color w:val="auto"/>
                <w:sz w:val="16"/>
                <w:szCs w:val="16"/>
                <w:lang w:val="sr-Cyrl-CS"/>
              </w:rPr>
              <w:t>23</w:t>
            </w:r>
          </w:p>
        </w:tc>
        <w:tc>
          <w:tcPr>
            <w:tcW w:w="3528" w:type="dxa"/>
            <w:shd w:val="clear" w:color="auto" w:fill="auto"/>
            <w:vAlign w:val="center"/>
            <w:hideMark/>
          </w:tcPr>
          <w:p w14:paraId="41CD583B"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Добровољно пензијско осигурање</w:t>
            </w:r>
          </w:p>
        </w:tc>
        <w:tc>
          <w:tcPr>
            <w:tcW w:w="1173" w:type="dxa"/>
            <w:shd w:val="clear" w:color="auto" w:fill="auto"/>
            <w:vAlign w:val="center"/>
          </w:tcPr>
          <w:p w14:paraId="7DBE9E68"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0,0000</w:t>
            </w:r>
          </w:p>
        </w:tc>
        <w:tc>
          <w:tcPr>
            <w:tcW w:w="1173" w:type="dxa"/>
            <w:shd w:val="clear" w:color="auto" w:fill="auto"/>
            <w:noWrap/>
            <w:vAlign w:val="bottom"/>
          </w:tcPr>
          <w:p w14:paraId="14CFE6DB"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0,0000</w:t>
            </w:r>
          </w:p>
        </w:tc>
        <w:tc>
          <w:tcPr>
            <w:tcW w:w="1168" w:type="dxa"/>
            <w:shd w:val="clear" w:color="auto" w:fill="auto"/>
            <w:noWrap/>
            <w:vAlign w:val="bottom"/>
          </w:tcPr>
          <w:p w14:paraId="06D828C4"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0.0000</w:t>
            </w:r>
          </w:p>
        </w:tc>
      </w:tr>
      <w:tr w:rsidR="006C0D6C" w:rsidRPr="00BF3CDE" w14:paraId="14CB67D9" w14:textId="77777777" w:rsidTr="0069486B">
        <w:trPr>
          <w:trHeight w:val="283"/>
          <w:jc w:val="center"/>
        </w:trPr>
        <w:tc>
          <w:tcPr>
            <w:cnfStyle w:val="001000000000" w:firstRow="0" w:lastRow="0" w:firstColumn="1" w:lastColumn="0" w:oddVBand="0" w:evenVBand="0" w:oddHBand="0" w:evenHBand="0" w:firstRowFirstColumn="0" w:firstRowLastColumn="0" w:lastRowFirstColumn="0" w:lastRowLastColumn="0"/>
            <w:tcW w:w="431" w:type="dxa"/>
            <w:shd w:val="clear" w:color="auto" w:fill="auto"/>
            <w:noWrap/>
            <w:vAlign w:val="center"/>
            <w:hideMark/>
          </w:tcPr>
          <w:p w14:paraId="0804183C" w14:textId="77777777" w:rsidR="006C0D6C" w:rsidRPr="00BF3CDE" w:rsidRDefault="006C0D6C" w:rsidP="006C0D6C">
            <w:pPr>
              <w:jc w:val="center"/>
              <w:rPr>
                <w:rFonts w:ascii="Verdana" w:hAnsi="Verdana"/>
                <w:b w:val="0"/>
                <w:noProof/>
                <w:color w:val="auto"/>
                <w:sz w:val="16"/>
                <w:szCs w:val="16"/>
                <w:lang w:val="sr-Cyrl-CS"/>
              </w:rPr>
            </w:pPr>
            <w:r w:rsidRPr="00BF3CDE">
              <w:rPr>
                <w:rFonts w:ascii="Verdana" w:hAnsi="Verdana"/>
                <w:b w:val="0"/>
                <w:noProof/>
                <w:color w:val="auto"/>
                <w:sz w:val="16"/>
                <w:szCs w:val="16"/>
                <w:lang w:val="sr-Cyrl-CS"/>
              </w:rPr>
              <w:t>24</w:t>
            </w:r>
          </w:p>
        </w:tc>
        <w:tc>
          <w:tcPr>
            <w:tcW w:w="3528" w:type="dxa"/>
            <w:shd w:val="clear" w:color="auto" w:fill="auto"/>
            <w:vAlign w:val="center"/>
            <w:hideMark/>
          </w:tcPr>
          <w:p w14:paraId="20227D95" w14:textId="77777777" w:rsidR="006C0D6C" w:rsidRPr="00BF3CDE" w:rsidRDefault="006C0D6C" w:rsidP="006C0D6C">
            <w:pPr>
              <w:cnfStyle w:val="000000000000" w:firstRow="0"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Друго животно осигурање</w:t>
            </w:r>
          </w:p>
        </w:tc>
        <w:tc>
          <w:tcPr>
            <w:tcW w:w="1173" w:type="dxa"/>
            <w:shd w:val="clear" w:color="auto" w:fill="auto"/>
            <w:vAlign w:val="center"/>
          </w:tcPr>
          <w:p w14:paraId="6638710D" w14:textId="77777777" w:rsidR="006C0D6C" w:rsidRPr="00BF3CDE" w:rsidRDefault="006C0D6C" w:rsidP="006C0D6C">
            <w:pPr>
              <w:jc w:val="center"/>
              <w:cnfStyle w:val="000000000000" w:firstRow="0" w:lastRow="0" w:firstColumn="0" w:lastColumn="0" w:oddVBand="0" w:evenVBand="0" w:oddHBand="0" w:evenHBand="0" w:firstRowFirstColumn="0" w:firstRowLastColumn="0" w:lastRowFirstColumn="0" w:lastRowLastColumn="0"/>
              <w:rPr>
                <w:rFonts w:ascii="Verdana" w:hAnsi="Verdana"/>
                <w:noProof/>
                <w:color w:val="auto"/>
                <w:sz w:val="16"/>
                <w:szCs w:val="16"/>
                <w:lang w:val="sr-Cyrl-CS"/>
              </w:rPr>
            </w:pPr>
            <w:r w:rsidRPr="00BF3CDE">
              <w:rPr>
                <w:rFonts w:ascii="Verdana" w:hAnsi="Verdana"/>
                <w:noProof/>
                <w:color w:val="auto"/>
                <w:sz w:val="16"/>
                <w:szCs w:val="16"/>
                <w:lang w:val="sr-Cyrl-CS"/>
              </w:rPr>
              <w:t>0,0000</w:t>
            </w:r>
          </w:p>
        </w:tc>
        <w:tc>
          <w:tcPr>
            <w:tcW w:w="1173" w:type="dxa"/>
            <w:shd w:val="clear" w:color="auto" w:fill="auto"/>
            <w:noWrap/>
            <w:vAlign w:val="bottom"/>
          </w:tcPr>
          <w:p w14:paraId="1E55FB35"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0,0000</w:t>
            </w:r>
          </w:p>
        </w:tc>
        <w:tc>
          <w:tcPr>
            <w:tcW w:w="1168" w:type="dxa"/>
            <w:shd w:val="clear" w:color="auto" w:fill="auto"/>
            <w:noWrap/>
            <w:vAlign w:val="bottom"/>
          </w:tcPr>
          <w:p w14:paraId="6392E0EA" w14:textId="77777777" w:rsidR="006C0D6C" w:rsidRPr="00BF3CDE" w:rsidRDefault="006C0D6C" w:rsidP="006C0D6C">
            <w:pPr>
              <w:jc w:val="right"/>
              <w:cnfStyle w:val="000000000000" w:firstRow="0" w:lastRow="0" w:firstColumn="0" w:lastColumn="0" w:oddVBand="0" w:evenVBand="0" w:oddHBand="0" w:evenHBand="0" w:firstRowFirstColumn="0" w:firstRowLastColumn="0" w:lastRowFirstColumn="0" w:lastRowLastColumn="0"/>
              <w:rPr>
                <w:rFonts w:ascii="Verdana" w:hAnsi="Verdana" w:cs="Arial"/>
                <w:noProof/>
                <w:color w:val="auto"/>
                <w:sz w:val="16"/>
                <w:szCs w:val="16"/>
                <w:lang w:val="sr-Cyrl-CS"/>
              </w:rPr>
            </w:pPr>
            <w:r w:rsidRPr="00BF3CDE">
              <w:rPr>
                <w:rFonts w:ascii="Verdana" w:hAnsi="Verdana" w:cs="Arial"/>
                <w:noProof/>
                <w:color w:val="auto"/>
                <w:sz w:val="16"/>
                <w:szCs w:val="16"/>
                <w:lang w:val="sr-Cyrl-CS"/>
              </w:rPr>
              <w:t>0.0000</w:t>
            </w:r>
          </w:p>
        </w:tc>
      </w:tr>
      <w:tr w:rsidR="006C0D6C" w:rsidRPr="00BF3CDE" w14:paraId="3F992336" w14:textId="77777777" w:rsidTr="0069486B">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431" w:type="dxa"/>
            <w:shd w:val="clear" w:color="auto" w:fill="auto"/>
            <w:noWrap/>
            <w:vAlign w:val="center"/>
            <w:hideMark/>
          </w:tcPr>
          <w:p w14:paraId="5A5BA674" w14:textId="77777777" w:rsidR="006C0D6C" w:rsidRPr="00BF3CDE" w:rsidRDefault="006C0D6C" w:rsidP="006C0D6C">
            <w:pPr>
              <w:jc w:val="center"/>
              <w:rPr>
                <w:rFonts w:ascii="Verdana" w:hAnsi="Verdana"/>
                <w:b w:val="0"/>
                <w:noProof/>
                <w:color w:val="auto"/>
                <w:sz w:val="16"/>
                <w:szCs w:val="16"/>
                <w:lang w:val="sr-Cyrl-CS"/>
              </w:rPr>
            </w:pPr>
          </w:p>
        </w:tc>
        <w:tc>
          <w:tcPr>
            <w:tcW w:w="3528" w:type="dxa"/>
            <w:shd w:val="clear" w:color="auto" w:fill="auto"/>
            <w:noWrap/>
            <w:vAlign w:val="center"/>
            <w:hideMark/>
          </w:tcPr>
          <w:p w14:paraId="090D99F1" w14:textId="77777777" w:rsidR="006C0D6C" w:rsidRPr="00BF3CDE" w:rsidRDefault="006C0D6C" w:rsidP="006C0D6C">
            <w:pPr>
              <w:cnfStyle w:val="000000100000" w:firstRow="0" w:lastRow="0" w:firstColumn="0" w:lastColumn="0" w:oddVBand="0" w:evenVBand="0" w:oddHBand="1" w:evenHBand="0" w:firstRowFirstColumn="0" w:firstRowLastColumn="0" w:lastRowFirstColumn="0" w:lastRowLastColumn="0"/>
              <w:rPr>
                <w:rFonts w:ascii="Verdana" w:hAnsi="Verdana"/>
                <w:b/>
                <w:noProof/>
                <w:color w:val="auto"/>
                <w:sz w:val="16"/>
                <w:szCs w:val="16"/>
                <w:lang w:val="sr-Cyrl-CS"/>
              </w:rPr>
            </w:pPr>
            <w:r w:rsidRPr="00BF3CDE">
              <w:rPr>
                <w:rFonts w:ascii="Verdana" w:hAnsi="Verdana"/>
                <w:b/>
                <w:noProof/>
                <w:color w:val="auto"/>
                <w:sz w:val="16"/>
                <w:szCs w:val="16"/>
                <w:lang w:val="sr-Cyrl-CS"/>
              </w:rPr>
              <w:t>Укупно:</w:t>
            </w:r>
          </w:p>
        </w:tc>
        <w:tc>
          <w:tcPr>
            <w:tcW w:w="1173" w:type="dxa"/>
            <w:shd w:val="clear" w:color="auto" w:fill="auto"/>
            <w:vAlign w:val="center"/>
          </w:tcPr>
          <w:p w14:paraId="69D7784F" w14:textId="77777777" w:rsidR="006C0D6C" w:rsidRPr="00BF3CDE" w:rsidRDefault="006C0D6C" w:rsidP="006C0D6C">
            <w:pPr>
              <w:jc w:val="center"/>
              <w:cnfStyle w:val="000000100000" w:firstRow="0" w:lastRow="0" w:firstColumn="0" w:lastColumn="0" w:oddVBand="0" w:evenVBand="0" w:oddHBand="1" w:evenHBand="0" w:firstRowFirstColumn="0" w:firstRowLastColumn="0" w:lastRowFirstColumn="0" w:lastRowLastColumn="0"/>
              <w:rPr>
                <w:rFonts w:ascii="Verdana" w:hAnsi="Verdana" w:cs="Arial"/>
                <w:b/>
                <w:bCs/>
                <w:noProof/>
                <w:color w:val="auto"/>
                <w:sz w:val="16"/>
                <w:szCs w:val="16"/>
                <w:lang w:val="sr-Cyrl-CS"/>
              </w:rPr>
            </w:pPr>
            <w:r w:rsidRPr="00BF3CDE">
              <w:rPr>
                <w:rFonts w:ascii="Verdana" w:hAnsi="Verdana"/>
                <w:b/>
                <w:noProof/>
                <w:color w:val="auto"/>
                <w:sz w:val="16"/>
                <w:szCs w:val="16"/>
                <w:lang w:val="sr-Cyrl-CS"/>
              </w:rPr>
              <w:t>1,0398</w:t>
            </w:r>
          </w:p>
        </w:tc>
        <w:tc>
          <w:tcPr>
            <w:tcW w:w="1173" w:type="dxa"/>
            <w:shd w:val="clear" w:color="auto" w:fill="auto"/>
            <w:noWrap/>
            <w:vAlign w:val="bottom"/>
          </w:tcPr>
          <w:p w14:paraId="0A2F4CAA"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cs="Arial"/>
                <w:b/>
                <w:bCs/>
                <w:noProof/>
                <w:color w:val="auto"/>
                <w:sz w:val="16"/>
                <w:szCs w:val="16"/>
                <w:lang w:val="sr-Cyrl-CS"/>
              </w:rPr>
            </w:pPr>
            <w:r w:rsidRPr="00BF3CDE">
              <w:rPr>
                <w:rFonts w:ascii="Verdana" w:hAnsi="Verdana" w:cs="Arial"/>
                <w:b/>
                <w:bCs/>
                <w:noProof/>
                <w:color w:val="auto"/>
                <w:sz w:val="16"/>
                <w:szCs w:val="16"/>
                <w:lang w:val="sr-Cyrl-CS"/>
              </w:rPr>
              <w:t>2,4394</w:t>
            </w:r>
          </w:p>
        </w:tc>
        <w:tc>
          <w:tcPr>
            <w:tcW w:w="1168" w:type="dxa"/>
            <w:shd w:val="clear" w:color="auto" w:fill="auto"/>
            <w:noWrap/>
            <w:vAlign w:val="bottom"/>
          </w:tcPr>
          <w:p w14:paraId="539CC0B1" w14:textId="77777777" w:rsidR="006C0D6C" w:rsidRPr="00BF3CDE" w:rsidRDefault="006C0D6C" w:rsidP="006C0D6C">
            <w:pPr>
              <w:jc w:val="right"/>
              <w:cnfStyle w:val="000000100000" w:firstRow="0" w:lastRow="0" w:firstColumn="0" w:lastColumn="0" w:oddVBand="0" w:evenVBand="0" w:oddHBand="1" w:evenHBand="0" w:firstRowFirstColumn="0" w:firstRowLastColumn="0" w:lastRowFirstColumn="0" w:lastRowLastColumn="0"/>
              <w:rPr>
                <w:rFonts w:ascii="Verdana" w:hAnsi="Verdana" w:cs="Arial"/>
                <w:b/>
                <w:noProof/>
                <w:color w:val="auto"/>
                <w:sz w:val="16"/>
                <w:szCs w:val="16"/>
                <w:lang w:val="sr-Cyrl-CS"/>
              </w:rPr>
            </w:pPr>
            <w:r w:rsidRPr="00BF3CDE">
              <w:rPr>
                <w:rFonts w:ascii="Verdana" w:hAnsi="Verdana" w:cs="Arial"/>
                <w:b/>
                <w:noProof/>
                <w:color w:val="auto"/>
                <w:sz w:val="16"/>
                <w:szCs w:val="16"/>
                <w:lang w:val="sr-Cyrl-CS"/>
              </w:rPr>
              <w:t>1.4901</w:t>
            </w:r>
          </w:p>
        </w:tc>
      </w:tr>
    </w:tbl>
    <w:p w14:paraId="70E8B172" w14:textId="77777777" w:rsidR="006C0D6C" w:rsidRPr="00BF3CDE" w:rsidRDefault="006C0D6C" w:rsidP="006C0D6C">
      <w:pPr>
        <w:spacing w:after="0"/>
        <w:ind w:firstLine="851"/>
        <w:jc w:val="both"/>
        <w:rPr>
          <w:noProof/>
          <w:sz w:val="6"/>
          <w:szCs w:val="6"/>
          <w:lang w:val="sr-Cyrl-CS"/>
        </w:rPr>
      </w:pPr>
    </w:p>
    <w:p w14:paraId="29EC52A9" w14:textId="77777777" w:rsidR="006C0D6C" w:rsidRPr="00BF3CDE" w:rsidRDefault="006C0D6C" w:rsidP="006C0D6C">
      <w:pPr>
        <w:spacing w:after="0"/>
        <w:ind w:firstLine="851"/>
        <w:jc w:val="both"/>
        <w:rPr>
          <w:noProof/>
          <w:sz w:val="20"/>
          <w:szCs w:val="20"/>
          <w:lang w:val="sr-Cyrl-CS"/>
        </w:rPr>
      </w:pPr>
      <w:r w:rsidRPr="00BF3CDE">
        <w:rPr>
          <w:noProof/>
          <w:sz w:val="20"/>
          <w:szCs w:val="20"/>
          <w:lang w:val="sr-Cyrl-CS"/>
        </w:rPr>
        <w:t xml:space="preserve">*негативни МТР су означени црвеном бојом </w:t>
      </w:r>
    </w:p>
    <w:p w14:paraId="6A2BD4C4" w14:textId="77777777" w:rsidR="006C0D6C" w:rsidRPr="00BF3CDE" w:rsidRDefault="006C0D6C" w:rsidP="006C0D6C">
      <w:pPr>
        <w:spacing w:after="0"/>
        <w:ind w:firstLine="851"/>
        <w:jc w:val="both"/>
        <w:rPr>
          <w:noProof/>
          <w:sz w:val="14"/>
          <w:szCs w:val="14"/>
          <w:lang w:val="sr-Cyrl-CS"/>
        </w:rPr>
      </w:pPr>
    </w:p>
    <w:p w14:paraId="2E8E45F6" w14:textId="77777777" w:rsidR="006C0D6C" w:rsidRPr="00BF3CDE" w:rsidRDefault="006C0D6C" w:rsidP="0069486B">
      <w:pPr>
        <w:spacing w:after="0"/>
        <w:ind w:firstLine="851"/>
        <w:jc w:val="both"/>
        <w:rPr>
          <w:noProof/>
          <w:sz w:val="20"/>
          <w:szCs w:val="20"/>
          <w:lang w:val="sr-Cyrl-CS"/>
        </w:rPr>
      </w:pPr>
      <w:r w:rsidRPr="00BF3CDE">
        <w:rPr>
          <w:noProof/>
          <w:sz w:val="20"/>
          <w:szCs w:val="20"/>
          <w:lang w:val="sr-Cyrl-CS"/>
        </w:rPr>
        <w:t>У продужетку је дато образложење негативног меродавног техничког резултата у самопридржају Дунав-а Ре, на дан 31.12.2014. године, по врстама осигурања:</w:t>
      </w:r>
    </w:p>
    <w:p w14:paraId="231EB148" w14:textId="77777777" w:rsidR="006C0D6C" w:rsidRPr="00BF3CDE" w:rsidRDefault="006C0D6C" w:rsidP="006C0D6C">
      <w:pPr>
        <w:spacing w:after="0"/>
        <w:ind w:firstLine="567"/>
        <w:jc w:val="both"/>
        <w:rPr>
          <w:noProof/>
          <w:sz w:val="6"/>
          <w:szCs w:val="6"/>
          <w:highlight w:val="yellow"/>
          <w:lang w:val="sr-Cyrl-CS"/>
        </w:rPr>
      </w:pPr>
    </w:p>
    <w:p w14:paraId="6B83D27F" w14:textId="77777777" w:rsidR="006C0D6C" w:rsidRPr="00BF3CDE" w:rsidRDefault="006C0D6C" w:rsidP="00655CD0">
      <w:pPr>
        <w:numPr>
          <w:ilvl w:val="0"/>
          <w:numId w:val="12"/>
        </w:numPr>
        <w:spacing w:after="0"/>
        <w:ind w:left="0" w:firstLine="0"/>
        <w:jc w:val="center"/>
        <w:rPr>
          <w:b/>
          <w:noProof/>
          <w:sz w:val="20"/>
          <w:szCs w:val="20"/>
          <w:lang w:val="sr-Cyrl-CS"/>
        </w:rPr>
      </w:pPr>
      <w:r w:rsidRPr="00BF3CDE">
        <w:rPr>
          <w:b/>
          <w:noProof/>
          <w:sz w:val="20"/>
          <w:szCs w:val="20"/>
          <w:lang w:val="sr-Cyrl-CS"/>
        </w:rPr>
        <w:t>Врста 08 – осигурање имовине од пожара и других опасности</w:t>
      </w:r>
    </w:p>
    <w:p w14:paraId="3B2F4CF2" w14:textId="77777777" w:rsidR="006C0D6C" w:rsidRPr="00BF3CDE" w:rsidRDefault="006C0D6C" w:rsidP="006C0D6C">
      <w:pPr>
        <w:spacing w:after="0"/>
        <w:ind w:left="720"/>
        <w:jc w:val="both"/>
        <w:rPr>
          <w:b/>
          <w:noProof/>
          <w:sz w:val="6"/>
          <w:szCs w:val="6"/>
          <w:lang w:val="sr-Cyrl-CS"/>
        </w:rPr>
      </w:pPr>
    </w:p>
    <w:p w14:paraId="20A7AEAA" w14:textId="77777777" w:rsidR="006C0D6C" w:rsidRPr="00BF3CDE" w:rsidRDefault="006C0D6C" w:rsidP="00224D42">
      <w:pPr>
        <w:spacing w:after="120"/>
        <w:ind w:firstLine="851"/>
        <w:jc w:val="both"/>
        <w:rPr>
          <w:noProof/>
          <w:sz w:val="20"/>
          <w:szCs w:val="20"/>
          <w:lang w:val="sr-Cyrl-CS"/>
        </w:rPr>
      </w:pPr>
      <w:r w:rsidRPr="00BF3CDE">
        <w:rPr>
          <w:noProof/>
          <w:sz w:val="20"/>
          <w:szCs w:val="20"/>
          <w:lang w:val="sr-Cyrl-CS"/>
        </w:rPr>
        <w:t>Дисбаланс меродавног техничког резултата у самопридржају и меродавног техничког резултата активно у врсти 08 у периоду 01.01.2014 - 31.12.2014. године је настао услед већег обима штета од премије у самопридржају Друштва.</w:t>
      </w:r>
      <w:r w:rsidRPr="00BF3CDE">
        <w:rPr>
          <w:noProof/>
          <w:lang w:val="sr-Cyrl-CS"/>
        </w:rPr>
        <w:t xml:space="preserve"> </w:t>
      </w:r>
      <w:r w:rsidRPr="00BF3CDE">
        <w:rPr>
          <w:noProof/>
          <w:sz w:val="20"/>
          <w:szCs w:val="20"/>
          <w:lang w:val="sr-Cyrl-CS"/>
        </w:rPr>
        <w:t>Наиме, пад премије у самопридржају износи 8.722 хиљада динара, односно 7,85%.</w:t>
      </w:r>
      <w:r w:rsidRPr="00BF3CDE">
        <w:rPr>
          <w:noProof/>
          <w:lang w:val="sr-Cyrl-CS"/>
        </w:rPr>
        <w:t xml:space="preserve"> </w:t>
      </w:r>
      <w:r w:rsidRPr="00BF3CDE">
        <w:rPr>
          <w:noProof/>
          <w:sz w:val="20"/>
          <w:szCs w:val="20"/>
          <w:lang w:val="sr-Cyrl-CS"/>
        </w:rPr>
        <w:t>Највећи разлог за дисбаланс у овој врсти јесу штете по ризицима који су у највећем делу у самопридржају Дунав Ре-а или немају даљу ретроцесију.</w:t>
      </w:r>
    </w:p>
    <w:p w14:paraId="5BE485ED" w14:textId="77777777" w:rsidR="006C0D6C" w:rsidRPr="00BF3CDE" w:rsidRDefault="006C0D6C" w:rsidP="00224D42">
      <w:pPr>
        <w:spacing w:after="120"/>
        <w:ind w:firstLine="851"/>
        <w:jc w:val="both"/>
        <w:rPr>
          <w:noProof/>
          <w:sz w:val="20"/>
          <w:szCs w:val="20"/>
          <w:lang w:val="sr-Cyrl-CS"/>
        </w:rPr>
      </w:pPr>
      <w:r w:rsidRPr="00BF3CDE">
        <w:rPr>
          <w:noProof/>
          <w:sz w:val="20"/>
          <w:szCs w:val="20"/>
          <w:lang w:val="sr-Cyrl-CS"/>
        </w:rPr>
        <w:t xml:space="preserve"> У периоду 01.01.2014. – 31.12.2014. ликвидирано је штета у износу 67.249 хиљада динара, из самопридржаја Дунав-а Ре, док резервисане штете на дан 31.12.2014. године износе 241.554 хиљада динара, у врсти 08. Премија остварена у периоду 01.01.2014 – 31.12.2014. године у самопридржају Дунав-а Ре износи 102.398 хиљада динара, у врсти 08. </w:t>
      </w:r>
    </w:p>
    <w:p w14:paraId="68F2AA97" w14:textId="77777777" w:rsidR="006C0D6C" w:rsidRPr="00BF3CDE" w:rsidRDefault="006C0D6C" w:rsidP="00224D42">
      <w:pPr>
        <w:spacing w:after="120"/>
        <w:ind w:firstLine="851"/>
        <w:jc w:val="both"/>
        <w:rPr>
          <w:noProof/>
          <w:sz w:val="20"/>
          <w:szCs w:val="20"/>
          <w:lang w:val="sr-Cyrl-CS"/>
        </w:rPr>
      </w:pPr>
      <w:r w:rsidRPr="00BF3CDE">
        <w:rPr>
          <w:noProof/>
          <w:sz w:val="20"/>
          <w:szCs w:val="20"/>
          <w:lang w:val="sr-Cyrl-CS"/>
        </w:rPr>
        <w:lastRenderedPageBreak/>
        <w:t>Највеће резервисане штете на дан 31.12.2014. су:</w:t>
      </w:r>
    </w:p>
    <w:p w14:paraId="4087465C" w14:textId="77777777" w:rsidR="00224D42" w:rsidRPr="00BF3CDE" w:rsidRDefault="006C0D6C" w:rsidP="00655CD0">
      <w:pPr>
        <w:pStyle w:val="ListParagraph"/>
        <w:numPr>
          <w:ilvl w:val="0"/>
          <w:numId w:val="32"/>
        </w:numPr>
        <w:spacing w:after="120"/>
        <w:jc w:val="both"/>
        <w:rPr>
          <w:noProof/>
          <w:sz w:val="20"/>
          <w:szCs w:val="20"/>
          <w:lang w:val="sr-Cyrl-CS"/>
        </w:rPr>
      </w:pPr>
      <w:r w:rsidRPr="00BF3CDE">
        <w:rPr>
          <w:noProof/>
          <w:sz w:val="20"/>
          <w:szCs w:val="20"/>
          <w:lang w:val="sr-Cyrl-CS"/>
        </w:rPr>
        <w:t>штета Колзец, у износу 118.345 хиљада динара цедента Триглав осигурање,</w:t>
      </w:r>
    </w:p>
    <w:p w14:paraId="20A319A8" w14:textId="77777777" w:rsidR="00224D42" w:rsidRPr="00BF3CDE" w:rsidRDefault="006C0D6C" w:rsidP="00655CD0">
      <w:pPr>
        <w:pStyle w:val="ListParagraph"/>
        <w:numPr>
          <w:ilvl w:val="0"/>
          <w:numId w:val="32"/>
        </w:numPr>
        <w:spacing w:after="60"/>
        <w:ind w:left="714" w:hanging="357"/>
        <w:contextualSpacing w:val="0"/>
        <w:jc w:val="both"/>
        <w:rPr>
          <w:noProof/>
          <w:sz w:val="20"/>
          <w:szCs w:val="20"/>
          <w:lang w:val="sr-Cyrl-CS"/>
        </w:rPr>
      </w:pPr>
      <w:r w:rsidRPr="00BF3CDE">
        <w:rPr>
          <w:noProof/>
          <w:sz w:val="20"/>
          <w:szCs w:val="20"/>
          <w:lang w:val="sr-Cyrl-CS"/>
        </w:rPr>
        <w:t>штета Багер Ведричар осигураника РЕИК Колубара по Уговору о ексцедентном реосигурању имовинских ризика цедента Компанија Дунав осигурање – износ штете 26.892 хиљада динара и</w:t>
      </w:r>
    </w:p>
    <w:p w14:paraId="2C1BFA87" w14:textId="77777777" w:rsidR="006C0D6C" w:rsidRPr="00BF3CDE" w:rsidRDefault="006C0D6C" w:rsidP="00655CD0">
      <w:pPr>
        <w:pStyle w:val="ListParagraph"/>
        <w:numPr>
          <w:ilvl w:val="0"/>
          <w:numId w:val="32"/>
        </w:numPr>
        <w:spacing w:after="60"/>
        <w:ind w:left="714" w:hanging="357"/>
        <w:contextualSpacing w:val="0"/>
        <w:jc w:val="both"/>
        <w:rPr>
          <w:noProof/>
          <w:sz w:val="20"/>
          <w:szCs w:val="20"/>
          <w:lang w:val="sr-Cyrl-CS"/>
        </w:rPr>
      </w:pPr>
      <w:r w:rsidRPr="00BF3CDE">
        <w:rPr>
          <w:noProof/>
          <w:sz w:val="20"/>
          <w:szCs w:val="20"/>
          <w:lang w:val="sr-Cyrl-CS"/>
        </w:rPr>
        <w:t>штета Глодар SHC-RS 900/6 осигураника РЕИК Колубара по Уговору о ексцедентном реосигурању имовинских ризика цедента Дунав осигурање– износ штете 20.00 хиљада динара.</w:t>
      </w:r>
    </w:p>
    <w:p w14:paraId="4866E53C" w14:textId="77777777" w:rsidR="006C0D6C" w:rsidRPr="00BF3CDE" w:rsidRDefault="006C0D6C" w:rsidP="006C0D6C">
      <w:pPr>
        <w:spacing w:after="0"/>
        <w:rPr>
          <w:noProof/>
          <w:sz w:val="10"/>
          <w:szCs w:val="10"/>
          <w:highlight w:val="yellow"/>
          <w:lang w:val="sr-Cyrl-CS"/>
        </w:rPr>
      </w:pPr>
    </w:p>
    <w:p w14:paraId="2E75009F" w14:textId="77777777" w:rsidR="006C0D6C" w:rsidRPr="00BF3CDE" w:rsidRDefault="006C0D6C" w:rsidP="00655CD0">
      <w:pPr>
        <w:numPr>
          <w:ilvl w:val="0"/>
          <w:numId w:val="12"/>
        </w:numPr>
        <w:spacing w:after="0"/>
        <w:ind w:left="0" w:firstLine="0"/>
        <w:jc w:val="center"/>
        <w:rPr>
          <w:b/>
          <w:noProof/>
          <w:sz w:val="20"/>
          <w:szCs w:val="20"/>
          <w:lang w:val="sr-Cyrl-CS"/>
        </w:rPr>
      </w:pPr>
      <w:r w:rsidRPr="00BF3CDE">
        <w:rPr>
          <w:b/>
          <w:noProof/>
          <w:sz w:val="20"/>
          <w:szCs w:val="20"/>
          <w:lang w:val="sr-Cyrl-CS"/>
        </w:rPr>
        <w:t>Врста 09 - Остала осигурања имовине</w:t>
      </w:r>
    </w:p>
    <w:p w14:paraId="59A594B9" w14:textId="77777777" w:rsidR="006C0D6C" w:rsidRPr="00BF3CDE" w:rsidRDefault="006C0D6C" w:rsidP="006C0D6C">
      <w:pPr>
        <w:spacing w:after="0"/>
        <w:rPr>
          <w:b/>
          <w:noProof/>
          <w:sz w:val="10"/>
          <w:szCs w:val="10"/>
          <w:lang w:val="sr-Cyrl-CS"/>
        </w:rPr>
      </w:pPr>
    </w:p>
    <w:p w14:paraId="4047698E" w14:textId="77777777" w:rsidR="006C0D6C" w:rsidRPr="00BF3CDE" w:rsidRDefault="006C0D6C" w:rsidP="00224D42">
      <w:pPr>
        <w:spacing w:after="120"/>
        <w:ind w:firstLine="706"/>
        <w:jc w:val="both"/>
        <w:rPr>
          <w:rFonts w:ascii="Verdana" w:hAnsi="Verdana"/>
          <w:noProof/>
          <w:sz w:val="20"/>
          <w:szCs w:val="20"/>
          <w:lang w:val="sr-Cyrl-CS" w:eastAsia="sr-Latn-RS"/>
        </w:rPr>
      </w:pPr>
      <w:r w:rsidRPr="00BF3CDE">
        <w:rPr>
          <w:rFonts w:ascii="Verdana" w:hAnsi="Verdana"/>
          <w:noProof/>
          <w:sz w:val="20"/>
          <w:szCs w:val="20"/>
          <w:lang w:val="sr-Cyrl-CS" w:eastAsia="sr-Latn-RS"/>
        </w:rPr>
        <w:t xml:space="preserve">Дисбаланс методавног техничког резултата у самопридржају и меродавног техничког резултата активно у врсти 09 се јавио услед великог обима штета у самопридржају у односу на премију у самопридржају. </w:t>
      </w:r>
    </w:p>
    <w:p w14:paraId="0EA93917" w14:textId="77777777" w:rsidR="006C0D6C" w:rsidRPr="00BF3CDE" w:rsidRDefault="006C0D6C" w:rsidP="00224D42">
      <w:pPr>
        <w:spacing w:after="120"/>
        <w:ind w:firstLine="851"/>
        <w:jc w:val="both"/>
        <w:rPr>
          <w:noProof/>
          <w:sz w:val="20"/>
          <w:szCs w:val="20"/>
          <w:lang w:val="sr-Cyrl-CS"/>
        </w:rPr>
      </w:pPr>
      <w:r w:rsidRPr="00BF3CDE">
        <w:rPr>
          <w:noProof/>
          <w:sz w:val="20"/>
          <w:szCs w:val="20"/>
          <w:lang w:val="sr-Cyrl-CS"/>
        </w:rPr>
        <w:t xml:space="preserve">У периоду 01.01.2014 – 31.12.2014. ликвидирано је штета из самопридржаја Дунав-а Ре у износу 110.844 хиљада динара, док резервисане штете на дан 31.12.2014. године износе 70.233 хиљада динара. Премија остварена у периоду 01.01.2014 – 31.12.2014. године у самопридржају Дунав-а Ре износи 94.118 хиљада динара, у врсти 09. </w:t>
      </w:r>
    </w:p>
    <w:p w14:paraId="0CFFEC4B" w14:textId="77777777" w:rsidR="006C0D6C" w:rsidRPr="00BF3CDE" w:rsidRDefault="006C0D6C" w:rsidP="00224D42">
      <w:pPr>
        <w:spacing w:after="120"/>
        <w:ind w:firstLine="851"/>
        <w:jc w:val="both"/>
        <w:rPr>
          <w:noProof/>
          <w:sz w:val="20"/>
          <w:szCs w:val="20"/>
          <w:lang w:val="sr-Cyrl-CS"/>
        </w:rPr>
      </w:pPr>
      <w:r w:rsidRPr="00BF3CDE">
        <w:rPr>
          <w:noProof/>
          <w:sz w:val="20"/>
          <w:szCs w:val="20"/>
          <w:lang w:val="sr-Cyrl-CS"/>
        </w:rPr>
        <w:t>Неповољан однос штета и премије узроковао је негативни меродавни технички резултат у врсти 09.</w:t>
      </w:r>
    </w:p>
    <w:p w14:paraId="5118B0EB" w14:textId="77777777" w:rsidR="006C0D6C" w:rsidRPr="00BF3CDE" w:rsidRDefault="006C0D6C" w:rsidP="00224D42">
      <w:pPr>
        <w:spacing w:after="120"/>
        <w:ind w:firstLine="851"/>
        <w:jc w:val="both"/>
        <w:rPr>
          <w:noProof/>
          <w:sz w:val="20"/>
          <w:szCs w:val="20"/>
          <w:lang w:val="sr-Cyrl-CS"/>
        </w:rPr>
      </w:pPr>
      <w:r w:rsidRPr="00BF3CDE">
        <w:rPr>
          <w:noProof/>
          <w:sz w:val="20"/>
          <w:szCs w:val="20"/>
          <w:lang w:val="sr-Cyrl-CS"/>
        </w:rPr>
        <w:t xml:space="preserve">Три највеће штете у самопридржају Друштва ликвидиране у периоду 01.01.2014 - 31.12.2014. године односе се на старе активне иностране послове који се евидентирају у оквиру врсте 09. </w:t>
      </w:r>
    </w:p>
    <w:p w14:paraId="3B47FFA3" w14:textId="77777777" w:rsidR="006C0D6C" w:rsidRPr="00BF3CDE" w:rsidRDefault="006C0D6C" w:rsidP="00224D42">
      <w:pPr>
        <w:spacing w:after="120"/>
        <w:ind w:firstLine="851"/>
        <w:jc w:val="both"/>
        <w:rPr>
          <w:noProof/>
          <w:sz w:val="20"/>
          <w:szCs w:val="20"/>
          <w:lang w:val="sr-Cyrl-CS"/>
        </w:rPr>
      </w:pPr>
      <w:r w:rsidRPr="00BF3CDE">
        <w:rPr>
          <w:noProof/>
          <w:sz w:val="20"/>
          <w:szCs w:val="20"/>
          <w:lang w:val="sr-Cyrl-CS"/>
        </w:rPr>
        <w:t>Највеће штете у самопридржају Друштва ликвидиране у периоду 01.01.2014 - 31.12.2014. године су:</w:t>
      </w:r>
    </w:p>
    <w:p w14:paraId="5426E901" w14:textId="77777777" w:rsidR="006C0D6C" w:rsidRPr="00BF3CDE" w:rsidRDefault="006C0D6C" w:rsidP="00655CD0">
      <w:pPr>
        <w:pStyle w:val="ListParagraph"/>
        <w:numPr>
          <w:ilvl w:val="0"/>
          <w:numId w:val="25"/>
        </w:numPr>
        <w:spacing w:after="120" w:line="240" w:lineRule="auto"/>
        <w:jc w:val="both"/>
        <w:rPr>
          <w:rFonts w:ascii="Verdana" w:hAnsi="Verdana"/>
          <w:noProof/>
          <w:sz w:val="20"/>
          <w:szCs w:val="20"/>
          <w:lang w:val="sr-Cyrl-CS"/>
        </w:rPr>
      </w:pPr>
      <w:r w:rsidRPr="00BF3CDE">
        <w:rPr>
          <w:rFonts w:ascii="Verdana" w:hAnsi="Verdana"/>
          <w:noProof/>
          <w:sz w:val="20"/>
          <w:szCs w:val="20"/>
          <w:lang w:val="sr-Cyrl-CS"/>
        </w:rPr>
        <w:t xml:space="preserve">штета Midland Ins. Co. по старим активним иностаним пословима: износ штете </w:t>
      </w:r>
      <w:r w:rsidRPr="00BF3CDE">
        <w:rPr>
          <w:noProof/>
          <w:sz w:val="20"/>
          <w:szCs w:val="20"/>
          <w:lang w:val="sr-Cyrl-CS"/>
        </w:rPr>
        <w:t xml:space="preserve">54.727 </w:t>
      </w:r>
      <w:r w:rsidRPr="00BF3CDE">
        <w:rPr>
          <w:rFonts w:ascii="Verdana" w:hAnsi="Verdana"/>
          <w:noProof/>
          <w:sz w:val="20"/>
          <w:szCs w:val="20"/>
          <w:lang w:val="sr-Cyrl-CS"/>
        </w:rPr>
        <w:t>хиљада динара и</w:t>
      </w:r>
    </w:p>
    <w:p w14:paraId="73C5AE91" w14:textId="77777777" w:rsidR="006C0D6C" w:rsidRPr="00BF3CDE" w:rsidRDefault="006C0D6C" w:rsidP="006C0D6C">
      <w:pPr>
        <w:pStyle w:val="ListParagraph"/>
        <w:spacing w:after="120" w:line="240" w:lineRule="auto"/>
        <w:jc w:val="both"/>
        <w:rPr>
          <w:rFonts w:ascii="Verdana" w:hAnsi="Verdana"/>
          <w:noProof/>
          <w:sz w:val="6"/>
          <w:szCs w:val="6"/>
          <w:lang w:val="sr-Cyrl-CS"/>
        </w:rPr>
      </w:pPr>
    </w:p>
    <w:p w14:paraId="01C6DD67" w14:textId="77777777" w:rsidR="006C0D6C" w:rsidRPr="00BF3CDE" w:rsidRDefault="006C0D6C" w:rsidP="00655CD0">
      <w:pPr>
        <w:pStyle w:val="ListParagraph"/>
        <w:numPr>
          <w:ilvl w:val="0"/>
          <w:numId w:val="25"/>
        </w:numPr>
        <w:spacing w:after="120" w:line="240" w:lineRule="auto"/>
        <w:jc w:val="both"/>
        <w:rPr>
          <w:rFonts w:ascii="Verdana" w:hAnsi="Verdana"/>
          <w:noProof/>
          <w:sz w:val="20"/>
          <w:szCs w:val="20"/>
          <w:lang w:val="sr-Cyrl-CS"/>
        </w:rPr>
      </w:pPr>
      <w:r w:rsidRPr="00BF3CDE">
        <w:rPr>
          <w:rFonts w:ascii="Verdana" w:hAnsi="Verdana"/>
          <w:noProof/>
          <w:sz w:val="20"/>
          <w:szCs w:val="20"/>
          <w:lang w:val="sr-Cyrl-CS"/>
        </w:rPr>
        <w:t>штете по уговору Home Property Quota Share Treaty цедента DEVK – износ штета 19.909 хиљада динара.</w:t>
      </w:r>
    </w:p>
    <w:p w14:paraId="45285B1C" w14:textId="77777777" w:rsidR="006C0D6C" w:rsidRPr="00BF3CDE" w:rsidRDefault="006C0D6C" w:rsidP="006C0D6C">
      <w:pPr>
        <w:spacing w:after="0" w:line="240" w:lineRule="auto"/>
        <w:jc w:val="both"/>
        <w:rPr>
          <w:rFonts w:ascii="Verdana" w:hAnsi="Verdana"/>
          <w:noProof/>
          <w:sz w:val="10"/>
          <w:szCs w:val="10"/>
          <w:highlight w:val="yellow"/>
          <w:lang w:val="sr-Cyrl-CS"/>
        </w:rPr>
      </w:pPr>
    </w:p>
    <w:p w14:paraId="383C1ED6" w14:textId="77777777" w:rsidR="006C0D6C" w:rsidRPr="00BF3CDE" w:rsidRDefault="006C0D6C" w:rsidP="00655CD0">
      <w:pPr>
        <w:numPr>
          <w:ilvl w:val="0"/>
          <w:numId w:val="12"/>
        </w:numPr>
        <w:spacing w:after="0"/>
        <w:jc w:val="center"/>
        <w:rPr>
          <w:b/>
          <w:noProof/>
          <w:sz w:val="20"/>
          <w:szCs w:val="20"/>
          <w:lang w:val="sr-Cyrl-CS"/>
        </w:rPr>
      </w:pPr>
      <w:r w:rsidRPr="00BF3CDE">
        <w:rPr>
          <w:b/>
          <w:noProof/>
          <w:sz w:val="20"/>
          <w:szCs w:val="20"/>
          <w:lang w:val="sr-Cyrl-CS"/>
        </w:rPr>
        <w:t>Врста 16 - осигурање финансијских губитака</w:t>
      </w:r>
    </w:p>
    <w:p w14:paraId="7577C42B" w14:textId="77777777" w:rsidR="006C0D6C" w:rsidRPr="00BF3CDE" w:rsidRDefault="006C0D6C" w:rsidP="006C0D6C">
      <w:pPr>
        <w:spacing w:after="0"/>
        <w:ind w:left="720"/>
        <w:rPr>
          <w:b/>
          <w:noProof/>
          <w:sz w:val="10"/>
          <w:szCs w:val="10"/>
          <w:lang w:val="sr-Cyrl-CS"/>
        </w:rPr>
      </w:pPr>
    </w:p>
    <w:p w14:paraId="0EAD89F4" w14:textId="77777777" w:rsidR="006C0D6C" w:rsidRPr="00BF3CDE" w:rsidRDefault="006C0D6C" w:rsidP="006C0D6C">
      <w:pPr>
        <w:spacing w:after="0"/>
        <w:ind w:firstLine="851"/>
        <w:jc w:val="both"/>
        <w:rPr>
          <w:noProof/>
          <w:sz w:val="20"/>
          <w:szCs w:val="20"/>
          <w:lang w:val="sr-Cyrl-CS"/>
        </w:rPr>
      </w:pPr>
      <w:r w:rsidRPr="00BF3CDE">
        <w:rPr>
          <w:noProof/>
          <w:sz w:val="20"/>
          <w:szCs w:val="20"/>
          <w:lang w:val="sr-Cyrl-CS"/>
        </w:rPr>
        <w:t xml:space="preserve">Негативни резултат у врсти 16, остварен на дан 31.12.2014. године, проузрокован је </w:t>
      </w:r>
      <w:r w:rsidRPr="00BF3CDE">
        <w:rPr>
          <w:rFonts w:ascii="Verdana" w:eastAsia="Times New Roman" w:hAnsi="Verdana" w:cs="Arial"/>
          <w:noProof/>
          <w:sz w:val="20"/>
          <w:szCs w:val="20"/>
          <w:lang w:val="sr-Cyrl-CS"/>
        </w:rPr>
        <w:t>н</w:t>
      </w:r>
      <w:r w:rsidRPr="00BF3CDE">
        <w:rPr>
          <w:noProof/>
          <w:sz w:val="20"/>
          <w:szCs w:val="20"/>
          <w:lang w:val="sr-Cyrl-CS"/>
        </w:rPr>
        <w:t>еповољним односом штета и премије у самопридржају Дунав-а Ре.</w:t>
      </w:r>
    </w:p>
    <w:p w14:paraId="32921182" w14:textId="77777777" w:rsidR="006C0D6C" w:rsidRPr="00BF3CDE" w:rsidRDefault="006C0D6C" w:rsidP="006C0D6C">
      <w:pPr>
        <w:spacing w:after="0"/>
        <w:ind w:firstLine="851"/>
        <w:jc w:val="both"/>
        <w:rPr>
          <w:noProof/>
          <w:sz w:val="10"/>
          <w:szCs w:val="10"/>
          <w:highlight w:val="yellow"/>
          <w:lang w:val="sr-Cyrl-CS"/>
        </w:rPr>
      </w:pPr>
    </w:p>
    <w:p w14:paraId="28B68716" w14:textId="77777777" w:rsidR="006C0D6C" w:rsidRPr="00BF3CDE" w:rsidRDefault="006C0D6C" w:rsidP="006C0D6C">
      <w:pPr>
        <w:ind w:firstLine="990"/>
        <w:jc w:val="both"/>
        <w:rPr>
          <w:noProof/>
          <w:sz w:val="20"/>
          <w:szCs w:val="20"/>
          <w:lang w:val="sr-Cyrl-CS"/>
        </w:rPr>
      </w:pPr>
      <w:r w:rsidRPr="00BF3CDE">
        <w:rPr>
          <w:noProof/>
          <w:sz w:val="20"/>
          <w:szCs w:val="20"/>
          <w:lang w:val="sr-Cyrl-CS"/>
        </w:rPr>
        <w:t xml:space="preserve">У наведеном периоду пријављене су и ликвидиране штете цедента Триглав осигурање по Уговору о реосигурању међународних програма. </w:t>
      </w:r>
      <w:r w:rsidRPr="00BF3CDE">
        <w:rPr>
          <w:rFonts w:ascii="Verdana" w:eastAsia="Times New Roman" w:hAnsi="Verdana" w:cs="Arial"/>
          <w:noProof/>
          <w:sz w:val="20"/>
          <w:szCs w:val="20"/>
          <w:lang w:val="sr-Cyrl-CS"/>
        </w:rPr>
        <w:t xml:space="preserve">Иако износ штета у самопридржају Друштва није значајан, премија остварена у врсти 16 је релативно ниска због малог учешћа Друштва на међународним програмима, што има за последицу </w:t>
      </w:r>
      <w:r w:rsidRPr="00BF3CDE">
        <w:rPr>
          <w:noProof/>
          <w:sz w:val="20"/>
          <w:szCs w:val="20"/>
          <w:lang w:val="sr-Cyrl-CS"/>
        </w:rPr>
        <w:t>негативни МТР на дан 31.12.2014. у врсти 16.</w:t>
      </w:r>
    </w:p>
    <w:p w14:paraId="7D692F2E" w14:textId="77777777" w:rsidR="006C0D6C" w:rsidRPr="00BF3CDE" w:rsidRDefault="006C0D6C" w:rsidP="00224D42">
      <w:pPr>
        <w:spacing w:after="120"/>
        <w:ind w:firstLine="851"/>
        <w:jc w:val="both"/>
        <w:rPr>
          <w:noProof/>
          <w:sz w:val="20"/>
          <w:szCs w:val="20"/>
          <w:lang w:val="sr-Cyrl-CS"/>
        </w:rPr>
      </w:pPr>
      <w:r w:rsidRPr="00BF3CDE">
        <w:rPr>
          <w:noProof/>
          <w:sz w:val="20"/>
          <w:szCs w:val="20"/>
          <w:lang w:val="sr-Cyrl-CS"/>
        </w:rPr>
        <w:t xml:space="preserve">Поред реосигуравајућег покрића за међународне програме, и код осталих покрића у датој врсти је однос премије и штета у самопридржају неповољан.   </w:t>
      </w:r>
    </w:p>
    <w:p w14:paraId="4743EFE5" w14:textId="77777777" w:rsidR="006C0D6C" w:rsidRPr="00BF3CDE" w:rsidRDefault="006C0D6C" w:rsidP="00224D42">
      <w:pPr>
        <w:spacing w:after="120"/>
        <w:ind w:firstLine="851"/>
        <w:jc w:val="both"/>
        <w:rPr>
          <w:noProof/>
          <w:sz w:val="20"/>
          <w:szCs w:val="20"/>
          <w:lang w:val="sr-Cyrl-CS"/>
        </w:rPr>
      </w:pPr>
      <w:r w:rsidRPr="00BF3CDE">
        <w:rPr>
          <w:noProof/>
          <w:sz w:val="20"/>
          <w:szCs w:val="20"/>
          <w:lang w:val="sr-Cyrl-CS"/>
        </w:rPr>
        <w:t>Наиме, у периоду 01.01.2014 – 31.12.2014. године, за ову врсту, укупно ликвидиране штете у самопридржају Дунав-а Ре износе 768 хиљада динара, док укупна премија у самопридржају износи 2.695 хиљада динара. Резервисане штете у самопридржају Дунав-а Ре да дан 31.12.2014. године у овој врсти износе 1.266 хиљада динара.</w:t>
      </w:r>
    </w:p>
    <w:p w14:paraId="41285D7A" w14:textId="77777777" w:rsidR="006C0D6C" w:rsidRPr="00BF3CDE" w:rsidRDefault="006C0D6C" w:rsidP="00655CD0">
      <w:pPr>
        <w:numPr>
          <w:ilvl w:val="0"/>
          <w:numId w:val="12"/>
        </w:numPr>
        <w:spacing w:after="0"/>
        <w:ind w:left="0" w:firstLine="0"/>
        <w:jc w:val="center"/>
        <w:rPr>
          <w:b/>
          <w:noProof/>
          <w:sz w:val="20"/>
          <w:szCs w:val="20"/>
          <w:lang w:val="sr-Cyrl-CS"/>
        </w:rPr>
      </w:pPr>
      <w:r w:rsidRPr="00BF3CDE">
        <w:rPr>
          <w:b/>
          <w:noProof/>
          <w:sz w:val="20"/>
          <w:szCs w:val="20"/>
          <w:lang w:val="sr-Cyrl-CS"/>
        </w:rPr>
        <w:lastRenderedPageBreak/>
        <w:t>Врста 20 - осигурање живота</w:t>
      </w:r>
    </w:p>
    <w:p w14:paraId="4496D641" w14:textId="77777777" w:rsidR="006C0D6C" w:rsidRPr="00BF3CDE" w:rsidRDefault="006C0D6C" w:rsidP="006C0D6C">
      <w:pPr>
        <w:spacing w:after="0"/>
        <w:rPr>
          <w:b/>
          <w:noProof/>
          <w:sz w:val="10"/>
          <w:szCs w:val="10"/>
          <w:lang w:val="sr-Cyrl-CS"/>
        </w:rPr>
      </w:pPr>
    </w:p>
    <w:p w14:paraId="69A659A5" w14:textId="77777777" w:rsidR="006C0D6C" w:rsidRPr="00BF3CDE" w:rsidRDefault="006C0D6C" w:rsidP="00224D42">
      <w:pPr>
        <w:spacing w:after="120"/>
        <w:ind w:firstLine="851"/>
        <w:jc w:val="both"/>
        <w:rPr>
          <w:rFonts w:ascii="Verdana" w:eastAsia="Times New Roman" w:hAnsi="Verdana" w:cs="Arial"/>
          <w:bCs/>
          <w:noProof/>
          <w:sz w:val="20"/>
          <w:szCs w:val="20"/>
          <w:lang w:val="sr-Cyrl-CS"/>
        </w:rPr>
      </w:pPr>
      <w:r w:rsidRPr="00BF3CDE">
        <w:rPr>
          <w:rFonts w:ascii="Verdana" w:eastAsia="Times New Roman" w:hAnsi="Verdana" w:cs="Arial"/>
          <w:bCs/>
          <w:noProof/>
          <w:sz w:val="20"/>
          <w:szCs w:val="20"/>
          <w:lang w:val="sr-Cyrl-CS"/>
        </w:rPr>
        <w:t>Негативни резултат у врсти 20 остварен је због неповољног односа штета и премије у самопридржају Друштва, пре свега због ликвидације штете по У</w:t>
      </w:r>
      <w:r w:rsidRPr="00BF3CDE">
        <w:rPr>
          <w:rFonts w:ascii="Verdana" w:hAnsi="Verdana"/>
          <w:noProof/>
          <w:sz w:val="20"/>
          <w:szCs w:val="20"/>
          <w:lang w:val="sr-Cyrl-CS"/>
        </w:rPr>
        <w:t>говору о реосигурању живота и незгоде</w:t>
      </w:r>
      <w:r w:rsidRPr="00BF3CDE">
        <w:rPr>
          <w:rFonts w:ascii="Verdana" w:eastAsia="Times New Roman" w:hAnsi="Verdana" w:cs="Arial"/>
          <w:bCs/>
          <w:noProof/>
          <w:sz w:val="20"/>
          <w:szCs w:val="20"/>
          <w:lang w:val="sr-Cyrl-CS"/>
        </w:rPr>
        <w:t xml:space="preserve"> </w:t>
      </w:r>
      <w:r w:rsidRPr="00BF3CDE">
        <w:rPr>
          <w:rFonts w:ascii="Verdana" w:hAnsi="Verdana"/>
          <w:noProof/>
          <w:sz w:val="20"/>
          <w:szCs w:val="20"/>
          <w:lang w:val="sr-Cyrl-CS"/>
        </w:rPr>
        <w:t xml:space="preserve">цедента Компанија Дунав осигурање, осигураника Пелевић Бранислав, која износи </w:t>
      </w:r>
      <w:r w:rsidRPr="00BF3CDE">
        <w:rPr>
          <w:noProof/>
          <w:sz w:val="20"/>
          <w:szCs w:val="20"/>
          <w:lang w:val="sr-Cyrl-CS"/>
        </w:rPr>
        <w:t xml:space="preserve">3.670 </w:t>
      </w:r>
      <w:r w:rsidRPr="00BF3CDE">
        <w:rPr>
          <w:rFonts w:ascii="Verdana" w:hAnsi="Verdana"/>
          <w:noProof/>
          <w:sz w:val="20"/>
          <w:szCs w:val="20"/>
          <w:lang w:val="sr-Cyrl-CS"/>
        </w:rPr>
        <w:t>хиљада динара.</w:t>
      </w:r>
    </w:p>
    <w:p w14:paraId="2DCA0D92" w14:textId="77777777" w:rsidR="006C0D6C" w:rsidRPr="00BF3CDE" w:rsidRDefault="006C0D6C" w:rsidP="00224D42">
      <w:pPr>
        <w:spacing w:after="120"/>
        <w:ind w:firstLine="851"/>
        <w:jc w:val="both"/>
        <w:rPr>
          <w:rFonts w:ascii="Verdana" w:eastAsia="Times New Roman" w:hAnsi="Verdana" w:cs="Arial"/>
          <w:bCs/>
          <w:noProof/>
          <w:sz w:val="20"/>
          <w:szCs w:val="20"/>
          <w:lang w:val="sr-Cyrl-CS"/>
        </w:rPr>
      </w:pPr>
      <w:r w:rsidRPr="00BF3CDE">
        <w:rPr>
          <w:rFonts w:ascii="Verdana" w:eastAsia="Times New Roman" w:hAnsi="Verdana" w:cs="Arial"/>
          <w:bCs/>
          <w:noProof/>
          <w:sz w:val="20"/>
          <w:szCs w:val="20"/>
          <w:lang w:val="sr-Cyrl-CS"/>
        </w:rPr>
        <w:t>Премија</w:t>
      </w:r>
      <w:r w:rsidRPr="00BF3CDE">
        <w:rPr>
          <w:noProof/>
          <w:sz w:val="20"/>
          <w:szCs w:val="20"/>
          <w:lang w:val="sr-Cyrl-CS"/>
        </w:rPr>
        <w:t xml:space="preserve"> у самопридржају Друштва остварена у периоду 01.01.2014 – 31.12.2014. године износи</w:t>
      </w:r>
      <w:r w:rsidRPr="00BF3CDE">
        <w:rPr>
          <w:rFonts w:ascii="Verdana" w:eastAsia="Times New Roman" w:hAnsi="Verdana" w:cs="Arial"/>
          <w:bCs/>
          <w:noProof/>
          <w:sz w:val="20"/>
          <w:szCs w:val="20"/>
          <w:lang w:val="sr-Cyrl-CS"/>
        </w:rPr>
        <w:t xml:space="preserve"> </w:t>
      </w:r>
      <w:r w:rsidRPr="00BF3CDE">
        <w:rPr>
          <w:noProof/>
          <w:sz w:val="20"/>
          <w:szCs w:val="20"/>
          <w:lang w:val="sr-Cyrl-CS"/>
        </w:rPr>
        <w:t>9.437 хиљада динара.</w:t>
      </w:r>
    </w:p>
    <w:p w14:paraId="3B7772D4" w14:textId="77777777" w:rsidR="006C0D6C" w:rsidRPr="00BF3CDE" w:rsidRDefault="006C0D6C" w:rsidP="00224D42">
      <w:pPr>
        <w:spacing w:after="120"/>
        <w:ind w:firstLine="851"/>
        <w:jc w:val="both"/>
        <w:rPr>
          <w:rFonts w:ascii="Verdana" w:hAnsi="Verdana"/>
          <w:noProof/>
          <w:sz w:val="20"/>
          <w:szCs w:val="20"/>
          <w:lang w:val="sr-Cyrl-CS"/>
        </w:rPr>
      </w:pPr>
      <w:r w:rsidRPr="00BF3CDE">
        <w:rPr>
          <w:rFonts w:ascii="Verdana" w:eastAsia="Times New Roman" w:hAnsi="Verdana" w:cs="Arial"/>
          <w:bCs/>
          <w:noProof/>
          <w:sz w:val="20"/>
          <w:szCs w:val="20"/>
          <w:lang w:val="sr-Cyrl-CS"/>
        </w:rPr>
        <w:t>Укупно ликвидиране штете из самопридржаја Друштва износе:</w:t>
      </w:r>
      <w:r w:rsidRPr="00BF3CDE">
        <w:rPr>
          <w:noProof/>
          <w:sz w:val="20"/>
          <w:szCs w:val="20"/>
          <w:lang w:val="sr-Cyrl-CS"/>
        </w:rPr>
        <w:t xml:space="preserve"> 6.795 хиљада динара, а </w:t>
      </w:r>
      <w:r w:rsidRPr="00BF3CDE">
        <w:rPr>
          <w:rFonts w:ascii="Verdana" w:eastAsia="Times New Roman" w:hAnsi="Verdana" w:cs="Arial"/>
          <w:bCs/>
          <w:noProof/>
          <w:sz w:val="20"/>
          <w:szCs w:val="20"/>
          <w:lang w:val="sr-Cyrl-CS"/>
        </w:rPr>
        <w:t>резервисане штете у самопридржају Друштва на дан 31.12.2014. године износе</w:t>
      </w:r>
      <w:r w:rsidRPr="00BF3CDE">
        <w:rPr>
          <w:rFonts w:ascii="Verdana" w:hAnsi="Verdana"/>
          <w:noProof/>
          <w:sz w:val="20"/>
          <w:szCs w:val="20"/>
          <w:lang w:val="sr-Cyrl-CS"/>
        </w:rPr>
        <w:t xml:space="preserve"> </w:t>
      </w:r>
      <w:r w:rsidRPr="00BF3CDE">
        <w:rPr>
          <w:noProof/>
          <w:sz w:val="20"/>
          <w:szCs w:val="20"/>
          <w:lang w:val="sr-Cyrl-CS"/>
        </w:rPr>
        <w:t xml:space="preserve">735 </w:t>
      </w:r>
      <w:r w:rsidRPr="00BF3CDE">
        <w:rPr>
          <w:rFonts w:ascii="Verdana" w:hAnsi="Verdana"/>
          <w:noProof/>
          <w:sz w:val="20"/>
          <w:szCs w:val="20"/>
          <w:lang w:val="sr-Cyrl-CS"/>
        </w:rPr>
        <w:t>хиљада динара.</w:t>
      </w:r>
    </w:p>
    <w:p w14:paraId="707D1238" w14:textId="77777777" w:rsidR="006C0D6C" w:rsidRPr="00BF3CDE" w:rsidRDefault="006C0D6C" w:rsidP="006C0D6C">
      <w:pPr>
        <w:jc w:val="both"/>
        <w:rPr>
          <w:rStyle w:val="Hyperlink"/>
          <w:rFonts w:ascii="Verdana" w:eastAsia="Times New Roman" w:hAnsi="Verdana" w:cs="Arial"/>
          <w:bCs/>
          <w:noProof/>
          <w:color w:val="auto"/>
          <w:sz w:val="20"/>
          <w:szCs w:val="20"/>
          <w:lang w:val="sr-Cyrl-CS"/>
        </w:rPr>
      </w:pPr>
      <w:r w:rsidRPr="00BF3CDE">
        <w:rPr>
          <w:noProof/>
          <w:lang w:val="sr-Latn-RS" w:eastAsia="sr-Latn-RS"/>
        </w:rPr>
        <w:drawing>
          <wp:inline distT="0" distB="0" distL="0" distR="0" wp14:anchorId="1625A3E5" wp14:editId="3D0D342D">
            <wp:extent cx="5796501" cy="3792772"/>
            <wp:effectExtent l="0" t="0" r="0" b="0"/>
            <wp:docPr id="687" name="Chart 687"/>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0930DB12" w14:textId="77777777" w:rsidR="006C0D6C" w:rsidRPr="00BF3CDE" w:rsidRDefault="006C0D6C" w:rsidP="006C0D6C">
      <w:pPr>
        <w:spacing w:after="0"/>
        <w:ind w:firstLine="360"/>
        <w:jc w:val="center"/>
        <w:rPr>
          <w:rStyle w:val="Hyperlink"/>
          <w:b/>
          <w:noProof/>
          <w:color w:val="auto"/>
          <w:sz w:val="20"/>
          <w:szCs w:val="20"/>
          <w:lang w:val="sr-Cyrl-CS"/>
        </w:rPr>
      </w:pPr>
      <w:r w:rsidRPr="00BF3CDE">
        <w:rPr>
          <w:rStyle w:val="Hyperlink"/>
          <w:b/>
          <w:noProof/>
          <w:color w:val="auto"/>
          <w:sz w:val="20"/>
          <w:szCs w:val="20"/>
          <w:lang w:val="sr-Cyrl-CS"/>
        </w:rPr>
        <w:t>Узроци негативног меродавног техничког резултата оствареног за период 01.01.2014 – 31.12.2014. године</w:t>
      </w:r>
    </w:p>
    <w:p w14:paraId="3250E43B" w14:textId="77777777" w:rsidR="006C0D6C" w:rsidRPr="00BF3CDE" w:rsidRDefault="006C0D6C" w:rsidP="006C0D6C">
      <w:pPr>
        <w:spacing w:after="0"/>
        <w:ind w:firstLine="360"/>
        <w:jc w:val="both"/>
        <w:rPr>
          <w:rStyle w:val="Hyperlink"/>
          <w:noProof/>
          <w:color w:val="auto"/>
          <w:sz w:val="10"/>
          <w:szCs w:val="10"/>
          <w:lang w:val="sr-Cyrl-CS"/>
        </w:rPr>
      </w:pPr>
    </w:p>
    <w:p w14:paraId="64508918" w14:textId="77777777" w:rsidR="006C0D6C" w:rsidRPr="00BF3CDE" w:rsidRDefault="006C0D6C" w:rsidP="006C0D6C">
      <w:pPr>
        <w:spacing w:after="0"/>
        <w:ind w:firstLine="851"/>
        <w:jc w:val="both"/>
        <w:rPr>
          <w:rStyle w:val="Hyperlink"/>
          <w:noProof/>
          <w:color w:val="auto"/>
          <w:sz w:val="20"/>
          <w:szCs w:val="20"/>
          <w:lang w:val="sr-Cyrl-CS"/>
        </w:rPr>
      </w:pPr>
      <w:r w:rsidRPr="00BF3CDE">
        <w:rPr>
          <w:rStyle w:val="Hyperlink"/>
          <w:noProof/>
          <w:color w:val="auto"/>
          <w:sz w:val="20"/>
          <w:szCs w:val="20"/>
          <w:lang w:val="sr-Cyrl-CS"/>
        </w:rPr>
        <w:t>Негативни меродавни технички резултат остварен у периоду 01.01.2014 – 31.12.2014. године узрокован је пре свега:</w:t>
      </w:r>
    </w:p>
    <w:p w14:paraId="00A83983" w14:textId="77777777" w:rsidR="006C0D6C" w:rsidRPr="00BF3CDE" w:rsidRDefault="006C0D6C" w:rsidP="006C0D6C">
      <w:pPr>
        <w:spacing w:after="0"/>
        <w:jc w:val="both"/>
        <w:rPr>
          <w:rStyle w:val="Hyperlink"/>
          <w:noProof/>
          <w:color w:val="auto"/>
          <w:sz w:val="10"/>
          <w:szCs w:val="10"/>
          <w:lang w:val="sr-Cyrl-CS"/>
        </w:rPr>
      </w:pPr>
    </w:p>
    <w:p w14:paraId="50B2F742" w14:textId="77777777" w:rsidR="006C0D6C" w:rsidRPr="00BF3CDE" w:rsidRDefault="006C0D6C" w:rsidP="00655CD0">
      <w:pPr>
        <w:pStyle w:val="ListParagraph"/>
        <w:numPr>
          <w:ilvl w:val="0"/>
          <w:numId w:val="24"/>
        </w:numPr>
        <w:spacing w:after="0"/>
        <w:ind w:left="0" w:firstLine="851"/>
        <w:jc w:val="both"/>
        <w:rPr>
          <w:rStyle w:val="Hyperlink"/>
          <w:noProof/>
          <w:color w:val="auto"/>
          <w:sz w:val="20"/>
          <w:szCs w:val="20"/>
          <w:lang w:val="sr-Cyrl-CS"/>
        </w:rPr>
      </w:pPr>
      <w:r w:rsidRPr="00BF3CDE">
        <w:rPr>
          <w:rStyle w:val="Hyperlink"/>
          <w:noProof/>
          <w:color w:val="auto"/>
          <w:sz w:val="20"/>
          <w:szCs w:val="20"/>
          <w:lang w:val="sr-Cyrl-CS"/>
        </w:rPr>
        <w:t>падом премије реосигурања остварене у периоду 01.01.2014 – 31.12.2014. године у односу на исти период претходне године, као и у односу на планиране вредности за наведени период и</w:t>
      </w:r>
    </w:p>
    <w:p w14:paraId="7CC4804E" w14:textId="77777777" w:rsidR="006C0D6C" w:rsidRPr="00BF3CDE" w:rsidRDefault="006C0D6C" w:rsidP="006C0D6C">
      <w:pPr>
        <w:pStyle w:val="ListParagraph"/>
        <w:spacing w:after="0"/>
        <w:ind w:left="0" w:firstLine="851"/>
        <w:jc w:val="both"/>
        <w:rPr>
          <w:rStyle w:val="Hyperlink"/>
          <w:noProof/>
          <w:color w:val="auto"/>
          <w:sz w:val="6"/>
          <w:szCs w:val="6"/>
          <w:lang w:val="sr-Cyrl-CS"/>
        </w:rPr>
      </w:pPr>
    </w:p>
    <w:p w14:paraId="197B3A22" w14:textId="77777777" w:rsidR="006C0D6C" w:rsidRPr="00BF3CDE" w:rsidRDefault="006C0D6C" w:rsidP="00655CD0">
      <w:pPr>
        <w:pStyle w:val="ListParagraph"/>
        <w:numPr>
          <w:ilvl w:val="0"/>
          <w:numId w:val="24"/>
        </w:numPr>
        <w:spacing w:after="0"/>
        <w:ind w:left="0" w:firstLine="851"/>
        <w:jc w:val="both"/>
        <w:rPr>
          <w:rStyle w:val="Hyperlink"/>
          <w:noProof/>
          <w:color w:val="auto"/>
          <w:sz w:val="20"/>
          <w:szCs w:val="20"/>
          <w:lang w:val="sr-Cyrl-CS"/>
        </w:rPr>
      </w:pPr>
      <w:r w:rsidRPr="00BF3CDE">
        <w:rPr>
          <w:rStyle w:val="Hyperlink"/>
          <w:noProof/>
          <w:color w:val="auto"/>
          <w:sz w:val="20"/>
          <w:szCs w:val="20"/>
          <w:lang w:val="sr-Cyrl-CS"/>
        </w:rPr>
        <w:t>штетама у саморидржају друштва.</w:t>
      </w:r>
    </w:p>
    <w:p w14:paraId="2771DF54" w14:textId="77777777" w:rsidR="006C0D6C" w:rsidRPr="00BF3CDE" w:rsidRDefault="006C0D6C" w:rsidP="006C0D6C">
      <w:pPr>
        <w:pStyle w:val="ListParagraph"/>
        <w:spacing w:after="0"/>
        <w:ind w:left="426"/>
        <w:jc w:val="both"/>
        <w:rPr>
          <w:rStyle w:val="Hyperlink"/>
          <w:noProof/>
          <w:color w:val="auto"/>
          <w:sz w:val="20"/>
          <w:szCs w:val="20"/>
          <w:highlight w:val="yellow"/>
          <w:lang w:val="sr-Cyrl-CS"/>
        </w:rPr>
      </w:pPr>
    </w:p>
    <w:p w14:paraId="56915D1A" w14:textId="77777777" w:rsidR="006C0D6C" w:rsidRPr="00BF3CDE" w:rsidRDefault="006C0D6C" w:rsidP="00655CD0">
      <w:pPr>
        <w:pStyle w:val="ListParagraph"/>
        <w:numPr>
          <w:ilvl w:val="0"/>
          <w:numId w:val="23"/>
        </w:numPr>
        <w:spacing w:after="0"/>
        <w:ind w:left="426" w:firstLine="0"/>
        <w:jc w:val="center"/>
        <w:rPr>
          <w:rStyle w:val="Hyperlink"/>
          <w:b/>
          <w:noProof/>
          <w:color w:val="auto"/>
          <w:sz w:val="20"/>
          <w:szCs w:val="20"/>
          <w:lang w:val="sr-Cyrl-CS"/>
        </w:rPr>
      </w:pPr>
      <w:r w:rsidRPr="00BF3CDE">
        <w:rPr>
          <w:b/>
          <w:noProof/>
          <w:sz w:val="20"/>
          <w:szCs w:val="20"/>
          <w:lang w:val="sr-Cyrl-CS"/>
        </w:rPr>
        <w:t>П</w:t>
      </w:r>
      <w:r w:rsidRPr="00BF3CDE">
        <w:rPr>
          <w:rStyle w:val="Hyperlink"/>
          <w:b/>
          <w:noProof/>
          <w:color w:val="auto"/>
          <w:sz w:val="20"/>
          <w:szCs w:val="20"/>
          <w:lang w:val="sr-Cyrl-CS"/>
        </w:rPr>
        <w:t>ад премије реосигурања остварене</w:t>
      </w:r>
    </w:p>
    <w:p w14:paraId="21AD8224" w14:textId="77777777" w:rsidR="006C0D6C" w:rsidRPr="00BF3CDE" w:rsidRDefault="006C0D6C" w:rsidP="006C0D6C">
      <w:pPr>
        <w:pStyle w:val="ListParagraph"/>
        <w:spacing w:after="0"/>
        <w:ind w:left="426"/>
        <w:jc w:val="center"/>
        <w:rPr>
          <w:rStyle w:val="Hyperlink"/>
          <w:b/>
          <w:noProof/>
          <w:color w:val="auto"/>
          <w:sz w:val="20"/>
          <w:szCs w:val="20"/>
          <w:lang w:val="sr-Cyrl-CS"/>
        </w:rPr>
      </w:pPr>
      <w:r w:rsidRPr="00BF3CDE">
        <w:rPr>
          <w:rStyle w:val="Hyperlink"/>
          <w:b/>
          <w:noProof/>
          <w:color w:val="auto"/>
          <w:sz w:val="20"/>
          <w:szCs w:val="20"/>
          <w:lang w:val="sr-Cyrl-CS"/>
        </w:rPr>
        <w:t>у периоду 01.01.2014 – 31.12.2014. године</w:t>
      </w:r>
    </w:p>
    <w:p w14:paraId="186674CD" w14:textId="77777777" w:rsidR="006C0D6C" w:rsidRPr="00BF3CDE" w:rsidRDefault="006C0D6C" w:rsidP="006C0D6C">
      <w:pPr>
        <w:spacing w:after="0"/>
        <w:ind w:left="426"/>
        <w:jc w:val="both"/>
        <w:rPr>
          <w:rStyle w:val="Hyperlink"/>
          <w:noProof/>
          <w:color w:val="auto"/>
          <w:sz w:val="20"/>
          <w:szCs w:val="20"/>
          <w:lang w:val="sr-Cyrl-CS"/>
        </w:rPr>
      </w:pPr>
    </w:p>
    <w:p w14:paraId="2D9B8828" w14:textId="77777777" w:rsidR="006C0D6C" w:rsidRPr="00BF3CDE" w:rsidRDefault="006C0D6C" w:rsidP="006C0D6C">
      <w:pPr>
        <w:spacing w:after="0"/>
        <w:ind w:firstLine="851"/>
        <w:jc w:val="both"/>
        <w:rPr>
          <w:rStyle w:val="Hyperlink"/>
          <w:noProof/>
          <w:color w:val="auto"/>
          <w:sz w:val="20"/>
          <w:szCs w:val="20"/>
          <w:lang w:val="sr-Cyrl-CS"/>
        </w:rPr>
      </w:pPr>
      <w:r w:rsidRPr="00BF3CDE">
        <w:rPr>
          <w:rStyle w:val="Hyperlink"/>
          <w:noProof/>
          <w:color w:val="auto"/>
          <w:sz w:val="20"/>
          <w:szCs w:val="20"/>
          <w:lang w:val="sr-Cyrl-CS"/>
        </w:rPr>
        <w:t>Пад премије реосигурања остварене у периоду 01.01.2014 – 31.12.2014. године, како активне, тако и у самопридржају Друштва, узрокован је:</w:t>
      </w:r>
    </w:p>
    <w:p w14:paraId="42C33C66" w14:textId="77777777" w:rsidR="006C0D6C" w:rsidRPr="00BF3CDE" w:rsidRDefault="006C0D6C" w:rsidP="006C0D6C">
      <w:pPr>
        <w:spacing w:after="0"/>
        <w:ind w:firstLine="851"/>
        <w:jc w:val="both"/>
        <w:rPr>
          <w:rStyle w:val="Hyperlink"/>
          <w:rFonts w:ascii="Verdana" w:hAnsi="Verdana"/>
          <w:noProof/>
          <w:color w:val="auto"/>
          <w:sz w:val="20"/>
          <w:szCs w:val="20"/>
          <w:lang w:val="sr-Cyrl-CS"/>
        </w:rPr>
      </w:pPr>
    </w:p>
    <w:p w14:paraId="56F0F509" w14:textId="77777777" w:rsidR="006C0D6C" w:rsidRPr="00BF3CDE" w:rsidRDefault="006C0D6C" w:rsidP="00655CD0">
      <w:pPr>
        <w:pStyle w:val="ListParagraph"/>
        <w:numPr>
          <w:ilvl w:val="0"/>
          <w:numId w:val="26"/>
        </w:numPr>
        <w:spacing w:after="0"/>
        <w:ind w:left="0" w:firstLine="851"/>
        <w:jc w:val="both"/>
        <w:rPr>
          <w:rStyle w:val="Hyperlink"/>
          <w:noProof/>
          <w:color w:val="auto"/>
          <w:sz w:val="20"/>
          <w:szCs w:val="20"/>
          <w:lang w:val="sr-Cyrl-CS"/>
        </w:rPr>
      </w:pPr>
      <w:r w:rsidRPr="00BF3CDE">
        <w:rPr>
          <w:rStyle w:val="Hyperlink"/>
          <w:noProof/>
          <w:color w:val="auto"/>
          <w:sz w:val="20"/>
          <w:szCs w:val="20"/>
          <w:lang w:val="sr-Cyrl-CS"/>
        </w:rPr>
        <w:t>падом премије услед промене структуре реосигураног дела имовинских ризика портфеља Компаније Дунав осигурање. Наведено се односи првенствено на ризике ЕПС-а,</w:t>
      </w:r>
    </w:p>
    <w:p w14:paraId="74F54E41" w14:textId="77777777" w:rsidR="006C0D6C" w:rsidRPr="00BF3CDE" w:rsidRDefault="006C0D6C" w:rsidP="006C0D6C">
      <w:pPr>
        <w:pStyle w:val="ListParagraph"/>
        <w:spacing w:after="0"/>
        <w:ind w:left="0" w:firstLine="851"/>
        <w:jc w:val="both"/>
        <w:rPr>
          <w:rStyle w:val="Hyperlink"/>
          <w:noProof/>
          <w:color w:val="auto"/>
          <w:sz w:val="6"/>
          <w:szCs w:val="6"/>
          <w:highlight w:val="yellow"/>
          <w:lang w:val="sr-Cyrl-CS"/>
        </w:rPr>
      </w:pPr>
    </w:p>
    <w:p w14:paraId="01C81AB7" w14:textId="77777777" w:rsidR="006C0D6C" w:rsidRPr="00BF3CDE" w:rsidRDefault="006C0D6C" w:rsidP="00655CD0">
      <w:pPr>
        <w:pStyle w:val="ListParagraph"/>
        <w:numPr>
          <w:ilvl w:val="0"/>
          <w:numId w:val="26"/>
        </w:numPr>
        <w:spacing w:after="0"/>
        <w:ind w:left="0" w:firstLine="851"/>
        <w:jc w:val="both"/>
        <w:rPr>
          <w:rStyle w:val="Hyperlink"/>
          <w:noProof/>
          <w:color w:val="auto"/>
          <w:sz w:val="20"/>
          <w:szCs w:val="20"/>
          <w:lang w:val="sr-Cyrl-CS"/>
        </w:rPr>
      </w:pPr>
      <w:r w:rsidRPr="00BF3CDE">
        <w:rPr>
          <w:rStyle w:val="Hyperlink"/>
          <w:noProof/>
          <w:color w:val="auto"/>
          <w:sz w:val="20"/>
          <w:szCs w:val="20"/>
          <w:lang w:val="sr-Cyrl-CS"/>
        </w:rPr>
        <w:t>неуспостављање реосигуравајућег покрића за портфељ аутокаска цедента Дунав осигурање, које је веома значајно утицало на обим премије у самопридржају Друштва, обзиром да је овај портфолио био реосигуран искључиво у оквиру капацитета Дунава Ре – без даље ретроцесије.</w:t>
      </w:r>
    </w:p>
    <w:p w14:paraId="74B57EC6" w14:textId="77777777" w:rsidR="006C0D6C" w:rsidRPr="00BF3CDE" w:rsidRDefault="006C0D6C" w:rsidP="006C0D6C">
      <w:pPr>
        <w:pStyle w:val="ListParagraph"/>
        <w:ind w:left="0" w:firstLine="851"/>
        <w:rPr>
          <w:rStyle w:val="Hyperlink"/>
          <w:noProof/>
          <w:color w:val="auto"/>
          <w:sz w:val="6"/>
          <w:szCs w:val="6"/>
          <w:lang w:val="sr-Cyrl-CS"/>
        </w:rPr>
      </w:pPr>
    </w:p>
    <w:p w14:paraId="71CD56C8" w14:textId="77777777" w:rsidR="006C0D6C" w:rsidRPr="00BF3CDE" w:rsidRDefault="006C0D6C" w:rsidP="00655CD0">
      <w:pPr>
        <w:pStyle w:val="ListParagraph"/>
        <w:numPr>
          <w:ilvl w:val="0"/>
          <w:numId w:val="26"/>
        </w:numPr>
        <w:spacing w:after="0"/>
        <w:ind w:left="0" w:firstLine="851"/>
        <w:jc w:val="both"/>
        <w:rPr>
          <w:rStyle w:val="Hyperlink"/>
          <w:noProof/>
          <w:color w:val="auto"/>
          <w:sz w:val="20"/>
          <w:szCs w:val="20"/>
          <w:lang w:val="sr-Cyrl-CS"/>
        </w:rPr>
      </w:pPr>
      <w:r w:rsidRPr="00BF3CDE">
        <w:rPr>
          <w:rStyle w:val="Hyperlink"/>
          <w:noProof/>
          <w:color w:val="auto"/>
          <w:sz w:val="20"/>
          <w:szCs w:val="20"/>
          <w:lang w:val="sr-Cyrl-CS"/>
        </w:rPr>
        <w:t>престанак учешћа Дунав-а Ре на уговору Personal Accident осигураника Korean Re, а самим тим и приливом премије реосигурања по овом покрићу.</w:t>
      </w:r>
    </w:p>
    <w:p w14:paraId="6D873A4E" w14:textId="77777777" w:rsidR="006C0D6C" w:rsidRPr="00BF3CDE" w:rsidRDefault="006C0D6C" w:rsidP="006C0D6C">
      <w:pPr>
        <w:pStyle w:val="ListParagraph"/>
        <w:spacing w:after="0"/>
        <w:ind w:left="851"/>
        <w:jc w:val="both"/>
        <w:rPr>
          <w:rStyle w:val="Hyperlink"/>
          <w:noProof/>
          <w:color w:val="auto"/>
          <w:sz w:val="6"/>
          <w:szCs w:val="6"/>
          <w:highlight w:val="yellow"/>
          <w:lang w:val="sr-Cyrl-CS"/>
        </w:rPr>
      </w:pPr>
    </w:p>
    <w:p w14:paraId="77D4A1B7" w14:textId="77777777" w:rsidR="006C0D6C" w:rsidRPr="00BF3CDE" w:rsidRDefault="006C0D6C" w:rsidP="00655CD0">
      <w:pPr>
        <w:pStyle w:val="ListParagraph"/>
        <w:numPr>
          <w:ilvl w:val="0"/>
          <w:numId w:val="26"/>
        </w:numPr>
        <w:spacing w:after="0"/>
        <w:ind w:left="0" w:firstLine="851"/>
        <w:jc w:val="both"/>
        <w:rPr>
          <w:rStyle w:val="Hyperlink"/>
          <w:noProof/>
          <w:color w:val="auto"/>
          <w:sz w:val="20"/>
          <w:szCs w:val="20"/>
          <w:lang w:val="sr-Cyrl-CS"/>
        </w:rPr>
      </w:pPr>
      <w:r w:rsidRPr="00BF3CDE">
        <w:rPr>
          <w:rStyle w:val="Hyperlink"/>
          <w:noProof/>
          <w:color w:val="auto"/>
          <w:sz w:val="20"/>
          <w:szCs w:val="20"/>
          <w:lang w:val="sr-Cyrl-CS"/>
        </w:rPr>
        <w:t xml:space="preserve">неуспостављање реосигуравајућих покрића која су уговарана претходних година са Компанијом Дунав осигурање (заштита имовинских ризика у самопридржају, пољопривреда), </w:t>
      </w:r>
    </w:p>
    <w:p w14:paraId="334CF287" w14:textId="77777777" w:rsidR="006C0D6C" w:rsidRPr="00BF3CDE" w:rsidRDefault="006C0D6C" w:rsidP="006C0D6C">
      <w:pPr>
        <w:pStyle w:val="ListParagraph"/>
        <w:ind w:left="0" w:firstLine="851"/>
        <w:rPr>
          <w:rStyle w:val="Hyperlink"/>
          <w:noProof/>
          <w:color w:val="auto"/>
          <w:sz w:val="6"/>
          <w:szCs w:val="6"/>
          <w:highlight w:val="yellow"/>
          <w:lang w:val="sr-Cyrl-CS"/>
        </w:rPr>
      </w:pPr>
    </w:p>
    <w:p w14:paraId="2A00E110" w14:textId="77777777" w:rsidR="006C0D6C" w:rsidRPr="00BF3CDE" w:rsidRDefault="006C0D6C" w:rsidP="00655CD0">
      <w:pPr>
        <w:pStyle w:val="ListParagraph"/>
        <w:numPr>
          <w:ilvl w:val="0"/>
          <w:numId w:val="26"/>
        </w:numPr>
        <w:spacing w:after="0"/>
        <w:ind w:left="0" w:firstLine="851"/>
        <w:jc w:val="both"/>
        <w:rPr>
          <w:rStyle w:val="Hyperlink"/>
          <w:noProof/>
          <w:color w:val="auto"/>
          <w:sz w:val="20"/>
          <w:szCs w:val="20"/>
          <w:lang w:val="sr-Cyrl-CS"/>
        </w:rPr>
      </w:pPr>
      <w:r w:rsidRPr="00BF3CDE">
        <w:rPr>
          <w:rStyle w:val="Hyperlink"/>
          <w:noProof/>
          <w:color w:val="auto"/>
          <w:sz w:val="20"/>
          <w:szCs w:val="20"/>
          <w:lang w:val="sr-Cyrl-CS"/>
        </w:rPr>
        <w:t>неуспостављање реосигуравајућих покрића са цедентима ван Дунав групе, а која су уговарана претходних година,</w:t>
      </w:r>
    </w:p>
    <w:p w14:paraId="7EC6E93E" w14:textId="77777777" w:rsidR="006C0D6C" w:rsidRPr="00BF3CDE" w:rsidRDefault="006C0D6C" w:rsidP="006C0D6C">
      <w:pPr>
        <w:pStyle w:val="ListParagraph"/>
        <w:ind w:left="0" w:firstLine="851"/>
        <w:rPr>
          <w:rStyle w:val="Hyperlink"/>
          <w:noProof/>
          <w:color w:val="auto"/>
          <w:sz w:val="6"/>
          <w:szCs w:val="6"/>
          <w:lang w:val="sr-Cyrl-CS"/>
        </w:rPr>
      </w:pPr>
    </w:p>
    <w:p w14:paraId="2FEEE5D6" w14:textId="77777777" w:rsidR="006C0D6C" w:rsidRPr="00BF3CDE" w:rsidRDefault="006C0D6C" w:rsidP="00655CD0">
      <w:pPr>
        <w:pStyle w:val="ListParagraph"/>
        <w:numPr>
          <w:ilvl w:val="0"/>
          <w:numId w:val="26"/>
        </w:numPr>
        <w:spacing w:after="0"/>
        <w:ind w:left="0" w:firstLine="851"/>
        <w:jc w:val="both"/>
        <w:rPr>
          <w:rStyle w:val="Hyperlink"/>
          <w:noProof/>
          <w:color w:val="auto"/>
          <w:sz w:val="20"/>
          <w:szCs w:val="20"/>
          <w:lang w:val="sr-Cyrl-CS"/>
        </w:rPr>
      </w:pPr>
      <w:r w:rsidRPr="00BF3CDE">
        <w:rPr>
          <w:rStyle w:val="Hyperlink"/>
          <w:noProof/>
          <w:color w:val="auto"/>
          <w:sz w:val="20"/>
          <w:szCs w:val="20"/>
          <w:lang w:val="sr-Cyrl-CS"/>
        </w:rPr>
        <w:t>откази већ уговорених реосигуравајућих покрића,</w:t>
      </w:r>
    </w:p>
    <w:p w14:paraId="7AF41563" w14:textId="77777777" w:rsidR="006C0D6C" w:rsidRPr="00BF3CDE" w:rsidRDefault="006C0D6C" w:rsidP="006C0D6C">
      <w:pPr>
        <w:pStyle w:val="ListParagraph"/>
        <w:spacing w:after="0"/>
        <w:ind w:left="0" w:firstLine="851"/>
        <w:jc w:val="both"/>
        <w:rPr>
          <w:rStyle w:val="Hyperlink"/>
          <w:noProof/>
          <w:color w:val="auto"/>
          <w:sz w:val="6"/>
          <w:szCs w:val="6"/>
          <w:highlight w:val="yellow"/>
          <w:lang w:val="sr-Cyrl-CS"/>
        </w:rPr>
      </w:pPr>
    </w:p>
    <w:p w14:paraId="00E55E38" w14:textId="77777777" w:rsidR="006C0D6C" w:rsidRPr="00BF3CDE" w:rsidRDefault="006C0D6C" w:rsidP="006C0D6C">
      <w:pPr>
        <w:pStyle w:val="ListParagraph"/>
        <w:spacing w:after="0"/>
        <w:ind w:left="0" w:firstLine="851"/>
        <w:jc w:val="both"/>
        <w:rPr>
          <w:rStyle w:val="Hyperlink"/>
          <w:noProof/>
          <w:color w:val="auto"/>
          <w:sz w:val="20"/>
          <w:szCs w:val="20"/>
          <w:lang w:val="sr-Cyrl-CS"/>
        </w:rPr>
      </w:pPr>
      <w:r w:rsidRPr="00BF3CDE">
        <w:rPr>
          <w:rStyle w:val="Hyperlink"/>
          <w:noProof/>
          <w:color w:val="auto"/>
          <w:sz w:val="20"/>
          <w:szCs w:val="20"/>
          <w:lang w:val="sr-Cyrl-CS"/>
        </w:rPr>
        <w:t>Необнављање реосигуравајућих покрића, односно откази уговорених реосигуравајућих покрића, условили су смањен прилив премије у периоду 01.01.2014 – 31.12.2014. године, а посебно премије у самопридржају, што је још изражајније негативно утицало на резултат имајући у виду да постоје обавезе по штетама из ранијих уговорних година и</w:t>
      </w:r>
    </w:p>
    <w:p w14:paraId="7A5C4981" w14:textId="77777777" w:rsidR="006C0D6C" w:rsidRPr="00BF3CDE" w:rsidRDefault="006C0D6C" w:rsidP="006C0D6C">
      <w:pPr>
        <w:spacing w:after="0"/>
        <w:ind w:firstLine="851"/>
        <w:jc w:val="both"/>
        <w:rPr>
          <w:rStyle w:val="Hyperlink"/>
          <w:noProof/>
          <w:color w:val="auto"/>
          <w:sz w:val="6"/>
          <w:szCs w:val="6"/>
          <w:lang w:val="sr-Cyrl-CS"/>
        </w:rPr>
      </w:pPr>
    </w:p>
    <w:p w14:paraId="417CDECA" w14:textId="77777777" w:rsidR="006C0D6C" w:rsidRPr="00BF3CDE" w:rsidRDefault="006C0D6C" w:rsidP="00655CD0">
      <w:pPr>
        <w:pStyle w:val="ListParagraph"/>
        <w:numPr>
          <w:ilvl w:val="0"/>
          <w:numId w:val="26"/>
        </w:numPr>
        <w:spacing w:after="0"/>
        <w:ind w:left="0" w:firstLine="851"/>
        <w:jc w:val="both"/>
        <w:rPr>
          <w:rStyle w:val="Hyperlink"/>
          <w:noProof/>
          <w:color w:val="auto"/>
          <w:sz w:val="20"/>
          <w:szCs w:val="20"/>
          <w:lang w:val="sr-Cyrl-CS"/>
        </w:rPr>
      </w:pPr>
      <w:r w:rsidRPr="00BF3CDE">
        <w:rPr>
          <w:rStyle w:val="Hyperlink"/>
          <w:noProof/>
          <w:color w:val="auto"/>
          <w:sz w:val="20"/>
          <w:szCs w:val="20"/>
          <w:lang w:val="sr-Cyrl-CS"/>
        </w:rPr>
        <w:t>пад цена осигурања који прати мањи обим премије реосигурања за непропорционална реосигуравајућа покрића.</w:t>
      </w:r>
    </w:p>
    <w:p w14:paraId="6E7BB33D" w14:textId="77777777" w:rsidR="006C0D6C" w:rsidRPr="00BF3CDE" w:rsidRDefault="006C0D6C" w:rsidP="006C0D6C">
      <w:pPr>
        <w:spacing w:after="0"/>
        <w:ind w:left="426"/>
        <w:jc w:val="both"/>
        <w:rPr>
          <w:rStyle w:val="Hyperlink"/>
          <w:noProof/>
          <w:color w:val="auto"/>
          <w:sz w:val="10"/>
          <w:szCs w:val="10"/>
          <w:highlight w:val="yellow"/>
          <w:lang w:val="sr-Cyrl-CS"/>
        </w:rPr>
      </w:pPr>
    </w:p>
    <w:p w14:paraId="1A980C6B" w14:textId="77777777" w:rsidR="006C0D6C" w:rsidRPr="00BF3CDE" w:rsidRDefault="006C0D6C" w:rsidP="00655CD0">
      <w:pPr>
        <w:pStyle w:val="ListParagraph"/>
        <w:numPr>
          <w:ilvl w:val="0"/>
          <w:numId w:val="23"/>
        </w:numPr>
        <w:ind w:left="426" w:right="-2" w:firstLine="0"/>
        <w:jc w:val="center"/>
        <w:rPr>
          <w:rStyle w:val="Hyperlink"/>
          <w:b/>
          <w:noProof/>
          <w:color w:val="auto"/>
          <w:sz w:val="20"/>
          <w:szCs w:val="20"/>
          <w:lang w:val="sr-Cyrl-CS"/>
        </w:rPr>
      </w:pPr>
      <w:r w:rsidRPr="00BF3CDE">
        <w:rPr>
          <w:rStyle w:val="Hyperlink"/>
          <w:b/>
          <w:noProof/>
          <w:color w:val="auto"/>
          <w:sz w:val="20"/>
          <w:szCs w:val="20"/>
          <w:lang w:val="sr-Cyrl-CS"/>
        </w:rPr>
        <w:t>Штета у саморидржају друштва</w:t>
      </w:r>
    </w:p>
    <w:p w14:paraId="56213604" w14:textId="77777777" w:rsidR="006C0D6C" w:rsidRPr="00BF3CDE" w:rsidRDefault="006C0D6C" w:rsidP="006C0D6C">
      <w:pPr>
        <w:pStyle w:val="ListParagraph"/>
        <w:ind w:left="426" w:right="-2"/>
        <w:rPr>
          <w:rStyle w:val="Hyperlink"/>
          <w:b/>
          <w:noProof/>
          <w:color w:val="auto"/>
          <w:sz w:val="10"/>
          <w:szCs w:val="10"/>
          <w:lang w:val="sr-Cyrl-CS"/>
        </w:rPr>
      </w:pPr>
    </w:p>
    <w:p w14:paraId="53222CCA" w14:textId="77777777" w:rsidR="006C0D6C" w:rsidRPr="00BF3CDE" w:rsidRDefault="006C0D6C" w:rsidP="006C0D6C">
      <w:pPr>
        <w:pStyle w:val="ListParagraph"/>
        <w:spacing w:after="0"/>
        <w:ind w:left="0" w:firstLine="851"/>
        <w:jc w:val="both"/>
        <w:rPr>
          <w:rStyle w:val="Hyperlink"/>
          <w:noProof/>
          <w:color w:val="auto"/>
          <w:sz w:val="20"/>
          <w:szCs w:val="20"/>
          <w:lang w:val="sr-Cyrl-CS"/>
        </w:rPr>
      </w:pPr>
      <w:r w:rsidRPr="00BF3CDE">
        <w:rPr>
          <w:rStyle w:val="Hyperlink"/>
          <w:noProof/>
          <w:color w:val="auto"/>
          <w:sz w:val="20"/>
          <w:szCs w:val="20"/>
          <w:lang w:val="sr-Cyrl-CS"/>
        </w:rPr>
        <w:t>На негативан резултат утицале су штете према следећем:</w:t>
      </w:r>
    </w:p>
    <w:p w14:paraId="611D2C74" w14:textId="77777777" w:rsidR="006C0D6C" w:rsidRPr="00BF3CDE" w:rsidRDefault="006C0D6C" w:rsidP="006C0D6C">
      <w:pPr>
        <w:pStyle w:val="ListParagraph"/>
        <w:spacing w:after="0"/>
        <w:ind w:left="0" w:firstLine="851"/>
        <w:jc w:val="both"/>
        <w:rPr>
          <w:rStyle w:val="Hyperlink"/>
          <w:noProof/>
          <w:color w:val="auto"/>
          <w:sz w:val="10"/>
          <w:szCs w:val="10"/>
          <w:lang w:val="sr-Cyrl-CS"/>
        </w:rPr>
      </w:pPr>
    </w:p>
    <w:p w14:paraId="373F4DA3" w14:textId="77777777" w:rsidR="006C0D6C" w:rsidRPr="00BF3CDE" w:rsidRDefault="006C0D6C" w:rsidP="00655CD0">
      <w:pPr>
        <w:pStyle w:val="ListParagraph"/>
        <w:numPr>
          <w:ilvl w:val="0"/>
          <w:numId w:val="27"/>
        </w:numPr>
        <w:spacing w:after="0"/>
        <w:ind w:left="0" w:firstLine="851"/>
        <w:jc w:val="both"/>
        <w:rPr>
          <w:rStyle w:val="Hyperlink"/>
          <w:noProof/>
          <w:color w:val="auto"/>
          <w:sz w:val="20"/>
          <w:szCs w:val="20"/>
          <w:lang w:val="sr-Cyrl-CS"/>
        </w:rPr>
      </w:pPr>
      <w:r w:rsidRPr="00BF3CDE">
        <w:rPr>
          <w:rStyle w:val="Hyperlink"/>
          <w:noProof/>
          <w:color w:val="auto"/>
          <w:sz w:val="20"/>
          <w:szCs w:val="20"/>
          <w:lang w:val="sr-Cyrl-CS"/>
        </w:rPr>
        <w:t xml:space="preserve">Услед поплава, на дан 31.12.2014. године новорезервисане су две штете по Уговору о ексцедентном реосигурању имовинских ризика за багере осигураника РЕИК Колубара у износу </w:t>
      </w:r>
      <w:r w:rsidRPr="00BF3CDE">
        <w:rPr>
          <w:noProof/>
          <w:sz w:val="20"/>
          <w:szCs w:val="20"/>
          <w:lang w:val="sr-Cyrl-CS"/>
        </w:rPr>
        <w:t xml:space="preserve">79.716 </w:t>
      </w:r>
      <w:r w:rsidRPr="00BF3CDE">
        <w:rPr>
          <w:rStyle w:val="Hyperlink"/>
          <w:noProof/>
          <w:color w:val="auto"/>
          <w:sz w:val="20"/>
          <w:szCs w:val="20"/>
          <w:lang w:val="sr-Cyrl-CS"/>
        </w:rPr>
        <w:t>хиљада динара. Део резервисаних штета на дан 31.12.2014. године насталих услед поплава који се односи на самопридржај Дунав-а Ре износи 48.892 хиљада динара.</w:t>
      </w:r>
    </w:p>
    <w:p w14:paraId="1292247C" w14:textId="77777777" w:rsidR="006C0D6C" w:rsidRPr="00BF3CDE" w:rsidRDefault="006C0D6C" w:rsidP="006C0D6C">
      <w:pPr>
        <w:spacing w:after="0"/>
        <w:ind w:firstLine="851"/>
        <w:jc w:val="both"/>
        <w:rPr>
          <w:noProof/>
          <w:sz w:val="6"/>
          <w:szCs w:val="6"/>
          <w:highlight w:val="yellow"/>
          <w:lang w:val="sr-Cyrl-CS"/>
        </w:rPr>
      </w:pPr>
    </w:p>
    <w:p w14:paraId="0B8E5A5A" w14:textId="77777777" w:rsidR="006C0D6C" w:rsidRPr="00BF3CDE" w:rsidRDefault="006C0D6C" w:rsidP="00655CD0">
      <w:pPr>
        <w:pStyle w:val="ListParagraph"/>
        <w:numPr>
          <w:ilvl w:val="0"/>
          <w:numId w:val="27"/>
        </w:numPr>
        <w:spacing w:after="0"/>
        <w:ind w:left="0" w:firstLine="851"/>
        <w:jc w:val="both"/>
        <w:rPr>
          <w:rStyle w:val="Hyperlink"/>
          <w:noProof/>
          <w:color w:val="auto"/>
          <w:sz w:val="20"/>
          <w:szCs w:val="20"/>
          <w:lang w:val="sr-Cyrl-CS"/>
        </w:rPr>
      </w:pPr>
      <w:r w:rsidRPr="00BF3CDE">
        <w:rPr>
          <w:rStyle w:val="Hyperlink"/>
          <w:noProof/>
          <w:color w:val="auto"/>
          <w:sz w:val="20"/>
          <w:szCs w:val="20"/>
          <w:lang w:val="sr-Cyrl-CS"/>
        </w:rPr>
        <w:t xml:space="preserve">Такође, на дан 31.12.2014. године резервисане су и штете настале услед поплава у мају 2014. године по Уговору о реосигурању вишка штета за природне опасности у укупном износу 325.162 хиљаде динара. Део штета по CAT XL уговору насталих услед поплава резервисаних на дан 31.12.2014. године који се односи на самопридржај Дунав-а Ре износи </w:t>
      </w:r>
      <w:r w:rsidRPr="00BF3CDE">
        <w:rPr>
          <w:noProof/>
          <w:sz w:val="20"/>
          <w:szCs w:val="20"/>
          <w:lang w:val="sr-Cyrl-CS"/>
        </w:rPr>
        <w:t xml:space="preserve">22.761 </w:t>
      </w:r>
      <w:r w:rsidRPr="00BF3CDE">
        <w:rPr>
          <w:rStyle w:val="Hyperlink"/>
          <w:noProof/>
          <w:color w:val="auto"/>
          <w:sz w:val="20"/>
          <w:szCs w:val="20"/>
          <w:lang w:val="sr-Cyrl-CS"/>
        </w:rPr>
        <w:t xml:space="preserve"> хиљада динара.</w:t>
      </w:r>
    </w:p>
    <w:p w14:paraId="6F2CF619" w14:textId="77777777" w:rsidR="006C0D6C" w:rsidRPr="00BF3CDE" w:rsidRDefault="006C0D6C" w:rsidP="006C0D6C">
      <w:pPr>
        <w:spacing w:after="0"/>
        <w:ind w:firstLine="851"/>
        <w:jc w:val="both"/>
        <w:rPr>
          <w:noProof/>
          <w:sz w:val="10"/>
          <w:szCs w:val="10"/>
          <w:highlight w:val="yellow"/>
          <w:lang w:val="sr-Cyrl-CS"/>
        </w:rPr>
      </w:pPr>
    </w:p>
    <w:p w14:paraId="2AEA2142" w14:textId="77777777" w:rsidR="006C0D6C" w:rsidRPr="00BF3CDE" w:rsidRDefault="006C0D6C" w:rsidP="006C0D6C">
      <w:pPr>
        <w:spacing w:after="0"/>
        <w:ind w:firstLine="851"/>
        <w:jc w:val="both"/>
        <w:rPr>
          <w:noProof/>
          <w:sz w:val="20"/>
          <w:szCs w:val="20"/>
          <w:lang w:val="sr-Cyrl-CS"/>
        </w:rPr>
      </w:pPr>
      <w:r w:rsidRPr="00BF3CDE">
        <w:rPr>
          <w:noProof/>
          <w:sz w:val="20"/>
          <w:szCs w:val="20"/>
          <w:lang w:val="sr-Cyrl-CS"/>
        </w:rPr>
        <w:t>Највећи део резервисаних штета на дан 31.12.2014. године по CAT XL уговору односи се на резервацију за три багера осигураника РЕИК Колубара, у укупном износу 93.863, док део штета који се односи на самопридржај Дунав-а Ре износи 6.570 хиљада динара.</w:t>
      </w:r>
    </w:p>
    <w:p w14:paraId="730AA456" w14:textId="77777777" w:rsidR="006C0D6C" w:rsidRPr="00BF3CDE" w:rsidRDefault="006C0D6C" w:rsidP="006C0D6C">
      <w:pPr>
        <w:spacing w:after="0"/>
        <w:ind w:firstLine="851"/>
        <w:jc w:val="both"/>
        <w:rPr>
          <w:noProof/>
          <w:sz w:val="10"/>
          <w:szCs w:val="10"/>
          <w:highlight w:val="yellow"/>
          <w:lang w:val="sr-Cyrl-CS"/>
        </w:rPr>
      </w:pPr>
    </w:p>
    <w:p w14:paraId="7A4F5C64" w14:textId="77777777" w:rsidR="006C0D6C" w:rsidRPr="00BF3CDE" w:rsidRDefault="006C0D6C" w:rsidP="006C0D6C">
      <w:pPr>
        <w:spacing w:after="0"/>
        <w:ind w:firstLine="851"/>
        <w:jc w:val="both"/>
        <w:rPr>
          <w:noProof/>
          <w:sz w:val="20"/>
          <w:szCs w:val="20"/>
          <w:highlight w:val="yellow"/>
          <w:lang w:val="sr-Cyrl-CS"/>
        </w:rPr>
      </w:pPr>
      <w:r w:rsidRPr="00BF3CDE">
        <w:rPr>
          <w:noProof/>
          <w:sz w:val="20"/>
          <w:szCs w:val="20"/>
          <w:lang w:val="sr-Cyrl-CS"/>
        </w:rPr>
        <w:t>У периоду 01.01.2014 – 31.12.2014. године, по Уговору о реосигурању вишка штета за природне опасности, ликвидиране су и штете настале услед поплава у мају 2014. године у укупном износу 78.833 хиљаде динара.</w:t>
      </w:r>
    </w:p>
    <w:p w14:paraId="519870EC" w14:textId="77777777" w:rsidR="006C0D6C" w:rsidRPr="00BF3CDE" w:rsidRDefault="006C0D6C" w:rsidP="006C0D6C">
      <w:pPr>
        <w:spacing w:after="0"/>
        <w:ind w:firstLine="851"/>
        <w:jc w:val="both"/>
        <w:rPr>
          <w:noProof/>
          <w:sz w:val="10"/>
          <w:szCs w:val="10"/>
          <w:highlight w:val="yellow"/>
          <w:lang w:val="sr-Cyrl-CS"/>
        </w:rPr>
      </w:pPr>
    </w:p>
    <w:p w14:paraId="6030ECAB" w14:textId="77777777" w:rsidR="006C0D6C" w:rsidRPr="00BF3CDE" w:rsidRDefault="006C0D6C" w:rsidP="006C0D6C">
      <w:pPr>
        <w:spacing w:after="0"/>
        <w:ind w:firstLine="851"/>
        <w:jc w:val="both"/>
        <w:rPr>
          <w:noProof/>
          <w:sz w:val="20"/>
          <w:szCs w:val="20"/>
          <w:lang w:val="sr-Cyrl-CS"/>
        </w:rPr>
      </w:pPr>
      <w:r w:rsidRPr="00BF3CDE">
        <w:rPr>
          <w:noProof/>
          <w:sz w:val="20"/>
          <w:szCs w:val="20"/>
          <w:lang w:val="sr-Cyrl-CS"/>
        </w:rPr>
        <w:t>Део ликвидираних штета по CAT XL уговору насталих услед поплава који се односи на самопридржај Дунав-а Ре износи 5.518 хиљаде динара.</w:t>
      </w:r>
    </w:p>
    <w:p w14:paraId="4FF43B48" w14:textId="77777777" w:rsidR="006C0D6C" w:rsidRPr="00BF3CDE" w:rsidRDefault="006C0D6C" w:rsidP="006C0D6C">
      <w:pPr>
        <w:spacing w:after="0"/>
        <w:ind w:firstLine="851"/>
        <w:jc w:val="both"/>
        <w:rPr>
          <w:noProof/>
          <w:sz w:val="20"/>
          <w:szCs w:val="20"/>
          <w:lang w:val="sr-Cyrl-CS"/>
        </w:rPr>
      </w:pPr>
    </w:p>
    <w:p w14:paraId="679306DB" w14:textId="77777777" w:rsidR="006C0D6C" w:rsidRPr="00BF3CDE" w:rsidRDefault="006C0D6C" w:rsidP="00655CD0">
      <w:pPr>
        <w:pStyle w:val="ListParagraph"/>
        <w:numPr>
          <w:ilvl w:val="0"/>
          <w:numId w:val="27"/>
        </w:numPr>
        <w:spacing w:after="0"/>
        <w:ind w:left="0" w:firstLine="851"/>
        <w:jc w:val="both"/>
        <w:rPr>
          <w:rStyle w:val="Hyperlink"/>
          <w:noProof/>
          <w:color w:val="auto"/>
          <w:sz w:val="20"/>
          <w:szCs w:val="20"/>
          <w:lang w:val="sr-Cyrl-CS"/>
        </w:rPr>
      </w:pPr>
      <w:r w:rsidRPr="00BF3CDE">
        <w:rPr>
          <w:rStyle w:val="Hyperlink"/>
          <w:noProof/>
          <w:color w:val="auto"/>
          <w:sz w:val="20"/>
          <w:szCs w:val="20"/>
          <w:lang w:val="sr-Cyrl-CS"/>
        </w:rPr>
        <w:t>штета Колзец, у износу 118.345 хиљада динара цедента Триглав осигурање,</w:t>
      </w:r>
    </w:p>
    <w:p w14:paraId="0E7AE743" w14:textId="77777777" w:rsidR="006C0D6C" w:rsidRPr="00BF3CDE" w:rsidRDefault="006C0D6C" w:rsidP="006C0D6C">
      <w:pPr>
        <w:spacing w:after="0"/>
        <w:ind w:firstLine="851"/>
        <w:jc w:val="both"/>
        <w:rPr>
          <w:rStyle w:val="Hyperlink"/>
          <w:rFonts w:ascii="Verdana" w:hAnsi="Verdana"/>
          <w:noProof/>
          <w:color w:val="auto"/>
          <w:sz w:val="6"/>
          <w:szCs w:val="6"/>
          <w:highlight w:val="yellow"/>
          <w:lang w:val="sr-Cyrl-CS"/>
        </w:rPr>
      </w:pPr>
    </w:p>
    <w:p w14:paraId="1C06B7CE" w14:textId="77777777" w:rsidR="006C0D6C" w:rsidRPr="00BF3CDE" w:rsidRDefault="006C0D6C" w:rsidP="00655CD0">
      <w:pPr>
        <w:pStyle w:val="ListParagraph"/>
        <w:numPr>
          <w:ilvl w:val="0"/>
          <w:numId w:val="27"/>
        </w:numPr>
        <w:spacing w:after="0"/>
        <w:ind w:left="0" w:firstLine="851"/>
        <w:jc w:val="both"/>
        <w:rPr>
          <w:rStyle w:val="Hyperlink"/>
          <w:noProof/>
          <w:color w:val="auto"/>
          <w:sz w:val="20"/>
          <w:szCs w:val="20"/>
          <w:lang w:val="sr-Cyrl-CS"/>
        </w:rPr>
      </w:pPr>
      <w:r w:rsidRPr="00BF3CDE">
        <w:rPr>
          <w:rStyle w:val="Hyperlink"/>
          <w:noProof/>
          <w:color w:val="auto"/>
          <w:sz w:val="20"/>
          <w:szCs w:val="20"/>
          <w:lang w:val="sr-Cyrl-CS"/>
        </w:rPr>
        <w:t>Друштво и даље има обавезе по штетама из ранијих уговорних година (стари активни инострани послови), за које нема прилива премије.</w:t>
      </w:r>
    </w:p>
    <w:p w14:paraId="48C611BB" w14:textId="77777777" w:rsidR="006C0D6C" w:rsidRPr="00BF3CDE" w:rsidRDefault="006C0D6C" w:rsidP="006C0D6C">
      <w:pPr>
        <w:spacing w:after="0"/>
        <w:jc w:val="both"/>
        <w:rPr>
          <w:noProof/>
          <w:sz w:val="20"/>
          <w:szCs w:val="20"/>
          <w:highlight w:val="yellow"/>
          <w:lang w:val="sr-Cyrl-CS"/>
        </w:rPr>
      </w:pPr>
    </w:p>
    <w:p w14:paraId="71A3201A" w14:textId="77777777" w:rsidR="006C0D6C" w:rsidRPr="00BF3CDE" w:rsidRDefault="00661839" w:rsidP="00655CD0">
      <w:pPr>
        <w:pStyle w:val="Heading1"/>
        <w:numPr>
          <w:ilvl w:val="1"/>
          <w:numId w:val="6"/>
        </w:numPr>
        <w:spacing w:after="240"/>
        <w:jc w:val="left"/>
        <w:rPr>
          <w:rFonts w:asciiTheme="majorHAnsi" w:hAnsiTheme="majorHAnsi" w:cs="Tahoma"/>
          <w:i/>
          <w:noProof/>
          <w:color w:val="4F81BD"/>
          <w:sz w:val="22"/>
          <w:szCs w:val="18"/>
          <w:lang w:val="sr-Cyrl-CS"/>
        </w:rPr>
      </w:pPr>
      <w:bookmarkStart w:id="32" w:name="_Toc414356814"/>
      <w:r w:rsidRPr="00BF3CDE">
        <w:rPr>
          <w:rFonts w:asciiTheme="majorHAnsi" w:hAnsiTheme="majorHAnsi" w:cs="Tahoma"/>
          <w:i/>
          <w:noProof/>
          <w:color w:val="4F81BD"/>
          <w:sz w:val="22"/>
          <w:szCs w:val="18"/>
          <w:lang w:val="sr-Cyrl-CS"/>
        </w:rPr>
        <w:t>Резиме политике спровођења саосигурања                                                и реосигурања за 2014. годину</w:t>
      </w:r>
      <w:bookmarkEnd w:id="32"/>
    </w:p>
    <w:p w14:paraId="1A13783D" w14:textId="77777777" w:rsidR="006C0D6C" w:rsidRPr="00BF3CDE" w:rsidRDefault="006C0D6C" w:rsidP="006C0D6C">
      <w:pPr>
        <w:spacing w:after="0"/>
        <w:jc w:val="both"/>
        <w:rPr>
          <w:rStyle w:val="Hyperlink"/>
          <w:noProof/>
          <w:color w:val="auto"/>
          <w:sz w:val="20"/>
          <w:szCs w:val="20"/>
          <w:lang w:val="sr-Cyrl-CS"/>
        </w:rPr>
      </w:pPr>
      <w:r w:rsidRPr="00BF3CDE">
        <w:rPr>
          <w:rStyle w:val="Hyperlink"/>
          <w:noProof/>
          <w:color w:val="auto"/>
          <w:sz w:val="20"/>
          <w:szCs w:val="20"/>
          <w:lang w:val="sr-Cyrl-CS"/>
        </w:rPr>
        <w:t>Друштво има искуство на пољу реосигурања преко 30 година што га чини препознатљивим партнером на тржишту реосигурања у земљи и иностранству.</w:t>
      </w:r>
    </w:p>
    <w:p w14:paraId="77F87A1F" w14:textId="77777777" w:rsidR="00661839" w:rsidRPr="00BF3CDE" w:rsidRDefault="00661839" w:rsidP="006C0D6C">
      <w:pPr>
        <w:spacing w:after="0"/>
        <w:jc w:val="both"/>
        <w:rPr>
          <w:rStyle w:val="Hyperlink"/>
          <w:noProof/>
          <w:color w:val="auto"/>
          <w:sz w:val="14"/>
          <w:szCs w:val="14"/>
          <w:lang w:val="sr-Cyrl-CS"/>
        </w:rPr>
      </w:pPr>
    </w:p>
    <w:p w14:paraId="1271FFC9" w14:textId="5785D89F" w:rsidR="006C0D6C" w:rsidRPr="00BF3CDE" w:rsidRDefault="006C0D6C" w:rsidP="00661839">
      <w:pPr>
        <w:spacing w:after="120" w:line="240" w:lineRule="auto"/>
        <w:jc w:val="both"/>
        <w:rPr>
          <w:rStyle w:val="Hyperlink"/>
          <w:noProof/>
          <w:color w:val="auto"/>
          <w:sz w:val="20"/>
          <w:szCs w:val="20"/>
          <w:lang w:val="sr-Cyrl-CS"/>
        </w:rPr>
      </w:pPr>
      <w:r w:rsidRPr="00BF3CDE">
        <w:rPr>
          <w:rStyle w:val="Hyperlink"/>
          <w:noProof/>
          <w:color w:val="auto"/>
          <w:sz w:val="20"/>
          <w:szCs w:val="20"/>
          <w:lang w:val="sr-Cyrl-CS"/>
        </w:rPr>
        <w:t xml:space="preserve">Може се рећи да је Друштво, професионални реосигуравач на домаћем тржишту реосигурања, који годинама обезбеђује реосигуравајућа покрића за највеће и најкомплексније ризике српске привреде. </w:t>
      </w:r>
    </w:p>
    <w:p w14:paraId="3A6E73B3" w14:textId="77777777" w:rsidR="006C0D6C" w:rsidRPr="00BF3CDE" w:rsidRDefault="006C0D6C" w:rsidP="00661839">
      <w:pPr>
        <w:spacing w:after="120" w:line="240" w:lineRule="auto"/>
        <w:jc w:val="both"/>
        <w:rPr>
          <w:rStyle w:val="Hyperlink"/>
          <w:noProof/>
          <w:color w:val="auto"/>
          <w:sz w:val="20"/>
          <w:szCs w:val="20"/>
          <w:lang w:val="sr-Cyrl-CS"/>
        </w:rPr>
      </w:pPr>
      <w:r w:rsidRPr="00BF3CDE">
        <w:rPr>
          <w:rStyle w:val="Hyperlink"/>
          <w:noProof/>
          <w:color w:val="auto"/>
          <w:sz w:val="20"/>
          <w:szCs w:val="20"/>
          <w:lang w:val="sr-Cyrl-CS"/>
        </w:rPr>
        <w:t>Дунав Ре је у периоду свог пословања више од три деценије,  стекао углед високо-професионалног реосигуравача и на међународном тржишту.</w:t>
      </w:r>
    </w:p>
    <w:p w14:paraId="3A595DEA" w14:textId="77777777" w:rsidR="006C0D6C" w:rsidRPr="00BF3CDE" w:rsidRDefault="006C0D6C" w:rsidP="00661839">
      <w:pPr>
        <w:spacing w:after="120" w:line="240" w:lineRule="auto"/>
        <w:jc w:val="both"/>
        <w:rPr>
          <w:rStyle w:val="Hyperlink"/>
          <w:noProof/>
          <w:color w:val="auto"/>
          <w:sz w:val="20"/>
          <w:szCs w:val="20"/>
          <w:lang w:val="sr-Cyrl-CS"/>
        </w:rPr>
      </w:pPr>
      <w:r w:rsidRPr="00BF3CDE">
        <w:rPr>
          <w:rStyle w:val="Hyperlink"/>
          <w:noProof/>
          <w:color w:val="auto"/>
          <w:sz w:val="20"/>
          <w:szCs w:val="20"/>
          <w:lang w:val="sr-Cyrl-CS"/>
        </w:rPr>
        <w:t>У 2014.</w:t>
      </w:r>
      <w:r w:rsidR="00661839" w:rsidRPr="00BF3CDE">
        <w:rPr>
          <w:rStyle w:val="Hyperlink"/>
          <w:noProof/>
          <w:color w:val="auto"/>
          <w:sz w:val="20"/>
          <w:szCs w:val="20"/>
          <w:lang w:val="sr-Cyrl-CS"/>
        </w:rPr>
        <w:t xml:space="preserve"> </w:t>
      </w:r>
      <w:r w:rsidRPr="00BF3CDE">
        <w:rPr>
          <w:rStyle w:val="Hyperlink"/>
          <w:noProof/>
          <w:color w:val="auto"/>
          <w:sz w:val="20"/>
          <w:szCs w:val="20"/>
          <w:lang w:val="sr-Cyrl-CS"/>
        </w:rPr>
        <w:t>години у извршеним ретроцесијама вишка ризика тј. вишка штета,  Друштво је нарочито водило рачуна о бонитету реосигуравача као и квалитету остварене дисперзије ризика.  Услов квалитета ретроцесије је све више присутан и у оквиру стрикно прописаних услова у тендерским набавкама осигурања, где Дунав Ре успева да испуни наведено, као дугогодишњи партнер најпознатијих  и најквалитетнијих светских реосигуравача: Lloyd’s, Swiss Re,SCOR, Hannover Re,Trans Re, Partner Re, Odyssey Re, Sirius Re i dr.</w:t>
      </w:r>
    </w:p>
    <w:p w14:paraId="1174A337" w14:textId="77777777" w:rsidR="006C0D6C" w:rsidRPr="00BF3CDE" w:rsidRDefault="006C0D6C" w:rsidP="00661839">
      <w:pPr>
        <w:spacing w:after="120" w:line="240" w:lineRule="auto"/>
        <w:jc w:val="both"/>
        <w:rPr>
          <w:rStyle w:val="Hyperlink"/>
          <w:noProof/>
          <w:color w:val="auto"/>
          <w:sz w:val="20"/>
          <w:szCs w:val="20"/>
          <w:lang w:val="sr-Cyrl-CS"/>
        </w:rPr>
      </w:pPr>
      <w:r w:rsidRPr="00BF3CDE">
        <w:rPr>
          <w:rStyle w:val="Hyperlink"/>
          <w:noProof/>
          <w:color w:val="auto"/>
          <w:sz w:val="20"/>
          <w:szCs w:val="20"/>
          <w:lang w:val="sr-Cyrl-CS"/>
        </w:rPr>
        <w:t xml:space="preserve">У наредном периоду предстоји очување и јачање постојеће позиције како на домаћем тржишту, </w:t>
      </w:r>
      <w:r w:rsidR="00661839" w:rsidRPr="00BF3CDE">
        <w:rPr>
          <w:rStyle w:val="Hyperlink"/>
          <w:noProof/>
          <w:color w:val="auto"/>
          <w:sz w:val="20"/>
          <w:szCs w:val="20"/>
          <w:lang w:val="sr-Cyrl-CS"/>
        </w:rPr>
        <w:t>т</w:t>
      </w:r>
      <w:r w:rsidRPr="00BF3CDE">
        <w:rPr>
          <w:rStyle w:val="Hyperlink"/>
          <w:noProof/>
          <w:color w:val="auto"/>
          <w:sz w:val="20"/>
          <w:szCs w:val="20"/>
          <w:lang w:val="sr-Cyrl-CS"/>
        </w:rPr>
        <w:t xml:space="preserve">aко и на иностраном. </w:t>
      </w:r>
    </w:p>
    <w:p w14:paraId="42A63A37" w14:textId="77777777" w:rsidR="006C0D6C" w:rsidRPr="00BF3CDE" w:rsidRDefault="006C0D6C" w:rsidP="00661839">
      <w:pPr>
        <w:spacing w:after="80" w:line="240" w:lineRule="auto"/>
        <w:jc w:val="both"/>
        <w:rPr>
          <w:rStyle w:val="Hyperlink"/>
          <w:noProof/>
          <w:color w:val="auto"/>
          <w:sz w:val="20"/>
          <w:szCs w:val="20"/>
          <w:lang w:val="sr-Cyrl-CS"/>
        </w:rPr>
      </w:pPr>
      <w:r w:rsidRPr="00BF3CDE">
        <w:rPr>
          <w:rStyle w:val="Hyperlink"/>
          <w:noProof/>
          <w:color w:val="auto"/>
          <w:sz w:val="20"/>
          <w:szCs w:val="20"/>
          <w:lang w:val="sr-Cyrl-CS"/>
        </w:rPr>
        <w:t>Као слабости Друштва препознају се:</w:t>
      </w:r>
    </w:p>
    <w:p w14:paraId="7E142386" w14:textId="77777777" w:rsidR="006C0D6C" w:rsidRPr="00BF3CDE" w:rsidRDefault="006C0D6C" w:rsidP="00655CD0">
      <w:pPr>
        <w:pStyle w:val="ListParagraph"/>
        <w:numPr>
          <w:ilvl w:val="0"/>
          <w:numId w:val="30"/>
        </w:numPr>
        <w:spacing w:after="80" w:line="240" w:lineRule="auto"/>
        <w:ind w:left="1208" w:hanging="357"/>
        <w:contextualSpacing w:val="0"/>
        <w:jc w:val="both"/>
        <w:rPr>
          <w:rStyle w:val="Hyperlink"/>
          <w:noProof/>
          <w:color w:val="auto"/>
          <w:sz w:val="20"/>
          <w:szCs w:val="20"/>
          <w:lang w:val="sr-Cyrl-CS"/>
        </w:rPr>
      </w:pPr>
      <w:r w:rsidRPr="00BF3CDE">
        <w:rPr>
          <w:rStyle w:val="Hyperlink"/>
          <w:noProof/>
          <w:color w:val="auto"/>
          <w:sz w:val="20"/>
          <w:szCs w:val="20"/>
          <w:lang w:val="sr-Cyrl-CS"/>
        </w:rPr>
        <w:t>Недовољно развијен информациони систем који успорава ефикасност обраде података, праћење ризика са свих аспеката и дефинисање, сагледавање и побројавање свих врста ризика којима је Друштво изложено у свом пословању,</w:t>
      </w:r>
    </w:p>
    <w:p w14:paraId="65A3B9D3" w14:textId="77777777" w:rsidR="006C0D6C" w:rsidRPr="00BF3CDE" w:rsidRDefault="006C0D6C" w:rsidP="00655CD0">
      <w:pPr>
        <w:pStyle w:val="ListParagraph"/>
        <w:numPr>
          <w:ilvl w:val="0"/>
          <w:numId w:val="30"/>
        </w:numPr>
        <w:spacing w:after="80" w:line="240" w:lineRule="auto"/>
        <w:ind w:left="1208" w:hanging="357"/>
        <w:contextualSpacing w:val="0"/>
        <w:jc w:val="both"/>
        <w:rPr>
          <w:rStyle w:val="Hyperlink"/>
          <w:noProof/>
          <w:color w:val="auto"/>
          <w:sz w:val="20"/>
          <w:szCs w:val="20"/>
          <w:lang w:val="sr-Cyrl-CS"/>
        </w:rPr>
      </w:pPr>
      <w:r w:rsidRPr="00BF3CDE">
        <w:rPr>
          <w:rStyle w:val="Hyperlink"/>
          <w:noProof/>
          <w:color w:val="auto"/>
          <w:sz w:val="20"/>
          <w:szCs w:val="20"/>
          <w:lang w:val="sr-Cyrl-CS"/>
        </w:rPr>
        <w:t>недостатак стратешког партенра – инореосигуравача са високим бонитетом који би својим капацитетима у форми аутоматских покрића за Дунав Ре, омогућио Друштву даљи развој и раст,</w:t>
      </w:r>
    </w:p>
    <w:p w14:paraId="551CAE17" w14:textId="77777777" w:rsidR="006C0D6C" w:rsidRPr="00BF3CDE" w:rsidRDefault="006C0D6C" w:rsidP="00655CD0">
      <w:pPr>
        <w:pStyle w:val="ListParagraph"/>
        <w:numPr>
          <w:ilvl w:val="0"/>
          <w:numId w:val="30"/>
        </w:numPr>
        <w:spacing w:after="120" w:line="240" w:lineRule="auto"/>
        <w:ind w:left="1208" w:hanging="357"/>
        <w:contextualSpacing w:val="0"/>
        <w:jc w:val="both"/>
        <w:rPr>
          <w:rStyle w:val="Hyperlink"/>
          <w:noProof/>
          <w:color w:val="auto"/>
          <w:sz w:val="20"/>
          <w:szCs w:val="20"/>
          <w:lang w:val="sr-Cyrl-CS"/>
        </w:rPr>
      </w:pPr>
      <w:r w:rsidRPr="00BF3CDE">
        <w:rPr>
          <w:rStyle w:val="Hyperlink"/>
          <w:noProof/>
          <w:color w:val="auto"/>
          <w:sz w:val="20"/>
          <w:szCs w:val="20"/>
          <w:lang w:val="sr-Cyrl-CS"/>
        </w:rPr>
        <w:t>недостатак рејтинга додељеног од међународно признате агенције, уз ограничавајући фактор тренутно слабог рејтинга земље.</w:t>
      </w:r>
    </w:p>
    <w:p w14:paraId="484F8B69" w14:textId="77777777" w:rsidR="006C0D6C" w:rsidRPr="00BF3CDE" w:rsidRDefault="006C0D6C" w:rsidP="00661839">
      <w:pPr>
        <w:spacing w:after="80" w:line="240" w:lineRule="auto"/>
        <w:jc w:val="both"/>
        <w:rPr>
          <w:rStyle w:val="Hyperlink"/>
          <w:noProof/>
          <w:color w:val="auto"/>
          <w:sz w:val="20"/>
          <w:szCs w:val="20"/>
          <w:lang w:val="sr-Cyrl-CS"/>
        </w:rPr>
      </w:pPr>
      <w:r w:rsidRPr="00BF3CDE">
        <w:rPr>
          <w:rStyle w:val="Hyperlink"/>
          <w:noProof/>
          <w:color w:val="auto"/>
          <w:sz w:val="20"/>
          <w:szCs w:val="20"/>
          <w:lang w:val="sr-Cyrl-CS"/>
        </w:rPr>
        <w:t>Могућности друштва према капацитетима локаног и иностраног тржишта су:</w:t>
      </w:r>
    </w:p>
    <w:p w14:paraId="2EA419EE" w14:textId="77777777" w:rsidR="006C0D6C" w:rsidRPr="00BF3CDE" w:rsidRDefault="006C0D6C" w:rsidP="00655CD0">
      <w:pPr>
        <w:pStyle w:val="ListParagraph"/>
        <w:numPr>
          <w:ilvl w:val="0"/>
          <w:numId w:val="30"/>
        </w:numPr>
        <w:spacing w:after="80" w:line="240" w:lineRule="auto"/>
        <w:ind w:left="1208" w:hanging="357"/>
        <w:contextualSpacing w:val="0"/>
        <w:jc w:val="both"/>
        <w:rPr>
          <w:rStyle w:val="Hyperlink"/>
          <w:noProof/>
          <w:color w:val="auto"/>
          <w:sz w:val="20"/>
          <w:szCs w:val="20"/>
          <w:lang w:val="sr-Cyrl-CS"/>
        </w:rPr>
      </w:pPr>
      <w:r w:rsidRPr="00BF3CDE">
        <w:rPr>
          <w:rStyle w:val="Hyperlink"/>
          <w:noProof/>
          <w:color w:val="auto"/>
          <w:sz w:val="20"/>
          <w:szCs w:val="20"/>
          <w:lang w:val="sr-Cyrl-CS"/>
        </w:rPr>
        <w:t>развој хоризонталне ретроцесије на локалном тржишту реосигурања,</w:t>
      </w:r>
    </w:p>
    <w:p w14:paraId="688390AE" w14:textId="77777777" w:rsidR="006C0D6C" w:rsidRPr="00BF3CDE" w:rsidRDefault="006C0D6C" w:rsidP="00655CD0">
      <w:pPr>
        <w:pStyle w:val="ListParagraph"/>
        <w:numPr>
          <w:ilvl w:val="0"/>
          <w:numId w:val="30"/>
        </w:numPr>
        <w:spacing w:after="120" w:line="240" w:lineRule="auto"/>
        <w:ind w:left="1208" w:hanging="357"/>
        <w:contextualSpacing w:val="0"/>
        <w:jc w:val="both"/>
        <w:rPr>
          <w:rStyle w:val="Hyperlink"/>
          <w:noProof/>
          <w:color w:val="auto"/>
          <w:sz w:val="20"/>
          <w:szCs w:val="20"/>
          <w:lang w:val="sr-Cyrl-CS"/>
        </w:rPr>
      </w:pPr>
      <w:r w:rsidRPr="00BF3CDE">
        <w:rPr>
          <w:rStyle w:val="Hyperlink"/>
          <w:noProof/>
          <w:color w:val="auto"/>
          <w:sz w:val="20"/>
          <w:szCs w:val="20"/>
          <w:lang w:val="sr-Cyrl-CS"/>
        </w:rPr>
        <w:t>обезбеђење додатних капацитета за аутоматска реосигурања на ино-тржишту за нове послове према развоју потреба тржишта тј. аутоматски капацитети реосигурања и за мање портфеље тј. Цеденте, подршка за  нове производе и производе који нису још увек у потпуности развијени.</w:t>
      </w:r>
    </w:p>
    <w:p w14:paraId="1A525F85" w14:textId="77777777" w:rsidR="006C0D6C" w:rsidRPr="00BF3CDE" w:rsidRDefault="006C0D6C" w:rsidP="00661839">
      <w:pPr>
        <w:spacing w:after="80" w:line="240" w:lineRule="auto"/>
        <w:jc w:val="both"/>
        <w:rPr>
          <w:rStyle w:val="Hyperlink"/>
          <w:noProof/>
          <w:color w:val="auto"/>
          <w:sz w:val="20"/>
          <w:szCs w:val="20"/>
          <w:lang w:val="sr-Cyrl-CS"/>
        </w:rPr>
      </w:pPr>
      <w:r w:rsidRPr="00BF3CDE">
        <w:rPr>
          <w:rStyle w:val="Hyperlink"/>
          <w:noProof/>
          <w:color w:val="auto"/>
          <w:sz w:val="20"/>
          <w:szCs w:val="20"/>
          <w:lang w:val="sr-Cyrl-CS"/>
        </w:rPr>
        <w:t xml:space="preserve">Посебна пажња у даљем пословању ће бити посевећена првенствено повећању нивоа премије у самопридржају, кроз подршку цедентима за развој нових производа, аутомастку заштиту обезбеђену из реосигурања за  устињена протфолиа у директном осигурању, иницијативу према свим учесницима на локалном тржишту, едукацију цедент компанија са фокусом на указивање  неопходности квалитетног реосигурања као и  примене новог методолошког оквира за управљање ризицима, Solvency II. </w:t>
      </w:r>
    </w:p>
    <w:p w14:paraId="652731E7" w14:textId="77777777" w:rsidR="006C0D6C" w:rsidRPr="00BF3CDE" w:rsidRDefault="006C0D6C" w:rsidP="00DA4BD2">
      <w:pPr>
        <w:spacing w:after="100"/>
        <w:ind w:firstLine="567"/>
        <w:jc w:val="both"/>
        <w:rPr>
          <w:rStyle w:val="Hyperlink"/>
          <w:noProof/>
          <w:color w:val="auto"/>
          <w:sz w:val="20"/>
          <w:szCs w:val="20"/>
          <w:lang w:val="sr-Cyrl-CS"/>
        </w:rPr>
      </w:pPr>
    </w:p>
    <w:p w14:paraId="2BB25ACA" w14:textId="77777777" w:rsidR="008E0AE8" w:rsidRPr="00BF3CDE" w:rsidRDefault="008E0AE8" w:rsidP="008E0AE8">
      <w:pPr>
        <w:pStyle w:val="Heading1"/>
        <w:numPr>
          <w:ilvl w:val="0"/>
          <w:numId w:val="2"/>
        </w:numPr>
        <w:rPr>
          <w:rFonts w:asciiTheme="majorHAnsi" w:hAnsiTheme="majorHAnsi" w:cs="Tahoma"/>
          <w:noProof/>
          <w:color w:val="4F81BD" w:themeColor="accent1"/>
          <w:sz w:val="24"/>
          <w:szCs w:val="18"/>
          <w:lang w:val="sr-Cyrl-CS"/>
        </w:rPr>
      </w:pPr>
      <w:bookmarkStart w:id="33" w:name="_Toc414356815"/>
      <w:r w:rsidRPr="00BF3CDE">
        <w:rPr>
          <w:rFonts w:asciiTheme="majorHAnsi" w:hAnsiTheme="majorHAnsi" w:cs="Tahoma"/>
          <w:noProof/>
          <w:color w:val="4F81BD" w:themeColor="accent1"/>
          <w:sz w:val="24"/>
          <w:szCs w:val="18"/>
          <w:lang w:val="sr-Cyrl-CS"/>
        </w:rPr>
        <w:lastRenderedPageBreak/>
        <w:t>ФИНАНСИЈСКО ПОСЛОВАЊЕ ДРУШТВА У 201</w:t>
      </w:r>
      <w:r w:rsidR="006B4964" w:rsidRPr="00BF3CDE">
        <w:rPr>
          <w:rFonts w:asciiTheme="majorHAnsi" w:hAnsiTheme="majorHAnsi" w:cs="Tahoma"/>
          <w:noProof/>
          <w:color w:val="4F81BD" w:themeColor="accent1"/>
          <w:sz w:val="24"/>
          <w:szCs w:val="18"/>
          <w:lang w:val="sr-Cyrl-CS"/>
        </w:rPr>
        <w:t>4</w:t>
      </w:r>
      <w:r w:rsidRPr="00BF3CDE">
        <w:rPr>
          <w:rFonts w:asciiTheme="majorHAnsi" w:hAnsiTheme="majorHAnsi" w:cs="Tahoma"/>
          <w:noProof/>
          <w:color w:val="4F81BD" w:themeColor="accent1"/>
          <w:sz w:val="24"/>
          <w:szCs w:val="18"/>
          <w:lang w:val="sr-Cyrl-CS"/>
        </w:rPr>
        <w:t>. ГОДИНИ</w:t>
      </w:r>
      <w:bookmarkEnd w:id="33"/>
    </w:p>
    <w:p w14:paraId="7451B220" w14:textId="77777777" w:rsidR="001B5D26" w:rsidRPr="00BF3CDE" w:rsidRDefault="001B5D26" w:rsidP="001B5D26">
      <w:pPr>
        <w:pStyle w:val="Heading1"/>
        <w:numPr>
          <w:ilvl w:val="0"/>
          <w:numId w:val="0"/>
        </w:numPr>
        <w:ind w:left="432"/>
        <w:jc w:val="left"/>
        <w:rPr>
          <w:rFonts w:asciiTheme="majorHAnsi" w:hAnsiTheme="majorHAnsi" w:cs="Tahoma"/>
          <w:i/>
          <w:noProof/>
          <w:color w:val="4F81BD" w:themeColor="accent1"/>
          <w:sz w:val="14"/>
          <w:szCs w:val="14"/>
          <w:highlight w:val="yellow"/>
          <w:lang w:val="sr-Cyrl-CS"/>
        </w:rPr>
      </w:pPr>
    </w:p>
    <w:p w14:paraId="7D2B5F0C" w14:textId="77777777" w:rsidR="001B5D26" w:rsidRPr="00BF3CDE" w:rsidRDefault="00DC51FA" w:rsidP="00D31DE3">
      <w:pPr>
        <w:pStyle w:val="Heading1"/>
        <w:numPr>
          <w:ilvl w:val="1"/>
          <w:numId w:val="7"/>
        </w:numPr>
        <w:spacing w:before="240" w:after="240"/>
        <w:jc w:val="left"/>
        <w:rPr>
          <w:rFonts w:asciiTheme="majorHAnsi" w:hAnsiTheme="majorHAnsi" w:cs="Tahoma"/>
          <w:i/>
          <w:noProof/>
          <w:color w:val="4F81BD" w:themeColor="accent1"/>
          <w:sz w:val="22"/>
          <w:szCs w:val="18"/>
          <w:lang w:val="sr-Cyrl-CS"/>
        </w:rPr>
      </w:pPr>
      <w:bookmarkStart w:id="34" w:name="_Toc414356816"/>
      <w:r w:rsidRPr="00BF3CDE">
        <w:rPr>
          <w:rFonts w:asciiTheme="majorHAnsi" w:hAnsiTheme="majorHAnsi" w:cs="Tahoma"/>
          <w:i/>
          <w:noProof/>
          <w:color w:val="4F81BD" w:themeColor="accent1"/>
          <w:sz w:val="22"/>
          <w:szCs w:val="18"/>
          <w:lang w:val="sr-Cyrl-CS"/>
        </w:rPr>
        <w:t>УКУПНА АКТИВА</w:t>
      </w:r>
      <w:r w:rsidR="00492321" w:rsidRPr="00BF3CDE">
        <w:rPr>
          <w:rFonts w:asciiTheme="majorHAnsi" w:hAnsiTheme="majorHAnsi" w:cs="Tahoma"/>
          <w:i/>
          <w:noProof/>
          <w:color w:val="4F81BD" w:themeColor="accent1"/>
          <w:sz w:val="22"/>
          <w:szCs w:val="18"/>
          <w:lang w:val="sr-Cyrl-CS"/>
        </w:rPr>
        <w:t xml:space="preserve"> НА ДАН 31.12.201</w:t>
      </w:r>
      <w:r w:rsidR="006B4964" w:rsidRPr="00BF3CDE">
        <w:rPr>
          <w:rFonts w:asciiTheme="majorHAnsi" w:hAnsiTheme="majorHAnsi" w:cs="Tahoma"/>
          <w:i/>
          <w:noProof/>
          <w:color w:val="4F81BD" w:themeColor="accent1"/>
          <w:sz w:val="22"/>
          <w:szCs w:val="18"/>
          <w:lang w:val="sr-Cyrl-CS"/>
        </w:rPr>
        <w:t>4</w:t>
      </w:r>
      <w:r w:rsidR="00492321" w:rsidRPr="00BF3CDE">
        <w:rPr>
          <w:rFonts w:asciiTheme="majorHAnsi" w:hAnsiTheme="majorHAnsi" w:cs="Tahoma"/>
          <w:i/>
          <w:noProof/>
          <w:color w:val="4F81BD" w:themeColor="accent1"/>
          <w:sz w:val="22"/>
          <w:szCs w:val="18"/>
          <w:lang w:val="sr-Cyrl-CS"/>
        </w:rPr>
        <w:t>.</w:t>
      </w:r>
      <w:bookmarkEnd w:id="34"/>
      <w:r w:rsidR="0046210A" w:rsidRPr="00BF3CDE">
        <w:rPr>
          <w:rFonts w:asciiTheme="majorHAnsi" w:hAnsiTheme="majorHAnsi" w:cs="Tahoma"/>
          <w:i/>
          <w:noProof/>
          <w:color w:val="4F81BD" w:themeColor="accent1"/>
          <w:sz w:val="22"/>
          <w:szCs w:val="18"/>
          <w:lang w:val="sr-Cyrl-CS"/>
        </w:rPr>
        <w:t xml:space="preserve"> </w:t>
      </w:r>
    </w:p>
    <w:p w14:paraId="03EA3F15" w14:textId="77777777" w:rsidR="00D31DE3" w:rsidRPr="00BF3CDE" w:rsidRDefault="00D31DE3" w:rsidP="0069486B">
      <w:pPr>
        <w:spacing w:before="120" w:after="0"/>
        <w:ind w:firstLine="284"/>
        <w:jc w:val="both"/>
        <w:rPr>
          <w:rStyle w:val="Hyperlink"/>
          <w:noProof/>
          <w:color w:val="auto"/>
          <w:sz w:val="20"/>
          <w:szCs w:val="20"/>
          <w:lang w:val="sr-Cyrl-CS"/>
        </w:rPr>
      </w:pPr>
      <w:r w:rsidRPr="00BF3CDE">
        <w:rPr>
          <w:rStyle w:val="Hyperlink"/>
          <w:noProof/>
          <w:color w:val="auto"/>
          <w:sz w:val="20"/>
          <w:szCs w:val="20"/>
          <w:lang w:val="sr-Cyrl-CS"/>
        </w:rPr>
        <w:t xml:space="preserve">Укупна актива износи 4.196.598 хиљада динара и за 8,62% је већа него прошле године. </w:t>
      </w:r>
    </w:p>
    <w:p w14:paraId="4C82B583" w14:textId="77777777" w:rsidR="00D31DE3" w:rsidRDefault="00C031DE" w:rsidP="00D31DE3">
      <w:pPr>
        <w:spacing w:after="80" w:line="240" w:lineRule="auto"/>
        <w:ind w:firstLine="284"/>
        <w:jc w:val="right"/>
        <w:rPr>
          <w:noProof/>
          <w:lang w:val="sr-Cyrl-CS" w:eastAsia="ar-SA"/>
        </w:rPr>
      </w:pPr>
      <w:r w:rsidRPr="00BF3CDE">
        <w:rPr>
          <w:rStyle w:val="Hyperlink"/>
          <w:noProof/>
          <w:color w:val="auto"/>
          <w:sz w:val="20"/>
          <w:szCs w:val="20"/>
          <w:lang w:val="sr-Cyrl-CS"/>
        </w:rPr>
        <w:t xml:space="preserve">  </w:t>
      </w:r>
      <w:r w:rsidR="00D31DE3" w:rsidRPr="00BF3CDE">
        <w:rPr>
          <w:noProof/>
          <w:lang w:val="sr-Cyrl-CS" w:eastAsia="ar-SA"/>
        </w:rPr>
        <w:t>У 000 РСД</w:t>
      </w:r>
    </w:p>
    <w:tbl>
      <w:tblPr>
        <w:tblW w:w="9451" w:type="dxa"/>
        <w:tblInd w:w="93" w:type="dxa"/>
        <w:tblLayout w:type="fixed"/>
        <w:tblLook w:val="04A0" w:firstRow="1" w:lastRow="0" w:firstColumn="1" w:lastColumn="0" w:noHBand="0" w:noVBand="1"/>
      </w:tblPr>
      <w:tblGrid>
        <w:gridCol w:w="724"/>
        <w:gridCol w:w="3827"/>
        <w:gridCol w:w="1760"/>
        <w:gridCol w:w="1760"/>
        <w:gridCol w:w="1380"/>
      </w:tblGrid>
      <w:tr w:rsidR="004B60E3" w:rsidRPr="0023028E" w14:paraId="69D84550" w14:textId="77777777" w:rsidTr="00B256EA">
        <w:trPr>
          <w:trHeight w:val="465"/>
        </w:trPr>
        <w:tc>
          <w:tcPr>
            <w:tcW w:w="724" w:type="dxa"/>
            <w:tcBorders>
              <w:top w:val="nil"/>
              <w:left w:val="nil"/>
              <w:bottom w:val="double" w:sz="6" w:space="0" w:color="4F81BD"/>
              <w:right w:val="nil"/>
            </w:tcBorders>
            <w:shd w:val="clear" w:color="auto" w:fill="auto"/>
            <w:vAlign w:val="center"/>
            <w:hideMark/>
          </w:tcPr>
          <w:p w14:paraId="1AE6F838" w14:textId="77777777" w:rsidR="004B60E3" w:rsidRPr="0023028E" w:rsidRDefault="004B60E3" w:rsidP="004B60E3">
            <w:pPr>
              <w:spacing w:after="0" w:line="240" w:lineRule="auto"/>
              <w:jc w:val="center"/>
              <w:rPr>
                <w:rFonts w:ascii="Verdana" w:eastAsia="Times New Roman" w:hAnsi="Verdana" w:cs="Calibri"/>
                <w:b/>
                <w:bCs/>
                <w:noProof/>
                <w:color w:val="000000"/>
                <w:sz w:val="18"/>
                <w:szCs w:val="18"/>
                <w:lang w:val="sr-Cyrl-CS" w:eastAsia="sr-Latn-RS"/>
              </w:rPr>
            </w:pPr>
            <w:r w:rsidRPr="0023028E">
              <w:rPr>
                <w:rFonts w:ascii="Verdana" w:eastAsia="Times New Roman" w:hAnsi="Verdana" w:cs="Calibri"/>
                <w:b/>
                <w:bCs/>
                <w:noProof/>
                <w:color w:val="000000"/>
                <w:sz w:val="18"/>
                <w:szCs w:val="18"/>
                <w:lang w:val="sr-Cyrl-CS" w:eastAsia="sr-Latn-RS"/>
              </w:rPr>
              <w:t>Р.Б.</w:t>
            </w:r>
          </w:p>
        </w:tc>
        <w:tc>
          <w:tcPr>
            <w:tcW w:w="3827" w:type="dxa"/>
            <w:tcBorders>
              <w:top w:val="nil"/>
              <w:left w:val="nil"/>
              <w:bottom w:val="double" w:sz="6" w:space="0" w:color="4F81BD"/>
              <w:right w:val="nil"/>
            </w:tcBorders>
            <w:shd w:val="clear" w:color="auto" w:fill="auto"/>
            <w:vAlign w:val="center"/>
            <w:hideMark/>
          </w:tcPr>
          <w:p w14:paraId="29CD3896" w14:textId="77777777" w:rsidR="004B60E3" w:rsidRPr="0023028E" w:rsidRDefault="004B60E3" w:rsidP="004B60E3">
            <w:pPr>
              <w:spacing w:after="0" w:line="240" w:lineRule="auto"/>
              <w:jc w:val="center"/>
              <w:rPr>
                <w:rFonts w:ascii="Verdana" w:eastAsia="Times New Roman" w:hAnsi="Verdana" w:cs="Calibri"/>
                <w:b/>
                <w:bCs/>
                <w:noProof/>
                <w:color w:val="000000"/>
                <w:sz w:val="18"/>
                <w:szCs w:val="18"/>
                <w:lang w:val="sr-Cyrl-CS" w:eastAsia="sr-Latn-RS"/>
              </w:rPr>
            </w:pPr>
            <w:r w:rsidRPr="0023028E">
              <w:rPr>
                <w:rFonts w:ascii="Verdana" w:eastAsia="Times New Roman" w:hAnsi="Verdana" w:cs="Calibri"/>
                <w:b/>
                <w:bCs/>
                <w:noProof/>
                <w:color w:val="000000"/>
                <w:sz w:val="18"/>
                <w:szCs w:val="18"/>
                <w:lang w:val="sr-Cyrl-CS" w:eastAsia="sr-Latn-RS"/>
              </w:rPr>
              <w:t>КАТЕГОРИЈА</w:t>
            </w:r>
          </w:p>
        </w:tc>
        <w:tc>
          <w:tcPr>
            <w:tcW w:w="1760" w:type="dxa"/>
            <w:tcBorders>
              <w:top w:val="nil"/>
              <w:left w:val="nil"/>
              <w:bottom w:val="double" w:sz="6" w:space="0" w:color="4F81BD"/>
              <w:right w:val="nil"/>
            </w:tcBorders>
            <w:shd w:val="clear" w:color="auto" w:fill="auto"/>
            <w:vAlign w:val="center"/>
            <w:hideMark/>
          </w:tcPr>
          <w:p w14:paraId="4100ADD4" w14:textId="77777777" w:rsidR="004B60E3" w:rsidRPr="0023028E" w:rsidRDefault="004B60E3" w:rsidP="00B256EA">
            <w:pPr>
              <w:spacing w:after="0" w:line="240" w:lineRule="auto"/>
              <w:jc w:val="center"/>
              <w:rPr>
                <w:rFonts w:ascii="Verdana" w:eastAsia="Times New Roman" w:hAnsi="Verdana" w:cs="Calibri"/>
                <w:b/>
                <w:bCs/>
                <w:noProof/>
                <w:color w:val="000000"/>
                <w:sz w:val="18"/>
                <w:szCs w:val="18"/>
                <w:lang w:val="sr-Cyrl-CS" w:eastAsia="sr-Latn-RS"/>
              </w:rPr>
            </w:pPr>
            <w:r w:rsidRPr="0023028E">
              <w:rPr>
                <w:rFonts w:ascii="Verdana" w:eastAsia="Times New Roman" w:hAnsi="Verdana" w:cs="Calibri"/>
                <w:b/>
                <w:bCs/>
                <w:noProof/>
                <w:color w:val="000000"/>
                <w:sz w:val="18"/>
                <w:szCs w:val="18"/>
                <w:lang w:val="sr-Cyrl-CS" w:eastAsia="sr-Latn-RS"/>
              </w:rPr>
              <w:t>Стање            31.12. 2013.</w:t>
            </w:r>
          </w:p>
        </w:tc>
        <w:tc>
          <w:tcPr>
            <w:tcW w:w="1760" w:type="dxa"/>
            <w:tcBorders>
              <w:top w:val="nil"/>
              <w:left w:val="nil"/>
              <w:bottom w:val="double" w:sz="6" w:space="0" w:color="4F81BD"/>
              <w:right w:val="nil"/>
            </w:tcBorders>
            <w:shd w:val="clear" w:color="auto" w:fill="auto"/>
            <w:vAlign w:val="center"/>
            <w:hideMark/>
          </w:tcPr>
          <w:p w14:paraId="521987F7" w14:textId="77777777" w:rsidR="004B60E3" w:rsidRPr="0023028E" w:rsidRDefault="004B60E3" w:rsidP="00B256EA">
            <w:pPr>
              <w:spacing w:after="0" w:line="240" w:lineRule="auto"/>
              <w:jc w:val="center"/>
              <w:rPr>
                <w:rFonts w:ascii="Verdana" w:eastAsia="Times New Roman" w:hAnsi="Verdana" w:cs="Calibri"/>
                <w:b/>
                <w:bCs/>
                <w:noProof/>
                <w:color w:val="000000"/>
                <w:sz w:val="18"/>
                <w:szCs w:val="18"/>
                <w:lang w:val="sr-Cyrl-CS" w:eastAsia="sr-Latn-RS"/>
              </w:rPr>
            </w:pPr>
            <w:r w:rsidRPr="0023028E">
              <w:rPr>
                <w:rFonts w:ascii="Verdana" w:eastAsia="Times New Roman" w:hAnsi="Verdana" w:cs="Calibri"/>
                <w:b/>
                <w:bCs/>
                <w:noProof/>
                <w:color w:val="000000"/>
                <w:sz w:val="18"/>
                <w:szCs w:val="18"/>
                <w:lang w:val="sr-Cyrl-CS" w:eastAsia="sr-Latn-RS"/>
              </w:rPr>
              <w:t>Стање                 31.12. 2014.</w:t>
            </w:r>
          </w:p>
        </w:tc>
        <w:tc>
          <w:tcPr>
            <w:tcW w:w="1380" w:type="dxa"/>
            <w:tcBorders>
              <w:top w:val="nil"/>
              <w:left w:val="nil"/>
              <w:bottom w:val="double" w:sz="6" w:space="0" w:color="4F81BD"/>
              <w:right w:val="nil"/>
            </w:tcBorders>
            <w:shd w:val="clear" w:color="auto" w:fill="auto"/>
            <w:vAlign w:val="center"/>
            <w:hideMark/>
          </w:tcPr>
          <w:p w14:paraId="3881E26D" w14:textId="77777777" w:rsidR="004B60E3" w:rsidRPr="0023028E" w:rsidRDefault="004B60E3" w:rsidP="00B256EA">
            <w:pPr>
              <w:spacing w:after="0" w:line="240" w:lineRule="auto"/>
              <w:jc w:val="center"/>
              <w:rPr>
                <w:rFonts w:ascii="Verdana" w:eastAsia="Times New Roman" w:hAnsi="Verdana" w:cs="Calibri"/>
                <w:b/>
                <w:bCs/>
                <w:noProof/>
                <w:color w:val="000000"/>
                <w:sz w:val="18"/>
                <w:szCs w:val="18"/>
                <w:lang w:val="sr-Cyrl-CS" w:eastAsia="sr-Latn-RS"/>
              </w:rPr>
            </w:pPr>
            <w:r w:rsidRPr="0023028E">
              <w:rPr>
                <w:rFonts w:ascii="Verdana" w:eastAsia="Times New Roman" w:hAnsi="Verdana" w:cs="Calibri"/>
                <w:b/>
                <w:bCs/>
                <w:noProof/>
                <w:color w:val="000000"/>
                <w:sz w:val="18"/>
                <w:szCs w:val="18"/>
                <w:lang w:val="sr-Cyrl-CS" w:eastAsia="sr-Latn-RS"/>
              </w:rPr>
              <w:t>Индекс 14/13</w:t>
            </w:r>
          </w:p>
        </w:tc>
      </w:tr>
      <w:tr w:rsidR="004B60E3" w:rsidRPr="0023028E" w14:paraId="3357EBB0" w14:textId="77777777" w:rsidTr="0069486B">
        <w:trPr>
          <w:trHeight w:val="227"/>
        </w:trPr>
        <w:tc>
          <w:tcPr>
            <w:tcW w:w="724" w:type="dxa"/>
            <w:tcBorders>
              <w:top w:val="double" w:sz="6" w:space="0" w:color="4F81BD"/>
              <w:left w:val="nil"/>
              <w:right w:val="nil"/>
            </w:tcBorders>
            <w:shd w:val="clear" w:color="auto" w:fill="DBE5F1" w:themeFill="accent1" w:themeFillTint="33"/>
            <w:vAlign w:val="center"/>
            <w:hideMark/>
          </w:tcPr>
          <w:p w14:paraId="28E80679" w14:textId="77777777" w:rsidR="004B60E3" w:rsidRPr="00B256EA" w:rsidRDefault="004B60E3" w:rsidP="004B60E3">
            <w:pPr>
              <w:spacing w:after="0" w:line="240" w:lineRule="auto"/>
              <w:jc w:val="center"/>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1</w:t>
            </w:r>
          </w:p>
        </w:tc>
        <w:tc>
          <w:tcPr>
            <w:tcW w:w="3827" w:type="dxa"/>
            <w:tcBorders>
              <w:top w:val="double" w:sz="6" w:space="0" w:color="4F81BD"/>
              <w:left w:val="nil"/>
              <w:right w:val="nil"/>
            </w:tcBorders>
            <w:shd w:val="clear" w:color="auto" w:fill="DBE5F1" w:themeFill="accent1" w:themeFillTint="33"/>
            <w:vAlign w:val="center"/>
            <w:hideMark/>
          </w:tcPr>
          <w:p w14:paraId="684D25D3" w14:textId="01F89150" w:rsidR="004B60E3" w:rsidRPr="00B256EA" w:rsidRDefault="004B60E3" w:rsidP="00B256EA">
            <w:pPr>
              <w:spacing w:after="0" w:line="240" w:lineRule="auto"/>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Нематеријална улагања</w:t>
            </w:r>
          </w:p>
        </w:tc>
        <w:tc>
          <w:tcPr>
            <w:tcW w:w="1760" w:type="dxa"/>
            <w:tcBorders>
              <w:top w:val="double" w:sz="6" w:space="0" w:color="4F81BD"/>
              <w:left w:val="nil"/>
              <w:right w:val="nil"/>
            </w:tcBorders>
            <w:shd w:val="clear" w:color="auto" w:fill="DBE5F1" w:themeFill="accent1" w:themeFillTint="33"/>
            <w:vAlign w:val="center"/>
            <w:hideMark/>
          </w:tcPr>
          <w:p w14:paraId="72B0EFA2" w14:textId="37EB60C3" w:rsidR="004B60E3" w:rsidRPr="00B256EA" w:rsidRDefault="004B60E3" w:rsidP="00B256EA">
            <w:pPr>
              <w:spacing w:after="0" w:line="240" w:lineRule="auto"/>
              <w:jc w:val="right"/>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3.336</w:t>
            </w:r>
          </w:p>
        </w:tc>
        <w:tc>
          <w:tcPr>
            <w:tcW w:w="1760" w:type="dxa"/>
            <w:tcBorders>
              <w:top w:val="double" w:sz="6" w:space="0" w:color="4F81BD"/>
              <w:left w:val="nil"/>
              <w:right w:val="nil"/>
            </w:tcBorders>
            <w:shd w:val="clear" w:color="auto" w:fill="DBE5F1" w:themeFill="accent1" w:themeFillTint="33"/>
            <w:vAlign w:val="center"/>
            <w:hideMark/>
          </w:tcPr>
          <w:p w14:paraId="08E60DD8" w14:textId="77777777" w:rsidR="004B60E3" w:rsidRPr="00B256EA" w:rsidRDefault="004B60E3" w:rsidP="00B256EA">
            <w:pPr>
              <w:spacing w:after="0" w:line="240" w:lineRule="auto"/>
              <w:jc w:val="right"/>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6.160</w:t>
            </w:r>
          </w:p>
        </w:tc>
        <w:tc>
          <w:tcPr>
            <w:tcW w:w="1380" w:type="dxa"/>
            <w:tcBorders>
              <w:top w:val="double" w:sz="6" w:space="0" w:color="4F81BD"/>
              <w:left w:val="nil"/>
              <w:right w:val="nil"/>
            </w:tcBorders>
            <w:shd w:val="clear" w:color="auto" w:fill="DBE5F1" w:themeFill="accent1" w:themeFillTint="33"/>
            <w:vAlign w:val="center"/>
            <w:hideMark/>
          </w:tcPr>
          <w:p w14:paraId="7CADD1D6" w14:textId="77777777" w:rsidR="004B60E3" w:rsidRPr="00B256EA" w:rsidRDefault="004B60E3" w:rsidP="004B60E3">
            <w:pPr>
              <w:spacing w:after="0" w:line="240" w:lineRule="auto"/>
              <w:jc w:val="center"/>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184,65</w:t>
            </w:r>
          </w:p>
        </w:tc>
      </w:tr>
      <w:tr w:rsidR="004B60E3" w:rsidRPr="0023028E" w14:paraId="6A74A62E" w14:textId="77777777" w:rsidTr="0069486B">
        <w:trPr>
          <w:trHeight w:val="227"/>
        </w:trPr>
        <w:tc>
          <w:tcPr>
            <w:tcW w:w="724" w:type="dxa"/>
            <w:tcBorders>
              <w:top w:val="nil"/>
              <w:left w:val="nil"/>
              <w:right w:val="nil"/>
            </w:tcBorders>
            <w:shd w:val="clear" w:color="auto" w:fill="auto"/>
            <w:vAlign w:val="center"/>
            <w:hideMark/>
          </w:tcPr>
          <w:p w14:paraId="4EF99CD2" w14:textId="77777777" w:rsidR="004B60E3" w:rsidRPr="00B256EA" w:rsidRDefault="004B60E3" w:rsidP="004B60E3">
            <w:pPr>
              <w:spacing w:after="0" w:line="240" w:lineRule="auto"/>
              <w:jc w:val="center"/>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2</w:t>
            </w:r>
          </w:p>
        </w:tc>
        <w:tc>
          <w:tcPr>
            <w:tcW w:w="3827" w:type="dxa"/>
            <w:tcBorders>
              <w:top w:val="nil"/>
              <w:left w:val="nil"/>
              <w:right w:val="nil"/>
            </w:tcBorders>
            <w:shd w:val="clear" w:color="auto" w:fill="auto"/>
            <w:vAlign w:val="center"/>
            <w:hideMark/>
          </w:tcPr>
          <w:p w14:paraId="590214FB" w14:textId="77777777" w:rsidR="004B60E3" w:rsidRPr="00B256EA" w:rsidRDefault="004B60E3" w:rsidP="00B256EA">
            <w:pPr>
              <w:spacing w:after="0" w:line="240" w:lineRule="auto"/>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Софтвер и остала права</w:t>
            </w:r>
          </w:p>
        </w:tc>
        <w:tc>
          <w:tcPr>
            <w:tcW w:w="1760" w:type="dxa"/>
            <w:tcBorders>
              <w:top w:val="nil"/>
              <w:left w:val="nil"/>
              <w:right w:val="nil"/>
            </w:tcBorders>
            <w:shd w:val="clear" w:color="auto" w:fill="auto"/>
            <w:vAlign w:val="center"/>
            <w:hideMark/>
          </w:tcPr>
          <w:p w14:paraId="3FEBC237" w14:textId="77777777" w:rsidR="004B60E3" w:rsidRPr="00B256EA" w:rsidRDefault="004B60E3" w:rsidP="00B256EA">
            <w:pPr>
              <w:spacing w:after="0" w:line="240" w:lineRule="auto"/>
              <w:jc w:val="right"/>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26.796</w:t>
            </w:r>
          </w:p>
        </w:tc>
        <w:tc>
          <w:tcPr>
            <w:tcW w:w="1760" w:type="dxa"/>
            <w:tcBorders>
              <w:top w:val="nil"/>
              <w:left w:val="nil"/>
              <w:right w:val="nil"/>
            </w:tcBorders>
            <w:shd w:val="clear" w:color="auto" w:fill="auto"/>
            <w:vAlign w:val="center"/>
            <w:hideMark/>
          </w:tcPr>
          <w:p w14:paraId="52869A6F" w14:textId="77777777" w:rsidR="004B60E3" w:rsidRPr="00B256EA" w:rsidRDefault="004B60E3" w:rsidP="00B256EA">
            <w:pPr>
              <w:spacing w:after="0" w:line="240" w:lineRule="auto"/>
              <w:jc w:val="right"/>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16.369</w:t>
            </w:r>
          </w:p>
        </w:tc>
        <w:tc>
          <w:tcPr>
            <w:tcW w:w="1380" w:type="dxa"/>
            <w:tcBorders>
              <w:top w:val="nil"/>
              <w:left w:val="nil"/>
              <w:right w:val="nil"/>
            </w:tcBorders>
            <w:shd w:val="clear" w:color="auto" w:fill="auto"/>
            <w:vAlign w:val="center"/>
            <w:hideMark/>
          </w:tcPr>
          <w:p w14:paraId="10DF8817" w14:textId="77777777" w:rsidR="004B60E3" w:rsidRPr="00B256EA" w:rsidRDefault="004B60E3" w:rsidP="004B60E3">
            <w:pPr>
              <w:spacing w:after="0" w:line="240" w:lineRule="auto"/>
              <w:jc w:val="center"/>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61,09</w:t>
            </w:r>
          </w:p>
        </w:tc>
      </w:tr>
      <w:tr w:rsidR="004B60E3" w:rsidRPr="0023028E" w14:paraId="5FB94E22" w14:textId="77777777" w:rsidTr="0069486B">
        <w:trPr>
          <w:trHeight w:val="227"/>
        </w:trPr>
        <w:tc>
          <w:tcPr>
            <w:tcW w:w="724" w:type="dxa"/>
            <w:tcBorders>
              <w:top w:val="nil"/>
              <w:left w:val="nil"/>
              <w:right w:val="nil"/>
            </w:tcBorders>
            <w:shd w:val="clear" w:color="auto" w:fill="DBE5F1" w:themeFill="accent1" w:themeFillTint="33"/>
            <w:vAlign w:val="center"/>
            <w:hideMark/>
          </w:tcPr>
          <w:p w14:paraId="18182C06" w14:textId="77777777" w:rsidR="004B60E3" w:rsidRPr="00B256EA" w:rsidDel="004D2286" w:rsidRDefault="004B60E3" w:rsidP="004B60E3">
            <w:pPr>
              <w:spacing w:after="0" w:line="240" w:lineRule="auto"/>
              <w:jc w:val="center"/>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3</w:t>
            </w:r>
          </w:p>
        </w:tc>
        <w:tc>
          <w:tcPr>
            <w:tcW w:w="3827" w:type="dxa"/>
            <w:tcBorders>
              <w:top w:val="nil"/>
              <w:left w:val="nil"/>
              <w:right w:val="nil"/>
            </w:tcBorders>
            <w:shd w:val="clear" w:color="auto" w:fill="DBE5F1" w:themeFill="accent1" w:themeFillTint="33"/>
            <w:vAlign w:val="center"/>
            <w:hideMark/>
          </w:tcPr>
          <w:p w14:paraId="725D9893" w14:textId="77777777" w:rsidR="004B60E3" w:rsidRPr="00B256EA" w:rsidRDefault="004B60E3" w:rsidP="00B256EA">
            <w:pPr>
              <w:spacing w:after="0" w:line="240" w:lineRule="auto"/>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Некретнине, постројења и опрема</w:t>
            </w:r>
          </w:p>
        </w:tc>
        <w:tc>
          <w:tcPr>
            <w:tcW w:w="1760" w:type="dxa"/>
            <w:tcBorders>
              <w:top w:val="nil"/>
              <w:left w:val="nil"/>
              <w:right w:val="nil"/>
            </w:tcBorders>
            <w:shd w:val="clear" w:color="auto" w:fill="DBE5F1" w:themeFill="accent1" w:themeFillTint="33"/>
            <w:vAlign w:val="center"/>
            <w:hideMark/>
          </w:tcPr>
          <w:p w14:paraId="0BB33AAA" w14:textId="77777777" w:rsidR="004B60E3" w:rsidRPr="00B256EA" w:rsidRDefault="004B60E3" w:rsidP="00B256EA">
            <w:pPr>
              <w:spacing w:after="0" w:line="240" w:lineRule="auto"/>
              <w:jc w:val="right"/>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13.081</w:t>
            </w:r>
          </w:p>
        </w:tc>
        <w:tc>
          <w:tcPr>
            <w:tcW w:w="1760" w:type="dxa"/>
            <w:tcBorders>
              <w:top w:val="nil"/>
              <w:left w:val="nil"/>
              <w:right w:val="nil"/>
            </w:tcBorders>
            <w:shd w:val="clear" w:color="auto" w:fill="DBE5F1" w:themeFill="accent1" w:themeFillTint="33"/>
            <w:vAlign w:val="center"/>
            <w:hideMark/>
          </w:tcPr>
          <w:p w14:paraId="75DE3797" w14:textId="77777777" w:rsidR="004B60E3" w:rsidRPr="00B256EA" w:rsidRDefault="004B60E3" w:rsidP="00B256EA">
            <w:pPr>
              <w:spacing w:after="0" w:line="240" w:lineRule="auto"/>
              <w:jc w:val="right"/>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9.135</w:t>
            </w:r>
          </w:p>
        </w:tc>
        <w:tc>
          <w:tcPr>
            <w:tcW w:w="1380" w:type="dxa"/>
            <w:tcBorders>
              <w:top w:val="nil"/>
              <w:left w:val="nil"/>
              <w:right w:val="nil"/>
            </w:tcBorders>
            <w:shd w:val="clear" w:color="auto" w:fill="DBE5F1" w:themeFill="accent1" w:themeFillTint="33"/>
            <w:vAlign w:val="center"/>
            <w:hideMark/>
          </w:tcPr>
          <w:p w14:paraId="69077FA8" w14:textId="77777777" w:rsidR="004B60E3" w:rsidRPr="00B256EA" w:rsidRDefault="004B60E3" w:rsidP="004B60E3">
            <w:pPr>
              <w:spacing w:after="0" w:line="240" w:lineRule="auto"/>
              <w:jc w:val="center"/>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69,83</w:t>
            </w:r>
          </w:p>
        </w:tc>
      </w:tr>
      <w:tr w:rsidR="004B60E3" w:rsidRPr="0023028E" w14:paraId="1F0399C8" w14:textId="77777777" w:rsidTr="0069486B">
        <w:trPr>
          <w:trHeight w:val="227"/>
        </w:trPr>
        <w:tc>
          <w:tcPr>
            <w:tcW w:w="724" w:type="dxa"/>
            <w:tcBorders>
              <w:top w:val="nil"/>
              <w:left w:val="nil"/>
              <w:bottom w:val="double" w:sz="6" w:space="0" w:color="4F81BD"/>
              <w:right w:val="nil"/>
            </w:tcBorders>
            <w:shd w:val="clear" w:color="auto" w:fill="auto"/>
            <w:vAlign w:val="center"/>
            <w:hideMark/>
          </w:tcPr>
          <w:p w14:paraId="62F76317" w14:textId="77777777" w:rsidR="004B60E3" w:rsidRPr="00B256EA" w:rsidRDefault="004B60E3" w:rsidP="004B60E3">
            <w:pPr>
              <w:spacing w:after="0" w:line="240" w:lineRule="auto"/>
              <w:jc w:val="center"/>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4</w:t>
            </w:r>
          </w:p>
        </w:tc>
        <w:tc>
          <w:tcPr>
            <w:tcW w:w="3827" w:type="dxa"/>
            <w:tcBorders>
              <w:top w:val="nil"/>
              <w:left w:val="nil"/>
              <w:bottom w:val="double" w:sz="6" w:space="0" w:color="4F81BD"/>
              <w:right w:val="nil"/>
            </w:tcBorders>
            <w:shd w:val="clear" w:color="auto" w:fill="auto"/>
            <w:vAlign w:val="center"/>
            <w:hideMark/>
          </w:tcPr>
          <w:p w14:paraId="47A1430B" w14:textId="77777777" w:rsidR="004B60E3" w:rsidRPr="00B256EA" w:rsidRDefault="004B60E3" w:rsidP="00B256EA">
            <w:pPr>
              <w:spacing w:after="0" w:line="240" w:lineRule="auto"/>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Дугорочни финансијски пласмани</w:t>
            </w:r>
          </w:p>
        </w:tc>
        <w:tc>
          <w:tcPr>
            <w:tcW w:w="1760" w:type="dxa"/>
            <w:tcBorders>
              <w:top w:val="nil"/>
              <w:left w:val="nil"/>
              <w:bottom w:val="double" w:sz="6" w:space="0" w:color="4F81BD"/>
              <w:right w:val="nil"/>
            </w:tcBorders>
            <w:shd w:val="clear" w:color="auto" w:fill="auto"/>
            <w:vAlign w:val="center"/>
            <w:hideMark/>
          </w:tcPr>
          <w:p w14:paraId="1095E719" w14:textId="0379C088" w:rsidR="004B60E3" w:rsidRPr="00B256EA" w:rsidRDefault="004B60E3" w:rsidP="00B256EA">
            <w:pPr>
              <w:spacing w:after="0" w:line="240" w:lineRule="auto"/>
              <w:jc w:val="right"/>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24,560</w:t>
            </w:r>
          </w:p>
        </w:tc>
        <w:tc>
          <w:tcPr>
            <w:tcW w:w="1760" w:type="dxa"/>
            <w:tcBorders>
              <w:top w:val="nil"/>
              <w:left w:val="nil"/>
              <w:bottom w:val="double" w:sz="6" w:space="0" w:color="4F81BD"/>
              <w:right w:val="nil"/>
            </w:tcBorders>
            <w:shd w:val="clear" w:color="auto" w:fill="auto"/>
            <w:vAlign w:val="center"/>
            <w:hideMark/>
          </w:tcPr>
          <w:p w14:paraId="61CF6559" w14:textId="3BD35BAA" w:rsidR="004B60E3" w:rsidRPr="00B256EA" w:rsidRDefault="004B60E3" w:rsidP="00B256EA">
            <w:pPr>
              <w:spacing w:after="0" w:line="240" w:lineRule="auto"/>
              <w:jc w:val="right"/>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276,448</w:t>
            </w:r>
          </w:p>
        </w:tc>
        <w:tc>
          <w:tcPr>
            <w:tcW w:w="1380" w:type="dxa"/>
            <w:tcBorders>
              <w:top w:val="nil"/>
              <w:left w:val="nil"/>
              <w:bottom w:val="double" w:sz="6" w:space="0" w:color="4F81BD"/>
              <w:right w:val="nil"/>
            </w:tcBorders>
            <w:shd w:val="clear" w:color="auto" w:fill="auto"/>
            <w:vAlign w:val="center"/>
            <w:hideMark/>
          </w:tcPr>
          <w:p w14:paraId="6C6FFB2B" w14:textId="0DE2B785" w:rsidR="004B60E3" w:rsidRPr="00B256EA" w:rsidRDefault="004B60E3" w:rsidP="004B60E3">
            <w:pPr>
              <w:spacing w:after="0" w:line="240" w:lineRule="auto"/>
              <w:jc w:val="center"/>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1,125.60</w:t>
            </w:r>
          </w:p>
        </w:tc>
      </w:tr>
      <w:tr w:rsidR="004B60E3" w:rsidRPr="0023028E" w14:paraId="5C892B00" w14:textId="77777777" w:rsidTr="0069486B">
        <w:trPr>
          <w:trHeight w:val="340"/>
        </w:trPr>
        <w:tc>
          <w:tcPr>
            <w:tcW w:w="724" w:type="dxa"/>
            <w:tcBorders>
              <w:top w:val="nil"/>
              <w:left w:val="nil"/>
              <w:bottom w:val="double" w:sz="6" w:space="0" w:color="4F81BD"/>
              <w:right w:val="nil"/>
            </w:tcBorders>
            <w:shd w:val="clear" w:color="auto" w:fill="auto"/>
            <w:vAlign w:val="center"/>
            <w:hideMark/>
          </w:tcPr>
          <w:p w14:paraId="682F5C8E" w14:textId="77777777" w:rsidR="004B60E3" w:rsidRPr="00B256EA" w:rsidRDefault="004B60E3" w:rsidP="004B60E3">
            <w:pPr>
              <w:spacing w:after="0" w:line="240" w:lineRule="auto"/>
              <w:jc w:val="center"/>
              <w:rPr>
                <w:rFonts w:ascii="Verdana" w:eastAsia="Times New Roman" w:hAnsi="Verdana" w:cs="Calibri"/>
                <w:bCs/>
                <w:noProof/>
                <w:color w:val="000000"/>
                <w:sz w:val="18"/>
                <w:szCs w:val="18"/>
                <w:lang w:val="sr-Cyrl-CS" w:eastAsia="sr-Latn-RS"/>
              </w:rPr>
            </w:pPr>
          </w:p>
        </w:tc>
        <w:tc>
          <w:tcPr>
            <w:tcW w:w="3827" w:type="dxa"/>
            <w:tcBorders>
              <w:top w:val="nil"/>
              <w:left w:val="nil"/>
              <w:bottom w:val="double" w:sz="6" w:space="0" w:color="4F81BD"/>
              <w:right w:val="nil"/>
            </w:tcBorders>
            <w:shd w:val="clear" w:color="auto" w:fill="auto"/>
            <w:vAlign w:val="center"/>
            <w:hideMark/>
          </w:tcPr>
          <w:p w14:paraId="7BFE97B0" w14:textId="77777777" w:rsidR="004B60E3" w:rsidRPr="00B256EA" w:rsidRDefault="004B60E3" w:rsidP="00B256EA">
            <w:pPr>
              <w:spacing w:after="0" w:line="240" w:lineRule="auto"/>
              <w:rPr>
                <w:rFonts w:ascii="Verdana" w:eastAsia="Times New Roman" w:hAnsi="Verdana" w:cs="Calibri"/>
                <w:b/>
                <w:bCs/>
                <w:noProof/>
                <w:color w:val="000000"/>
                <w:sz w:val="18"/>
                <w:szCs w:val="18"/>
                <w:lang w:val="sr-Cyrl-CS" w:eastAsia="sr-Latn-RS"/>
              </w:rPr>
            </w:pPr>
            <w:r w:rsidRPr="004B60E3">
              <w:rPr>
                <w:rFonts w:ascii="Verdana" w:eastAsia="Times New Roman" w:hAnsi="Verdana" w:cs="Calibri"/>
                <w:b/>
                <w:bCs/>
                <w:noProof/>
                <w:color w:val="000000"/>
                <w:sz w:val="18"/>
                <w:szCs w:val="18"/>
                <w:lang w:val="sr-Cyrl-CS" w:eastAsia="sr-Latn-RS"/>
              </w:rPr>
              <w:t>Стална имовина</w:t>
            </w:r>
          </w:p>
        </w:tc>
        <w:tc>
          <w:tcPr>
            <w:tcW w:w="1760" w:type="dxa"/>
            <w:tcBorders>
              <w:top w:val="nil"/>
              <w:left w:val="nil"/>
              <w:bottom w:val="double" w:sz="6" w:space="0" w:color="4F81BD"/>
              <w:right w:val="nil"/>
            </w:tcBorders>
            <w:shd w:val="clear" w:color="auto" w:fill="auto"/>
            <w:vAlign w:val="center"/>
            <w:hideMark/>
          </w:tcPr>
          <w:p w14:paraId="710E2E8D" w14:textId="1FC06125" w:rsidR="004B60E3" w:rsidRPr="00B256EA" w:rsidRDefault="004B60E3" w:rsidP="00B256EA">
            <w:pPr>
              <w:spacing w:after="0" w:line="240" w:lineRule="auto"/>
              <w:jc w:val="right"/>
              <w:rPr>
                <w:rFonts w:ascii="Verdana" w:eastAsia="Times New Roman" w:hAnsi="Verdana" w:cs="Calibri"/>
                <w:b/>
                <w:bCs/>
                <w:noProof/>
                <w:color w:val="000000"/>
                <w:sz w:val="18"/>
                <w:szCs w:val="18"/>
                <w:lang w:val="sr-Cyrl-CS" w:eastAsia="sr-Latn-RS"/>
              </w:rPr>
            </w:pPr>
            <w:r w:rsidRPr="00B256EA">
              <w:rPr>
                <w:rFonts w:ascii="Verdana" w:eastAsia="Times New Roman" w:hAnsi="Verdana" w:cs="Calibri"/>
                <w:b/>
                <w:bCs/>
                <w:noProof/>
                <w:color w:val="000000"/>
                <w:sz w:val="18"/>
                <w:szCs w:val="18"/>
                <w:lang w:val="sr-Cyrl-CS" w:eastAsia="sr-Latn-RS"/>
              </w:rPr>
              <w:t>67,773</w:t>
            </w:r>
          </w:p>
        </w:tc>
        <w:tc>
          <w:tcPr>
            <w:tcW w:w="1760" w:type="dxa"/>
            <w:tcBorders>
              <w:top w:val="nil"/>
              <w:left w:val="nil"/>
              <w:bottom w:val="double" w:sz="6" w:space="0" w:color="4F81BD"/>
              <w:right w:val="nil"/>
            </w:tcBorders>
            <w:shd w:val="clear" w:color="auto" w:fill="auto"/>
            <w:vAlign w:val="center"/>
            <w:hideMark/>
          </w:tcPr>
          <w:p w14:paraId="481CBB8D" w14:textId="7B54708A" w:rsidR="004B60E3" w:rsidRPr="00B256EA" w:rsidRDefault="004B60E3" w:rsidP="00B256EA">
            <w:pPr>
              <w:spacing w:after="0" w:line="240" w:lineRule="auto"/>
              <w:jc w:val="right"/>
              <w:rPr>
                <w:rFonts w:ascii="Verdana" w:eastAsia="Times New Roman" w:hAnsi="Verdana" w:cs="Calibri"/>
                <w:b/>
                <w:bCs/>
                <w:noProof/>
                <w:color w:val="000000"/>
                <w:sz w:val="18"/>
                <w:szCs w:val="18"/>
                <w:lang w:val="sr-Cyrl-CS" w:eastAsia="sr-Latn-RS"/>
              </w:rPr>
            </w:pPr>
            <w:r w:rsidRPr="00B256EA">
              <w:rPr>
                <w:rFonts w:ascii="Verdana" w:eastAsia="Times New Roman" w:hAnsi="Verdana" w:cs="Calibri"/>
                <w:b/>
                <w:bCs/>
                <w:noProof/>
                <w:color w:val="000000"/>
                <w:sz w:val="18"/>
                <w:szCs w:val="18"/>
                <w:lang w:val="sr-Cyrl-CS" w:eastAsia="sr-Latn-RS"/>
              </w:rPr>
              <w:t>308,112</w:t>
            </w:r>
          </w:p>
        </w:tc>
        <w:tc>
          <w:tcPr>
            <w:tcW w:w="1380" w:type="dxa"/>
            <w:tcBorders>
              <w:top w:val="nil"/>
              <w:left w:val="nil"/>
              <w:bottom w:val="double" w:sz="6" w:space="0" w:color="4F81BD"/>
              <w:right w:val="nil"/>
            </w:tcBorders>
            <w:shd w:val="clear" w:color="auto" w:fill="auto"/>
            <w:vAlign w:val="center"/>
            <w:hideMark/>
          </w:tcPr>
          <w:p w14:paraId="1153F275" w14:textId="30C16B07" w:rsidR="004B60E3" w:rsidRPr="00B256EA" w:rsidRDefault="004B60E3" w:rsidP="004B60E3">
            <w:pPr>
              <w:spacing w:after="0" w:line="240" w:lineRule="auto"/>
              <w:jc w:val="center"/>
              <w:rPr>
                <w:rFonts w:ascii="Verdana" w:eastAsia="Times New Roman" w:hAnsi="Verdana" w:cs="Calibri"/>
                <w:b/>
                <w:bCs/>
                <w:noProof/>
                <w:color w:val="000000"/>
                <w:sz w:val="18"/>
                <w:szCs w:val="18"/>
                <w:lang w:val="sr-Cyrl-CS" w:eastAsia="sr-Latn-RS"/>
              </w:rPr>
            </w:pPr>
            <w:r w:rsidRPr="00B256EA">
              <w:rPr>
                <w:rFonts w:ascii="Verdana" w:eastAsia="Times New Roman" w:hAnsi="Verdana" w:cs="Calibri"/>
                <w:b/>
                <w:bCs/>
                <w:noProof/>
                <w:color w:val="000000"/>
                <w:sz w:val="18"/>
                <w:szCs w:val="18"/>
                <w:lang w:val="sr-Cyrl-CS" w:eastAsia="sr-Latn-RS"/>
              </w:rPr>
              <w:t>454.62</w:t>
            </w:r>
          </w:p>
        </w:tc>
      </w:tr>
      <w:tr w:rsidR="004B60E3" w:rsidRPr="0023028E" w14:paraId="19E8F81C" w14:textId="77777777" w:rsidTr="0069486B">
        <w:trPr>
          <w:trHeight w:val="227"/>
        </w:trPr>
        <w:tc>
          <w:tcPr>
            <w:tcW w:w="724" w:type="dxa"/>
            <w:tcBorders>
              <w:top w:val="double" w:sz="6" w:space="0" w:color="4F81BD"/>
              <w:left w:val="nil"/>
              <w:right w:val="nil"/>
            </w:tcBorders>
            <w:shd w:val="clear" w:color="auto" w:fill="DBE5F1" w:themeFill="accent1" w:themeFillTint="33"/>
            <w:vAlign w:val="center"/>
            <w:hideMark/>
          </w:tcPr>
          <w:p w14:paraId="15437732" w14:textId="77777777" w:rsidR="004B60E3" w:rsidRPr="00B256EA" w:rsidRDefault="004B60E3" w:rsidP="004B60E3">
            <w:pPr>
              <w:spacing w:after="0" w:line="240" w:lineRule="auto"/>
              <w:jc w:val="center"/>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5</w:t>
            </w:r>
          </w:p>
        </w:tc>
        <w:tc>
          <w:tcPr>
            <w:tcW w:w="3827" w:type="dxa"/>
            <w:tcBorders>
              <w:top w:val="double" w:sz="6" w:space="0" w:color="4F81BD"/>
              <w:left w:val="nil"/>
              <w:right w:val="nil"/>
            </w:tcBorders>
            <w:shd w:val="clear" w:color="auto" w:fill="DBE5F1" w:themeFill="accent1" w:themeFillTint="33"/>
            <w:vAlign w:val="center"/>
            <w:hideMark/>
          </w:tcPr>
          <w:p w14:paraId="5840649F" w14:textId="77777777" w:rsidR="004B60E3" w:rsidRPr="00B256EA" w:rsidRDefault="004B60E3" w:rsidP="00B256EA">
            <w:pPr>
              <w:spacing w:after="0" w:line="240" w:lineRule="auto"/>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Залихе</w:t>
            </w:r>
          </w:p>
        </w:tc>
        <w:tc>
          <w:tcPr>
            <w:tcW w:w="1760" w:type="dxa"/>
            <w:tcBorders>
              <w:top w:val="double" w:sz="6" w:space="0" w:color="4F81BD"/>
              <w:left w:val="nil"/>
              <w:right w:val="nil"/>
            </w:tcBorders>
            <w:shd w:val="clear" w:color="auto" w:fill="DBE5F1" w:themeFill="accent1" w:themeFillTint="33"/>
            <w:vAlign w:val="center"/>
            <w:hideMark/>
          </w:tcPr>
          <w:p w14:paraId="39610F17" w14:textId="653CB3E5" w:rsidR="004B60E3" w:rsidRPr="00B256EA" w:rsidRDefault="004B60E3" w:rsidP="00B256EA">
            <w:pPr>
              <w:spacing w:after="0" w:line="240" w:lineRule="auto"/>
              <w:jc w:val="right"/>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27</w:t>
            </w:r>
          </w:p>
        </w:tc>
        <w:tc>
          <w:tcPr>
            <w:tcW w:w="1760" w:type="dxa"/>
            <w:tcBorders>
              <w:top w:val="double" w:sz="6" w:space="0" w:color="4F81BD"/>
              <w:left w:val="nil"/>
              <w:right w:val="nil"/>
            </w:tcBorders>
            <w:shd w:val="clear" w:color="auto" w:fill="DBE5F1" w:themeFill="accent1" w:themeFillTint="33"/>
            <w:vAlign w:val="center"/>
            <w:hideMark/>
          </w:tcPr>
          <w:p w14:paraId="5B8CAB56" w14:textId="5AA931CB" w:rsidR="004B60E3" w:rsidRPr="00B256EA" w:rsidRDefault="004B60E3" w:rsidP="00B256EA">
            <w:pPr>
              <w:spacing w:after="0" w:line="240" w:lineRule="auto"/>
              <w:jc w:val="right"/>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260</w:t>
            </w:r>
          </w:p>
        </w:tc>
        <w:tc>
          <w:tcPr>
            <w:tcW w:w="1380" w:type="dxa"/>
            <w:tcBorders>
              <w:top w:val="double" w:sz="6" w:space="0" w:color="4F81BD"/>
              <w:left w:val="nil"/>
              <w:right w:val="nil"/>
            </w:tcBorders>
            <w:shd w:val="clear" w:color="auto" w:fill="DBE5F1" w:themeFill="accent1" w:themeFillTint="33"/>
            <w:vAlign w:val="center"/>
            <w:hideMark/>
          </w:tcPr>
          <w:p w14:paraId="3E95F51C" w14:textId="0FFDB50F" w:rsidR="004B60E3" w:rsidRPr="00B256EA" w:rsidRDefault="004B60E3" w:rsidP="004B60E3">
            <w:pPr>
              <w:spacing w:after="0" w:line="240" w:lineRule="auto"/>
              <w:jc w:val="center"/>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962.96</w:t>
            </w:r>
          </w:p>
        </w:tc>
      </w:tr>
      <w:tr w:rsidR="004B60E3" w:rsidRPr="0023028E" w14:paraId="11195273" w14:textId="77777777" w:rsidTr="0069486B">
        <w:trPr>
          <w:trHeight w:val="227"/>
        </w:trPr>
        <w:tc>
          <w:tcPr>
            <w:tcW w:w="724" w:type="dxa"/>
            <w:tcBorders>
              <w:top w:val="nil"/>
              <w:left w:val="nil"/>
              <w:right w:val="nil"/>
            </w:tcBorders>
            <w:shd w:val="clear" w:color="auto" w:fill="auto"/>
            <w:vAlign w:val="center"/>
            <w:hideMark/>
          </w:tcPr>
          <w:p w14:paraId="198301D9" w14:textId="77777777" w:rsidR="004B60E3" w:rsidRPr="00B256EA" w:rsidRDefault="004B60E3" w:rsidP="004B60E3">
            <w:pPr>
              <w:spacing w:after="0" w:line="240" w:lineRule="auto"/>
              <w:jc w:val="center"/>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6</w:t>
            </w:r>
          </w:p>
        </w:tc>
        <w:tc>
          <w:tcPr>
            <w:tcW w:w="3827" w:type="dxa"/>
            <w:tcBorders>
              <w:top w:val="nil"/>
              <w:left w:val="nil"/>
              <w:right w:val="nil"/>
            </w:tcBorders>
            <w:shd w:val="clear" w:color="auto" w:fill="auto"/>
            <w:vAlign w:val="center"/>
            <w:hideMark/>
          </w:tcPr>
          <w:p w14:paraId="51EA93BC" w14:textId="77777777" w:rsidR="004B60E3" w:rsidRPr="00B256EA" w:rsidRDefault="004B60E3" w:rsidP="00B256EA">
            <w:pPr>
              <w:spacing w:after="0" w:line="240" w:lineRule="auto"/>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Потраживања</w:t>
            </w:r>
          </w:p>
        </w:tc>
        <w:tc>
          <w:tcPr>
            <w:tcW w:w="1760" w:type="dxa"/>
            <w:tcBorders>
              <w:top w:val="nil"/>
              <w:left w:val="nil"/>
              <w:right w:val="nil"/>
            </w:tcBorders>
            <w:shd w:val="clear" w:color="auto" w:fill="auto"/>
            <w:vAlign w:val="center"/>
            <w:hideMark/>
          </w:tcPr>
          <w:p w14:paraId="2F326C17" w14:textId="122CFC71" w:rsidR="004B60E3" w:rsidRPr="00B256EA" w:rsidRDefault="004B60E3" w:rsidP="00B256EA">
            <w:pPr>
              <w:spacing w:after="0" w:line="240" w:lineRule="auto"/>
              <w:jc w:val="right"/>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792,694</w:t>
            </w:r>
          </w:p>
        </w:tc>
        <w:tc>
          <w:tcPr>
            <w:tcW w:w="1760" w:type="dxa"/>
            <w:tcBorders>
              <w:top w:val="nil"/>
              <w:left w:val="nil"/>
              <w:right w:val="nil"/>
            </w:tcBorders>
            <w:shd w:val="clear" w:color="auto" w:fill="auto"/>
            <w:vAlign w:val="center"/>
            <w:hideMark/>
          </w:tcPr>
          <w:p w14:paraId="3C696B33" w14:textId="5B1239EB" w:rsidR="004B60E3" w:rsidRPr="00B256EA" w:rsidRDefault="004B60E3" w:rsidP="00B256EA">
            <w:pPr>
              <w:spacing w:after="0" w:line="240" w:lineRule="auto"/>
              <w:jc w:val="right"/>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618,372</w:t>
            </w:r>
          </w:p>
        </w:tc>
        <w:tc>
          <w:tcPr>
            <w:tcW w:w="1380" w:type="dxa"/>
            <w:tcBorders>
              <w:top w:val="nil"/>
              <w:left w:val="nil"/>
              <w:right w:val="nil"/>
            </w:tcBorders>
            <w:shd w:val="clear" w:color="auto" w:fill="auto"/>
            <w:vAlign w:val="center"/>
            <w:hideMark/>
          </w:tcPr>
          <w:p w14:paraId="334249E3" w14:textId="1E62EA07" w:rsidR="004B60E3" w:rsidRPr="00B256EA" w:rsidRDefault="004B60E3" w:rsidP="004B60E3">
            <w:pPr>
              <w:spacing w:after="0" w:line="240" w:lineRule="auto"/>
              <w:jc w:val="center"/>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84.89</w:t>
            </w:r>
          </w:p>
        </w:tc>
      </w:tr>
      <w:tr w:rsidR="004B60E3" w:rsidRPr="0023028E" w14:paraId="0A46381D" w14:textId="77777777" w:rsidTr="0069486B">
        <w:trPr>
          <w:trHeight w:val="340"/>
        </w:trPr>
        <w:tc>
          <w:tcPr>
            <w:tcW w:w="724" w:type="dxa"/>
            <w:tcBorders>
              <w:top w:val="nil"/>
              <w:left w:val="nil"/>
              <w:right w:val="nil"/>
            </w:tcBorders>
            <w:shd w:val="clear" w:color="auto" w:fill="DBE5F1" w:themeFill="accent1" w:themeFillTint="33"/>
            <w:vAlign w:val="center"/>
            <w:hideMark/>
          </w:tcPr>
          <w:p w14:paraId="137CB61C" w14:textId="77777777" w:rsidR="004B60E3" w:rsidRPr="00B256EA" w:rsidRDefault="004B60E3" w:rsidP="004B60E3">
            <w:pPr>
              <w:spacing w:after="0" w:line="240" w:lineRule="auto"/>
              <w:jc w:val="center"/>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7</w:t>
            </w:r>
          </w:p>
        </w:tc>
        <w:tc>
          <w:tcPr>
            <w:tcW w:w="3827" w:type="dxa"/>
            <w:tcBorders>
              <w:top w:val="nil"/>
              <w:left w:val="nil"/>
              <w:right w:val="nil"/>
            </w:tcBorders>
            <w:shd w:val="clear" w:color="auto" w:fill="DBE5F1" w:themeFill="accent1" w:themeFillTint="33"/>
            <w:vAlign w:val="center"/>
            <w:hideMark/>
          </w:tcPr>
          <w:p w14:paraId="326309B8" w14:textId="77777777" w:rsidR="004B60E3" w:rsidRPr="00B256EA" w:rsidDel="000D2029" w:rsidRDefault="004B60E3" w:rsidP="00B256EA">
            <w:pPr>
              <w:spacing w:after="0" w:line="240" w:lineRule="auto"/>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Потраживања за више плаћен порез на добитак</w:t>
            </w:r>
          </w:p>
        </w:tc>
        <w:tc>
          <w:tcPr>
            <w:tcW w:w="1760" w:type="dxa"/>
            <w:tcBorders>
              <w:top w:val="nil"/>
              <w:left w:val="nil"/>
              <w:right w:val="nil"/>
            </w:tcBorders>
            <w:shd w:val="clear" w:color="auto" w:fill="DBE5F1" w:themeFill="accent1" w:themeFillTint="33"/>
            <w:vAlign w:val="center"/>
            <w:hideMark/>
          </w:tcPr>
          <w:p w14:paraId="1C789E81" w14:textId="77777777" w:rsidR="004B60E3" w:rsidRPr="00B256EA" w:rsidRDefault="004B60E3" w:rsidP="00B256EA">
            <w:pPr>
              <w:spacing w:after="0" w:line="240" w:lineRule="auto"/>
              <w:jc w:val="right"/>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35,885</w:t>
            </w:r>
          </w:p>
        </w:tc>
        <w:tc>
          <w:tcPr>
            <w:tcW w:w="1760" w:type="dxa"/>
            <w:tcBorders>
              <w:top w:val="nil"/>
              <w:left w:val="nil"/>
              <w:right w:val="nil"/>
            </w:tcBorders>
            <w:shd w:val="clear" w:color="auto" w:fill="DBE5F1" w:themeFill="accent1" w:themeFillTint="33"/>
            <w:vAlign w:val="center"/>
            <w:hideMark/>
          </w:tcPr>
          <w:p w14:paraId="5A65795A" w14:textId="77777777" w:rsidR="004B60E3" w:rsidRPr="00B256EA" w:rsidRDefault="004B60E3" w:rsidP="00B256EA">
            <w:pPr>
              <w:spacing w:after="0" w:line="240" w:lineRule="auto"/>
              <w:jc w:val="right"/>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54,549</w:t>
            </w:r>
          </w:p>
        </w:tc>
        <w:tc>
          <w:tcPr>
            <w:tcW w:w="1380" w:type="dxa"/>
            <w:tcBorders>
              <w:top w:val="nil"/>
              <w:left w:val="nil"/>
              <w:right w:val="nil"/>
            </w:tcBorders>
            <w:shd w:val="clear" w:color="auto" w:fill="DBE5F1" w:themeFill="accent1" w:themeFillTint="33"/>
            <w:vAlign w:val="center"/>
            <w:hideMark/>
          </w:tcPr>
          <w:p w14:paraId="01ED5E45" w14:textId="53B8D101" w:rsidR="004B60E3" w:rsidRPr="00B256EA" w:rsidRDefault="004B60E3" w:rsidP="004B60E3">
            <w:pPr>
              <w:spacing w:after="0" w:line="240" w:lineRule="auto"/>
              <w:jc w:val="center"/>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152,01</w:t>
            </w:r>
          </w:p>
        </w:tc>
      </w:tr>
      <w:tr w:rsidR="004B60E3" w:rsidRPr="0023028E" w14:paraId="605712B4" w14:textId="77777777" w:rsidTr="0069486B">
        <w:trPr>
          <w:trHeight w:val="227"/>
        </w:trPr>
        <w:tc>
          <w:tcPr>
            <w:tcW w:w="724" w:type="dxa"/>
            <w:tcBorders>
              <w:top w:val="nil"/>
              <w:left w:val="nil"/>
              <w:right w:val="nil"/>
            </w:tcBorders>
            <w:shd w:val="clear" w:color="auto" w:fill="auto"/>
            <w:vAlign w:val="center"/>
            <w:hideMark/>
          </w:tcPr>
          <w:p w14:paraId="42E3691C" w14:textId="77777777" w:rsidR="004B60E3" w:rsidRPr="00B256EA" w:rsidRDefault="004B60E3" w:rsidP="004B60E3">
            <w:pPr>
              <w:spacing w:after="0" w:line="240" w:lineRule="auto"/>
              <w:jc w:val="center"/>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8</w:t>
            </w:r>
          </w:p>
        </w:tc>
        <w:tc>
          <w:tcPr>
            <w:tcW w:w="3827" w:type="dxa"/>
            <w:tcBorders>
              <w:top w:val="nil"/>
              <w:left w:val="nil"/>
              <w:right w:val="nil"/>
            </w:tcBorders>
            <w:shd w:val="clear" w:color="auto" w:fill="auto"/>
            <w:vAlign w:val="center"/>
            <w:hideMark/>
          </w:tcPr>
          <w:p w14:paraId="294426F6" w14:textId="77777777" w:rsidR="004B60E3" w:rsidRPr="00B256EA" w:rsidRDefault="004B60E3" w:rsidP="00B256EA">
            <w:pPr>
              <w:spacing w:after="0" w:line="240" w:lineRule="auto"/>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Финансијски пласмани</w:t>
            </w:r>
          </w:p>
        </w:tc>
        <w:tc>
          <w:tcPr>
            <w:tcW w:w="1760" w:type="dxa"/>
            <w:tcBorders>
              <w:top w:val="nil"/>
              <w:left w:val="nil"/>
              <w:right w:val="nil"/>
            </w:tcBorders>
            <w:shd w:val="clear" w:color="auto" w:fill="auto"/>
            <w:vAlign w:val="center"/>
            <w:hideMark/>
          </w:tcPr>
          <w:p w14:paraId="36978715" w14:textId="7AE04DEE" w:rsidR="004B60E3" w:rsidRPr="00B256EA" w:rsidRDefault="004B60E3" w:rsidP="00B256EA">
            <w:pPr>
              <w:spacing w:after="0" w:line="240" w:lineRule="auto"/>
              <w:jc w:val="right"/>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1,079,013</w:t>
            </w:r>
          </w:p>
        </w:tc>
        <w:tc>
          <w:tcPr>
            <w:tcW w:w="1760" w:type="dxa"/>
            <w:tcBorders>
              <w:top w:val="nil"/>
              <w:left w:val="nil"/>
              <w:right w:val="nil"/>
            </w:tcBorders>
            <w:shd w:val="clear" w:color="auto" w:fill="auto"/>
            <w:vAlign w:val="center"/>
            <w:hideMark/>
          </w:tcPr>
          <w:p w14:paraId="6E25F0B1" w14:textId="3905D986" w:rsidR="004B60E3" w:rsidRPr="00B256EA" w:rsidRDefault="004B60E3" w:rsidP="00B256EA">
            <w:pPr>
              <w:spacing w:after="0" w:line="240" w:lineRule="auto"/>
              <w:jc w:val="right"/>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1,008,490</w:t>
            </w:r>
          </w:p>
        </w:tc>
        <w:tc>
          <w:tcPr>
            <w:tcW w:w="1380" w:type="dxa"/>
            <w:tcBorders>
              <w:top w:val="nil"/>
              <w:left w:val="nil"/>
              <w:right w:val="nil"/>
            </w:tcBorders>
            <w:shd w:val="clear" w:color="auto" w:fill="auto"/>
            <w:vAlign w:val="center"/>
            <w:hideMark/>
          </w:tcPr>
          <w:p w14:paraId="408F9BC1" w14:textId="58E3E3B8" w:rsidR="004B60E3" w:rsidRPr="00B256EA" w:rsidRDefault="004B60E3" w:rsidP="004B60E3">
            <w:pPr>
              <w:spacing w:after="0" w:line="240" w:lineRule="auto"/>
              <w:jc w:val="center"/>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93.46</w:t>
            </w:r>
          </w:p>
        </w:tc>
      </w:tr>
      <w:tr w:rsidR="004B60E3" w:rsidRPr="0023028E" w14:paraId="3BAFCF71" w14:textId="77777777" w:rsidTr="0069486B">
        <w:trPr>
          <w:trHeight w:val="227"/>
        </w:trPr>
        <w:tc>
          <w:tcPr>
            <w:tcW w:w="724" w:type="dxa"/>
            <w:tcBorders>
              <w:top w:val="nil"/>
              <w:left w:val="nil"/>
              <w:right w:val="nil"/>
            </w:tcBorders>
            <w:shd w:val="clear" w:color="auto" w:fill="DBE5F1" w:themeFill="accent1" w:themeFillTint="33"/>
            <w:vAlign w:val="center"/>
            <w:hideMark/>
          </w:tcPr>
          <w:p w14:paraId="07756A32" w14:textId="77777777" w:rsidR="004B60E3" w:rsidRPr="00B256EA" w:rsidRDefault="004B60E3" w:rsidP="004B60E3">
            <w:pPr>
              <w:spacing w:after="0" w:line="240" w:lineRule="auto"/>
              <w:jc w:val="center"/>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9</w:t>
            </w:r>
          </w:p>
        </w:tc>
        <w:tc>
          <w:tcPr>
            <w:tcW w:w="3827" w:type="dxa"/>
            <w:tcBorders>
              <w:top w:val="nil"/>
              <w:left w:val="nil"/>
              <w:right w:val="nil"/>
            </w:tcBorders>
            <w:shd w:val="clear" w:color="auto" w:fill="DBE5F1" w:themeFill="accent1" w:themeFillTint="33"/>
            <w:vAlign w:val="center"/>
            <w:hideMark/>
          </w:tcPr>
          <w:p w14:paraId="3E77BBBC" w14:textId="77777777" w:rsidR="004B60E3" w:rsidRPr="00B256EA" w:rsidRDefault="004B60E3" w:rsidP="00B256EA">
            <w:pPr>
              <w:spacing w:after="0" w:line="240" w:lineRule="auto"/>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Готовина и гот. еквиваленти</w:t>
            </w:r>
          </w:p>
        </w:tc>
        <w:tc>
          <w:tcPr>
            <w:tcW w:w="1760" w:type="dxa"/>
            <w:tcBorders>
              <w:top w:val="nil"/>
              <w:left w:val="nil"/>
              <w:right w:val="nil"/>
            </w:tcBorders>
            <w:shd w:val="clear" w:color="auto" w:fill="DBE5F1" w:themeFill="accent1" w:themeFillTint="33"/>
            <w:vAlign w:val="center"/>
            <w:hideMark/>
          </w:tcPr>
          <w:p w14:paraId="1269DE49" w14:textId="5F48A369" w:rsidR="004B60E3" w:rsidRPr="00B256EA" w:rsidRDefault="004B60E3" w:rsidP="00B256EA">
            <w:pPr>
              <w:spacing w:after="0" w:line="240" w:lineRule="auto"/>
              <w:jc w:val="right"/>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1,174,545</w:t>
            </w:r>
          </w:p>
        </w:tc>
        <w:tc>
          <w:tcPr>
            <w:tcW w:w="1760" w:type="dxa"/>
            <w:tcBorders>
              <w:top w:val="nil"/>
              <w:left w:val="nil"/>
              <w:right w:val="nil"/>
            </w:tcBorders>
            <w:shd w:val="clear" w:color="auto" w:fill="DBE5F1" w:themeFill="accent1" w:themeFillTint="33"/>
            <w:vAlign w:val="center"/>
            <w:hideMark/>
          </w:tcPr>
          <w:p w14:paraId="028158D6" w14:textId="3FCF9432" w:rsidR="004B60E3" w:rsidRPr="00B256EA" w:rsidRDefault="004B60E3" w:rsidP="00B256EA">
            <w:pPr>
              <w:spacing w:after="0" w:line="240" w:lineRule="auto"/>
              <w:jc w:val="right"/>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842,881</w:t>
            </w:r>
          </w:p>
        </w:tc>
        <w:tc>
          <w:tcPr>
            <w:tcW w:w="1380" w:type="dxa"/>
            <w:tcBorders>
              <w:top w:val="nil"/>
              <w:left w:val="nil"/>
              <w:right w:val="nil"/>
            </w:tcBorders>
            <w:shd w:val="clear" w:color="auto" w:fill="DBE5F1" w:themeFill="accent1" w:themeFillTint="33"/>
            <w:vAlign w:val="center"/>
            <w:hideMark/>
          </w:tcPr>
          <w:p w14:paraId="3739B3B4" w14:textId="39A3F353" w:rsidR="004B60E3" w:rsidRPr="00B256EA" w:rsidRDefault="004B60E3" w:rsidP="004B60E3">
            <w:pPr>
              <w:spacing w:after="0" w:line="240" w:lineRule="auto"/>
              <w:jc w:val="center"/>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71.76</w:t>
            </w:r>
          </w:p>
        </w:tc>
      </w:tr>
      <w:tr w:rsidR="004B60E3" w:rsidRPr="0023028E" w14:paraId="4B32D7EF" w14:textId="77777777" w:rsidTr="0069486B">
        <w:trPr>
          <w:trHeight w:val="227"/>
        </w:trPr>
        <w:tc>
          <w:tcPr>
            <w:tcW w:w="724" w:type="dxa"/>
            <w:tcBorders>
              <w:top w:val="nil"/>
              <w:left w:val="nil"/>
              <w:right w:val="nil"/>
            </w:tcBorders>
            <w:shd w:val="clear" w:color="auto" w:fill="auto"/>
            <w:vAlign w:val="center"/>
            <w:hideMark/>
          </w:tcPr>
          <w:p w14:paraId="62B604BB" w14:textId="77777777" w:rsidR="004B60E3" w:rsidRPr="00B256EA" w:rsidRDefault="004B60E3" w:rsidP="004B60E3">
            <w:pPr>
              <w:spacing w:after="0" w:line="240" w:lineRule="auto"/>
              <w:jc w:val="center"/>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10</w:t>
            </w:r>
          </w:p>
        </w:tc>
        <w:tc>
          <w:tcPr>
            <w:tcW w:w="3827" w:type="dxa"/>
            <w:tcBorders>
              <w:top w:val="nil"/>
              <w:left w:val="nil"/>
              <w:right w:val="nil"/>
            </w:tcBorders>
            <w:shd w:val="clear" w:color="auto" w:fill="auto"/>
            <w:vAlign w:val="center"/>
            <w:hideMark/>
          </w:tcPr>
          <w:p w14:paraId="7BE05C3C" w14:textId="77777777" w:rsidR="004B60E3" w:rsidRPr="00B256EA" w:rsidRDefault="004B60E3" w:rsidP="00B256EA">
            <w:pPr>
              <w:spacing w:after="0" w:line="240" w:lineRule="auto"/>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АВР</w:t>
            </w:r>
          </w:p>
        </w:tc>
        <w:tc>
          <w:tcPr>
            <w:tcW w:w="1760" w:type="dxa"/>
            <w:tcBorders>
              <w:top w:val="nil"/>
              <w:left w:val="nil"/>
              <w:right w:val="nil"/>
            </w:tcBorders>
            <w:shd w:val="clear" w:color="auto" w:fill="auto"/>
            <w:vAlign w:val="center"/>
            <w:hideMark/>
          </w:tcPr>
          <w:p w14:paraId="693F75FC" w14:textId="4AAD10B9" w:rsidR="004B60E3" w:rsidRPr="00B256EA" w:rsidRDefault="004B60E3" w:rsidP="00B256EA">
            <w:pPr>
              <w:spacing w:after="0" w:line="240" w:lineRule="auto"/>
              <w:jc w:val="right"/>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25,194</w:t>
            </w:r>
          </w:p>
        </w:tc>
        <w:tc>
          <w:tcPr>
            <w:tcW w:w="1760" w:type="dxa"/>
            <w:tcBorders>
              <w:top w:val="nil"/>
              <w:left w:val="nil"/>
              <w:right w:val="nil"/>
            </w:tcBorders>
            <w:shd w:val="clear" w:color="auto" w:fill="auto"/>
            <w:vAlign w:val="center"/>
            <w:hideMark/>
          </w:tcPr>
          <w:p w14:paraId="429E3F0E" w14:textId="587FF04D" w:rsidR="004B60E3" w:rsidRPr="00B256EA" w:rsidRDefault="004B60E3" w:rsidP="00B256EA">
            <w:pPr>
              <w:spacing w:after="0" w:line="240" w:lineRule="auto"/>
              <w:jc w:val="right"/>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26,325</w:t>
            </w:r>
          </w:p>
        </w:tc>
        <w:tc>
          <w:tcPr>
            <w:tcW w:w="1380" w:type="dxa"/>
            <w:tcBorders>
              <w:top w:val="nil"/>
              <w:left w:val="nil"/>
              <w:right w:val="nil"/>
            </w:tcBorders>
            <w:shd w:val="clear" w:color="auto" w:fill="auto"/>
            <w:vAlign w:val="center"/>
            <w:hideMark/>
          </w:tcPr>
          <w:p w14:paraId="4BE5D540" w14:textId="1520846C" w:rsidR="004B60E3" w:rsidRPr="00B256EA" w:rsidRDefault="004B60E3" w:rsidP="004B60E3">
            <w:pPr>
              <w:spacing w:after="0" w:line="240" w:lineRule="auto"/>
              <w:jc w:val="center"/>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104.49</w:t>
            </w:r>
          </w:p>
        </w:tc>
      </w:tr>
      <w:tr w:rsidR="004B60E3" w:rsidRPr="0023028E" w14:paraId="4C0E18D1" w14:textId="77777777" w:rsidTr="0069486B">
        <w:trPr>
          <w:trHeight w:val="227"/>
        </w:trPr>
        <w:tc>
          <w:tcPr>
            <w:tcW w:w="724" w:type="dxa"/>
            <w:tcBorders>
              <w:top w:val="nil"/>
              <w:left w:val="nil"/>
              <w:right w:val="nil"/>
            </w:tcBorders>
            <w:shd w:val="clear" w:color="auto" w:fill="DBE5F1" w:themeFill="accent1" w:themeFillTint="33"/>
            <w:vAlign w:val="center"/>
            <w:hideMark/>
          </w:tcPr>
          <w:p w14:paraId="7892C3F0" w14:textId="77777777" w:rsidR="004B60E3" w:rsidRPr="00B256EA" w:rsidRDefault="004B60E3" w:rsidP="004B60E3">
            <w:pPr>
              <w:spacing w:after="0" w:line="240" w:lineRule="auto"/>
              <w:jc w:val="center"/>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11</w:t>
            </w:r>
          </w:p>
        </w:tc>
        <w:tc>
          <w:tcPr>
            <w:tcW w:w="3827" w:type="dxa"/>
            <w:tcBorders>
              <w:top w:val="nil"/>
              <w:left w:val="nil"/>
              <w:right w:val="nil"/>
            </w:tcBorders>
            <w:shd w:val="clear" w:color="auto" w:fill="DBE5F1" w:themeFill="accent1" w:themeFillTint="33"/>
            <w:vAlign w:val="center"/>
            <w:hideMark/>
          </w:tcPr>
          <w:p w14:paraId="3173BF68" w14:textId="77777777" w:rsidR="004B60E3" w:rsidRPr="00B256EA" w:rsidRDefault="004B60E3" w:rsidP="00B256EA">
            <w:pPr>
              <w:spacing w:after="0" w:line="240" w:lineRule="auto"/>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Пасивна преносна премија</w:t>
            </w:r>
          </w:p>
        </w:tc>
        <w:tc>
          <w:tcPr>
            <w:tcW w:w="1760" w:type="dxa"/>
            <w:tcBorders>
              <w:top w:val="nil"/>
              <w:left w:val="nil"/>
              <w:right w:val="nil"/>
            </w:tcBorders>
            <w:shd w:val="clear" w:color="auto" w:fill="DBE5F1" w:themeFill="accent1" w:themeFillTint="33"/>
            <w:vAlign w:val="center"/>
            <w:hideMark/>
          </w:tcPr>
          <w:p w14:paraId="4082BDF1" w14:textId="5569B08B" w:rsidR="004B60E3" w:rsidRPr="00B256EA" w:rsidRDefault="004B60E3" w:rsidP="00B256EA">
            <w:pPr>
              <w:spacing w:after="0" w:line="240" w:lineRule="auto"/>
              <w:jc w:val="right"/>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197,253</w:t>
            </w:r>
          </w:p>
        </w:tc>
        <w:tc>
          <w:tcPr>
            <w:tcW w:w="1760" w:type="dxa"/>
            <w:tcBorders>
              <w:top w:val="nil"/>
              <w:left w:val="nil"/>
              <w:right w:val="nil"/>
            </w:tcBorders>
            <w:shd w:val="clear" w:color="auto" w:fill="DBE5F1" w:themeFill="accent1" w:themeFillTint="33"/>
            <w:vAlign w:val="center"/>
            <w:hideMark/>
          </w:tcPr>
          <w:p w14:paraId="72BD9320" w14:textId="5D5FD78D" w:rsidR="004B60E3" w:rsidRPr="00B256EA" w:rsidRDefault="004B60E3" w:rsidP="00B256EA">
            <w:pPr>
              <w:spacing w:after="0" w:line="240" w:lineRule="auto"/>
              <w:jc w:val="right"/>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328,031</w:t>
            </w:r>
          </w:p>
        </w:tc>
        <w:tc>
          <w:tcPr>
            <w:tcW w:w="1380" w:type="dxa"/>
            <w:tcBorders>
              <w:top w:val="nil"/>
              <w:left w:val="nil"/>
              <w:right w:val="nil"/>
            </w:tcBorders>
            <w:shd w:val="clear" w:color="auto" w:fill="DBE5F1" w:themeFill="accent1" w:themeFillTint="33"/>
            <w:vAlign w:val="center"/>
            <w:hideMark/>
          </w:tcPr>
          <w:p w14:paraId="6DC224E3" w14:textId="7DC3A88C" w:rsidR="004B60E3" w:rsidRPr="00B256EA" w:rsidRDefault="004B60E3" w:rsidP="004B60E3">
            <w:pPr>
              <w:spacing w:after="0" w:line="240" w:lineRule="auto"/>
              <w:jc w:val="center"/>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166.30</w:t>
            </w:r>
          </w:p>
        </w:tc>
      </w:tr>
      <w:tr w:rsidR="004B60E3" w:rsidRPr="0023028E" w14:paraId="60A52429" w14:textId="77777777" w:rsidTr="0069486B">
        <w:trPr>
          <w:trHeight w:val="227"/>
        </w:trPr>
        <w:tc>
          <w:tcPr>
            <w:tcW w:w="724" w:type="dxa"/>
            <w:tcBorders>
              <w:top w:val="nil"/>
              <w:left w:val="nil"/>
              <w:right w:val="nil"/>
            </w:tcBorders>
            <w:shd w:val="clear" w:color="auto" w:fill="auto"/>
            <w:vAlign w:val="center"/>
            <w:hideMark/>
          </w:tcPr>
          <w:p w14:paraId="53DAE99C" w14:textId="77777777" w:rsidR="004B60E3" w:rsidRPr="00B256EA" w:rsidRDefault="004B60E3" w:rsidP="004B60E3">
            <w:pPr>
              <w:spacing w:after="0" w:line="240" w:lineRule="auto"/>
              <w:jc w:val="center"/>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12</w:t>
            </w:r>
          </w:p>
        </w:tc>
        <w:tc>
          <w:tcPr>
            <w:tcW w:w="3827" w:type="dxa"/>
            <w:tcBorders>
              <w:top w:val="nil"/>
              <w:left w:val="nil"/>
              <w:right w:val="nil"/>
            </w:tcBorders>
            <w:shd w:val="clear" w:color="auto" w:fill="auto"/>
            <w:vAlign w:val="center"/>
            <w:hideMark/>
          </w:tcPr>
          <w:p w14:paraId="1040DDCA" w14:textId="77777777" w:rsidR="004B60E3" w:rsidRPr="00B256EA" w:rsidRDefault="004B60E3" w:rsidP="00B256EA">
            <w:pPr>
              <w:spacing w:after="0" w:line="240" w:lineRule="auto"/>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Пасивне резервисане штете</w:t>
            </w:r>
          </w:p>
        </w:tc>
        <w:tc>
          <w:tcPr>
            <w:tcW w:w="1760" w:type="dxa"/>
            <w:tcBorders>
              <w:top w:val="nil"/>
              <w:left w:val="nil"/>
              <w:right w:val="nil"/>
            </w:tcBorders>
            <w:shd w:val="clear" w:color="auto" w:fill="auto"/>
            <w:vAlign w:val="center"/>
            <w:hideMark/>
          </w:tcPr>
          <w:p w14:paraId="2389593D" w14:textId="0CBA7E45" w:rsidR="004B60E3" w:rsidRPr="00B256EA" w:rsidRDefault="004B60E3" w:rsidP="00B256EA">
            <w:pPr>
              <w:spacing w:after="0" w:line="240" w:lineRule="auto"/>
              <w:jc w:val="right"/>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491,238</w:t>
            </w:r>
          </w:p>
        </w:tc>
        <w:tc>
          <w:tcPr>
            <w:tcW w:w="1760" w:type="dxa"/>
            <w:tcBorders>
              <w:top w:val="nil"/>
              <w:left w:val="nil"/>
              <w:right w:val="nil"/>
            </w:tcBorders>
            <w:shd w:val="clear" w:color="auto" w:fill="auto"/>
            <w:vAlign w:val="center"/>
            <w:hideMark/>
          </w:tcPr>
          <w:p w14:paraId="67313E3E" w14:textId="0B55AE5B" w:rsidR="004B60E3" w:rsidRPr="00B256EA" w:rsidRDefault="004B60E3" w:rsidP="00B256EA">
            <w:pPr>
              <w:spacing w:after="0" w:line="240" w:lineRule="auto"/>
              <w:jc w:val="right"/>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1,009,578</w:t>
            </w:r>
          </w:p>
        </w:tc>
        <w:tc>
          <w:tcPr>
            <w:tcW w:w="1380" w:type="dxa"/>
            <w:tcBorders>
              <w:top w:val="nil"/>
              <w:left w:val="nil"/>
              <w:right w:val="nil"/>
            </w:tcBorders>
            <w:shd w:val="clear" w:color="auto" w:fill="auto"/>
            <w:vAlign w:val="center"/>
            <w:hideMark/>
          </w:tcPr>
          <w:p w14:paraId="672DBC7E" w14:textId="56A25066" w:rsidR="004B60E3" w:rsidRPr="00B256EA" w:rsidRDefault="004B60E3" w:rsidP="004B60E3">
            <w:pPr>
              <w:spacing w:after="0" w:line="240" w:lineRule="auto"/>
              <w:jc w:val="center"/>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205.52</w:t>
            </w:r>
          </w:p>
        </w:tc>
      </w:tr>
      <w:tr w:rsidR="004B60E3" w:rsidRPr="0023028E" w14:paraId="5ED9BB51" w14:textId="77777777" w:rsidTr="0069486B">
        <w:trPr>
          <w:trHeight w:val="227"/>
        </w:trPr>
        <w:tc>
          <w:tcPr>
            <w:tcW w:w="724" w:type="dxa"/>
            <w:tcBorders>
              <w:top w:val="nil"/>
              <w:left w:val="nil"/>
              <w:bottom w:val="double" w:sz="6" w:space="0" w:color="4F81BD"/>
              <w:right w:val="nil"/>
            </w:tcBorders>
            <w:shd w:val="clear" w:color="auto" w:fill="DBE5F1" w:themeFill="accent1" w:themeFillTint="33"/>
            <w:vAlign w:val="center"/>
            <w:hideMark/>
          </w:tcPr>
          <w:p w14:paraId="3A69126F" w14:textId="77777777" w:rsidR="004B60E3" w:rsidRPr="00B256EA" w:rsidRDefault="004B60E3" w:rsidP="004B60E3">
            <w:pPr>
              <w:spacing w:after="0" w:line="240" w:lineRule="auto"/>
              <w:jc w:val="center"/>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13</w:t>
            </w:r>
          </w:p>
        </w:tc>
        <w:tc>
          <w:tcPr>
            <w:tcW w:w="3827" w:type="dxa"/>
            <w:tcBorders>
              <w:top w:val="nil"/>
              <w:left w:val="nil"/>
              <w:bottom w:val="double" w:sz="6" w:space="0" w:color="4F81BD"/>
              <w:right w:val="nil"/>
            </w:tcBorders>
            <w:shd w:val="clear" w:color="auto" w:fill="DBE5F1" w:themeFill="accent1" w:themeFillTint="33"/>
            <w:vAlign w:val="center"/>
            <w:hideMark/>
          </w:tcPr>
          <w:p w14:paraId="6BF5087C" w14:textId="77777777" w:rsidR="004B60E3" w:rsidRPr="00B256EA" w:rsidRDefault="004B60E3" w:rsidP="00B256EA">
            <w:pPr>
              <w:spacing w:after="0" w:line="240" w:lineRule="auto"/>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Одложена пореска средства</w:t>
            </w:r>
          </w:p>
        </w:tc>
        <w:tc>
          <w:tcPr>
            <w:tcW w:w="1760" w:type="dxa"/>
            <w:tcBorders>
              <w:top w:val="nil"/>
              <w:left w:val="nil"/>
              <w:bottom w:val="double" w:sz="6" w:space="0" w:color="4F81BD"/>
              <w:right w:val="nil"/>
            </w:tcBorders>
            <w:shd w:val="clear" w:color="auto" w:fill="DBE5F1" w:themeFill="accent1" w:themeFillTint="33"/>
            <w:vAlign w:val="center"/>
            <w:hideMark/>
          </w:tcPr>
          <w:p w14:paraId="325366EC" w14:textId="2ACF1A0E" w:rsidR="004B60E3" w:rsidRPr="00B256EA" w:rsidRDefault="004B60E3" w:rsidP="00B256EA">
            <w:pPr>
              <w:spacing w:after="0" w:line="240" w:lineRule="auto"/>
              <w:jc w:val="right"/>
              <w:rPr>
                <w:rFonts w:ascii="Verdana" w:eastAsia="Times New Roman" w:hAnsi="Verdana" w:cs="Calibri"/>
                <w:bCs/>
                <w:noProof/>
                <w:color w:val="000000"/>
                <w:sz w:val="18"/>
                <w:szCs w:val="18"/>
                <w:lang w:val="sr-Cyrl-CS" w:eastAsia="sr-Latn-RS"/>
              </w:rPr>
            </w:pPr>
            <w:r w:rsidRPr="00B256EA">
              <w:rPr>
                <w:rFonts w:ascii="Verdana" w:eastAsia="Times New Roman" w:hAnsi="Verdana" w:cs="Calibri"/>
                <w:bCs/>
                <w:noProof/>
                <w:color w:val="000000"/>
                <w:sz w:val="18"/>
                <w:szCs w:val="18"/>
                <w:lang w:val="sr-Cyrl-CS" w:eastAsia="sr-Latn-RS"/>
              </w:rPr>
              <w:t>35,886</w:t>
            </w:r>
          </w:p>
        </w:tc>
        <w:tc>
          <w:tcPr>
            <w:tcW w:w="1760" w:type="dxa"/>
            <w:tcBorders>
              <w:top w:val="nil"/>
              <w:left w:val="nil"/>
              <w:bottom w:val="double" w:sz="6" w:space="0" w:color="4F81BD"/>
              <w:right w:val="nil"/>
            </w:tcBorders>
            <w:shd w:val="clear" w:color="auto" w:fill="DBE5F1" w:themeFill="accent1" w:themeFillTint="33"/>
            <w:vAlign w:val="center"/>
            <w:hideMark/>
          </w:tcPr>
          <w:p w14:paraId="44A03889" w14:textId="662762D3" w:rsidR="004B60E3" w:rsidRPr="00B256EA" w:rsidRDefault="004B60E3" w:rsidP="00B256EA">
            <w:pPr>
              <w:spacing w:after="0" w:line="240" w:lineRule="auto"/>
              <w:jc w:val="right"/>
              <w:rPr>
                <w:rFonts w:ascii="Verdana" w:eastAsia="Times New Roman" w:hAnsi="Verdana" w:cs="Calibri"/>
                <w:bCs/>
                <w:noProof/>
                <w:color w:val="000000"/>
                <w:sz w:val="18"/>
                <w:szCs w:val="18"/>
                <w:lang w:val="sr-Cyrl-CS" w:eastAsia="sr-Latn-RS"/>
              </w:rPr>
            </w:pPr>
          </w:p>
        </w:tc>
        <w:tc>
          <w:tcPr>
            <w:tcW w:w="1380" w:type="dxa"/>
            <w:tcBorders>
              <w:top w:val="nil"/>
              <w:left w:val="nil"/>
              <w:bottom w:val="double" w:sz="6" w:space="0" w:color="4F81BD"/>
              <w:right w:val="nil"/>
            </w:tcBorders>
            <w:shd w:val="clear" w:color="auto" w:fill="DBE5F1" w:themeFill="accent1" w:themeFillTint="33"/>
            <w:vAlign w:val="center"/>
            <w:hideMark/>
          </w:tcPr>
          <w:p w14:paraId="51A5C093" w14:textId="10072D65" w:rsidR="004B60E3" w:rsidRPr="00B256EA" w:rsidRDefault="004B60E3" w:rsidP="004B60E3">
            <w:pPr>
              <w:spacing w:after="0" w:line="240" w:lineRule="auto"/>
              <w:jc w:val="center"/>
              <w:rPr>
                <w:rFonts w:ascii="Verdana" w:eastAsia="Times New Roman" w:hAnsi="Verdana" w:cs="Calibri"/>
                <w:bCs/>
                <w:noProof/>
                <w:color w:val="000000"/>
                <w:sz w:val="18"/>
                <w:szCs w:val="18"/>
                <w:lang w:val="sr-Cyrl-CS" w:eastAsia="sr-Latn-RS"/>
              </w:rPr>
            </w:pPr>
          </w:p>
        </w:tc>
      </w:tr>
      <w:tr w:rsidR="004B60E3" w:rsidRPr="0023028E" w14:paraId="3F816B70" w14:textId="77777777" w:rsidTr="0069486B">
        <w:trPr>
          <w:trHeight w:val="340"/>
        </w:trPr>
        <w:tc>
          <w:tcPr>
            <w:tcW w:w="724" w:type="dxa"/>
            <w:tcBorders>
              <w:top w:val="nil"/>
              <w:left w:val="nil"/>
              <w:bottom w:val="double" w:sz="6" w:space="0" w:color="4F81BD"/>
              <w:right w:val="nil"/>
            </w:tcBorders>
            <w:shd w:val="clear" w:color="auto" w:fill="auto"/>
            <w:vAlign w:val="center"/>
            <w:hideMark/>
          </w:tcPr>
          <w:p w14:paraId="61F3EC30" w14:textId="7E652F04" w:rsidR="004B60E3" w:rsidRPr="004B60E3" w:rsidRDefault="004B60E3" w:rsidP="004B60E3">
            <w:pPr>
              <w:spacing w:after="0" w:line="240" w:lineRule="auto"/>
              <w:jc w:val="center"/>
              <w:rPr>
                <w:rFonts w:ascii="Verdana" w:eastAsia="Times New Roman" w:hAnsi="Verdana" w:cs="Calibri"/>
                <w:b/>
                <w:bCs/>
                <w:noProof/>
                <w:color w:val="000000"/>
                <w:sz w:val="18"/>
                <w:szCs w:val="18"/>
                <w:lang w:val="sr-Cyrl-CS" w:eastAsia="sr-Latn-RS"/>
              </w:rPr>
            </w:pPr>
          </w:p>
        </w:tc>
        <w:tc>
          <w:tcPr>
            <w:tcW w:w="3827" w:type="dxa"/>
            <w:tcBorders>
              <w:top w:val="nil"/>
              <w:left w:val="nil"/>
              <w:bottom w:val="double" w:sz="6" w:space="0" w:color="4F81BD"/>
              <w:right w:val="nil"/>
            </w:tcBorders>
            <w:shd w:val="clear" w:color="auto" w:fill="auto"/>
            <w:vAlign w:val="center"/>
            <w:hideMark/>
          </w:tcPr>
          <w:p w14:paraId="65B8DE81" w14:textId="77777777" w:rsidR="004B60E3" w:rsidRPr="0023028E" w:rsidRDefault="004B60E3" w:rsidP="00B256EA">
            <w:pPr>
              <w:spacing w:after="0" w:line="240" w:lineRule="auto"/>
              <w:rPr>
                <w:rFonts w:ascii="Verdana" w:eastAsia="Times New Roman" w:hAnsi="Verdana" w:cs="Calibri"/>
                <w:b/>
                <w:bCs/>
                <w:noProof/>
                <w:color w:val="000000"/>
                <w:sz w:val="18"/>
                <w:szCs w:val="18"/>
                <w:lang w:val="sr-Cyrl-CS" w:eastAsia="sr-Latn-RS"/>
              </w:rPr>
            </w:pPr>
            <w:r w:rsidRPr="0023028E">
              <w:rPr>
                <w:rFonts w:ascii="Verdana" w:eastAsia="Times New Roman" w:hAnsi="Verdana" w:cs="Calibri"/>
                <w:b/>
                <w:bCs/>
                <w:noProof/>
                <w:color w:val="000000"/>
                <w:sz w:val="18"/>
                <w:szCs w:val="18"/>
                <w:lang w:val="sr-Cyrl-CS" w:eastAsia="sr-Latn-RS"/>
              </w:rPr>
              <w:t>Обртна имовина</w:t>
            </w:r>
          </w:p>
        </w:tc>
        <w:tc>
          <w:tcPr>
            <w:tcW w:w="1760" w:type="dxa"/>
            <w:tcBorders>
              <w:top w:val="nil"/>
              <w:left w:val="nil"/>
              <w:bottom w:val="double" w:sz="6" w:space="0" w:color="4F81BD"/>
              <w:right w:val="nil"/>
            </w:tcBorders>
            <w:shd w:val="clear" w:color="auto" w:fill="auto"/>
            <w:vAlign w:val="center"/>
            <w:hideMark/>
          </w:tcPr>
          <w:p w14:paraId="003CD861" w14:textId="72A180DA" w:rsidR="004B60E3" w:rsidRPr="0023028E" w:rsidRDefault="004B60E3" w:rsidP="00B256EA">
            <w:pPr>
              <w:spacing w:after="0" w:line="240" w:lineRule="auto"/>
              <w:jc w:val="right"/>
              <w:rPr>
                <w:rFonts w:ascii="Verdana" w:eastAsia="Times New Roman" w:hAnsi="Verdana" w:cs="Calibri"/>
                <w:b/>
                <w:bCs/>
                <w:noProof/>
                <w:color w:val="000000"/>
                <w:sz w:val="18"/>
                <w:szCs w:val="18"/>
                <w:lang w:val="sr-Cyrl-CS" w:eastAsia="sr-Latn-RS"/>
              </w:rPr>
            </w:pPr>
            <w:r w:rsidRPr="0023028E">
              <w:rPr>
                <w:rFonts w:ascii="Verdana" w:eastAsia="Times New Roman" w:hAnsi="Verdana" w:cs="Calibri"/>
                <w:b/>
                <w:bCs/>
                <w:noProof/>
                <w:color w:val="000000"/>
                <w:sz w:val="18"/>
                <w:szCs w:val="18"/>
                <w:lang w:val="sr-Cyrl-CS" w:eastAsia="sr-Latn-RS"/>
              </w:rPr>
              <w:t>3,795,850</w:t>
            </w:r>
          </w:p>
        </w:tc>
        <w:tc>
          <w:tcPr>
            <w:tcW w:w="1760" w:type="dxa"/>
            <w:tcBorders>
              <w:top w:val="nil"/>
              <w:left w:val="nil"/>
              <w:bottom w:val="double" w:sz="6" w:space="0" w:color="4F81BD"/>
              <w:right w:val="nil"/>
            </w:tcBorders>
            <w:shd w:val="clear" w:color="auto" w:fill="auto"/>
            <w:vAlign w:val="center"/>
            <w:hideMark/>
          </w:tcPr>
          <w:p w14:paraId="3945A8BA" w14:textId="7C886F10" w:rsidR="004B60E3" w:rsidRPr="0023028E" w:rsidRDefault="004B60E3" w:rsidP="00B256EA">
            <w:pPr>
              <w:spacing w:after="0" w:line="240" w:lineRule="auto"/>
              <w:jc w:val="right"/>
              <w:rPr>
                <w:rFonts w:ascii="Verdana" w:eastAsia="Times New Roman" w:hAnsi="Verdana" w:cs="Calibri"/>
                <w:b/>
                <w:bCs/>
                <w:noProof/>
                <w:color w:val="000000"/>
                <w:sz w:val="18"/>
                <w:szCs w:val="18"/>
                <w:lang w:val="sr-Cyrl-CS" w:eastAsia="sr-Latn-RS"/>
              </w:rPr>
            </w:pPr>
            <w:r w:rsidRPr="0023028E">
              <w:rPr>
                <w:rFonts w:ascii="Verdana" w:eastAsia="Times New Roman" w:hAnsi="Verdana" w:cs="Calibri"/>
                <w:b/>
                <w:bCs/>
                <w:noProof/>
                <w:color w:val="000000"/>
                <w:sz w:val="18"/>
                <w:szCs w:val="18"/>
                <w:lang w:val="sr-Cyrl-CS" w:eastAsia="sr-Latn-RS"/>
              </w:rPr>
              <w:t>3,888,486</w:t>
            </w:r>
          </w:p>
        </w:tc>
        <w:tc>
          <w:tcPr>
            <w:tcW w:w="1380" w:type="dxa"/>
            <w:tcBorders>
              <w:top w:val="nil"/>
              <w:left w:val="nil"/>
              <w:bottom w:val="double" w:sz="6" w:space="0" w:color="4F81BD"/>
              <w:right w:val="nil"/>
            </w:tcBorders>
            <w:shd w:val="clear" w:color="auto" w:fill="auto"/>
            <w:vAlign w:val="center"/>
            <w:hideMark/>
          </w:tcPr>
          <w:p w14:paraId="4066B6D9" w14:textId="09351324" w:rsidR="004B60E3" w:rsidRPr="0023028E" w:rsidRDefault="004B60E3" w:rsidP="004B60E3">
            <w:pPr>
              <w:spacing w:after="0" w:line="240" w:lineRule="auto"/>
              <w:jc w:val="center"/>
              <w:rPr>
                <w:rFonts w:ascii="Verdana" w:eastAsia="Times New Roman" w:hAnsi="Verdana" w:cs="Calibri"/>
                <w:b/>
                <w:bCs/>
                <w:noProof/>
                <w:color w:val="000000"/>
                <w:sz w:val="18"/>
                <w:szCs w:val="18"/>
                <w:lang w:val="sr-Cyrl-CS" w:eastAsia="sr-Latn-RS"/>
              </w:rPr>
            </w:pPr>
            <w:r w:rsidRPr="0023028E">
              <w:rPr>
                <w:rFonts w:ascii="Verdana" w:eastAsia="Times New Roman" w:hAnsi="Verdana" w:cs="Calibri"/>
                <w:b/>
                <w:bCs/>
                <w:noProof/>
                <w:color w:val="000000"/>
                <w:sz w:val="18"/>
                <w:szCs w:val="18"/>
                <w:lang w:val="sr-Cyrl-CS" w:eastAsia="sr-Latn-RS"/>
              </w:rPr>
              <w:t>102.44</w:t>
            </w:r>
          </w:p>
        </w:tc>
      </w:tr>
      <w:tr w:rsidR="004B60E3" w:rsidRPr="00BF3CDE" w14:paraId="1CD293C3" w14:textId="77777777" w:rsidTr="0069486B">
        <w:trPr>
          <w:trHeight w:val="340"/>
        </w:trPr>
        <w:tc>
          <w:tcPr>
            <w:tcW w:w="4551" w:type="dxa"/>
            <w:gridSpan w:val="2"/>
            <w:tcBorders>
              <w:top w:val="double" w:sz="6" w:space="0" w:color="4F81BD"/>
              <w:left w:val="nil"/>
              <w:bottom w:val="double" w:sz="6" w:space="0" w:color="4F81BD"/>
              <w:right w:val="nil"/>
            </w:tcBorders>
            <w:shd w:val="clear" w:color="auto" w:fill="auto"/>
            <w:vAlign w:val="center"/>
            <w:hideMark/>
          </w:tcPr>
          <w:p w14:paraId="630381E6" w14:textId="77777777" w:rsidR="004B60E3" w:rsidRPr="0023028E" w:rsidRDefault="004B60E3" w:rsidP="004B60E3">
            <w:pPr>
              <w:spacing w:after="0" w:line="240" w:lineRule="auto"/>
              <w:jc w:val="center"/>
              <w:rPr>
                <w:rFonts w:ascii="Verdana" w:eastAsia="Times New Roman" w:hAnsi="Verdana" w:cs="Calibri"/>
                <w:b/>
                <w:bCs/>
                <w:noProof/>
                <w:color w:val="000000"/>
                <w:sz w:val="18"/>
                <w:szCs w:val="18"/>
                <w:lang w:val="sr-Cyrl-CS" w:eastAsia="sr-Latn-RS"/>
              </w:rPr>
            </w:pPr>
            <w:r w:rsidRPr="0023028E">
              <w:rPr>
                <w:rFonts w:ascii="Verdana" w:eastAsia="Times New Roman" w:hAnsi="Verdana" w:cs="Calibri"/>
                <w:b/>
                <w:bCs/>
                <w:noProof/>
                <w:color w:val="000000"/>
                <w:sz w:val="18"/>
                <w:szCs w:val="18"/>
                <w:lang w:val="sr-Cyrl-CS" w:eastAsia="sr-Latn-RS"/>
              </w:rPr>
              <w:t>УКУПНА ИМОВИНА (АКТИВА)</w:t>
            </w:r>
          </w:p>
        </w:tc>
        <w:tc>
          <w:tcPr>
            <w:tcW w:w="1760" w:type="dxa"/>
            <w:tcBorders>
              <w:top w:val="nil"/>
              <w:left w:val="nil"/>
              <w:bottom w:val="double" w:sz="6" w:space="0" w:color="4F81BD"/>
              <w:right w:val="nil"/>
            </w:tcBorders>
            <w:shd w:val="clear" w:color="auto" w:fill="auto"/>
            <w:vAlign w:val="center"/>
            <w:hideMark/>
          </w:tcPr>
          <w:p w14:paraId="189B4912" w14:textId="35B2EADF" w:rsidR="004B60E3" w:rsidRPr="0023028E" w:rsidRDefault="004B60E3" w:rsidP="004B60E3">
            <w:pPr>
              <w:spacing w:after="0" w:line="240" w:lineRule="auto"/>
              <w:jc w:val="right"/>
              <w:rPr>
                <w:rFonts w:ascii="Verdana" w:eastAsia="Times New Roman" w:hAnsi="Verdana" w:cs="Calibri"/>
                <w:b/>
                <w:bCs/>
                <w:noProof/>
                <w:color w:val="000000"/>
                <w:sz w:val="18"/>
                <w:szCs w:val="18"/>
                <w:lang w:val="sr-Cyrl-CS" w:eastAsia="sr-Latn-RS"/>
              </w:rPr>
            </w:pPr>
            <w:r w:rsidRPr="0023028E">
              <w:rPr>
                <w:rFonts w:ascii="Verdana" w:eastAsia="Times New Roman" w:hAnsi="Verdana" w:cs="Calibri"/>
                <w:b/>
                <w:bCs/>
                <w:noProof/>
                <w:color w:val="000000"/>
                <w:sz w:val="18"/>
                <w:szCs w:val="18"/>
                <w:lang w:val="sr-Cyrl-CS" w:eastAsia="sr-Latn-RS"/>
              </w:rPr>
              <w:t>3,863,623</w:t>
            </w:r>
          </w:p>
        </w:tc>
        <w:tc>
          <w:tcPr>
            <w:tcW w:w="1760" w:type="dxa"/>
            <w:tcBorders>
              <w:top w:val="nil"/>
              <w:left w:val="nil"/>
              <w:bottom w:val="double" w:sz="6" w:space="0" w:color="4F81BD"/>
              <w:right w:val="nil"/>
            </w:tcBorders>
            <w:shd w:val="clear" w:color="auto" w:fill="auto"/>
            <w:vAlign w:val="center"/>
            <w:hideMark/>
          </w:tcPr>
          <w:p w14:paraId="184EFC53" w14:textId="300AC276" w:rsidR="004B60E3" w:rsidRPr="0023028E" w:rsidRDefault="004B60E3" w:rsidP="00B256EA">
            <w:pPr>
              <w:spacing w:after="0" w:line="240" w:lineRule="auto"/>
              <w:jc w:val="right"/>
              <w:rPr>
                <w:rFonts w:ascii="Verdana" w:eastAsia="Times New Roman" w:hAnsi="Verdana" w:cs="Calibri"/>
                <w:b/>
                <w:bCs/>
                <w:noProof/>
                <w:color w:val="000000"/>
                <w:sz w:val="18"/>
                <w:szCs w:val="18"/>
                <w:lang w:val="sr-Cyrl-CS" w:eastAsia="sr-Latn-RS"/>
              </w:rPr>
            </w:pPr>
            <w:r w:rsidRPr="0023028E">
              <w:rPr>
                <w:rFonts w:ascii="Verdana" w:eastAsia="Times New Roman" w:hAnsi="Verdana" w:cs="Calibri"/>
                <w:b/>
                <w:bCs/>
                <w:noProof/>
                <w:color w:val="000000"/>
                <w:sz w:val="18"/>
                <w:szCs w:val="18"/>
                <w:lang w:val="sr-Cyrl-CS" w:eastAsia="sr-Latn-RS"/>
              </w:rPr>
              <w:t>4,196,598</w:t>
            </w:r>
          </w:p>
        </w:tc>
        <w:tc>
          <w:tcPr>
            <w:tcW w:w="1380" w:type="dxa"/>
            <w:tcBorders>
              <w:top w:val="nil"/>
              <w:left w:val="nil"/>
              <w:bottom w:val="double" w:sz="6" w:space="0" w:color="4F81BD"/>
              <w:right w:val="nil"/>
            </w:tcBorders>
            <w:shd w:val="clear" w:color="000000" w:fill="FFFFFF"/>
            <w:vAlign w:val="center"/>
            <w:hideMark/>
          </w:tcPr>
          <w:p w14:paraId="2932CC41" w14:textId="65244B09" w:rsidR="004B60E3" w:rsidRPr="00BF3CDE" w:rsidRDefault="004B60E3" w:rsidP="004B60E3">
            <w:pPr>
              <w:spacing w:after="0" w:line="240" w:lineRule="auto"/>
              <w:jc w:val="center"/>
              <w:rPr>
                <w:rFonts w:ascii="Verdana" w:eastAsia="Times New Roman" w:hAnsi="Verdana" w:cs="Calibri"/>
                <w:b/>
                <w:bCs/>
                <w:noProof/>
                <w:color w:val="000000"/>
                <w:sz w:val="18"/>
                <w:szCs w:val="18"/>
                <w:lang w:val="sr-Cyrl-CS" w:eastAsia="sr-Latn-RS"/>
              </w:rPr>
            </w:pPr>
            <w:r w:rsidRPr="0023028E">
              <w:rPr>
                <w:rFonts w:ascii="Verdana" w:eastAsia="Times New Roman" w:hAnsi="Verdana" w:cs="Calibri"/>
                <w:b/>
                <w:bCs/>
                <w:noProof/>
                <w:color w:val="000000"/>
                <w:sz w:val="18"/>
                <w:szCs w:val="18"/>
                <w:lang w:val="sr-Cyrl-CS" w:eastAsia="sr-Latn-RS"/>
              </w:rPr>
              <w:t>108.62</w:t>
            </w:r>
          </w:p>
        </w:tc>
      </w:tr>
    </w:tbl>
    <w:p w14:paraId="2F002530" w14:textId="77777777" w:rsidR="00D31DE3" w:rsidRPr="00BF3CDE" w:rsidRDefault="00153DB4" w:rsidP="00153DB4">
      <w:pPr>
        <w:spacing w:after="80" w:line="240" w:lineRule="auto"/>
        <w:ind w:hanging="284"/>
        <w:jc w:val="both"/>
        <w:rPr>
          <w:rStyle w:val="Hyperlink"/>
          <w:noProof/>
          <w:color w:val="auto"/>
          <w:sz w:val="20"/>
          <w:szCs w:val="20"/>
          <w:lang w:val="sr-Cyrl-CS"/>
        </w:rPr>
      </w:pPr>
      <w:r w:rsidRPr="00BF3CDE">
        <w:rPr>
          <w:noProof/>
          <w:lang w:val="sr-Latn-RS" w:eastAsia="sr-Latn-RS"/>
        </w:rPr>
        <w:drawing>
          <wp:inline distT="0" distB="0" distL="0" distR="0" wp14:anchorId="3E976DBA" wp14:editId="52594812">
            <wp:extent cx="6358270" cy="4040373"/>
            <wp:effectExtent l="0" t="0" r="4445" b="0"/>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r w:rsidR="00C031DE" w:rsidRPr="00BF3CDE">
        <w:rPr>
          <w:rStyle w:val="Hyperlink"/>
          <w:noProof/>
          <w:color w:val="auto"/>
          <w:sz w:val="20"/>
          <w:szCs w:val="20"/>
          <w:lang w:val="sr-Cyrl-CS"/>
        </w:rPr>
        <w:t xml:space="preserve">                                                           </w:t>
      </w:r>
    </w:p>
    <w:p w14:paraId="339F71A3" w14:textId="77777777" w:rsidR="00457DD6" w:rsidRPr="00BF3CDE" w:rsidRDefault="0000684F" w:rsidP="00AB59CB">
      <w:pPr>
        <w:spacing w:before="120" w:after="120"/>
        <w:ind w:firstLine="284"/>
        <w:jc w:val="both"/>
        <w:rPr>
          <w:rStyle w:val="Hyperlink"/>
          <w:noProof/>
          <w:color w:val="auto"/>
          <w:sz w:val="20"/>
          <w:szCs w:val="20"/>
          <w:lang w:val="sr-Cyrl-CS"/>
        </w:rPr>
      </w:pPr>
      <w:r w:rsidRPr="00BF3CDE">
        <w:rPr>
          <w:rStyle w:val="IntenseEmphasis"/>
          <w:noProof/>
          <w:lang w:val="sr-Cyrl-CS"/>
        </w:rPr>
        <w:lastRenderedPageBreak/>
        <w:t>Стална имовина</w:t>
      </w:r>
      <w:r w:rsidRPr="00BF3CDE">
        <w:rPr>
          <w:rStyle w:val="Hyperlink"/>
          <w:noProof/>
          <w:color w:val="auto"/>
          <w:sz w:val="20"/>
          <w:szCs w:val="20"/>
          <w:lang w:val="sr-Cyrl-CS"/>
        </w:rPr>
        <w:t xml:space="preserve"> повећана је за 354,62%</w:t>
      </w:r>
      <w:r w:rsidR="006047ED" w:rsidRPr="00BF3CDE">
        <w:rPr>
          <w:rStyle w:val="Hyperlink"/>
          <w:noProof/>
          <w:color w:val="auto"/>
          <w:sz w:val="20"/>
          <w:szCs w:val="20"/>
          <w:lang w:val="sr-Cyrl-CS"/>
        </w:rPr>
        <w:t xml:space="preserve"> у односу на претходну годину</w:t>
      </w:r>
      <w:r w:rsidRPr="00BF3CDE">
        <w:rPr>
          <w:rStyle w:val="Hyperlink"/>
          <w:noProof/>
          <w:color w:val="auto"/>
          <w:sz w:val="20"/>
          <w:szCs w:val="20"/>
          <w:lang w:val="sr-Cyrl-CS"/>
        </w:rPr>
        <w:t xml:space="preserve">, а </w:t>
      </w:r>
      <w:r w:rsidR="00457DD6" w:rsidRPr="00BF3CDE">
        <w:rPr>
          <w:rStyle w:val="Hyperlink"/>
          <w:noProof/>
          <w:color w:val="auto"/>
          <w:sz w:val="20"/>
          <w:szCs w:val="20"/>
          <w:lang w:val="sr-Cyrl-CS"/>
        </w:rPr>
        <w:t>раст је последица повећања дугорочних финансијских пласмана.</w:t>
      </w:r>
    </w:p>
    <w:p w14:paraId="06D753D5" w14:textId="0A3A1676" w:rsidR="00457DD6" w:rsidRPr="00BF3CDE" w:rsidRDefault="00457DD6" w:rsidP="00AB59CB">
      <w:pPr>
        <w:spacing w:before="120" w:after="120"/>
        <w:ind w:firstLine="284"/>
        <w:jc w:val="both"/>
        <w:rPr>
          <w:rStyle w:val="Hyperlink"/>
          <w:noProof/>
          <w:color w:val="auto"/>
          <w:sz w:val="20"/>
          <w:szCs w:val="20"/>
          <w:lang w:val="sr-Cyrl-CS"/>
        </w:rPr>
      </w:pPr>
      <w:r w:rsidRPr="00BF3CDE">
        <w:rPr>
          <w:rStyle w:val="Hyperlink"/>
          <w:noProof/>
          <w:color w:val="auto"/>
          <w:sz w:val="20"/>
          <w:szCs w:val="20"/>
          <w:lang w:val="sr-Cyrl-CS"/>
        </w:rPr>
        <w:t xml:space="preserve">Раст дугорочних финансијских пласмана резултат је набавке 1.994 комада државних записа номиналне вредности 1.000 ЕУР-а по једном запису, а који су у складу са рачуноводственом политиком класификовани да се држе до доспећа и као такви постали саставни део сталне имовине. </w:t>
      </w:r>
    </w:p>
    <w:p w14:paraId="0DB7CF26" w14:textId="77777777" w:rsidR="00457DD6" w:rsidRPr="00BF3CDE" w:rsidRDefault="00457DD6" w:rsidP="00AB59CB">
      <w:pPr>
        <w:spacing w:after="120"/>
        <w:ind w:firstLine="284"/>
        <w:jc w:val="both"/>
        <w:rPr>
          <w:noProof/>
          <w:sz w:val="20"/>
          <w:szCs w:val="20"/>
          <w:lang w:val="sr-Cyrl-CS"/>
        </w:rPr>
      </w:pPr>
      <w:r w:rsidRPr="00BF3CDE">
        <w:rPr>
          <w:noProof/>
          <w:sz w:val="20"/>
          <w:szCs w:val="20"/>
          <w:lang w:val="sr-Cyrl-CS"/>
        </w:rPr>
        <w:t>Инвестициони портфоли</w:t>
      </w:r>
      <w:r w:rsidR="00AB25B8" w:rsidRPr="00BF3CDE">
        <w:rPr>
          <w:noProof/>
          <w:sz w:val="20"/>
          <w:szCs w:val="20"/>
          <w:lang w:val="sr-Cyrl-CS"/>
        </w:rPr>
        <w:t>ј</w:t>
      </w:r>
      <w:r w:rsidRPr="00BF3CDE">
        <w:rPr>
          <w:noProof/>
          <w:sz w:val="20"/>
          <w:szCs w:val="20"/>
          <w:lang w:val="sr-Cyrl-CS"/>
        </w:rPr>
        <w:t>о, у оквиру кога и дугорочна финансијска средства, биће детаљно обрађен у посебном поглављу.</w:t>
      </w:r>
    </w:p>
    <w:p w14:paraId="5F92A431" w14:textId="77777777" w:rsidR="00153DB4" w:rsidRPr="00BF3CDE" w:rsidRDefault="00153DB4" w:rsidP="00AB59CB">
      <w:pPr>
        <w:spacing w:before="120" w:after="120"/>
        <w:ind w:firstLine="284"/>
        <w:jc w:val="both"/>
        <w:rPr>
          <w:rStyle w:val="Hyperlink"/>
          <w:noProof/>
          <w:color w:val="auto"/>
          <w:sz w:val="20"/>
          <w:szCs w:val="20"/>
          <w:lang w:val="sr-Cyrl-CS"/>
        </w:rPr>
      </w:pPr>
      <w:r w:rsidRPr="00BF3CDE">
        <w:rPr>
          <w:rStyle w:val="Hyperlink"/>
          <w:noProof/>
          <w:color w:val="auto"/>
          <w:sz w:val="20"/>
          <w:szCs w:val="20"/>
          <w:lang w:val="sr-Cyrl-CS"/>
        </w:rPr>
        <w:t xml:space="preserve">Поред дугорочних финансијских пласмана, који  чине 89.72% сталне имовине, </w:t>
      </w:r>
      <w:r w:rsidR="00215EC7" w:rsidRPr="00BF3CDE">
        <w:rPr>
          <w:rStyle w:val="Hyperlink"/>
          <w:noProof/>
          <w:color w:val="auto"/>
          <w:sz w:val="20"/>
          <w:szCs w:val="20"/>
          <w:lang w:val="sr-Cyrl-CS"/>
        </w:rPr>
        <w:t>евидентиране су и следеће промене</w:t>
      </w:r>
      <w:r w:rsidRPr="00BF3CDE">
        <w:rPr>
          <w:rStyle w:val="Hyperlink"/>
          <w:noProof/>
          <w:color w:val="auto"/>
          <w:sz w:val="20"/>
          <w:szCs w:val="20"/>
          <w:lang w:val="sr-Cyrl-CS"/>
        </w:rPr>
        <w:t>:</w:t>
      </w:r>
    </w:p>
    <w:p w14:paraId="17B1DF45" w14:textId="77777777" w:rsidR="00153DB4" w:rsidRPr="00BF3CDE" w:rsidRDefault="00215EC7" w:rsidP="00AB59CB">
      <w:pPr>
        <w:pStyle w:val="ListParagraph"/>
        <w:numPr>
          <w:ilvl w:val="0"/>
          <w:numId w:val="12"/>
        </w:numPr>
        <w:spacing w:before="120" w:after="120"/>
        <w:jc w:val="both"/>
        <w:rPr>
          <w:rStyle w:val="Hyperlink"/>
          <w:noProof/>
          <w:color w:val="auto"/>
          <w:sz w:val="20"/>
          <w:szCs w:val="20"/>
          <w:lang w:val="sr-Cyrl-CS"/>
        </w:rPr>
      </w:pPr>
      <w:r w:rsidRPr="00BF3CDE">
        <w:rPr>
          <w:rStyle w:val="Hyperlink"/>
          <w:noProof/>
          <w:color w:val="auto"/>
          <w:sz w:val="20"/>
          <w:szCs w:val="20"/>
          <w:lang w:val="sr-Cyrl-CS"/>
        </w:rPr>
        <w:t>в</w:t>
      </w:r>
      <w:r w:rsidR="00153DB4" w:rsidRPr="00BF3CDE">
        <w:rPr>
          <w:rStyle w:val="Hyperlink"/>
          <w:noProof/>
          <w:color w:val="auto"/>
          <w:sz w:val="20"/>
          <w:szCs w:val="20"/>
          <w:lang w:val="sr-Cyrl-CS"/>
        </w:rPr>
        <w:t>редност</w:t>
      </w:r>
      <w:r w:rsidRPr="00BF3CDE">
        <w:rPr>
          <w:rStyle w:val="Hyperlink"/>
          <w:noProof/>
          <w:color w:val="auto"/>
          <w:sz w:val="20"/>
          <w:szCs w:val="20"/>
          <w:lang w:val="sr-Cyrl-CS"/>
        </w:rPr>
        <w:t>и</w:t>
      </w:r>
      <w:r w:rsidR="00153DB4" w:rsidRPr="00BF3CDE">
        <w:rPr>
          <w:rStyle w:val="Hyperlink"/>
          <w:noProof/>
          <w:color w:val="auto"/>
          <w:sz w:val="20"/>
          <w:szCs w:val="20"/>
          <w:lang w:val="sr-Cyrl-CS"/>
        </w:rPr>
        <w:t xml:space="preserve"> нематеријалних улагања увећан</w:t>
      </w:r>
      <w:r w:rsidRPr="00BF3CDE">
        <w:rPr>
          <w:rStyle w:val="Hyperlink"/>
          <w:noProof/>
          <w:color w:val="auto"/>
          <w:sz w:val="20"/>
          <w:szCs w:val="20"/>
          <w:lang w:val="sr-Cyrl-CS"/>
        </w:rPr>
        <w:t>е су</w:t>
      </w:r>
      <w:r w:rsidR="00153DB4" w:rsidRPr="00BF3CDE">
        <w:rPr>
          <w:rStyle w:val="Hyperlink"/>
          <w:noProof/>
          <w:color w:val="auto"/>
          <w:sz w:val="20"/>
          <w:szCs w:val="20"/>
          <w:lang w:val="sr-Cyrl-CS"/>
        </w:rPr>
        <w:t xml:space="preserve"> за 4.899 хиљада динара</w:t>
      </w:r>
      <w:r w:rsidRPr="00BF3CDE">
        <w:rPr>
          <w:rStyle w:val="Hyperlink"/>
          <w:noProof/>
          <w:color w:val="auto"/>
          <w:sz w:val="20"/>
          <w:szCs w:val="20"/>
          <w:lang w:val="sr-Cyrl-CS"/>
        </w:rPr>
        <w:t xml:space="preserve"> које се</w:t>
      </w:r>
      <w:r w:rsidR="00153DB4" w:rsidRPr="00BF3CDE">
        <w:rPr>
          <w:rStyle w:val="Hyperlink"/>
          <w:noProof/>
          <w:color w:val="auto"/>
          <w:sz w:val="20"/>
          <w:szCs w:val="20"/>
          <w:lang w:val="sr-Cyrl-CS"/>
        </w:rPr>
        <w:t xml:space="preserve"> односе на набавку лиценци за </w:t>
      </w:r>
      <w:r w:rsidR="00C035D0" w:rsidRPr="00BF3CDE">
        <w:rPr>
          <w:rStyle w:val="Hyperlink"/>
          <w:i/>
          <w:noProof/>
          <w:color w:val="auto"/>
          <w:sz w:val="20"/>
          <w:szCs w:val="20"/>
          <w:lang w:val="sr-Cyrl-CS"/>
        </w:rPr>
        <w:t>Microsoft</w:t>
      </w:r>
      <w:r w:rsidR="00C035D0" w:rsidRPr="00BF3CDE">
        <w:rPr>
          <w:rStyle w:val="Hyperlink"/>
          <w:noProof/>
          <w:color w:val="auto"/>
          <w:sz w:val="20"/>
          <w:szCs w:val="20"/>
          <w:lang w:val="sr-Cyrl-CS"/>
        </w:rPr>
        <w:t xml:space="preserve"> по кровном уговору </w:t>
      </w:r>
      <w:r w:rsidR="00BF3CDE" w:rsidRPr="00BF3CDE">
        <w:rPr>
          <w:rStyle w:val="Hyperlink"/>
          <w:noProof/>
          <w:color w:val="auto"/>
          <w:sz w:val="20"/>
          <w:szCs w:val="20"/>
          <w:lang w:val="sr-Cyrl-CS"/>
        </w:rPr>
        <w:t xml:space="preserve">који </w:t>
      </w:r>
      <w:r w:rsidR="00C035D0" w:rsidRPr="00BF3CDE">
        <w:rPr>
          <w:rStyle w:val="Hyperlink"/>
          <w:noProof/>
          <w:color w:val="auto"/>
          <w:sz w:val="20"/>
          <w:szCs w:val="20"/>
          <w:lang w:val="sr-Cyrl-CS"/>
        </w:rPr>
        <w:t xml:space="preserve"> Компаниј</w:t>
      </w:r>
      <w:r w:rsidR="00BF3CDE" w:rsidRPr="00BF3CDE">
        <w:rPr>
          <w:rStyle w:val="Hyperlink"/>
          <w:noProof/>
          <w:color w:val="auto"/>
          <w:sz w:val="20"/>
          <w:szCs w:val="20"/>
          <w:lang w:val="sr-Cyrl-CS"/>
        </w:rPr>
        <w:t>а</w:t>
      </w:r>
      <w:r w:rsidR="00C035D0" w:rsidRPr="00BF3CDE">
        <w:rPr>
          <w:rStyle w:val="Hyperlink"/>
          <w:noProof/>
          <w:color w:val="auto"/>
          <w:sz w:val="20"/>
          <w:szCs w:val="20"/>
          <w:lang w:val="sr-Cyrl-CS"/>
        </w:rPr>
        <w:t xml:space="preserve"> Дунав</w:t>
      </w:r>
      <w:r w:rsidR="00BF3CDE" w:rsidRPr="00BF3CDE">
        <w:rPr>
          <w:rStyle w:val="Hyperlink"/>
          <w:noProof/>
          <w:color w:val="auto"/>
          <w:sz w:val="20"/>
          <w:szCs w:val="20"/>
          <w:lang w:val="sr-Cyrl-CS"/>
        </w:rPr>
        <w:t xml:space="preserve"> осигурање има са предузећем Сага доо;</w:t>
      </w:r>
    </w:p>
    <w:p w14:paraId="1DCF0A06" w14:textId="77777777" w:rsidR="00153DB4" w:rsidRPr="00BF3CDE" w:rsidRDefault="00215EC7" w:rsidP="00AB59CB">
      <w:pPr>
        <w:pStyle w:val="ListParagraph"/>
        <w:numPr>
          <w:ilvl w:val="0"/>
          <w:numId w:val="12"/>
        </w:numPr>
        <w:spacing w:before="120" w:after="120"/>
        <w:jc w:val="both"/>
        <w:rPr>
          <w:rStyle w:val="Hyperlink"/>
          <w:noProof/>
          <w:color w:val="auto"/>
          <w:sz w:val="20"/>
          <w:szCs w:val="20"/>
          <w:lang w:val="sr-Cyrl-CS"/>
        </w:rPr>
      </w:pPr>
      <w:r w:rsidRPr="00BF3CDE">
        <w:rPr>
          <w:rStyle w:val="Hyperlink"/>
          <w:noProof/>
          <w:color w:val="auto"/>
          <w:sz w:val="20"/>
          <w:szCs w:val="20"/>
          <w:lang w:val="sr-Cyrl-CS"/>
        </w:rPr>
        <w:t>У складу са МРС 36 –Умањење вредности имовине, извршено је обезвређење софтвера у припреми у износу 6.135 хиљада динара, и за исти износ увећани су расходи од обезвређења имовине у билансу успеха</w:t>
      </w:r>
      <w:r w:rsidR="00BF3CDE" w:rsidRPr="00BF3CDE">
        <w:rPr>
          <w:rStyle w:val="Hyperlink"/>
          <w:noProof/>
          <w:color w:val="auto"/>
          <w:sz w:val="20"/>
          <w:szCs w:val="20"/>
          <w:lang w:val="sr-Cyrl-CS"/>
        </w:rPr>
        <w:t>;</w:t>
      </w:r>
    </w:p>
    <w:p w14:paraId="2AC0453F" w14:textId="77777777" w:rsidR="00215EC7" w:rsidRPr="00BF3CDE" w:rsidRDefault="00215EC7" w:rsidP="00AB59CB">
      <w:pPr>
        <w:pStyle w:val="ListParagraph"/>
        <w:numPr>
          <w:ilvl w:val="0"/>
          <w:numId w:val="12"/>
        </w:numPr>
        <w:spacing w:before="120" w:after="120"/>
        <w:jc w:val="both"/>
        <w:rPr>
          <w:rStyle w:val="Hyperlink"/>
          <w:noProof/>
          <w:color w:val="auto"/>
          <w:sz w:val="20"/>
          <w:szCs w:val="20"/>
          <w:lang w:val="sr-Cyrl-CS"/>
        </w:rPr>
      </w:pPr>
      <w:r w:rsidRPr="00BF3CDE">
        <w:rPr>
          <w:rStyle w:val="Hyperlink"/>
          <w:noProof/>
          <w:color w:val="auto"/>
          <w:sz w:val="20"/>
          <w:szCs w:val="20"/>
          <w:lang w:val="sr-Cyrl-CS"/>
        </w:rPr>
        <w:t xml:space="preserve">Вредност некретнина, постројења и опреме увећала се током 2014. године за износ опреме која се  набавила и смањила се за износ </w:t>
      </w:r>
      <w:r w:rsidR="004E1215">
        <w:rPr>
          <w:rStyle w:val="Hyperlink"/>
          <w:noProof/>
          <w:color w:val="auto"/>
          <w:sz w:val="20"/>
          <w:szCs w:val="20"/>
          <w:lang w:val="sr-Cyrl-CS"/>
        </w:rPr>
        <w:t xml:space="preserve">амортизације и </w:t>
      </w:r>
      <w:r w:rsidRPr="00BF3CDE">
        <w:rPr>
          <w:rStyle w:val="Hyperlink"/>
          <w:noProof/>
          <w:color w:val="auto"/>
          <w:sz w:val="20"/>
          <w:szCs w:val="20"/>
          <w:lang w:val="sr-Cyrl-CS"/>
        </w:rPr>
        <w:t>расходоване опреме по годишњем попису на крају године. Укупан износ новонабављене опреме износи 314 хиљада динара ( телефони и електронски рачунари и друга опрема за обраду података). На предлог Централне пописне комисије а на основу Одлуке НО Друштва бр 4/49 од 26. јануара 2015. године извршено је расходовање и отпис опреме набавне вредности 121 хиљада динара и исправке вредности 121 хиљада динара и садашње вредности 0 динара.  Укупна садашња вредност опреме Друштва на дан 31.12.2014. године износи 9.135 хиљада динара.</w:t>
      </w:r>
    </w:p>
    <w:p w14:paraId="2D2D5D27" w14:textId="77777777" w:rsidR="006047ED" w:rsidRPr="00BF3CDE" w:rsidRDefault="006047ED" w:rsidP="006047ED">
      <w:pPr>
        <w:spacing w:before="120" w:after="120"/>
        <w:ind w:firstLine="284"/>
        <w:jc w:val="both"/>
        <w:rPr>
          <w:rStyle w:val="Hyperlink"/>
          <w:noProof/>
          <w:color w:val="auto"/>
          <w:sz w:val="20"/>
          <w:szCs w:val="20"/>
          <w:lang w:val="sr-Cyrl-CS"/>
        </w:rPr>
      </w:pPr>
      <w:r w:rsidRPr="00BF3CDE">
        <w:rPr>
          <w:rStyle w:val="IntenseEmphasis"/>
          <w:noProof/>
          <w:lang w:val="sr-Cyrl-CS"/>
        </w:rPr>
        <w:t>Обртна имовина</w:t>
      </w:r>
      <w:r w:rsidRPr="00BF3CDE">
        <w:rPr>
          <w:rStyle w:val="Hyperlink"/>
          <w:noProof/>
          <w:color w:val="auto"/>
          <w:sz w:val="20"/>
          <w:szCs w:val="20"/>
          <w:lang w:val="sr-Cyrl-CS"/>
        </w:rPr>
        <w:t xml:space="preserve"> је незнатно повећана у односу на претходну годину, за 2,44%.</w:t>
      </w:r>
      <w:r w:rsidR="002E0051" w:rsidRPr="00BF3CDE">
        <w:rPr>
          <w:rStyle w:val="Hyperlink"/>
          <w:noProof/>
          <w:color w:val="auto"/>
          <w:sz w:val="20"/>
          <w:szCs w:val="20"/>
          <w:lang w:val="sr-Cyrl-CS"/>
        </w:rPr>
        <w:t xml:space="preserve"> </w:t>
      </w:r>
    </w:p>
    <w:p w14:paraId="405B5DC9" w14:textId="77777777" w:rsidR="002E0051" w:rsidRPr="00BF3CDE" w:rsidRDefault="002E0051" w:rsidP="002E0051">
      <w:pPr>
        <w:spacing w:before="120" w:after="120"/>
        <w:ind w:firstLine="284"/>
        <w:jc w:val="both"/>
        <w:rPr>
          <w:rStyle w:val="Hyperlink"/>
          <w:noProof/>
          <w:color w:val="auto"/>
          <w:sz w:val="20"/>
          <w:szCs w:val="20"/>
          <w:lang w:val="sr-Cyrl-CS"/>
        </w:rPr>
      </w:pPr>
      <w:r w:rsidRPr="00BF3CDE">
        <w:rPr>
          <w:rStyle w:val="Hyperlink"/>
          <w:noProof/>
          <w:color w:val="auto"/>
          <w:sz w:val="20"/>
          <w:szCs w:val="20"/>
          <w:lang w:val="sr-Cyrl-CS"/>
        </w:rPr>
        <w:t xml:space="preserve">Значајно одступање позиција обртне имовине у односу на 2013. годину забележено је код позиција техничких резерви, односно за Пасивну преносну премију (повећање од 66,30%) и Пасивне резервисане штете (које су повећане за 105,52%). Како је истовремено остварен раст ових позиција у активном делу, преносне премије и резервисане штете у самопридржају не одступају значајно од остварења претходне године.      </w:t>
      </w:r>
    </w:p>
    <w:p w14:paraId="0C29BFD7" w14:textId="77777777" w:rsidR="00AB25B8" w:rsidRPr="00BF3CDE" w:rsidRDefault="00AB25B8" w:rsidP="002E0051">
      <w:pPr>
        <w:spacing w:before="120" w:after="120"/>
        <w:ind w:firstLine="284"/>
        <w:jc w:val="both"/>
        <w:rPr>
          <w:rStyle w:val="Hyperlink"/>
          <w:noProof/>
          <w:color w:val="auto"/>
          <w:sz w:val="20"/>
          <w:szCs w:val="20"/>
          <w:lang w:val="sr-Cyrl-CS"/>
        </w:rPr>
      </w:pPr>
      <w:r w:rsidRPr="00BF3CDE">
        <w:rPr>
          <w:rStyle w:val="Hyperlink"/>
          <w:noProof/>
          <w:color w:val="auto"/>
          <w:sz w:val="20"/>
          <w:szCs w:val="20"/>
          <w:lang w:val="sr-Cyrl-CS"/>
        </w:rPr>
        <w:t xml:space="preserve">Позиције краткорочних финансијских пламана и готовине и готовинских еквивалента забележиле су пад у односу на претходну годину који је </w:t>
      </w:r>
      <w:r w:rsidR="004E1215">
        <w:rPr>
          <w:rStyle w:val="Hyperlink"/>
          <w:noProof/>
          <w:color w:val="auto"/>
          <w:sz w:val="20"/>
          <w:szCs w:val="20"/>
          <w:lang w:val="sr-Cyrl-CS"/>
        </w:rPr>
        <w:t xml:space="preserve">делимично </w:t>
      </w:r>
      <w:r w:rsidRPr="00BF3CDE">
        <w:rPr>
          <w:rStyle w:val="Hyperlink"/>
          <w:noProof/>
          <w:color w:val="auto"/>
          <w:sz w:val="20"/>
          <w:szCs w:val="20"/>
          <w:lang w:val="sr-Cyrl-CS"/>
        </w:rPr>
        <w:t>резултат прекомпоновања инвестиционог портфолија у корист дугорочних финансијских пласмана.</w:t>
      </w:r>
      <w:r w:rsidR="002D2678" w:rsidRPr="00BF3CDE">
        <w:rPr>
          <w:rStyle w:val="Hyperlink"/>
          <w:noProof/>
          <w:color w:val="auto"/>
          <w:sz w:val="20"/>
          <w:szCs w:val="20"/>
          <w:lang w:val="sr-Cyrl-CS"/>
        </w:rPr>
        <w:t xml:space="preserve"> О детаљима и структури инвестиционог портфолија биће више речи у посебном поглављу извештаја.</w:t>
      </w:r>
    </w:p>
    <w:p w14:paraId="71B96F6B" w14:textId="717C5D7E" w:rsidR="00DE138A" w:rsidRPr="00BF3CDE" w:rsidRDefault="00DE138A" w:rsidP="00DE138A">
      <w:pPr>
        <w:spacing w:after="0"/>
        <w:ind w:firstLine="567"/>
        <w:jc w:val="both"/>
        <w:rPr>
          <w:noProof/>
          <w:sz w:val="20"/>
          <w:szCs w:val="20"/>
          <w:lang w:val="sr-Cyrl-CS"/>
        </w:rPr>
      </w:pPr>
      <w:r w:rsidRPr="00BF3CDE">
        <w:rPr>
          <w:noProof/>
          <w:sz w:val="20"/>
          <w:szCs w:val="20"/>
          <w:lang w:val="sr-Cyrl-CS"/>
        </w:rPr>
        <w:t xml:space="preserve">Активна временска разграничења у износу од </w:t>
      </w:r>
      <w:r w:rsidR="000D2029">
        <w:rPr>
          <w:noProof/>
          <w:sz w:val="20"/>
          <w:szCs w:val="20"/>
          <w:lang w:val="sr-Cyrl-CS"/>
        </w:rPr>
        <w:t>26,325</w:t>
      </w:r>
      <w:r w:rsidRPr="00BF3CDE">
        <w:rPr>
          <w:noProof/>
          <w:sz w:val="20"/>
          <w:szCs w:val="20"/>
          <w:lang w:val="sr-Cyrl-CS"/>
        </w:rPr>
        <w:t xml:space="preserve"> хиљада динара односи се на:</w:t>
      </w:r>
    </w:p>
    <w:tbl>
      <w:tblPr>
        <w:tblW w:w="9385" w:type="dxa"/>
        <w:tblInd w:w="-176" w:type="dxa"/>
        <w:tblLook w:val="04A0" w:firstRow="1" w:lastRow="0" w:firstColumn="1" w:lastColumn="0" w:noHBand="0" w:noVBand="1"/>
      </w:tblPr>
      <w:tblGrid>
        <w:gridCol w:w="3843"/>
        <w:gridCol w:w="1142"/>
        <w:gridCol w:w="1150"/>
        <w:gridCol w:w="1140"/>
        <w:gridCol w:w="1150"/>
        <w:gridCol w:w="1000"/>
      </w:tblGrid>
      <w:tr w:rsidR="00DE138A" w:rsidRPr="00BF3CDE" w14:paraId="3FA0F625" w14:textId="77777777" w:rsidTr="0076189C">
        <w:trPr>
          <w:trHeight w:val="340"/>
        </w:trPr>
        <w:tc>
          <w:tcPr>
            <w:tcW w:w="3843" w:type="dxa"/>
            <w:tcBorders>
              <w:top w:val="nil"/>
              <w:left w:val="nil"/>
              <w:bottom w:val="single" w:sz="8" w:space="0" w:color="629DD1"/>
              <w:right w:val="nil"/>
            </w:tcBorders>
            <w:shd w:val="clear" w:color="auto" w:fill="auto"/>
            <w:noWrap/>
            <w:vAlign w:val="center"/>
            <w:hideMark/>
          </w:tcPr>
          <w:p w14:paraId="71F46057" w14:textId="77777777" w:rsidR="00DE138A" w:rsidRPr="00BF3CDE" w:rsidRDefault="00DE138A" w:rsidP="0076189C">
            <w:pPr>
              <w:spacing w:after="0" w:line="240" w:lineRule="auto"/>
              <w:jc w:val="center"/>
              <w:rPr>
                <w:rFonts w:ascii="Verdana" w:eastAsia="Times New Roman" w:hAnsi="Verdana" w:cs="Calibri"/>
                <w:b/>
                <w:bCs/>
                <w:noProof/>
                <w:color w:val="000000"/>
                <w:sz w:val="18"/>
                <w:szCs w:val="18"/>
                <w:lang w:val="sr-Cyrl-CS" w:eastAsia="sr-Latn-RS"/>
              </w:rPr>
            </w:pPr>
            <w:r w:rsidRPr="00BF3CDE">
              <w:rPr>
                <w:rFonts w:ascii="Verdana" w:eastAsia="Times New Roman" w:hAnsi="Verdana" w:cs="Calibri"/>
                <w:b/>
                <w:bCs/>
                <w:noProof/>
                <w:color w:val="000000"/>
                <w:sz w:val="18"/>
                <w:szCs w:val="18"/>
                <w:lang w:val="sr-Cyrl-CS" w:eastAsia="sr-Latn-RS"/>
              </w:rPr>
              <w:t>ОПИС</w:t>
            </w:r>
          </w:p>
        </w:tc>
        <w:tc>
          <w:tcPr>
            <w:tcW w:w="1142" w:type="dxa"/>
            <w:tcBorders>
              <w:top w:val="nil"/>
              <w:left w:val="nil"/>
              <w:bottom w:val="single" w:sz="8" w:space="0" w:color="629DD1"/>
              <w:right w:val="nil"/>
            </w:tcBorders>
            <w:shd w:val="clear" w:color="auto" w:fill="auto"/>
            <w:noWrap/>
            <w:vAlign w:val="center"/>
            <w:hideMark/>
          </w:tcPr>
          <w:p w14:paraId="4720EF34" w14:textId="77777777" w:rsidR="00DE138A" w:rsidRPr="00BF3CDE" w:rsidRDefault="00DE138A" w:rsidP="0076189C">
            <w:pPr>
              <w:spacing w:after="0" w:line="240" w:lineRule="auto"/>
              <w:jc w:val="center"/>
              <w:rPr>
                <w:rFonts w:ascii="Verdana" w:eastAsia="Times New Roman" w:hAnsi="Verdana" w:cs="Calibri"/>
                <w:b/>
                <w:bCs/>
                <w:noProof/>
                <w:color w:val="000000"/>
                <w:sz w:val="16"/>
                <w:szCs w:val="16"/>
                <w:lang w:val="sr-Cyrl-CS" w:eastAsia="sr-Latn-RS"/>
              </w:rPr>
            </w:pPr>
            <w:r w:rsidRPr="00BF3CDE">
              <w:rPr>
                <w:rFonts w:ascii="Verdana" w:eastAsia="Times New Roman" w:hAnsi="Verdana" w:cs="Calibri"/>
                <w:b/>
                <w:bCs/>
                <w:noProof/>
                <w:color w:val="000000"/>
                <w:sz w:val="16"/>
                <w:szCs w:val="16"/>
                <w:lang w:val="sr-Cyrl-CS" w:eastAsia="sr-Latn-RS"/>
              </w:rPr>
              <w:t>2013</w:t>
            </w:r>
          </w:p>
        </w:tc>
        <w:tc>
          <w:tcPr>
            <w:tcW w:w="1150" w:type="dxa"/>
            <w:tcBorders>
              <w:top w:val="nil"/>
              <w:left w:val="nil"/>
              <w:bottom w:val="single" w:sz="8" w:space="0" w:color="629DD1"/>
              <w:right w:val="nil"/>
            </w:tcBorders>
            <w:shd w:val="clear" w:color="auto" w:fill="auto"/>
            <w:vAlign w:val="center"/>
            <w:hideMark/>
          </w:tcPr>
          <w:p w14:paraId="558572A2" w14:textId="77777777" w:rsidR="00DE138A" w:rsidRPr="00BF3CDE" w:rsidRDefault="00DE138A" w:rsidP="0076189C">
            <w:pPr>
              <w:spacing w:after="0" w:line="240" w:lineRule="auto"/>
              <w:jc w:val="center"/>
              <w:rPr>
                <w:rFonts w:ascii="Verdana" w:eastAsia="Times New Roman" w:hAnsi="Verdana" w:cs="Calibri"/>
                <w:b/>
                <w:bCs/>
                <w:noProof/>
                <w:color w:val="000000"/>
                <w:sz w:val="16"/>
                <w:szCs w:val="16"/>
                <w:lang w:val="sr-Cyrl-CS" w:eastAsia="sr-Latn-RS"/>
              </w:rPr>
            </w:pPr>
            <w:r w:rsidRPr="00BF3CDE">
              <w:rPr>
                <w:rFonts w:ascii="Verdana" w:eastAsia="Times New Roman" w:hAnsi="Verdana" w:cs="Calibri"/>
                <w:b/>
                <w:bCs/>
                <w:noProof/>
                <w:color w:val="000000"/>
                <w:sz w:val="16"/>
                <w:szCs w:val="16"/>
                <w:lang w:val="sr-Cyrl-CS" w:eastAsia="sr-Latn-RS"/>
              </w:rPr>
              <w:t>Структура 2013</w:t>
            </w:r>
          </w:p>
        </w:tc>
        <w:tc>
          <w:tcPr>
            <w:tcW w:w="1140" w:type="dxa"/>
            <w:tcBorders>
              <w:top w:val="nil"/>
              <w:left w:val="nil"/>
              <w:bottom w:val="single" w:sz="8" w:space="0" w:color="629DD1"/>
              <w:right w:val="nil"/>
            </w:tcBorders>
            <w:shd w:val="clear" w:color="auto" w:fill="auto"/>
            <w:noWrap/>
            <w:vAlign w:val="center"/>
            <w:hideMark/>
          </w:tcPr>
          <w:p w14:paraId="7B8B9B65" w14:textId="77777777" w:rsidR="00DE138A" w:rsidRPr="00BF3CDE" w:rsidRDefault="00DE138A" w:rsidP="0076189C">
            <w:pPr>
              <w:spacing w:after="0" w:line="240" w:lineRule="auto"/>
              <w:jc w:val="center"/>
              <w:rPr>
                <w:rFonts w:ascii="Verdana" w:eastAsia="Times New Roman" w:hAnsi="Verdana" w:cs="Calibri"/>
                <w:b/>
                <w:bCs/>
                <w:noProof/>
                <w:color w:val="000000"/>
                <w:sz w:val="16"/>
                <w:szCs w:val="16"/>
                <w:lang w:val="sr-Cyrl-CS" w:eastAsia="sr-Latn-RS"/>
              </w:rPr>
            </w:pPr>
            <w:r w:rsidRPr="00BF3CDE">
              <w:rPr>
                <w:rFonts w:ascii="Verdana" w:eastAsia="Times New Roman" w:hAnsi="Verdana" w:cs="Calibri"/>
                <w:b/>
                <w:bCs/>
                <w:noProof/>
                <w:color w:val="000000"/>
                <w:sz w:val="16"/>
                <w:szCs w:val="16"/>
                <w:lang w:val="sr-Cyrl-CS" w:eastAsia="sr-Latn-RS"/>
              </w:rPr>
              <w:t>2014</w:t>
            </w:r>
          </w:p>
        </w:tc>
        <w:tc>
          <w:tcPr>
            <w:tcW w:w="1150" w:type="dxa"/>
            <w:tcBorders>
              <w:top w:val="nil"/>
              <w:left w:val="nil"/>
              <w:bottom w:val="single" w:sz="8" w:space="0" w:color="629DD1"/>
              <w:right w:val="nil"/>
            </w:tcBorders>
            <w:shd w:val="clear" w:color="auto" w:fill="auto"/>
            <w:vAlign w:val="center"/>
            <w:hideMark/>
          </w:tcPr>
          <w:p w14:paraId="35D57D22" w14:textId="77777777" w:rsidR="00DE138A" w:rsidRPr="00BF3CDE" w:rsidRDefault="00DE138A" w:rsidP="0076189C">
            <w:pPr>
              <w:spacing w:after="0" w:line="240" w:lineRule="auto"/>
              <w:jc w:val="center"/>
              <w:rPr>
                <w:rFonts w:ascii="Verdana" w:eastAsia="Times New Roman" w:hAnsi="Verdana" w:cs="Calibri"/>
                <w:b/>
                <w:bCs/>
                <w:noProof/>
                <w:color w:val="000000"/>
                <w:sz w:val="16"/>
                <w:szCs w:val="16"/>
                <w:lang w:val="sr-Cyrl-CS" w:eastAsia="sr-Latn-RS"/>
              </w:rPr>
            </w:pPr>
            <w:r w:rsidRPr="00BF3CDE">
              <w:rPr>
                <w:rFonts w:ascii="Verdana" w:eastAsia="Times New Roman" w:hAnsi="Verdana" w:cs="Calibri"/>
                <w:b/>
                <w:bCs/>
                <w:noProof/>
                <w:color w:val="000000"/>
                <w:sz w:val="16"/>
                <w:szCs w:val="16"/>
                <w:lang w:val="sr-Cyrl-CS" w:eastAsia="sr-Latn-RS"/>
              </w:rPr>
              <w:t>Структура 2014</w:t>
            </w:r>
          </w:p>
        </w:tc>
        <w:tc>
          <w:tcPr>
            <w:tcW w:w="960" w:type="dxa"/>
            <w:tcBorders>
              <w:top w:val="nil"/>
              <w:left w:val="nil"/>
              <w:bottom w:val="single" w:sz="8" w:space="0" w:color="629DD1"/>
              <w:right w:val="nil"/>
            </w:tcBorders>
            <w:shd w:val="clear" w:color="auto" w:fill="auto"/>
            <w:vAlign w:val="center"/>
            <w:hideMark/>
          </w:tcPr>
          <w:p w14:paraId="5A2E5C8A" w14:textId="77777777" w:rsidR="00DE138A" w:rsidRPr="00BF3CDE" w:rsidRDefault="00DE138A" w:rsidP="0076189C">
            <w:pPr>
              <w:spacing w:after="0" w:line="240" w:lineRule="auto"/>
              <w:jc w:val="center"/>
              <w:rPr>
                <w:rFonts w:ascii="Verdana" w:eastAsia="Times New Roman" w:hAnsi="Verdana" w:cs="Calibri"/>
                <w:b/>
                <w:bCs/>
                <w:noProof/>
                <w:color w:val="000000"/>
                <w:sz w:val="16"/>
                <w:szCs w:val="16"/>
                <w:lang w:val="sr-Cyrl-CS" w:eastAsia="sr-Latn-RS"/>
              </w:rPr>
            </w:pPr>
            <w:r w:rsidRPr="00BF3CDE">
              <w:rPr>
                <w:rFonts w:ascii="Verdana" w:eastAsia="Times New Roman" w:hAnsi="Verdana" w:cs="Calibri"/>
                <w:b/>
                <w:bCs/>
                <w:noProof/>
                <w:color w:val="000000"/>
                <w:sz w:val="16"/>
                <w:szCs w:val="16"/>
                <w:lang w:val="sr-Cyrl-CS" w:eastAsia="sr-Latn-RS"/>
              </w:rPr>
              <w:t>индекс 14/13</w:t>
            </w:r>
          </w:p>
        </w:tc>
      </w:tr>
      <w:tr w:rsidR="00DE138A" w:rsidRPr="00BF3CDE" w14:paraId="721051C3" w14:textId="77777777" w:rsidTr="0076189C">
        <w:trPr>
          <w:trHeight w:val="20"/>
        </w:trPr>
        <w:tc>
          <w:tcPr>
            <w:tcW w:w="3843" w:type="dxa"/>
            <w:tcBorders>
              <w:top w:val="nil"/>
              <w:left w:val="nil"/>
              <w:bottom w:val="nil"/>
              <w:right w:val="nil"/>
            </w:tcBorders>
            <w:shd w:val="clear" w:color="000000" w:fill="D8E6F3"/>
            <w:noWrap/>
            <w:vAlign w:val="center"/>
            <w:hideMark/>
          </w:tcPr>
          <w:p w14:paraId="1D0FC562" w14:textId="77777777" w:rsidR="00DE138A" w:rsidRPr="00BF3CDE" w:rsidRDefault="00DE138A" w:rsidP="0076189C">
            <w:pPr>
              <w:spacing w:after="0" w:line="240" w:lineRule="auto"/>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Унапред плаћени трошкови</w:t>
            </w:r>
          </w:p>
        </w:tc>
        <w:tc>
          <w:tcPr>
            <w:tcW w:w="1142" w:type="dxa"/>
            <w:tcBorders>
              <w:top w:val="nil"/>
              <w:left w:val="nil"/>
              <w:bottom w:val="nil"/>
              <w:right w:val="nil"/>
            </w:tcBorders>
            <w:shd w:val="clear" w:color="000000" w:fill="D8E6F3"/>
            <w:noWrap/>
            <w:vAlign w:val="center"/>
            <w:hideMark/>
          </w:tcPr>
          <w:p w14:paraId="0113EF36" w14:textId="77777777" w:rsidR="00DE138A" w:rsidRPr="00BF3CDE" w:rsidRDefault="00DE138A" w:rsidP="0076189C">
            <w:pPr>
              <w:spacing w:after="0" w:line="240" w:lineRule="auto"/>
              <w:jc w:val="center"/>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376</w:t>
            </w:r>
          </w:p>
        </w:tc>
        <w:tc>
          <w:tcPr>
            <w:tcW w:w="1150" w:type="dxa"/>
            <w:tcBorders>
              <w:top w:val="nil"/>
              <w:left w:val="nil"/>
              <w:bottom w:val="nil"/>
              <w:right w:val="nil"/>
            </w:tcBorders>
            <w:shd w:val="clear" w:color="000000" w:fill="D8E6F3"/>
            <w:vAlign w:val="center"/>
            <w:hideMark/>
          </w:tcPr>
          <w:p w14:paraId="74CC9D57" w14:textId="77777777" w:rsidR="00DE138A" w:rsidRPr="00BF3CDE" w:rsidRDefault="00DE138A" w:rsidP="0076189C">
            <w:pPr>
              <w:spacing w:after="0" w:line="240" w:lineRule="auto"/>
              <w:jc w:val="center"/>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1.49%</w:t>
            </w:r>
          </w:p>
        </w:tc>
        <w:tc>
          <w:tcPr>
            <w:tcW w:w="1140" w:type="dxa"/>
            <w:tcBorders>
              <w:top w:val="nil"/>
              <w:left w:val="nil"/>
              <w:bottom w:val="nil"/>
              <w:right w:val="nil"/>
            </w:tcBorders>
            <w:shd w:val="clear" w:color="000000" w:fill="D8E6F3"/>
            <w:noWrap/>
          </w:tcPr>
          <w:p w14:paraId="68BD11AF" w14:textId="77777777" w:rsidR="00DE138A" w:rsidRPr="00BF3CDE" w:rsidRDefault="00DE138A" w:rsidP="0076189C">
            <w:pPr>
              <w:spacing w:after="0" w:line="240" w:lineRule="auto"/>
              <w:jc w:val="center"/>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370</w:t>
            </w:r>
          </w:p>
        </w:tc>
        <w:tc>
          <w:tcPr>
            <w:tcW w:w="1150" w:type="dxa"/>
            <w:tcBorders>
              <w:top w:val="nil"/>
              <w:left w:val="nil"/>
              <w:bottom w:val="nil"/>
              <w:right w:val="nil"/>
            </w:tcBorders>
            <w:shd w:val="clear" w:color="000000" w:fill="D8E6F3"/>
          </w:tcPr>
          <w:p w14:paraId="385C4E5A" w14:textId="77777777" w:rsidR="00DE138A" w:rsidRPr="00BF3CDE" w:rsidRDefault="00DE138A" w:rsidP="0076189C">
            <w:pPr>
              <w:spacing w:after="0" w:line="240" w:lineRule="auto"/>
              <w:jc w:val="center"/>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1.41%</w:t>
            </w:r>
          </w:p>
        </w:tc>
        <w:tc>
          <w:tcPr>
            <w:tcW w:w="960" w:type="dxa"/>
            <w:tcBorders>
              <w:top w:val="nil"/>
              <w:left w:val="nil"/>
              <w:bottom w:val="nil"/>
              <w:right w:val="nil"/>
            </w:tcBorders>
            <w:shd w:val="clear" w:color="000000" w:fill="D8E6F3"/>
            <w:noWrap/>
          </w:tcPr>
          <w:p w14:paraId="48369C20" w14:textId="77777777" w:rsidR="00DE138A" w:rsidRPr="00BF3CDE" w:rsidRDefault="00DE138A" w:rsidP="0076189C">
            <w:pPr>
              <w:spacing w:after="0" w:line="240" w:lineRule="auto"/>
              <w:jc w:val="center"/>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98.40</w:t>
            </w:r>
          </w:p>
        </w:tc>
      </w:tr>
      <w:tr w:rsidR="00DE138A" w:rsidRPr="00BF3CDE" w14:paraId="4C96A60B" w14:textId="77777777" w:rsidTr="0076189C">
        <w:trPr>
          <w:trHeight w:val="20"/>
        </w:trPr>
        <w:tc>
          <w:tcPr>
            <w:tcW w:w="3843" w:type="dxa"/>
            <w:tcBorders>
              <w:top w:val="nil"/>
              <w:left w:val="nil"/>
              <w:bottom w:val="nil"/>
              <w:right w:val="nil"/>
            </w:tcBorders>
            <w:shd w:val="clear" w:color="auto" w:fill="auto"/>
            <w:noWrap/>
            <w:vAlign w:val="center"/>
            <w:hideMark/>
          </w:tcPr>
          <w:p w14:paraId="771D9362" w14:textId="77777777" w:rsidR="00DE138A" w:rsidRPr="00BF3CDE" w:rsidRDefault="00DE138A" w:rsidP="0076189C">
            <w:pPr>
              <w:spacing w:after="0" w:line="240" w:lineRule="auto"/>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Потраживања за нефакт. приход</w:t>
            </w:r>
          </w:p>
        </w:tc>
        <w:tc>
          <w:tcPr>
            <w:tcW w:w="1142" w:type="dxa"/>
            <w:tcBorders>
              <w:top w:val="nil"/>
              <w:left w:val="nil"/>
              <w:bottom w:val="nil"/>
              <w:right w:val="nil"/>
            </w:tcBorders>
            <w:shd w:val="clear" w:color="auto" w:fill="auto"/>
            <w:noWrap/>
            <w:vAlign w:val="center"/>
            <w:hideMark/>
          </w:tcPr>
          <w:p w14:paraId="44AC0605" w14:textId="77777777" w:rsidR="00DE138A" w:rsidRPr="00BF3CDE" w:rsidRDefault="00DE138A" w:rsidP="0076189C">
            <w:pPr>
              <w:spacing w:after="0" w:line="240" w:lineRule="auto"/>
              <w:jc w:val="center"/>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8,636</w:t>
            </w:r>
          </w:p>
        </w:tc>
        <w:tc>
          <w:tcPr>
            <w:tcW w:w="1150" w:type="dxa"/>
            <w:tcBorders>
              <w:top w:val="nil"/>
              <w:left w:val="nil"/>
              <w:bottom w:val="nil"/>
              <w:right w:val="nil"/>
            </w:tcBorders>
            <w:shd w:val="clear" w:color="auto" w:fill="auto"/>
            <w:vAlign w:val="center"/>
            <w:hideMark/>
          </w:tcPr>
          <w:p w14:paraId="166FCB8E" w14:textId="77777777" w:rsidR="00DE138A" w:rsidRPr="00BF3CDE" w:rsidRDefault="00DE138A" w:rsidP="0076189C">
            <w:pPr>
              <w:spacing w:after="0" w:line="240" w:lineRule="auto"/>
              <w:jc w:val="center"/>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34.28%</w:t>
            </w:r>
          </w:p>
        </w:tc>
        <w:tc>
          <w:tcPr>
            <w:tcW w:w="1140" w:type="dxa"/>
            <w:tcBorders>
              <w:top w:val="nil"/>
              <w:left w:val="nil"/>
              <w:bottom w:val="nil"/>
              <w:right w:val="nil"/>
            </w:tcBorders>
            <w:shd w:val="clear" w:color="auto" w:fill="auto"/>
            <w:noWrap/>
          </w:tcPr>
          <w:p w14:paraId="59E0C2FA" w14:textId="77777777" w:rsidR="00DE138A" w:rsidRPr="00BF3CDE" w:rsidRDefault="00DE138A" w:rsidP="0076189C">
            <w:pPr>
              <w:spacing w:after="0" w:line="240" w:lineRule="auto"/>
              <w:jc w:val="center"/>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8,890</w:t>
            </w:r>
          </w:p>
        </w:tc>
        <w:tc>
          <w:tcPr>
            <w:tcW w:w="1150" w:type="dxa"/>
            <w:tcBorders>
              <w:top w:val="nil"/>
              <w:left w:val="nil"/>
              <w:bottom w:val="nil"/>
              <w:right w:val="nil"/>
            </w:tcBorders>
            <w:shd w:val="clear" w:color="auto" w:fill="auto"/>
          </w:tcPr>
          <w:p w14:paraId="1EA4DA19" w14:textId="77777777" w:rsidR="00DE138A" w:rsidRPr="00BF3CDE" w:rsidRDefault="00DE138A" w:rsidP="0076189C">
            <w:pPr>
              <w:spacing w:after="0" w:line="240" w:lineRule="auto"/>
              <w:jc w:val="center"/>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33.77%</w:t>
            </w:r>
          </w:p>
        </w:tc>
        <w:tc>
          <w:tcPr>
            <w:tcW w:w="960" w:type="dxa"/>
            <w:tcBorders>
              <w:top w:val="nil"/>
              <w:left w:val="nil"/>
              <w:bottom w:val="nil"/>
              <w:right w:val="nil"/>
            </w:tcBorders>
            <w:shd w:val="clear" w:color="auto" w:fill="auto"/>
            <w:noWrap/>
          </w:tcPr>
          <w:p w14:paraId="354FAC6D" w14:textId="77777777" w:rsidR="00DE138A" w:rsidRPr="00BF3CDE" w:rsidRDefault="00DE138A" w:rsidP="0076189C">
            <w:pPr>
              <w:spacing w:after="0" w:line="240" w:lineRule="auto"/>
              <w:jc w:val="center"/>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102.94</w:t>
            </w:r>
          </w:p>
        </w:tc>
      </w:tr>
      <w:tr w:rsidR="00DE138A" w:rsidRPr="00BF3CDE" w14:paraId="2CCB2B22" w14:textId="77777777" w:rsidTr="0076189C">
        <w:trPr>
          <w:trHeight w:val="20"/>
        </w:trPr>
        <w:tc>
          <w:tcPr>
            <w:tcW w:w="3843" w:type="dxa"/>
            <w:tcBorders>
              <w:top w:val="nil"/>
              <w:left w:val="nil"/>
              <w:bottom w:val="nil"/>
              <w:right w:val="nil"/>
            </w:tcBorders>
            <w:shd w:val="clear" w:color="000000" w:fill="DCE6F1"/>
            <w:noWrap/>
            <w:vAlign w:val="center"/>
            <w:hideMark/>
          </w:tcPr>
          <w:p w14:paraId="4A6CC2AC" w14:textId="77777777" w:rsidR="00DE138A" w:rsidRPr="00BF3CDE" w:rsidRDefault="00DE138A" w:rsidP="0076189C">
            <w:pPr>
              <w:spacing w:after="0" w:line="240" w:lineRule="auto"/>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Пасивна математичка резерва</w:t>
            </w:r>
          </w:p>
        </w:tc>
        <w:tc>
          <w:tcPr>
            <w:tcW w:w="1142" w:type="dxa"/>
            <w:tcBorders>
              <w:top w:val="nil"/>
              <w:left w:val="nil"/>
              <w:bottom w:val="nil"/>
              <w:right w:val="nil"/>
            </w:tcBorders>
            <w:shd w:val="clear" w:color="000000" w:fill="DCE6F1"/>
            <w:noWrap/>
            <w:vAlign w:val="center"/>
            <w:hideMark/>
          </w:tcPr>
          <w:p w14:paraId="49750FAF" w14:textId="77777777" w:rsidR="00DE138A" w:rsidRPr="00BF3CDE" w:rsidRDefault="00DE138A" w:rsidP="0076189C">
            <w:pPr>
              <w:spacing w:after="0" w:line="240" w:lineRule="auto"/>
              <w:jc w:val="center"/>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16,182</w:t>
            </w:r>
          </w:p>
        </w:tc>
        <w:tc>
          <w:tcPr>
            <w:tcW w:w="1150" w:type="dxa"/>
            <w:tcBorders>
              <w:top w:val="nil"/>
              <w:left w:val="nil"/>
              <w:bottom w:val="nil"/>
              <w:right w:val="nil"/>
            </w:tcBorders>
            <w:shd w:val="clear" w:color="000000" w:fill="DCE6F1"/>
            <w:vAlign w:val="center"/>
            <w:hideMark/>
          </w:tcPr>
          <w:p w14:paraId="2AE78631" w14:textId="77777777" w:rsidR="00DE138A" w:rsidRPr="00BF3CDE" w:rsidRDefault="00DE138A" w:rsidP="0076189C">
            <w:pPr>
              <w:spacing w:after="0" w:line="240" w:lineRule="auto"/>
              <w:jc w:val="center"/>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64.23%</w:t>
            </w:r>
          </w:p>
        </w:tc>
        <w:tc>
          <w:tcPr>
            <w:tcW w:w="1140" w:type="dxa"/>
            <w:tcBorders>
              <w:top w:val="nil"/>
              <w:left w:val="nil"/>
              <w:bottom w:val="nil"/>
              <w:right w:val="nil"/>
            </w:tcBorders>
            <w:shd w:val="clear" w:color="000000" w:fill="DCE6F1"/>
            <w:noWrap/>
          </w:tcPr>
          <w:p w14:paraId="0F13C292" w14:textId="77777777" w:rsidR="00DE138A" w:rsidRPr="00BF3CDE" w:rsidRDefault="00DE138A" w:rsidP="0076189C">
            <w:pPr>
              <w:spacing w:after="0" w:line="240" w:lineRule="auto"/>
              <w:jc w:val="center"/>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17,065</w:t>
            </w:r>
          </w:p>
        </w:tc>
        <w:tc>
          <w:tcPr>
            <w:tcW w:w="1150" w:type="dxa"/>
            <w:tcBorders>
              <w:top w:val="nil"/>
              <w:left w:val="nil"/>
              <w:bottom w:val="nil"/>
              <w:right w:val="nil"/>
            </w:tcBorders>
            <w:shd w:val="clear" w:color="000000" w:fill="DCE6F1"/>
          </w:tcPr>
          <w:p w14:paraId="041C1A6F" w14:textId="77777777" w:rsidR="00DE138A" w:rsidRPr="00BF3CDE" w:rsidRDefault="00DE138A" w:rsidP="0076189C">
            <w:pPr>
              <w:spacing w:after="0" w:line="240" w:lineRule="auto"/>
              <w:jc w:val="center"/>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64.82%</w:t>
            </w:r>
          </w:p>
        </w:tc>
        <w:tc>
          <w:tcPr>
            <w:tcW w:w="960" w:type="dxa"/>
            <w:tcBorders>
              <w:top w:val="nil"/>
              <w:left w:val="nil"/>
              <w:bottom w:val="nil"/>
              <w:right w:val="nil"/>
            </w:tcBorders>
            <w:shd w:val="clear" w:color="000000" w:fill="DCE6F1"/>
            <w:noWrap/>
          </w:tcPr>
          <w:p w14:paraId="452EBB10" w14:textId="77777777" w:rsidR="00DE138A" w:rsidRPr="00BF3CDE" w:rsidRDefault="00DE138A" w:rsidP="0076189C">
            <w:pPr>
              <w:spacing w:after="0" w:line="240" w:lineRule="auto"/>
              <w:jc w:val="center"/>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105.46</w:t>
            </w:r>
          </w:p>
        </w:tc>
      </w:tr>
      <w:tr w:rsidR="00DE138A" w:rsidRPr="00BF3CDE" w14:paraId="049FCAB9" w14:textId="77777777" w:rsidTr="0076189C">
        <w:trPr>
          <w:trHeight w:val="20"/>
        </w:trPr>
        <w:tc>
          <w:tcPr>
            <w:tcW w:w="3843" w:type="dxa"/>
            <w:tcBorders>
              <w:top w:val="single" w:sz="8" w:space="0" w:color="629DD1"/>
              <w:left w:val="nil"/>
              <w:bottom w:val="single" w:sz="8" w:space="0" w:color="629DD1"/>
              <w:right w:val="nil"/>
            </w:tcBorders>
            <w:shd w:val="clear" w:color="auto" w:fill="auto"/>
            <w:noWrap/>
            <w:vAlign w:val="center"/>
            <w:hideMark/>
          </w:tcPr>
          <w:p w14:paraId="0942746C" w14:textId="77777777" w:rsidR="00DE138A" w:rsidRPr="00BF3CDE" w:rsidRDefault="00DE138A" w:rsidP="0076189C">
            <w:pPr>
              <w:spacing w:after="0" w:line="240" w:lineRule="auto"/>
              <w:jc w:val="center"/>
              <w:rPr>
                <w:rFonts w:ascii="Verdana" w:eastAsia="Times New Roman" w:hAnsi="Verdana" w:cs="Calibri"/>
                <w:b/>
                <w:bCs/>
                <w:noProof/>
                <w:color w:val="242852"/>
                <w:sz w:val="20"/>
                <w:szCs w:val="20"/>
                <w:lang w:val="sr-Cyrl-CS" w:eastAsia="sr-Latn-RS"/>
              </w:rPr>
            </w:pPr>
            <w:r w:rsidRPr="00BF3CDE">
              <w:rPr>
                <w:rFonts w:ascii="Verdana" w:eastAsia="Times New Roman" w:hAnsi="Verdana" w:cs="Calibri"/>
                <w:b/>
                <w:bCs/>
                <w:noProof/>
                <w:color w:val="242852"/>
                <w:sz w:val="20"/>
                <w:szCs w:val="20"/>
                <w:lang w:val="sr-Cyrl-CS" w:eastAsia="sr-Latn-RS"/>
              </w:rPr>
              <w:t>УКУПНО</w:t>
            </w:r>
          </w:p>
        </w:tc>
        <w:tc>
          <w:tcPr>
            <w:tcW w:w="1142" w:type="dxa"/>
            <w:tcBorders>
              <w:top w:val="single" w:sz="8" w:space="0" w:color="629DD1"/>
              <w:left w:val="nil"/>
              <w:bottom w:val="single" w:sz="8" w:space="0" w:color="629DD1"/>
              <w:right w:val="nil"/>
            </w:tcBorders>
            <w:shd w:val="clear" w:color="auto" w:fill="auto"/>
            <w:noWrap/>
            <w:vAlign w:val="center"/>
            <w:hideMark/>
          </w:tcPr>
          <w:p w14:paraId="55790822" w14:textId="77777777" w:rsidR="00DE138A" w:rsidRPr="00BF3CDE" w:rsidRDefault="00DE138A" w:rsidP="0076189C">
            <w:pPr>
              <w:spacing w:after="0" w:line="240" w:lineRule="auto"/>
              <w:jc w:val="center"/>
              <w:rPr>
                <w:rFonts w:ascii="Verdana" w:eastAsia="Times New Roman" w:hAnsi="Verdana" w:cs="Calibri"/>
                <w:b/>
                <w:bCs/>
                <w:noProof/>
                <w:color w:val="242852"/>
                <w:sz w:val="20"/>
                <w:szCs w:val="20"/>
                <w:lang w:val="sr-Cyrl-CS" w:eastAsia="sr-Latn-RS"/>
              </w:rPr>
            </w:pPr>
            <w:r w:rsidRPr="00BF3CDE">
              <w:rPr>
                <w:rFonts w:ascii="Verdana" w:eastAsia="Times New Roman" w:hAnsi="Verdana" w:cs="Calibri"/>
                <w:b/>
                <w:bCs/>
                <w:noProof/>
                <w:color w:val="242852"/>
                <w:sz w:val="20"/>
                <w:szCs w:val="20"/>
                <w:lang w:val="sr-Cyrl-CS" w:eastAsia="sr-Latn-RS"/>
              </w:rPr>
              <w:t>25,194</w:t>
            </w:r>
          </w:p>
        </w:tc>
        <w:tc>
          <w:tcPr>
            <w:tcW w:w="1150" w:type="dxa"/>
            <w:tcBorders>
              <w:top w:val="single" w:sz="8" w:space="0" w:color="629DD1"/>
              <w:left w:val="nil"/>
              <w:bottom w:val="single" w:sz="8" w:space="0" w:color="629DD1"/>
              <w:right w:val="nil"/>
            </w:tcBorders>
            <w:shd w:val="clear" w:color="auto" w:fill="auto"/>
            <w:vAlign w:val="center"/>
            <w:hideMark/>
          </w:tcPr>
          <w:p w14:paraId="1F39E356" w14:textId="77777777" w:rsidR="00DE138A" w:rsidRPr="00BF3CDE" w:rsidRDefault="00DE138A" w:rsidP="0076189C">
            <w:pPr>
              <w:spacing w:after="0" w:line="240" w:lineRule="auto"/>
              <w:jc w:val="center"/>
              <w:rPr>
                <w:rFonts w:ascii="Verdana" w:eastAsia="Times New Roman" w:hAnsi="Verdana" w:cs="Calibri"/>
                <w:b/>
                <w:bCs/>
                <w:noProof/>
                <w:color w:val="242852"/>
                <w:sz w:val="18"/>
                <w:szCs w:val="18"/>
                <w:lang w:val="sr-Cyrl-CS" w:eastAsia="sr-Latn-RS"/>
              </w:rPr>
            </w:pPr>
            <w:r w:rsidRPr="00BF3CDE">
              <w:rPr>
                <w:rFonts w:ascii="Verdana" w:eastAsia="Times New Roman" w:hAnsi="Verdana" w:cs="Calibri"/>
                <w:b/>
                <w:bCs/>
                <w:noProof/>
                <w:color w:val="242852"/>
                <w:sz w:val="18"/>
                <w:szCs w:val="18"/>
                <w:lang w:val="sr-Cyrl-CS" w:eastAsia="sr-Latn-RS"/>
              </w:rPr>
              <w:t>100.00%</w:t>
            </w:r>
          </w:p>
        </w:tc>
        <w:tc>
          <w:tcPr>
            <w:tcW w:w="1140" w:type="dxa"/>
            <w:tcBorders>
              <w:top w:val="single" w:sz="8" w:space="0" w:color="629DD1"/>
              <w:left w:val="nil"/>
              <w:bottom w:val="single" w:sz="8" w:space="0" w:color="629DD1"/>
              <w:right w:val="nil"/>
            </w:tcBorders>
            <w:shd w:val="clear" w:color="auto" w:fill="auto"/>
            <w:noWrap/>
          </w:tcPr>
          <w:p w14:paraId="0AD30BB3" w14:textId="77777777" w:rsidR="00DE138A" w:rsidRPr="00BF3CDE" w:rsidRDefault="00DE138A" w:rsidP="0076189C">
            <w:pPr>
              <w:spacing w:after="0" w:line="240" w:lineRule="auto"/>
              <w:jc w:val="center"/>
              <w:rPr>
                <w:rFonts w:ascii="Verdana" w:eastAsia="Times New Roman" w:hAnsi="Verdana" w:cs="Calibri"/>
                <w:b/>
                <w:noProof/>
                <w:color w:val="000000"/>
                <w:sz w:val="20"/>
                <w:szCs w:val="20"/>
                <w:lang w:val="sr-Cyrl-CS" w:eastAsia="sr-Latn-RS"/>
              </w:rPr>
            </w:pPr>
            <w:r w:rsidRPr="00BF3CDE">
              <w:rPr>
                <w:rFonts w:ascii="Verdana" w:eastAsia="Times New Roman" w:hAnsi="Verdana" w:cs="Calibri"/>
                <w:b/>
                <w:noProof/>
                <w:color w:val="000000"/>
                <w:sz w:val="20"/>
                <w:szCs w:val="20"/>
                <w:lang w:val="sr-Cyrl-CS" w:eastAsia="sr-Latn-RS"/>
              </w:rPr>
              <w:t>26,325</w:t>
            </w:r>
          </w:p>
        </w:tc>
        <w:tc>
          <w:tcPr>
            <w:tcW w:w="1150" w:type="dxa"/>
            <w:tcBorders>
              <w:top w:val="single" w:sz="8" w:space="0" w:color="629DD1"/>
              <w:left w:val="nil"/>
              <w:bottom w:val="single" w:sz="8" w:space="0" w:color="629DD1"/>
              <w:right w:val="nil"/>
            </w:tcBorders>
            <w:shd w:val="clear" w:color="auto" w:fill="auto"/>
            <w:vAlign w:val="center"/>
          </w:tcPr>
          <w:p w14:paraId="5D748102" w14:textId="77777777" w:rsidR="00DE138A" w:rsidRPr="00BF3CDE" w:rsidRDefault="00DE138A" w:rsidP="0076189C">
            <w:pPr>
              <w:spacing w:after="0" w:line="240" w:lineRule="auto"/>
              <w:jc w:val="center"/>
              <w:rPr>
                <w:rFonts w:ascii="Verdana" w:eastAsia="Times New Roman" w:hAnsi="Verdana" w:cs="Calibri"/>
                <w:b/>
                <w:bCs/>
                <w:noProof/>
                <w:color w:val="242852"/>
                <w:sz w:val="18"/>
                <w:szCs w:val="18"/>
                <w:lang w:val="sr-Cyrl-CS" w:eastAsia="sr-Latn-RS"/>
              </w:rPr>
            </w:pPr>
            <w:r w:rsidRPr="00BF3CDE">
              <w:rPr>
                <w:rFonts w:ascii="Verdana" w:eastAsia="Times New Roman" w:hAnsi="Verdana" w:cs="Calibri"/>
                <w:b/>
                <w:bCs/>
                <w:noProof/>
                <w:color w:val="242852"/>
                <w:sz w:val="18"/>
                <w:szCs w:val="18"/>
                <w:lang w:val="sr-Cyrl-CS" w:eastAsia="sr-Latn-RS"/>
              </w:rPr>
              <w:t>100.00%</w:t>
            </w:r>
          </w:p>
        </w:tc>
        <w:tc>
          <w:tcPr>
            <w:tcW w:w="960" w:type="dxa"/>
            <w:tcBorders>
              <w:top w:val="single" w:sz="8" w:space="0" w:color="629DD1"/>
              <w:left w:val="nil"/>
              <w:bottom w:val="single" w:sz="8" w:space="0" w:color="629DD1"/>
              <w:right w:val="nil"/>
            </w:tcBorders>
            <w:shd w:val="clear" w:color="auto" w:fill="auto"/>
            <w:noWrap/>
          </w:tcPr>
          <w:p w14:paraId="5985FF4B" w14:textId="77777777" w:rsidR="00DE138A" w:rsidRPr="00BF3CDE" w:rsidRDefault="00DE138A" w:rsidP="0076189C">
            <w:pPr>
              <w:spacing w:after="0" w:line="240" w:lineRule="auto"/>
              <w:jc w:val="center"/>
              <w:rPr>
                <w:rFonts w:ascii="Verdana" w:eastAsia="Times New Roman" w:hAnsi="Verdana" w:cs="Calibri"/>
                <w:b/>
                <w:noProof/>
                <w:color w:val="000000"/>
                <w:sz w:val="20"/>
                <w:szCs w:val="20"/>
                <w:lang w:val="sr-Cyrl-CS" w:eastAsia="sr-Latn-RS"/>
              </w:rPr>
            </w:pPr>
            <w:r w:rsidRPr="00BF3CDE">
              <w:rPr>
                <w:rFonts w:ascii="Verdana" w:eastAsia="Times New Roman" w:hAnsi="Verdana" w:cs="Calibri"/>
                <w:b/>
                <w:noProof/>
                <w:color w:val="000000"/>
                <w:sz w:val="20"/>
                <w:szCs w:val="20"/>
                <w:lang w:val="sr-Cyrl-CS" w:eastAsia="sr-Latn-RS"/>
              </w:rPr>
              <w:t>104.49</w:t>
            </w:r>
          </w:p>
        </w:tc>
      </w:tr>
    </w:tbl>
    <w:p w14:paraId="4919B9E0" w14:textId="77777777" w:rsidR="00DC51FA" w:rsidRPr="00BF3CDE" w:rsidRDefault="00DC51FA" w:rsidP="00655CD0">
      <w:pPr>
        <w:pStyle w:val="Heading1"/>
        <w:numPr>
          <w:ilvl w:val="2"/>
          <w:numId w:val="7"/>
        </w:numPr>
        <w:jc w:val="left"/>
        <w:rPr>
          <w:rFonts w:asciiTheme="majorHAnsi" w:hAnsiTheme="majorHAnsi" w:cs="Tahoma"/>
          <w:i/>
          <w:noProof/>
          <w:color w:val="4F81BD"/>
          <w:sz w:val="22"/>
          <w:szCs w:val="18"/>
          <w:lang w:val="sr-Cyrl-CS"/>
        </w:rPr>
      </w:pPr>
      <w:bookmarkStart w:id="35" w:name="_Toc414356817"/>
      <w:r w:rsidRPr="00BF3CDE">
        <w:rPr>
          <w:rFonts w:asciiTheme="majorHAnsi" w:hAnsiTheme="majorHAnsi" w:cs="Tahoma"/>
          <w:i/>
          <w:noProof/>
          <w:color w:val="4F81BD"/>
          <w:sz w:val="22"/>
          <w:szCs w:val="18"/>
          <w:lang w:val="sr-Cyrl-CS"/>
        </w:rPr>
        <w:lastRenderedPageBreak/>
        <w:t>Потраживања и исправка</w:t>
      </w:r>
      <w:r w:rsidR="00823927" w:rsidRPr="00BF3CDE">
        <w:rPr>
          <w:rFonts w:asciiTheme="majorHAnsi" w:hAnsiTheme="majorHAnsi" w:cs="Tahoma"/>
          <w:i/>
          <w:noProof/>
          <w:color w:val="4F81BD"/>
          <w:sz w:val="22"/>
          <w:szCs w:val="18"/>
          <w:lang w:val="sr-Cyrl-CS"/>
        </w:rPr>
        <w:t xml:space="preserve"> вредности</w:t>
      </w:r>
      <w:r w:rsidRPr="00BF3CDE">
        <w:rPr>
          <w:rFonts w:asciiTheme="majorHAnsi" w:hAnsiTheme="majorHAnsi" w:cs="Tahoma"/>
          <w:i/>
          <w:noProof/>
          <w:color w:val="4F81BD"/>
          <w:sz w:val="22"/>
          <w:szCs w:val="18"/>
          <w:lang w:val="sr-Cyrl-CS"/>
        </w:rPr>
        <w:t xml:space="preserve"> потраживања</w:t>
      </w:r>
      <w:bookmarkEnd w:id="35"/>
    </w:p>
    <w:p w14:paraId="7AFC9B0B" w14:textId="77777777" w:rsidR="00F4582D" w:rsidRPr="00BF3CDE" w:rsidRDefault="00F4582D" w:rsidP="00F4582D">
      <w:pPr>
        <w:ind w:firstLine="567"/>
        <w:jc w:val="both"/>
        <w:rPr>
          <w:noProof/>
          <w:sz w:val="2"/>
          <w:szCs w:val="2"/>
          <w:highlight w:val="yellow"/>
          <w:lang w:val="sr-Cyrl-CS"/>
        </w:rPr>
      </w:pPr>
    </w:p>
    <w:p w14:paraId="47D4E40A" w14:textId="77777777" w:rsidR="008E4D7D" w:rsidRDefault="008E4D7D" w:rsidP="00246061">
      <w:pPr>
        <w:spacing w:before="120" w:after="60"/>
        <w:ind w:firstLine="284"/>
        <w:jc w:val="both"/>
        <w:rPr>
          <w:rStyle w:val="Hyperlink"/>
          <w:noProof/>
          <w:color w:val="auto"/>
          <w:sz w:val="20"/>
          <w:lang w:val="sr-Cyrl-CS"/>
        </w:rPr>
      </w:pPr>
      <w:r w:rsidRPr="00BF3CDE">
        <w:rPr>
          <w:rStyle w:val="Hyperlink"/>
          <w:noProof/>
          <w:color w:val="auto"/>
          <w:sz w:val="20"/>
          <w:lang w:val="sr-Cyrl-CS"/>
        </w:rPr>
        <w:t>Потраживања на дан 31.12.2014. године у билансу стања исказана су у  нето износу од 618.372 хиљада динара (бруто вредност потраживања износи 808.673 хиљаду динара, а исправка вредности потраживања 190.301 хиљада динара.</w:t>
      </w:r>
    </w:p>
    <w:tbl>
      <w:tblPr>
        <w:tblStyle w:val="LightGrid-Accent11"/>
        <w:tblW w:w="93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1290"/>
        <w:gridCol w:w="1701"/>
        <w:gridCol w:w="1843"/>
      </w:tblGrid>
      <w:tr w:rsidR="00BC75BE" w:rsidRPr="001B33B6" w14:paraId="27063E63" w14:textId="77777777" w:rsidTr="0069486B">
        <w:trPr>
          <w:cnfStyle w:val="100000000000" w:firstRow="1" w:lastRow="0" w:firstColumn="0" w:lastColumn="0" w:oddVBand="0" w:evenVBand="0" w:oddHBand="0" w:evenHBand="0" w:firstRowFirstColumn="0" w:firstRowLastColumn="0" w:lastRowFirstColumn="0" w:lastRowLastColumn="0"/>
          <w:trHeight w:val="166"/>
        </w:trPr>
        <w:tc>
          <w:tcPr>
            <w:cnfStyle w:val="001000000000" w:firstRow="0" w:lastRow="0" w:firstColumn="1" w:lastColumn="0" w:oddVBand="0" w:evenVBand="0" w:oddHBand="0" w:evenHBand="0" w:firstRowFirstColumn="0" w:firstRowLastColumn="0" w:lastRowFirstColumn="0" w:lastRowLastColumn="0"/>
            <w:tcW w:w="4503" w:type="dxa"/>
            <w:vMerge w:val="restart"/>
            <w:tcBorders>
              <w:top w:val="single" w:sz="4" w:space="0" w:color="4F81BD" w:themeColor="accent1"/>
              <w:left w:val="none" w:sz="0" w:space="0" w:color="auto"/>
              <w:bottom w:val="none" w:sz="0" w:space="0" w:color="auto"/>
              <w:right w:val="none" w:sz="0" w:space="0" w:color="auto"/>
            </w:tcBorders>
            <w:noWrap/>
            <w:vAlign w:val="center"/>
            <w:hideMark/>
          </w:tcPr>
          <w:p w14:paraId="4025BFB2" w14:textId="77777777" w:rsidR="00BC75BE" w:rsidRPr="001B33B6" w:rsidRDefault="00BC75BE" w:rsidP="007A5818">
            <w:pPr>
              <w:rPr>
                <w:rFonts w:ascii="Calibri" w:hAnsi="Calibri"/>
                <w:color w:val="000000"/>
                <w:sz w:val="22"/>
                <w:szCs w:val="22"/>
                <w:lang w:val="sr-Latn-RS" w:eastAsia="sr-Latn-RS"/>
              </w:rPr>
            </w:pPr>
            <w:r w:rsidRPr="001B33B6">
              <w:rPr>
                <w:rFonts w:ascii="Calibri" w:hAnsi="Calibri"/>
                <w:color w:val="000000"/>
                <w:sz w:val="22"/>
                <w:szCs w:val="22"/>
                <w:lang w:val="sr-Latn-RS" w:eastAsia="sr-Latn-RS"/>
              </w:rPr>
              <w:t>Потраживања</w:t>
            </w:r>
          </w:p>
        </w:tc>
        <w:tc>
          <w:tcPr>
            <w:tcW w:w="1290" w:type="dxa"/>
            <w:vMerge w:val="restart"/>
            <w:tcBorders>
              <w:top w:val="single" w:sz="4" w:space="0" w:color="4F81BD" w:themeColor="accent1"/>
              <w:left w:val="none" w:sz="0" w:space="0" w:color="auto"/>
              <w:bottom w:val="none" w:sz="0" w:space="0" w:color="auto"/>
              <w:right w:val="none" w:sz="0" w:space="0" w:color="auto"/>
            </w:tcBorders>
            <w:noWrap/>
            <w:vAlign w:val="center"/>
            <w:hideMark/>
          </w:tcPr>
          <w:p w14:paraId="0337F2F3" w14:textId="77777777" w:rsidR="00BC75BE" w:rsidRPr="001B33B6" w:rsidRDefault="00BC75BE" w:rsidP="007A5818">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1B33B6">
              <w:rPr>
                <w:rFonts w:ascii="Calibri" w:hAnsi="Calibri"/>
                <w:color w:val="000000"/>
                <w:sz w:val="22"/>
                <w:szCs w:val="22"/>
                <w:lang w:val="sr-Latn-RS" w:eastAsia="sr-Latn-RS"/>
              </w:rPr>
              <w:t>Текућа година</w:t>
            </w:r>
          </w:p>
        </w:tc>
        <w:tc>
          <w:tcPr>
            <w:tcW w:w="3544" w:type="dxa"/>
            <w:gridSpan w:val="2"/>
            <w:tcBorders>
              <w:top w:val="single" w:sz="4" w:space="0" w:color="4F81BD" w:themeColor="accent1"/>
              <w:left w:val="none" w:sz="0" w:space="0" w:color="auto"/>
              <w:bottom w:val="none" w:sz="0" w:space="0" w:color="auto"/>
              <w:right w:val="none" w:sz="0" w:space="0" w:color="auto"/>
            </w:tcBorders>
            <w:noWrap/>
            <w:vAlign w:val="center"/>
            <w:hideMark/>
          </w:tcPr>
          <w:p w14:paraId="146FFB3E" w14:textId="77777777" w:rsidR="00BC75BE" w:rsidRPr="001B33B6" w:rsidRDefault="00BC75BE" w:rsidP="007A5818">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sz w:val="22"/>
                <w:szCs w:val="22"/>
                <w:lang w:val="sr-Latn-RS" w:eastAsia="sr-Latn-RS"/>
              </w:rPr>
            </w:pPr>
            <w:r w:rsidRPr="001B33B6">
              <w:rPr>
                <w:rFonts w:ascii="Calibri" w:hAnsi="Calibri"/>
                <w:color w:val="000000"/>
                <w:sz w:val="22"/>
                <w:szCs w:val="22"/>
                <w:lang w:val="sr-Latn-RS" w:eastAsia="sr-Latn-RS"/>
              </w:rPr>
              <w:t>претходна година</w:t>
            </w:r>
          </w:p>
        </w:tc>
      </w:tr>
      <w:tr w:rsidR="00BC75BE" w:rsidRPr="001B33B6" w14:paraId="2CAE8695" w14:textId="77777777" w:rsidTr="00E847DA">
        <w:trPr>
          <w:cnfStyle w:val="000000100000" w:firstRow="0" w:lastRow="0" w:firstColumn="0" w:lastColumn="0" w:oddVBand="0" w:evenVBand="0" w:oddHBand="1"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4503" w:type="dxa"/>
            <w:vMerge/>
            <w:tcBorders>
              <w:top w:val="none" w:sz="0" w:space="0" w:color="auto"/>
              <w:left w:val="none" w:sz="0" w:space="0" w:color="auto"/>
              <w:bottom w:val="single" w:sz="4" w:space="0" w:color="4F81BD" w:themeColor="accent1"/>
              <w:right w:val="none" w:sz="0" w:space="0" w:color="auto"/>
            </w:tcBorders>
            <w:vAlign w:val="center"/>
            <w:hideMark/>
          </w:tcPr>
          <w:p w14:paraId="359423AC" w14:textId="77777777" w:rsidR="00BC75BE" w:rsidRPr="001B33B6" w:rsidRDefault="00BC75BE" w:rsidP="007A5818">
            <w:pPr>
              <w:jc w:val="center"/>
              <w:rPr>
                <w:rFonts w:ascii="Calibri" w:hAnsi="Calibri"/>
                <w:color w:val="000000"/>
                <w:sz w:val="22"/>
                <w:szCs w:val="22"/>
                <w:lang w:val="sr-Latn-RS" w:eastAsia="sr-Latn-RS"/>
              </w:rPr>
            </w:pPr>
          </w:p>
        </w:tc>
        <w:tc>
          <w:tcPr>
            <w:tcW w:w="1290" w:type="dxa"/>
            <w:vMerge/>
            <w:tcBorders>
              <w:top w:val="none" w:sz="0" w:space="0" w:color="auto"/>
              <w:left w:val="none" w:sz="0" w:space="0" w:color="auto"/>
              <w:bottom w:val="single" w:sz="4" w:space="0" w:color="4F81BD" w:themeColor="accent1"/>
              <w:right w:val="none" w:sz="0" w:space="0" w:color="auto"/>
            </w:tcBorders>
            <w:vAlign w:val="center"/>
            <w:hideMark/>
          </w:tcPr>
          <w:p w14:paraId="0F2950CF" w14:textId="77777777" w:rsidR="00BC75BE" w:rsidRPr="001B33B6" w:rsidRDefault="00BC75BE" w:rsidP="007A58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lang w:val="sr-Latn-RS" w:eastAsia="sr-Latn-RS"/>
              </w:rPr>
            </w:pPr>
          </w:p>
        </w:tc>
        <w:tc>
          <w:tcPr>
            <w:tcW w:w="1701" w:type="dxa"/>
            <w:tcBorders>
              <w:top w:val="none" w:sz="0" w:space="0" w:color="auto"/>
              <w:left w:val="none" w:sz="0" w:space="0" w:color="auto"/>
              <w:bottom w:val="single" w:sz="4" w:space="0" w:color="4F81BD" w:themeColor="accent1"/>
              <w:right w:val="none" w:sz="0" w:space="0" w:color="auto"/>
            </w:tcBorders>
            <w:shd w:val="clear" w:color="auto" w:fill="auto"/>
            <w:noWrap/>
            <w:vAlign w:val="center"/>
            <w:hideMark/>
          </w:tcPr>
          <w:p w14:paraId="3F0DC813" w14:textId="77777777" w:rsidR="00BC75BE" w:rsidRPr="003C695A" w:rsidRDefault="00BC75BE" w:rsidP="007A5818">
            <w:pPr>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3C695A">
              <w:rPr>
                <w:rFonts w:ascii="Calibri" w:hAnsi="Calibri"/>
                <w:b/>
                <w:color w:val="000000"/>
                <w:sz w:val="22"/>
                <w:szCs w:val="22"/>
                <w:lang w:val="sr-Latn-RS" w:eastAsia="sr-Latn-RS"/>
              </w:rPr>
              <w:t>крајње стање</w:t>
            </w:r>
          </w:p>
        </w:tc>
        <w:tc>
          <w:tcPr>
            <w:tcW w:w="1843" w:type="dxa"/>
            <w:tcBorders>
              <w:top w:val="none" w:sz="0" w:space="0" w:color="auto"/>
              <w:left w:val="none" w:sz="0" w:space="0" w:color="auto"/>
              <w:bottom w:val="single" w:sz="4" w:space="0" w:color="4F81BD" w:themeColor="accent1"/>
              <w:right w:val="none" w:sz="0" w:space="0" w:color="auto"/>
            </w:tcBorders>
            <w:shd w:val="clear" w:color="auto" w:fill="auto"/>
            <w:noWrap/>
            <w:vAlign w:val="center"/>
            <w:hideMark/>
          </w:tcPr>
          <w:p w14:paraId="0EC1678F" w14:textId="77777777" w:rsidR="00BC75BE" w:rsidRPr="003C695A" w:rsidRDefault="00BC75BE" w:rsidP="007A5818">
            <w:pPr>
              <w:jc w:val="center"/>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sr-Latn-RS" w:eastAsia="sr-Latn-RS"/>
              </w:rPr>
            </w:pPr>
            <w:r w:rsidRPr="003C695A">
              <w:rPr>
                <w:rFonts w:ascii="Calibri" w:hAnsi="Calibri"/>
                <w:b/>
                <w:color w:val="000000"/>
                <w:sz w:val="22"/>
                <w:szCs w:val="22"/>
                <w:lang w:val="sr-Latn-RS" w:eastAsia="sr-Latn-RS"/>
              </w:rPr>
              <w:t>почетно стање</w:t>
            </w:r>
          </w:p>
        </w:tc>
      </w:tr>
      <w:tr w:rsidR="00BC75BE" w:rsidRPr="001B33B6" w14:paraId="7A019F49" w14:textId="77777777" w:rsidTr="00E847DA">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503" w:type="dxa"/>
            <w:tcBorders>
              <w:top w:val="single" w:sz="4" w:space="0" w:color="4F81BD" w:themeColor="accent1"/>
              <w:left w:val="none" w:sz="0" w:space="0" w:color="auto"/>
              <w:bottom w:val="none" w:sz="0" w:space="0" w:color="auto"/>
              <w:right w:val="none" w:sz="0" w:space="0" w:color="auto"/>
            </w:tcBorders>
            <w:vAlign w:val="center"/>
            <w:hideMark/>
          </w:tcPr>
          <w:p w14:paraId="3E6DCD5B" w14:textId="77777777" w:rsidR="00BC75BE" w:rsidRPr="00E847DA" w:rsidRDefault="00BC75BE" w:rsidP="007A5818">
            <w:pPr>
              <w:rPr>
                <w:rFonts w:ascii="Calibri" w:hAnsi="Calibri"/>
                <w:b w:val="0"/>
                <w:color w:val="000000"/>
                <w:sz w:val="22"/>
                <w:szCs w:val="22"/>
                <w:lang w:val="sr-Latn-RS" w:eastAsia="sr-Latn-RS"/>
              </w:rPr>
            </w:pPr>
            <w:r w:rsidRPr="00E847DA">
              <w:rPr>
                <w:rFonts w:ascii="Calibri" w:hAnsi="Calibri"/>
                <w:b w:val="0"/>
                <w:color w:val="000000"/>
                <w:sz w:val="22"/>
                <w:szCs w:val="22"/>
                <w:lang w:val="sr-Latn-RS" w:eastAsia="sr-Latn-RS"/>
              </w:rPr>
              <w:t>За премију реосигурања</w:t>
            </w:r>
          </w:p>
        </w:tc>
        <w:tc>
          <w:tcPr>
            <w:tcW w:w="1290" w:type="dxa"/>
            <w:tcBorders>
              <w:top w:val="single" w:sz="4" w:space="0" w:color="4F81BD" w:themeColor="accent1"/>
              <w:left w:val="none" w:sz="0" w:space="0" w:color="auto"/>
              <w:bottom w:val="none" w:sz="0" w:space="0" w:color="auto"/>
              <w:right w:val="none" w:sz="0" w:space="0" w:color="auto"/>
            </w:tcBorders>
            <w:noWrap/>
            <w:vAlign w:val="center"/>
          </w:tcPr>
          <w:p w14:paraId="156C03FD" w14:textId="77777777" w:rsidR="00BC75BE" w:rsidRPr="00C77721" w:rsidRDefault="00BC75BE" w:rsidP="007A5818">
            <w:pPr>
              <w:jc w:val="right"/>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sidRPr="00C77721">
              <w:rPr>
                <w:rFonts w:ascii="Calibri" w:hAnsi="Calibri" w:cs="Calibri"/>
                <w:sz w:val="22"/>
                <w:szCs w:val="22"/>
              </w:rPr>
              <w:t>517,798</w:t>
            </w:r>
          </w:p>
        </w:tc>
        <w:tc>
          <w:tcPr>
            <w:tcW w:w="1701" w:type="dxa"/>
            <w:tcBorders>
              <w:top w:val="single" w:sz="4" w:space="0" w:color="4F81BD" w:themeColor="accent1"/>
              <w:left w:val="none" w:sz="0" w:space="0" w:color="auto"/>
              <w:bottom w:val="none" w:sz="0" w:space="0" w:color="auto"/>
              <w:right w:val="none" w:sz="0" w:space="0" w:color="auto"/>
            </w:tcBorders>
            <w:noWrap/>
            <w:vAlign w:val="center"/>
          </w:tcPr>
          <w:p w14:paraId="6BE1B1E9" w14:textId="77777777" w:rsidR="00BC75BE" w:rsidRPr="00C77721" w:rsidRDefault="00BC75BE" w:rsidP="007A5818">
            <w:pPr>
              <w:jc w:val="right"/>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sidRPr="00C77721">
              <w:rPr>
                <w:rFonts w:ascii="Calibri" w:hAnsi="Calibri" w:cs="Calibri"/>
                <w:sz w:val="22"/>
                <w:szCs w:val="22"/>
              </w:rPr>
              <w:t>908,107</w:t>
            </w:r>
          </w:p>
        </w:tc>
        <w:tc>
          <w:tcPr>
            <w:tcW w:w="1843" w:type="dxa"/>
            <w:tcBorders>
              <w:top w:val="single" w:sz="4" w:space="0" w:color="4F81BD" w:themeColor="accent1"/>
              <w:left w:val="none" w:sz="0" w:space="0" w:color="auto"/>
              <w:bottom w:val="none" w:sz="0" w:space="0" w:color="auto"/>
              <w:right w:val="none" w:sz="0" w:space="0" w:color="auto"/>
            </w:tcBorders>
            <w:noWrap/>
            <w:vAlign w:val="center"/>
          </w:tcPr>
          <w:p w14:paraId="4C732FE7" w14:textId="77777777" w:rsidR="00BC75BE" w:rsidRPr="00C77721" w:rsidRDefault="00BC75BE" w:rsidP="007A5818">
            <w:pPr>
              <w:jc w:val="right"/>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sidRPr="00C77721">
              <w:rPr>
                <w:rFonts w:ascii="Calibri" w:hAnsi="Calibri" w:cs="Calibri"/>
                <w:sz w:val="22"/>
                <w:szCs w:val="22"/>
              </w:rPr>
              <w:t>912,751</w:t>
            </w:r>
          </w:p>
        </w:tc>
      </w:tr>
      <w:tr w:rsidR="00BC75BE" w:rsidRPr="001B33B6" w14:paraId="01FF7EFA" w14:textId="77777777" w:rsidTr="00E847DA">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503" w:type="dxa"/>
            <w:tcBorders>
              <w:top w:val="none" w:sz="0" w:space="0" w:color="auto"/>
              <w:left w:val="none" w:sz="0" w:space="0" w:color="auto"/>
              <w:bottom w:val="none" w:sz="0" w:space="0" w:color="auto"/>
              <w:right w:val="none" w:sz="0" w:space="0" w:color="auto"/>
            </w:tcBorders>
            <w:vAlign w:val="center"/>
            <w:hideMark/>
          </w:tcPr>
          <w:p w14:paraId="2B48A2B7" w14:textId="77777777" w:rsidR="00BC75BE" w:rsidRPr="00E847DA" w:rsidRDefault="00BC75BE" w:rsidP="007A5818">
            <w:pPr>
              <w:rPr>
                <w:rFonts w:ascii="Calibri" w:hAnsi="Calibri"/>
                <w:b w:val="0"/>
                <w:color w:val="000000"/>
                <w:sz w:val="22"/>
                <w:szCs w:val="22"/>
                <w:lang w:val="sr-Latn-RS" w:eastAsia="sr-Latn-RS"/>
              </w:rPr>
            </w:pPr>
            <w:r w:rsidRPr="00E847DA">
              <w:rPr>
                <w:rFonts w:ascii="Calibri" w:hAnsi="Calibri"/>
                <w:b w:val="0"/>
                <w:color w:val="000000"/>
                <w:sz w:val="22"/>
                <w:szCs w:val="22"/>
                <w:lang w:val="sr-Latn-RS" w:eastAsia="sr-Latn-RS"/>
              </w:rPr>
              <w:t>Од реосигуравача и ретроцесионара</w:t>
            </w:r>
          </w:p>
        </w:tc>
        <w:tc>
          <w:tcPr>
            <w:tcW w:w="1290" w:type="dxa"/>
            <w:tcBorders>
              <w:top w:val="none" w:sz="0" w:space="0" w:color="auto"/>
              <w:left w:val="none" w:sz="0" w:space="0" w:color="auto"/>
              <w:bottom w:val="none" w:sz="0" w:space="0" w:color="auto"/>
              <w:right w:val="none" w:sz="0" w:space="0" w:color="auto"/>
            </w:tcBorders>
            <w:noWrap/>
            <w:vAlign w:val="center"/>
          </w:tcPr>
          <w:p w14:paraId="1C970F3D" w14:textId="77777777" w:rsidR="00BC75BE" w:rsidRPr="00C77721" w:rsidRDefault="00BC75BE" w:rsidP="007A5818">
            <w:pPr>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C77721">
              <w:rPr>
                <w:rFonts w:ascii="Calibri" w:hAnsi="Calibri" w:cs="Calibri"/>
                <w:sz w:val="22"/>
                <w:szCs w:val="22"/>
              </w:rPr>
              <w:t>275,393</w:t>
            </w:r>
          </w:p>
        </w:tc>
        <w:tc>
          <w:tcPr>
            <w:tcW w:w="1701" w:type="dxa"/>
            <w:tcBorders>
              <w:top w:val="none" w:sz="0" w:space="0" w:color="auto"/>
              <w:left w:val="none" w:sz="0" w:space="0" w:color="auto"/>
              <w:bottom w:val="none" w:sz="0" w:space="0" w:color="auto"/>
              <w:right w:val="none" w:sz="0" w:space="0" w:color="auto"/>
            </w:tcBorders>
            <w:noWrap/>
            <w:vAlign w:val="center"/>
          </w:tcPr>
          <w:p w14:paraId="6A3058F2" w14:textId="77777777" w:rsidR="00BC75BE" w:rsidRPr="00C77721" w:rsidRDefault="00BC75BE" w:rsidP="007A5818">
            <w:pPr>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C77721">
              <w:rPr>
                <w:rFonts w:ascii="Calibri" w:hAnsi="Calibri" w:cs="Calibri"/>
                <w:sz w:val="22"/>
                <w:szCs w:val="22"/>
              </w:rPr>
              <w:t>181,204</w:t>
            </w:r>
          </w:p>
        </w:tc>
        <w:tc>
          <w:tcPr>
            <w:tcW w:w="1843" w:type="dxa"/>
            <w:tcBorders>
              <w:top w:val="none" w:sz="0" w:space="0" w:color="auto"/>
              <w:left w:val="none" w:sz="0" w:space="0" w:color="auto"/>
              <w:bottom w:val="none" w:sz="0" w:space="0" w:color="auto"/>
              <w:right w:val="none" w:sz="0" w:space="0" w:color="auto"/>
            </w:tcBorders>
            <w:noWrap/>
            <w:vAlign w:val="center"/>
          </w:tcPr>
          <w:p w14:paraId="5BD1282F" w14:textId="77777777" w:rsidR="00BC75BE" w:rsidRPr="00C77721" w:rsidRDefault="00BC75BE" w:rsidP="007A5818">
            <w:pPr>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C77721">
              <w:rPr>
                <w:rFonts w:ascii="Calibri" w:hAnsi="Calibri" w:cs="Calibri"/>
                <w:sz w:val="22"/>
                <w:szCs w:val="22"/>
              </w:rPr>
              <w:t>139,672</w:t>
            </w:r>
          </w:p>
        </w:tc>
      </w:tr>
      <w:tr w:rsidR="00BC75BE" w:rsidRPr="001B33B6" w14:paraId="22919A86" w14:textId="77777777" w:rsidTr="00E847DA">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503" w:type="dxa"/>
            <w:tcBorders>
              <w:top w:val="none" w:sz="0" w:space="0" w:color="auto"/>
              <w:left w:val="none" w:sz="0" w:space="0" w:color="auto"/>
              <w:bottom w:val="none" w:sz="0" w:space="0" w:color="auto"/>
              <w:right w:val="none" w:sz="0" w:space="0" w:color="auto"/>
            </w:tcBorders>
            <w:vAlign w:val="center"/>
            <w:hideMark/>
          </w:tcPr>
          <w:p w14:paraId="41B6DF83" w14:textId="77777777" w:rsidR="00BC75BE" w:rsidRPr="00E847DA" w:rsidRDefault="00BC75BE" w:rsidP="007A5818">
            <w:pPr>
              <w:rPr>
                <w:rFonts w:ascii="Calibri" w:hAnsi="Calibri"/>
                <w:b w:val="0"/>
                <w:color w:val="000000"/>
                <w:sz w:val="22"/>
                <w:szCs w:val="22"/>
                <w:lang w:val="sr-Latn-RS" w:eastAsia="sr-Latn-RS"/>
              </w:rPr>
            </w:pPr>
            <w:r w:rsidRPr="00E847DA">
              <w:rPr>
                <w:rFonts w:ascii="Calibri" w:hAnsi="Calibri"/>
                <w:b w:val="0"/>
                <w:color w:val="000000"/>
                <w:sz w:val="22"/>
                <w:szCs w:val="22"/>
                <w:lang w:val="sr-Latn-RS" w:eastAsia="sr-Latn-RS"/>
              </w:rPr>
              <w:t>За регресе</w:t>
            </w:r>
          </w:p>
        </w:tc>
        <w:tc>
          <w:tcPr>
            <w:tcW w:w="1290" w:type="dxa"/>
            <w:tcBorders>
              <w:top w:val="none" w:sz="0" w:space="0" w:color="auto"/>
              <w:left w:val="none" w:sz="0" w:space="0" w:color="auto"/>
              <w:bottom w:val="none" w:sz="0" w:space="0" w:color="auto"/>
              <w:right w:val="none" w:sz="0" w:space="0" w:color="auto"/>
            </w:tcBorders>
            <w:noWrap/>
            <w:vAlign w:val="center"/>
          </w:tcPr>
          <w:p w14:paraId="1FA98241" w14:textId="77777777" w:rsidR="00BC75BE" w:rsidRPr="00C77721" w:rsidRDefault="00BC75BE" w:rsidP="007A5818">
            <w:pPr>
              <w:jc w:val="right"/>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sidRPr="00C77721">
              <w:rPr>
                <w:rFonts w:ascii="Calibri" w:hAnsi="Calibri" w:cs="Calibri"/>
                <w:sz w:val="22"/>
                <w:szCs w:val="22"/>
              </w:rPr>
              <w:t>802</w:t>
            </w:r>
          </w:p>
        </w:tc>
        <w:tc>
          <w:tcPr>
            <w:tcW w:w="1701" w:type="dxa"/>
            <w:tcBorders>
              <w:top w:val="none" w:sz="0" w:space="0" w:color="auto"/>
              <w:left w:val="none" w:sz="0" w:space="0" w:color="auto"/>
              <w:bottom w:val="none" w:sz="0" w:space="0" w:color="auto"/>
              <w:right w:val="none" w:sz="0" w:space="0" w:color="auto"/>
            </w:tcBorders>
            <w:noWrap/>
            <w:vAlign w:val="center"/>
          </w:tcPr>
          <w:p w14:paraId="44F6C40A" w14:textId="77777777" w:rsidR="00BC75BE" w:rsidRPr="00C77721" w:rsidRDefault="00BC75BE" w:rsidP="007A5818">
            <w:pPr>
              <w:jc w:val="right"/>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sidRPr="00C77721">
              <w:rPr>
                <w:rFonts w:ascii="Calibri" w:hAnsi="Calibri" w:cs="Calibri"/>
                <w:sz w:val="22"/>
                <w:szCs w:val="22"/>
              </w:rPr>
              <w:t>4,756</w:t>
            </w:r>
          </w:p>
        </w:tc>
        <w:tc>
          <w:tcPr>
            <w:tcW w:w="1843" w:type="dxa"/>
            <w:tcBorders>
              <w:top w:val="none" w:sz="0" w:space="0" w:color="auto"/>
              <w:left w:val="none" w:sz="0" w:space="0" w:color="auto"/>
              <w:bottom w:val="none" w:sz="0" w:space="0" w:color="auto"/>
              <w:right w:val="none" w:sz="0" w:space="0" w:color="auto"/>
            </w:tcBorders>
            <w:noWrap/>
            <w:vAlign w:val="center"/>
          </w:tcPr>
          <w:p w14:paraId="49CB97F6" w14:textId="77777777" w:rsidR="00BC75BE" w:rsidRPr="00C77721" w:rsidRDefault="00BC75BE" w:rsidP="007A5818">
            <w:pPr>
              <w:jc w:val="right"/>
              <w:cnfStyle w:val="000000010000" w:firstRow="0" w:lastRow="0" w:firstColumn="0" w:lastColumn="0" w:oddVBand="0" w:evenVBand="0" w:oddHBand="0" w:evenHBand="1" w:firstRowFirstColumn="0" w:firstRowLastColumn="0" w:lastRowFirstColumn="0" w:lastRowLastColumn="0"/>
              <w:rPr>
                <w:rFonts w:ascii="Calibri" w:hAnsi="Calibri" w:cs="Calibri"/>
                <w:sz w:val="22"/>
                <w:szCs w:val="22"/>
              </w:rPr>
            </w:pPr>
            <w:r w:rsidRPr="00C77721">
              <w:rPr>
                <w:rFonts w:ascii="Calibri" w:hAnsi="Calibri" w:cs="Calibri"/>
                <w:sz w:val="22"/>
                <w:szCs w:val="22"/>
              </w:rPr>
              <w:t>6,876</w:t>
            </w:r>
          </w:p>
        </w:tc>
      </w:tr>
      <w:tr w:rsidR="00BC75BE" w:rsidRPr="001B33B6" w14:paraId="7EDC3EAF" w14:textId="77777777" w:rsidTr="00E847DA">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503" w:type="dxa"/>
            <w:tcBorders>
              <w:top w:val="none" w:sz="0" w:space="0" w:color="auto"/>
              <w:left w:val="none" w:sz="0" w:space="0" w:color="auto"/>
              <w:bottom w:val="single" w:sz="4" w:space="0" w:color="4F81BD" w:themeColor="accent1"/>
              <w:right w:val="none" w:sz="0" w:space="0" w:color="auto"/>
            </w:tcBorders>
            <w:vAlign w:val="center"/>
            <w:hideMark/>
          </w:tcPr>
          <w:p w14:paraId="46E1DE92" w14:textId="77777777" w:rsidR="00BC75BE" w:rsidRPr="00E847DA" w:rsidRDefault="00BC75BE" w:rsidP="007A5818">
            <w:pPr>
              <w:rPr>
                <w:rFonts w:ascii="Calibri" w:hAnsi="Calibri"/>
                <w:b w:val="0"/>
                <w:color w:val="000000"/>
                <w:sz w:val="22"/>
                <w:szCs w:val="22"/>
                <w:lang w:val="sr-Latn-RS" w:eastAsia="sr-Latn-RS"/>
              </w:rPr>
            </w:pPr>
            <w:r w:rsidRPr="00E847DA">
              <w:rPr>
                <w:rFonts w:ascii="Calibri" w:hAnsi="Calibri"/>
                <w:b w:val="0"/>
                <w:color w:val="000000"/>
                <w:sz w:val="22"/>
                <w:szCs w:val="22"/>
                <w:lang w:val="sr-Latn-RS" w:eastAsia="sr-Latn-RS"/>
              </w:rPr>
              <w:t>Остала потраживања</w:t>
            </w:r>
          </w:p>
        </w:tc>
        <w:tc>
          <w:tcPr>
            <w:tcW w:w="1290" w:type="dxa"/>
            <w:tcBorders>
              <w:top w:val="none" w:sz="0" w:space="0" w:color="auto"/>
              <w:left w:val="none" w:sz="0" w:space="0" w:color="auto"/>
              <w:bottom w:val="single" w:sz="4" w:space="0" w:color="4F81BD" w:themeColor="accent1"/>
              <w:right w:val="none" w:sz="0" w:space="0" w:color="auto"/>
            </w:tcBorders>
            <w:noWrap/>
            <w:vAlign w:val="center"/>
          </w:tcPr>
          <w:p w14:paraId="62246359" w14:textId="77777777" w:rsidR="00BC75BE" w:rsidRPr="00C77721" w:rsidRDefault="00BC75BE" w:rsidP="007A5818">
            <w:pPr>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C77721">
              <w:rPr>
                <w:rFonts w:ascii="Calibri" w:hAnsi="Calibri" w:cs="Calibri"/>
                <w:sz w:val="22"/>
                <w:szCs w:val="22"/>
              </w:rPr>
              <w:t>14,625</w:t>
            </w:r>
          </w:p>
        </w:tc>
        <w:tc>
          <w:tcPr>
            <w:tcW w:w="1701" w:type="dxa"/>
            <w:tcBorders>
              <w:top w:val="none" w:sz="0" w:space="0" w:color="auto"/>
              <w:left w:val="none" w:sz="0" w:space="0" w:color="auto"/>
              <w:bottom w:val="single" w:sz="4" w:space="0" w:color="4F81BD" w:themeColor="accent1"/>
              <w:right w:val="none" w:sz="0" w:space="0" w:color="auto"/>
            </w:tcBorders>
            <w:noWrap/>
            <w:vAlign w:val="center"/>
          </w:tcPr>
          <w:p w14:paraId="29044525" w14:textId="77777777" w:rsidR="00BC75BE" w:rsidRPr="00C77721" w:rsidRDefault="00BC75BE" w:rsidP="007A5818">
            <w:pPr>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C77721">
              <w:rPr>
                <w:rFonts w:ascii="Calibri" w:hAnsi="Calibri" w:cs="Calibri"/>
                <w:sz w:val="22"/>
                <w:szCs w:val="22"/>
              </w:rPr>
              <w:t>25,123</w:t>
            </w:r>
          </w:p>
        </w:tc>
        <w:tc>
          <w:tcPr>
            <w:tcW w:w="1843" w:type="dxa"/>
            <w:tcBorders>
              <w:top w:val="none" w:sz="0" w:space="0" w:color="auto"/>
              <w:left w:val="none" w:sz="0" w:space="0" w:color="auto"/>
              <w:bottom w:val="single" w:sz="4" w:space="0" w:color="4F81BD" w:themeColor="accent1"/>
              <w:right w:val="none" w:sz="0" w:space="0" w:color="auto"/>
            </w:tcBorders>
            <w:noWrap/>
            <w:vAlign w:val="center"/>
          </w:tcPr>
          <w:p w14:paraId="23DD60EE" w14:textId="77777777" w:rsidR="00BC75BE" w:rsidRPr="00C77721" w:rsidRDefault="00BC75BE" w:rsidP="007A5818">
            <w:pPr>
              <w:jc w:val="right"/>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sidRPr="00C77721">
              <w:rPr>
                <w:rFonts w:ascii="Calibri" w:hAnsi="Calibri" w:cs="Calibri"/>
                <w:sz w:val="22"/>
                <w:szCs w:val="22"/>
              </w:rPr>
              <w:t>26,958</w:t>
            </w:r>
          </w:p>
        </w:tc>
      </w:tr>
      <w:tr w:rsidR="00BC75BE" w:rsidRPr="0050042B" w14:paraId="69DC2941" w14:textId="77777777" w:rsidTr="00E847DA">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503" w:type="dxa"/>
            <w:tcBorders>
              <w:top w:val="single" w:sz="4" w:space="0" w:color="4F81BD" w:themeColor="accent1"/>
              <w:left w:val="none" w:sz="0" w:space="0" w:color="auto"/>
              <w:bottom w:val="single" w:sz="4" w:space="0" w:color="4F81BD" w:themeColor="accent1"/>
              <w:right w:val="none" w:sz="0" w:space="0" w:color="auto"/>
            </w:tcBorders>
            <w:vAlign w:val="center"/>
            <w:hideMark/>
          </w:tcPr>
          <w:p w14:paraId="625DB090" w14:textId="04684C2D" w:rsidR="00BC75BE" w:rsidRPr="00A70E9A" w:rsidRDefault="00BC75BE" w:rsidP="00E847DA">
            <w:pPr>
              <w:rPr>
                <w:rFonts w:ascii="Calibri" w:hAnsi="Calibri"/>
                <w:color w:val="000000"/>
                <w:sz w:val="22"/>
                <w:szCs w:val="22"/>
                <w:lang w:val="sr-Cyrl-CS" w:eastAsia="sr-Latn-RS"/>
              </w:rPr>
            </w:pPr>
            <w:r w:rsidRPr="001B33B6">
              <w:rPr>
                <w:rFonts w:ascii="Calibri" w:hAnsi="Calibri"/>
                <w:color w:val="000000"/>
                <w:sz w:val="22"/>
                <w:szCs w:val="22"/>
                <w:lang w:val="sr-Latn-RS" w:eastAsia="sr-Latn-RS"/>
              </w:rPr>
              <w:t>Свега</w:t>
            </w:r>
            <w:r w:rsidR="0069486B">
              <w:rPr>
                <w:rFonts w:ascii="Calibri" w:hAnsi="Calibri"/>
                <w:color w:val="000000"/>
                <w:sz w:val="22"/>
                <w:szCs w:val="22"/>
                <w:lang w:val="sr-Cyrl-CS" w:eastAsia="sr-Latn-RS"/>
              </w:rPr>
              <w:t xml:space="preserve"> бруто вредност потраживањ</w:t>
            </w:r>
            <w:r>
              <w:rPr>
                <w:rFonts w:ascii="Calibri" w:hAnsi="Calibri"/>
                <w:color w:val="000000"/>
                <w:sz w:val="22"/>
                <w:szCs w:val="22"/>
                <w:lang w:val="sr-Cyrl-CS" w:eastAsia="sr-Latn-RS"/>
              </w:rPr>
              <w:t>а</w:t>
            </w:r>
          </w:p>
        </w:tc>
        <w:tc>
          <w:tcPr>
            <w:tcW w:w="1290" w:type="dxa"/>
            <w:tcBorders>
              <w:top w:val="single" w:sz="4" w:space="0" w:color="4F81BD" w:themeColor="accent1"/>
              <w:left w:val="none" w:sz="0" w:space="0" w:color="auto"/>
              <w:bottom w:val="single" w:sz="4" w:space="0" w:color="4F81BD" w:themeColor="accent1"/>
              <w:right w:val="none" w:sz="0" w:space="0" w:color="auto"/>
            </w:tcBorders>
            <w:noWrap/>
            <w:vAlign w:val="center"/>
          </w:tcPr>
          <w:p w14:paraId="3F4B8138" w14:textId="77777777" w:rsidR="00BC75BE" w:rsidRPr="00C77721" w:rsidRDefault="00BC75BE" w:rsidP="00E847DA">
            <w:pPr>
              <w:jc w:val="right"/>
              <w:cnfStyle w:val="000000010000" w:firstRow="0" w:lastRow="0" w:firstColumn="0" w:lastColumn="0" w:oddVBand="0" w:evenVBand="0" w:oddHBand="0" w:evenHBand="1" w:firstRowFirstColumn="0" w:firstRowLastColumn="0" w:lastRowFirstColumn="0" w:lastRowLastColumn="0"/>
              <w:rPr>
                <w:rFonts w:ascii="Calibri" w:hAnsi="Calibri" w:cs="Calibri"/>
                <w:b/>
                <w:sz w:val="22"/>
                <w:szCs w:val="22"/>
                <w:lang w:val="sr-Cyrl-RS"/>
              </w:rPr>
            </w:pPr>
            <w:r w:rsidRPr="00C77721">
              <w:rPr>
                <w:rFonts w:ascii="Calibri" w:hAnsi="Calibri" w:cs="Calibri"/>
                <w:b/>
                <w:sz w:val="22"/>
                <w:szCs w:val="22"/>
              </w:rPr>
              <w:t>808,61</w:t>
            </w:r>
            <w:r w:rsidRPr="00C77721">
              <w:rPr>
                <w:rFonts w:ascii="Calibri" w:hAnsi="Calibri" w:cs="Calibri"/>
                <w:b/>
                <w:sz w:val="22"/>
                <w:szCs w:val="22"/>
                <w:lang w:val="sr-Cyrl-RS"/>
              </w:rPr>
              <w:t>7</w:t>
            </w:r>
          </w:p>
        </w:tc>
        <w:tc>
          <w:tcPr>
            <w:tcW w:w="1701" w:type="dxa"/>
            <w:tcBorders>
              <w:top w:val="single" w:sz="4" w:space="0" w:color="4F81BD" w:themeColor="accent1"/>
              <w:left w:val="none" w:sz="0" w:space="0" w:color="auto"/>
              <w:bottom w:val="single" w:sz="4" w:space="0" w:color="4F81BD" w:themeColor="accent1"/>
              <w:right w:val="none" w:sz="0" w:space="0" w:color="auto"/>
            </w:tcBorders>
            <w:noWrap/>
            <w:vAlign w:val="center"/>
          </w:tcPr>
          <w:p w14:paraId="4EA91351" w14:textId="77777777" w:rsidR="00BC75BE" w:rsidRPr="00C77721" w:rsidRDefault="00BC75BE" w:rsidP="00E847DA">
            <w:pPr>
              <w:jc w:val="right"/>
              <w:cnfStyle w:val="000000010000" w:firstRow="0" w:lastRow="0" w:firstColumn="0" w:lastColumn="0" w:oddVBand="0" w:evenVBand="0" w:oddHBand="0" w:evenHBand="1" w:firstRowFirstColumn="0" w:firstRowLastColumn="0" w:lastRowFirstColumn="0" w:lastRowLastColumn="0"/>
              <w:rPr>
                <w:rFonts w:ascii="Calibri" w:hAnsi="Calibri" w:cs="Calibri"/>
                <w:b/>
                <w:sz w:val="22"/>
                <w:szCs w:val="22"/>
                <w:lang w:val="sr-Cyrl-RS"/>
              </w:rPr>
            </w:pPr>
            <w:r w:rsidRPr="00C77721">
              <w:rPr>
                <w:rFonts w:ascii="Calibri" w:hAnsi="Calibri" w:cs="Calibri"/>
                <w:b/>
                <w:sz w:val="22"/>
                <w:szCs w:val="22"/>
              </w:rPr>
              <w:t>1,119,19</w:t>
            </w:r>
            <w:r w:rsidRPr="00C77721">
              <w:rPr>
                <w:rFonts w:ascii="Calibri" w:hAnsi="Calibri" w:cs="Calibri"/>
                <w:b/>
                <w:sz w:val="22"/>
                <w:szCs w:val="22"/>
                <w:lang w:val="sr-Cyrl-RS"/>
              </w:rPr>
              <w:t>1</w:t>
            </w:r>
          </w:p>
        </w:tc>
        <w:tc>
          <w:tcPr>
            <w:tcW w:w="1843" w:type="dxa"/>
            <w:tcBorders>
              <w:top w:val="single" w:sz="4" w:space="0" w:color="4F81BD" w:themeColor="accent1"/>
              <w:left w:val="none" w:sz="0" w:space="0" w:color="auto"/>
              <w:bottom w:val="single" w:sz="4" w:space="0" w:color="4F81BD" w:themeColor="accent1"/>
              <w:right w:val="none" w:sz="0" w:space="0" w:color="auto"/>
            </w:tcBorders>
            <w:noWrap/>
            <w:vAlign w:val="center"/>
          </w:tcPr>
          <w:p w14:paraId="4756D953" w14:textId="77777777" w:rsidR="00BC75BE" w:rsidRPr="00C77721" w:rsidRDefault="00BC75BE" w:rsidP="00E847DA">
            <w:pPr>
              <w:jc w:val="right"/>
              <w:cnfStyle w:val="000000010000" w:firstRow="0" w:lastRow="0" w:firstColumn="0" w:lastColumn="0" w:oddVBand="0" w:evenVBand="0" w:oddHBand="0" w:evenHBand="1" w:firstRowFirstColumn="0" w:firstRowLastColumn="0" w:lastRowFirstColumn="0" w:lastRowLastColumn="0"/>
              <w:rPr>
                <w:rFonts w:ascii="Calibri" w:hAnsi="Calibri" w:cs="Calibri"/>
                <w:b/>
                <w:sz w:val="22"/>
                <w:szCs w:val="22"/>
              </w:rPr>
            </w:pPr>
            <w:r w:rsidRPr="00C77721">
              <w:rPr>
                <w:rFonts w:ascii="Calibri" w:hAnsi="Calibri" w:cs="Calibri"/>
                <w:b/>
                <w:sz w:val="22"/>
                <w:szCs w:val="22"/>
              </w:rPr>
              <w:t>1,086,257</w:t>
            </w:r>
          </w:p>
        </w:tc>
      </w:tr>
      <w:tr w:rsidR="00BC75BE" w:rsidRPr="00715A66" w14:paraId="5244FC56" w14:textId="77777777" w:rsidTr="00E847DA">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503" w:type="dxa"/>
            <w:tcBorders>
              <w:top w:val="single" w:sz="4" w:space="0" w:color="4F81BD" w:themeColor="accent1"/>
              <w:left w:val="none" w:sz="0" w:space="0" w:color="auto"/>
              <w:bottom w:val="single" w:sz="4" w:space="0" w:color="4F81BD" w:themeColor="accent1"/>
              <w:right w:val="none" w:sz="0" w:space="0" w:color="auto"/>
            </w:tcBorders>
            <w:shd w:val="clear" w:color="auto" w:fill="auto"/>
            <w:vAlign w:val="center"/>
            <w:hideMark/>
          </w:tcPr>
          <w:p w14:paraId="3E27963A" w14:textId="77777777" w:rsidR="00BC75BE" w:rsidRPr="00715A66" w:rsidRDefault="00BC75BE" w:rsidP="00E847DA">
            <w:pPr>
              <w:rPr>
                <w:rFonts w:ascii="Calibri" w:hAnsi="Calibri" w:cs="Calibri"/>
                <w:b w:val="0"/>
                <w:color w:val="000000"/>
                <w:sz w:val="22"/>
                <w:szCs w:val="22"/>
                <w:lang w:val="sr-Latn-RS" w:eastAsia="sr-Latn-RS"/>
              </w:rPr>
            </w:pPr>
            <w:r>
              <w:rPr>
                <w:rFonts w:ascii="Calibri" w:hAnsi="Calibri" w:cs="Calibri"/>
                <w:color w:val="000000"/>
                <w:sz w:val="22"/>
                <w:szCs w:val="22"/>
                <w:lang w:val="sr-Latn-RS" w:eastAsia="sr-Latn-RS"/>
              </w:rPr>
              <w:t xml:space="preserve">Исправка вредности </w:t>
            </w:r>
            <w:r w:rsidRPr="00715A66">
              <w:rPr>
                <w:rFonts w:ascii="Calibri" w:hAnsi="Calibri" w:cs="Calibri"/>
                <w:color w:val="000000"/>
                <w:sz w:val="22"/>
                <w:szCs w:val="22"/>
                <w:lang w:val="sr-Latn-RS" w:eastAsia="sr-Latn-RS"/>
              </w:rPr>
              <w:t>потраживања</w:t>
            </w:r>
          </w:p>
        </w:tc>
        <w:tc>
          <w:tcPr>
            <w:tcW w:w="1290" w:type="dxa"/>
            <w:tcBorders>
              <w:top w:val="single" w:sz="4" w:space="0" w:color="4F81BD" w:themeColor="accent1"/>
              <w:left w:val="none" w:sz="0" w:space="0" w:color="auto"/>
              <w:bottom w:val="single" w:sz="4" w:space="0" w:color="4F81BD" w:themeColor="accent1"/>
              <w:right w:val="none" w:sz="0" w:space="0" w:color="auto"/>
            </w:tcBorders>
            <w:shd w:val="clear" w:color="auto" w:fill="auto"/>
            <w:noWrap/>
            <w:vAlign w:val="center"/>
          </w:tcPr>
          <w:p w14:paraId="0FBB1354" w14:textId="77777777" w:rsidR="00BC75BE" w:rsidRPr="00715A66" w:rsidRDefault="00BC75BE" w:rsidP="00E847D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22"/>
                <w:szCs w:val="22"/>
                <w:lang w:val="sr-Cyrl-RS" w:eastAsia="sr-Latn-RS"/>
              </w:rPr>
            </w:pPr>
          </w:p>
        </w:tc>
        <w:tc>
          <w:tcPr>
            <w:tcW w:w="1701" w:type="dxa"/>
            <w:tcBorders>
              <w:top w:val="single" w:sz="4" w:space="0" w:color="4F81BD" w:themeColor="accent1"/>
              <w:left w:val="none" w:sz="0" w:space="0" w:color="auto"/>
              <w:bottom w:val="single" w:sz="4" w:space="0" w:color="4F81BD" w:themeColor="accent1"/>
              <w:right w:val="none" w:sz="0" w:space="0" w:color="auto"/>
            </w:tcBorders>
            <w:shd w:val="clear" w:color="auto" w:fill="auto"/>
            <w:noWrap/>
            <w:vAlign w:val="center"/>
          </w:tcPr>
          <w:p w14:paraId="16E13258" w14:textId="77777777" w:rsidR="00BC75BE" w:rsidRPr="00715A66" w:rsidRDefault="00BC75BE" w:rsidP="00E847D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22"/>
                <w:szCs w:val="22"/>
                <w:lang w:val="sr-Cyrl-RS" w:eastAsia="sr-Latn-RS"/>
              </w:rPr>
            </w:pPr>
          </w:p>
        </w:tc>
        <w:tc>
          <w:tcPr>
            <w:tcW w:w="1843" w:type="dxa"/>
            <w:tcBorders>
              <w:top w:val="single" w:sz="4" w:space="0" w:color="4F81BD" w:themeColor="accent1"/>
              <w:left w:val="none" w:sz="0" w:space="0" w:color="auto"/>
              <w:bottom w:val="single" w:sz="4" w:space="0" w:color="4F81BD" w:themeColor="accent1"/>
              <w:right w:val="none" w:sz="0" w:space="0" w:color="auto"/>
            </w:tcBorders>
            <w:shd w:val="clear" w:color="auto" w:fill="auto"/>
            <w:noWrap/>
            <w:vAlign w:val="center"/>
          </w:tcPr>
          <w:p w14:paraId="58550F9E" w14:textId="77777777" w:rsidR="00BC75BE" w:rsidRPr="00715A66" w:rsidRDefault="00BC75BE" w:rsidP="00E847D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22"/>
                <w:szCs w:val="22"/>
                <w:lang w:val="sr-Latn-RS" w:eastAsia="sr-Latn-RS"/>
              </w:rPr>
            </w:pPr>
          </w:p>
        </w:tc>
      </w:tr>
      <w:tr w:rsidR="00BC75BE" w:rsidRPr="00715A66" w14:paraId="2CA1BCDC" w14:textId="77777777" w:rsidTr="00E847DA">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503" w:type="dxa"/>
            <w:tcBorders>
              <w:top w:val="single" w:sz="4" w:space="0" w:color="4F81BD" w:themeColor="accent1"/>
              <w:left w:val="none" w:sz="0" w:space="0" w:color="auto"/>
              <w:bottom w:val="none" w:sz="0" w:space="0" w:color="auto"/>
              <w:right w:val="none" w:sz="0" w:space="0" w:color="auto"/>
            </w:tcBorders>
            <w:shd w:val="clear" w:color="auto" w:fill="DBE5F1" w:themeFill="accent1" w:themeFillTint="33"/>
            <w:hideMark/>
          </w:tcPr>
          <w:p w14:paraId="3B914436" w14:textId="77777777" w:rsidR="00BC75BE" w:rsidRPr="00E847DA" w:rsidRDefault="00BC75BE" w:rsidP="007A5818">
            <w:pPr>
              <w:rPr>
                <w:rFonts w:ascii="Calibri" w:hAnsi="Calibri"/>
                <w:b w:val="0"/>
                <w:color w:val="000000"/>
                <w:sz w:val="22"/>
                <w:szCs w:val="22"/>
                <w:lang w:val="sr-Latn-RS" w:eastAsia="sr-Latn-RS"/>
              </w:rPr>
            </w:pPr>
            <w:r w:rsidRPr="00E847DA">
              <w:rPr>
                <w:rFonts w:ascii="Calibri" w:hAnsi="Calibri"/>
                <w:b w:val="0"/>
                <w:color w:val="000000"/>
                <w:sz w:val="22"/>
                <w:szCs w:val="22"/>
                <w:lang w:val="sr-Latn-RS" w:eastAsia="sr-Latn-RS"/>
              </w:rPr>
              <w:t>За премију реосигурања</w:t>
            </w:r>
          </w:p>
        </w:tc>
        <w:tc>
          <w:tcPr>
            <w:tcW w:w="1290" w:type="dxa"/>
            <w:tcBorders>
              <w:top w:val="single" w:sz="4" w:space="0" w:color="4F81BD" w:themeColor="accent1"/>
              <w:left w:val="none" w:sz="0" w:space="0" w:color="auto"/>
              <w:bottom w:val="none" w:sz="0" w:space="0" w:color="auto"/>
              <w:right w:val="none" w:sz="0" w:space="0" w:color="auto"/>
            </w:tcBorders>
            <w:shd w:val="clear" w:color="auto" w:fill="DBE5F1" w:themeFill="accent1" w:themeFillTint="33"/>
            <w:noWrap/>
            <w:hideMark/>
          </w:tcPr>
          <w:p w14:paraId="4EF2A4B5" w14:textId="77777777" w:rsidR="00BC75BE" w:rsidRPr="00715A66" w:rsidRDefault="00BC75BE" w:rsidP="007A5818">
            <w:pPr>
              <w:jc w:val="right"/>
              <w:cnfStyle w:val="000000010000" w:firstRow="0" w:lastRow="0" w:firstColumn="0" w:lastColumn="0" w:oddVBand="0" w:evenVBand="0" w:oddHBand="0" w:evenHBand="1" w:firstRowFirstColumn="0" w:firstRowLastColumn="0" w:lastRowFirstColumn="0" w:lastRowLastColumn="0"/>
              <w:rPr>
                <w:rFonts w:ascii="Calibri" w:hAnsi="Calibri" w:cs="Calibri"/>
                <w:color w:val="000000"/>
                <w:sz w:val="22"/>
                <w:szCs w:val="22"/>
                <w:lang w:val="sr-Latn-RS" w:eastAsia="sr-Latn-RS"/>
              </w:rPr>
            </w:pPr>
            <w:r w:rsidRPr="00715A66">
              <w:rPr>
                <w:rFonts w:ascii="Calibri" w:hAnsi="Calibri" w:cs="Calibri"/>
                <w:color w:val="000000"/>
                <w:sz w:val="22"/>
                <w:szCs w:val="22"/>
                <w:lang w:val="sr-Latn-RS" w:eastAsia="sr-Latn-RS"/>
              </w:rPr>
              <w:t>16,057</w:t>
            </w:r>
          </w:p>
        </w:tc>
        <w:tc>
          <w:tcPr>
            <w:tcW w:w="1701" w:type="dxa"/>
            <w:tcBorders>
              <w:top w:val="single" w:sz="4" w:space="0" w:color="4F81BD" w:themeColor="accent1"/>
              <w:left w:val="none" w:sz="0" w:space="0" w:color="auto"/>
              <w:bottom w:val="none" w:sz="0" w:space="0" w:color="auto"/>
              <w:right w:val="none" w:sz="0" w:space="0" w:color="auto"/>
            </w:tcBorders>
            <w:shd w:val="clear" w:color="auto" w:fill="DBE5F1" w:themeFill="accent1" w:themeFillTint="33"/>
            <w:noWrap/>
            <w:hideMark/>
          </w:tcPr>
          <w:p w14:paraId="4DA58C78" w14:textId="77777777" w:rsidR="00BC75BE" w:rsidRPr="00715A66" w:rsidRDefault="00BC75BE" w:rsidP="007A5818">
            <w:pPr>
              <w:jc w:val="right"/>
              <w:cnfStyle w:val="000000010000" w:firstRow="0" w:lastRow="0" w:firstColumn="0" w:lastColumn="0" w:oddVBand="0" w:evenVBand="0" w:oddHBand="0" w:evenHBand="1" w:firstRowFirstColumn="0" w:firstRowLastColumn="0" w:lastRowFirstColumn="0" w:lastRowLastColumn="0"/>
              <w:rPr>
                <w:rFonts w:ascii="Calibri" w:hAnsi="Calibri" w:cs="Calibri"/>
                <w:color w:val="000000"/>
                <w:sz w:val="22"/>
                <w:szCs w:val="22"/>
                <w:lang w:val="sr-Latn-RS" w:eastAsia="sr-Latn-RS"/>
              </w:rPr>
            </w:pPr>
            <w:r w:rsidRPr="00715A66">
              <w:rPr>
                <w:rFonts w:ascii="Calibri" w:hAnsi="Calibri" w:cs="Calibri"/>
                <w:color w:val="000000"/>
                <w:sz w:val="22"/>
                <w:szCs w:val="22"/>
                <w:lang w:val="sr-Latn-RS" w:eastAsia="sr-Latn-RS"/>
              </w:rPr>
              <w:t>211,093</w:t>
            </w:r>
          </w:p>
        </w:tc>
        <w:tc>
          <w:tcPr>
            <w:tcW w:w="1843" w:type="dxa"/>
            <w:tcBorders>
              <w:top w:val="single" w:sz="4" w:space="0" w:color="4F81BD" w:themeColor="accent1"/>
              <w:left w:val="none" w:sz="0" w:space="0" w:color="auto"/>
              <w:bottom w:val="none" w:sz="0" w:space="0" w:color="auto"/>
              <w:right w:val="none" w:sz="0" w:space="0" w:color="auto"/>
            </w:tcBorders>
            <w:shd w:val="clear" w:color="auto" w:fill="DBE5F1" w:themeFill="accent1" w:themeFillTint="33"/>
            <w:noWrap/>
            <w:hideMark/>
          </w:tcPr>
          <w:p w14:paraId="630AB3D4" w14:textId="77777777" w:rsidR="00BC75BE" w:rsidRPr="00715A66" w:rsidRDefault="00BC75BE" w:rsidP="007A5818">
            <w:pPr>
              <w:jc w:val="right"/>
              <w:cnfStyle w:val="000000010000" w:firstRow="0" w:lastRow="0" w:firstColumn="0" w:lastColumn="0" w:oddVBand="0" w:evenVBand="0" w:oddHBand="0" w:evenHBand="1" w:firstRowFirstColumn="0" w:firstRowLastColumn="0" w:lastRowFirstColumn="0" w:lastRowLastColumn="0"/>
              <w:rPr>
                <w:rFonts w:ascii="Calibri" w:hAnsi="Calibri" w:cs="Calibri"/>
                <w:color w:val="000000"/>
                <w:sz w:val="22"/>
                <w:szCs w:val="22"/>
                <w:lang w:val="sr-Latn-RS" w:eastAsia="sr-Latn-RS"/>
              </w:rPr>
            </w:pPr>
            <w:r w:rsidRPr="00715A66">
              <w:rPr>
                <w:rFonts w:ascii="Calibri" w:hAnsi="Calibri" w:cs="Calibri"/>
                <w:color w:val="000000"/>
                <w:sz w:val="22"/>
                <w:szCs w:val="22"/>
                <w:lang w:val="sr-Latn-RS" w:eastAsia="sr-Latn-RS"/>
              </w:rPr>
              <w:t>250,565</w:t>
            </w:r>
          </w:p>
        </w:tc>
      </w:tr>
      <w:tr w:rsidR="00BC75BE" w:rsidRPr="00715A66" w14:paraId="0D4E70FA" w14:textId="77777777" w:rsidTr="00E847DA">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503" w:type="dxa"/>
            <w:tcBorders>
              <w:top w:val="none" w:sz="0" w:space="0" w:color="auto"/>
              <w:left w:val="none" w:sz="0" w:space="0" w:color="auto"/>
              <w:bottom w:val="none" w:sz="0" w:space="0" w:color="auto"/>
              <w:right w:val="none" w:sz="0" w:space="0" w:color="auto"/>
            </w:tcBorders>
            <w:shd w:val="clear" w:color="auto" w:fill="auto"/>
            <w:hideMark/>
          </w:tcPr>
          <w:p w14:paraId="53D70C87" w14:textId="77777777" w:rsidR="00BC75BE" w:rsidRPr="00E847DA" w:rsidRDefault="00BC75BE" w:rsidP="007A5818">
            <w:pPr>
              <w:rPr>
                <w:rFonts w:ascii="Calibri" w:hAnsi="Calibri"/>
                <w:b w:val="0"/>
                <w:color w:val="000000"/>
                <w:sz w:val="22"/>
                <w:szCs w:val="22"/>
                <w:lang w:val="sr-Latn-RS" w:eastAsia="sr-Latn-RS"/>
              </w:rPr>
            </w:pPr>
            <w:r w:rsidRPr="00E847DA">
              <w:rPr>
                <w:rFonts w:ascii="Calibri" w:hAnsi="Calibri"/>
                <w:b w:val="0"/>
                <w:color w:val="000000"/>
                <w:sz w:val="22"/>
                <w:szCs w:val="22"/>
                <w:lang w:val="sr-Latn-RS" w:eastAsia="sr-Latn-RS"/>
              </w:rPr>
              <w:t>Од реосигуравача и ретроцесионара</w:t>
            </w:r>
          </w:p>
        </w:tc>
        <w:tc>
          <w:tcPr>
            <w:tcW w:w="1290" w:type="dxa"/>
            <w:tcBorders>
              <w:top w:val="none" w:sz="0" w:space="0" w:color="auto"/>
              <w:left w:val="none" w:sz="0" w:space="0" w:color="auto"/>
              <w:bottom w:val="none" w:sz="0" w:space="0" w:color="auto"/>
              <w:right w:val="none" w:sz="0" w:space="0" w:color="auto"/>
            </w:tcBorders>
            <w:shd w:val="clear" w:color="auto" w:fill="auto"/>
            <w:noWrap/>
            <w:hideMark/>
          </w:tcPr>
          <w:p w14:paraId="7C087141" w14:textId="77777777" w:rsidR="00BC75BE" w:rsidRPr="00715A66" w:rsidRDefault="00BC75BE" w:rsidP="007A5818">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sr-Latn-RS" w:eastAsia="sr-Latn-RS"/>
              </w:rPr>
            </w:pPr>
            <w:r w:rsidRPr="00715A66">
              <w:rPr>
                <w:rFonts w:ascii="Calibri" w:hAnsi="Calibri" w:cs="Calibri"/>
                <w:color w:val="000000"/>
                <w:sz w:val="22"/>
                <w:szCs w:val="22"/>
                <w:lang w:val="sr-Latn-RS" w:eastAsia="sr-Latn-RS"/>
              </w:rPr>
              <w:t>165,343</w:t>
            </w:r>
          </w:p>
        </w:tc>
        <w:tc>
          <w:tcPr>
            <w:tcW w:w="1701" w:type="dxa"/>
            <w:tcBorders>
              <w:top w:val="none" w:sz="0" w:space="0" w:color="auto"/>
              <w:left w:val="none" w:sz="0" w:space="0" w:color="auto"/>
              <w:bottom w:val="none" w:sz="0" w:space="0" w:color="auto"/>
              <w:right w:val="none" w:sz="0" w:space="0" w:color="auto"/>
            </w:tcBorders>
            <w:shd w:val="clear" w:color="auto" w:fill="auto"/>
            <w:noWrap/>
            <w:hideMark/>
          </w:tcPr>
          <w:p w14:paraId="6AEDBF20" w14:textId="77777777" w:rsidR="00BC75BE" w:rsidRPr="00715A66" w:rsidRDefault="00BC75BE" w:rsidP="007A5818">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sr-Latn-RS" w:eastAsia="sr-Latn-RS"/>
              </w:rPr>
            </w:pPr>
            <w:r w:rsidRPr="00715A66">
              <w:rPr>
                <w:rFonts w:ascii="Calibri" w:hAnsi="Calibri" w:cs="Calibri"/>
                <w:color w:val="000000"/>
                <w:sz w:val="22"/>
                <w:szCs w:val="22"/>
                <w:lang w:val="sr-Latn-RS" w:eastAsia="sr-Latn-RS"/>
              </w:rPr>
              <w:t>105,065</w:t>
            </w:r>
          </w:p>
        </w:tc>
        <w:tc>
          <w:tcPr>
            <w:tcW w:w="1843" w:type="dxa"/>
            <w:tcBorders>
              <w:top w:val="none" w:sz="0" w:space="0" w:color="auto"/>
              <w:left w:val="none" w:sz="0" w:space="0" w:color="auto"/>
              <w:bottom w:val="none" w:sz="0" w:space="0" w:color="auto"/>
              <w:right w:val="none" w:sz="0" w:space="0" w:color="auto"/>
            </w:tcBorders>
            <w:shd w:val="clear" w:color="auto" w:fill="auto"/>
            <w:noWrap/>
            <w:hideMark/>
          </w:tcPr>
          <w:p w14:paraId="3DCA19D9" w14:textId="77777777" w:rsidR="00BC75BE" w:rsidRPr="00715A66" w:rsidRDefault="00BC75BE" w:rsidP="007A5818">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sr-Latn-RS" w:eastAsia="sr-Latn-RS"/>
              </w:rPr>
            </w:pPr>
            <w:r w:rsidRPr="00715A66">
              <w:rPr>
                <w:rFonts w:ascii="Calibri" w:hAnsi="Calibri" w:cs="Calibri"/>
                <w:color w:val="000000"/>
                <w:sz w:val="22"/>
                <w:szCs w:val="22"/>
                <w:lang w:val="sr-Latn-RS" w:eastAsia="sr-Latn-RS"/>
              </w:rPr>
              <w:t>32,335</w:t>
            </w:r>
          </w:p>
        </w:tc>
      </w:tr>
      <w:tr w:rsidR="00BC75BE" w:rsidRPr="00715A66" w14:paraId="6875F29B" w14:textId="77777777" w:rsidTr="00E847DA">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503" w:type="dxa"/>
            <w:tcBorders>
              <w:top w:val="none" w:sz="0" w:space="0" w:color="auto"/>
              <w:left w:val="none" w:sz="0" w:space="0" w:color="auto"/>
              <w:bottom w:val="none" w:sz="0" w:space="0" w:color="auto"/>
              <w:right w:val="none" w:sz="0" w:space="0" w:color="auto"/>
            </w:tcBorders>
            <w:shd w:val="clear" w:color="auto" w:fill="DBE5F1" w:themeFill="accent1" w:themeFillTint="33"/>
            <w:hideMark/>
          </w:tcPr>
          <w:p w14:paraId="1550E3D1" w14:textId="77777777" w:rsidR="00BC75BE" w:rsidRPr="00E847DA" w:rsidRDefault="00BC75BE" w:rsidP="007A5818">
            <w:pPr>
              <w:rPr>
                <w:rFonts w:ascii="Calibri" w:hAnsi="Calibri"/>
                <w:b w:val="0"/>
                <w:color w:val="000000"/>
                <w:sz w:val="22"/>
                <w:szCs w:val="22"/>
                <w:lang w:val="sr-Latn-RS" w:eastAsia="sr-Latn-RS"/>
              </w:rPr>
            </w:pPr>
            <w:r w:rsidRPr="00E847DA">
              <w:rPr>
                <w:rFonts w:ascii="Calibri" w:hAnsi="Calibri"/>
                <w:b w:val="0"/>
                <w:color w:val="000000"/>
                <w:sz w:val="22"/>
                <w:szCs w:val="22"/>
                <w:lang w:val="sr-Latn-RS" w:eastAsia="sr-Latn-RS"/>
              </w:rPr>
              <w:t>За регресе</w:t>
            </w:r>
          </w:p>
        </w:tc>
        <w:tc>
          <w:tcPr>
            <w:tcW w:w="1290" w:type="dxa"/>
            <w:tcBorders>
              <w:top w:val="none" w:sz="0" w:space="0" w:color="auto"/>
              <w:left w:val="none" w:sz="0" w:space="0" w:color="auto"/>
              <w:bottom w:val="none" w:sz="0" w:space="0" w:color="auto"/>
              <w:right w:val="none" w:sz="0" w:space="0" w:color="auto"/>
            </w:tcBorders>
            <w:shd w:val="clear" w:color="auto" w:fill="DBE5F1" w:themeFill="accent1" w:themeFillTint="33"/>
            <w:noWrap/>
            <w:hideMark/>
          </w:tcPr>
          <w:p w14:paraId="5B4076DB" w14:textId="77777777" w:rsidR="00BC75BE" w:rsidRPr="00715A66" w:rsidRDefault="00BC75BE" w:rsidP="007A5818">
            <w:pPr>
              <w:jc w:val="right"/>
              <w:cnfStyle w:val="000000010000" w:firstRow="0" w:lastRow="0" w:firstColumn="0" w:lastColumn="0" w:oddVBand="0" w:evenVBand="0" w:oddHBand="0" w:evenHBand="1" w:firstRowFirstColumn="0" w:firstRowLastColumn="0" w:lastRowFirstColumn="0" w:lastRowLastColumn="0"/>
              <w:rPr>
                <w:rFonts w:ascii="Calibri" w:hAnsi="Calibri" w:cs="Calibri"/>
                <w:color w:val="000000"/>
                <w:sz w:val="22"/>
                <w:szCs w:val="22"/>
                <w:lang w:val="sr-Latn-RS" w:eastAsia="sr-Latn-RS"/>
              </w:rPr>
            </w:pPr>
            <w:r w:rsidRPr="00715A66">
              <w:rPr>
                <w:rFonts w:ascii="Calibri" w:hAnsi="Calibri" w:cs="Calibri"/>
                <w:color w:val="000000"/>
                <w:sz w:val="22"/>
                <w:szCs w:val="22"/>
                <w:lang w:val="sr-Latn-RS" w:eastAsia="sr-Latn-RS"/>
              </w:rPr>
              <w:t>46</w:t>
            </w:r>
          </w:p>
        </w:tc>
        <w:tc>
          <w:tcPr>
            <w:tcW w:w="1701" w:type="dxa"/>
            <w:tcBorders>
              <w:top w:val="none" w:sz="0" w:space="0" w:color="auto"/>
              <w:left w:val="none" w:sz="0" w:space="0" w:color="auto"/>
              <w:bottom w:val="none" w:sz="0" w:space="0" w:color="auto"/>
              <w:right w:val="none" w:sz="0" w:space="0" w:color="auto"/>
            </w:tcBorders>
            <w:shd w:val="clear" w:color="auto" w:fill="DBE5F1" w:themeFill="accent1" w:themeFillTint="33"/>
            <w:noWrap/>
            <w:hideMark/>
          </w:tcPr>
          <w:p w14:paraId="531C96A9" w14:textId="77777777" w:rsidR="00BC75BE" w:rsidRPr="00715A66" w:rsidRDefault="00BC75BE" w:rsidP="007A5818">
            <w:pPr>
              <w:jc w:val="right"/>
              <w:cnfStyle w:val="000000010000" w:firstRow="0" w:lastRow="0" w:firstColumn="0" w:lastColumn="0" w:oddVBand="0" w:evenVBand="0" w:oddHBand="0" w:evenHBand="1" w:firstRowFirstColumn="0" w:firstRowLastColumn="0" w:lastRowFirstColumn="0" w:lastRowLastColumn="0"/>
              <w:rPr>
                <w:rFonts w:ascii="Calibri" w:hAnsi="Calibri" w:cs="Calibri"/>
                <w:color w:val="000000"/>
                <w:sz w:val="22"/>
                <w:szCs w:val="22"/>
                <w:lang w:val="sr-Latn-RS" w:eastAsia="sr-Latn-RS"/>
              </w:rPr>
            </w:pPr>
            <w:r w:rsidRPr="00715A66">
              <w:rPr>
                <w:rFonts w:ascii="Calibri" w:hAnsi="Calibri" w:cs="Calibri"/>
                <w:color w:val="000000"/>
                <w:sz w:val="22"/>
                <w:szCs w:val="22"/>
                <w:lang w:val="sr-Latn-RS" w:eastAsia="sr-Latn-RS"/>
              </w:rPr>
              <w:t>36</w:t>
            </w:r>
          </w:p>
        </w:tc>
        <w:tc>
          <w:tcPr>
            <w:tcW w:w="1843" w:type="dxa"/>
            <w:tcBorders>
              <w:top w:val="none" w:sz="0" w:space="0" w:color="auto"/>
              <w:left w:val="none" w:sz="0" w:space="0" w:color="auto"/>
              <w:bottom w:val="none" w:sz="0" w:space="0" w:color="auto"/>
              <w:right w:val="none" w:sz="0" w:space="0" w:color="auto"/>
            </w:tcBorders>
            <w:shd w:val="clear" w:color="auto" w:fill="DBE5F1" w:themeFill="accent1" w:themeFillTint="33"/>
            <w:noWrap/>
            <w:hideMark/>
          </w:tcPr>
          <w:p w14:paraId="0ACCA8D7" w14:textId="77777777" w:rsidR="00BC75BE" w:rsidRPr="00715A66" w:rsidRDefault="00BC75BE" w:rsidP="007A5818">
            <w:pPr>
              <w:jc w:val="right"/>
              <w:cnfStyle w:val="000000010000" w:firstRow="0" w:lastRow="0" w:firstColumn="0" w:lastColumn="0" w:oddVBand="0" w:evenVBand="0" w:oddHBand="0" w:evenHBand="1" w:firstRowFirstColumn="0" w:firstRowLastColumn="0" w:lastRowFirstColumn="0" w:lastRowLastColumn="0"/>
              <w:rPr>
                <w:rFonts w:ascii="Calibri" w:hAnsi="Calibri" w:cs="Calibri"/>
                <w:color w:val="000000"/>
                <w:sz w:val="22"/>
                <w:szCs w:val="22"/>
                <w:lang w:val="sr-Latn-RS" w:eastAsia="sr-Latn-RS"/>
              </w:rPr>
            </w:pPr>
            <w:r w:rsidRPr="00715A66">
              <w:rPr>
                <w:rFonts w:ascii="Calibri" w:hAnsi="Calibri" w:cs="Calibri"/>
                <w:color w:val="000000"/>
                <w:sz w:val="22"/>
                <w:szCs w:val="22"/>
                <w:lang w:val="sr-Latn-RS" w:eastAsia="sr-Latn-RS"/>
              </w:rPr>
              <w:t>38</w:t>
            </w:r>
          </w:p>
        </w:tc>
      </w:tr>
      <w:tr w:rsidR="00BC75BE" w:rsidRPr="00715A66" w14:paraId="68875C08" w14:textId="77777777" w:rsidTr="00E847DA">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503" w:type="dxa"/>
            <w:tcBorders>
              <w:top w:val="none" w:sz="0" w:space="0" w:color="auto"/>
              <w:left w:val="none" w:sz="0" w:space="0" w:color="auto"/>
              <w:bottom w:val="single" w:sz="4" w:space="0" w:color="4F81BD" w:themeColor="accent1"/>
              <w:right w:val="none" w:sz="0" w:space="0" w:color="auto"/>
            </w:tcBorders>
            <w:shd w:val="clear" w:color="auto" w:fill="auto"/>
            <w:hideMark/>
          </w:tcPr>
          <w:p w14:paraId="0FE90E7C" w14:textId="77777777" w:rsidR="00BC75BE" w:rsidRPr="00E847DA" w:rsidRDefault="00BC75BE" w:rsidP="007A5818">
            <w:pPr>
              <w:rPr>
                <w:rFonts w:ascii="Calibri" w:hAnsi="Calibri"/>
                <w:b w:val="0"/>
                <w:color w:val="000000"/>
                <w:sz w:val="22"/>
                <w:szCs w:val="22"/>
                <w:lang w:val="sr-Latn-RS" w:eastAsia="sr-Latn-RS"/>
              </w:rPr>
            </w:pPr>
            <w:r w:rsidRPr="00E847DA">
              <w:rPr>
                <w:rFonts w:ascii="Calibri" w:hAnsi="Calibri"/>
                <w:b w:val="0"/>
                <w:color w:val="000000"/>
                <w:sz w:val="22"/>
                <w:szCs w:val="22"/>
                <w:lang w:val="sr-Latn-RS" w:eastAsia="sr-Latn-RS"/>
              </w:rPr>
              <w:t>Остала потраживања</w:t>
            </w:r>
          </w:p>
        </w:tc>
        <w:tc>
          <w:tcPr>
            <w:tcW w:w="1290" w:type="dxa"/>
            <w:tcBorders>
              <w:top w:val="none" w:sz="0" w:space="0" w:color="auto"/>
              <w:left w:val="none" w:sz="0" w:space="0" w:color="auto"/>
              <w:bottom w:val="single" w:sz="4" w:space="0" w:color="4F81BD" w:themeColor="accent1"/>
              <w:right w:val="none" w:sz="0" w:space="0" w:color="auto"/>
            </w:tcBorders>
            <w:shd w:val="clear" w:color="auto" w:fill="auto"/>
            <w:noWrap/>
            <w:hideMark/>
          </w:tcPr>
          <w:p w14:paraId="7ADD6D48" w14:textId="77777777" w:rsidR="00BC75BE" w:rsidRPr="00715A66" w:rsidRDefault="00BC75BE" w:rsidP="007A5818">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sr-Latn-RS" w:eastAsia="sr-Latn-RS"/>
              </w:rPr>
            </w:pPr>
            <w:r w:rsidRPr="00715A66">
              <w:rPr>
                <w:rFonts w:ascii="Calibri" w:hAnsi="Calibri" w:cs="Calibri"/>
                <w:color w:val="000000"/>
                <w:sz w:val="22"/>
                <w:szCs w:val="22"/>
                <w:lang w:val="sr-Latn-RS" w:eastAsia="sr-Latn-RS"/>
              </w:rPr>
              <w:t>8,800</w:t>
            </w:r>
          </w:p>
        </w:tc>
        <w:tc>
          <w:tcPr>
            <w:tcW w:w="1701" w:type="dxa"/>
            <w:tcBorders>
              <w:top w:val="none" w:sz="0" w:space="0" w:color="auto"/>
              <w:left w:val="none" w:sz="0" w:space="0" w:color="auto"/>
              <w:bottom w:val="single" w:sz="4" w:space="0" w:color="4F81BD" w:themeColor="accent1"/>
              <w:right w:val="none" w:sz="0" w:space="0" w:color="auto"/>
            </w:tcBorders>
            <w:shd w:val="clear" w:color="auto" w:fill="auto"/>
            <w:noWrap/>
            <w:hideMark/>
          </w:tcPr>
          <w:p w14:paraId="1BB652E0" w14:textId="77777777" w:rsidR="00BC75BE" w:rsidRPr="00715A66" w:rsidRDefault="00BC75BE" w:rsidP="007A5818">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sr-Latn-RS" w:eastAsia="sr-Latn-RS"/>
              </w:rPr>
            </w:pPr>
            <w:r w:rsidRPr="00715A66">
              <w:rPr>
                <w:rFonts w:ascii="Calibri" w:hAnsi="Calibri" w:cs="Calibri"/>
                <w:color w:val="000000"/>
                <w:sz w:val="22"/>
                <w:szCs w:val="22"/>
                <w:lang w:val="sr-Latn-RS" w:eastAsia="sr-Latn-RS"/>
              </w:rPr>
              <w:t>10,302</w:t>
            </w:r>
          </w:p>
        </w:tc>
        <w:tc>
          <w:tcPr>
            <w:tcW w:w="1843" w:type="dxa"/>
            <w:tcBorders>
              <w:top w:val="none" w:sz="0" w:space="0" w:color="auto"/>
              <w:left w:val="none" w:sz="0" w:space="0" w:color="auto"/>
              <w:bottom w:val="single" w:sz="4" w:space="0" w:color="4F81BD" w:themeColor="accent1"/>
              <w:right w:val="none" w:sz="0" w:space="0" w:color="auto"/>
            </w:tcBorders>
            <w:shd w:val="clear" w:color="auto" w:fill="auto"/>
            <w:noWrap/>
            <w:hideMark/>
          </w:tcPr>
          <w:p w14:paraId="3C962E9F" w14:textId="77777777" w:rsidR="00BC75BE" w:rsidRPr="00715A66" w:rsidRDefault="00BC75BE" w:rsidP="007A5818">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lang w:val="sr-Latn-RS" w:eastAsia="sr-Latn-RS"/>
              </w:rPr>
            </w:pPr>
            <w:r w:rsidRPr="00715A66">
              <w:rPr>
                <w:rFonts w:ascii="Calibri" w:hAnsi="Calibri" w:cs="Calibri"/>
                <w:color w:val="000000"/>
                <w:sz w:val="22"/>
                <w:szCs w:val="22"/>
                <w:lang w:val="sr-Latn-RS" w:eastAsia="sr-Latn-RS"/>
              </w:rPr>
              <w:t>20930</w:t>
            </w:r>
          </w:p>
        </w:tc>
      </w:tr>
      <w:tr w:rsidR="00BC75BE" w:rsidRPr="00715A66" w14:paraId="4C2BDD06" w14:textId="77777777" w:rsidTr="00E847DA">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503" w:type="dxa"/>
            <w:tcBorders>
              <w:top w:val="single" w:sz="4" w:space="0" w:color="4F81BD" w:themeColor="accent1"/>
              <w:left w:val="none" w:sz="0" w:space="0" w:color="auto"/>
              <w:bottom w:val="single" w:sz="4" w:space="0" w:color="4F81BD" w:themeColor="accent1"/>
              <w:right w:val="none" w:sz="0" w:space="0" w:color="auto"/>
            </w:tcBorders>
            <w:vAlign w:val="center"/>
            <w:hideMark/>
          </w:tcPr>
          <w:p w14:paraId="2BE289AE" w14:textId="77777777" w:rsidR="00BC75BE" w:rsidRPr="00C848CD" w:rsidRDefault="00BC75BE" w:rsidP="00E847DA">
            <w:pPr>
              <w:rPr>
                <w:rFonts w:ascii="Calibri" w:hAnsi="Calibri"/>
                <w:color w:val="000000"/>
                <w:sz w:val="22"/>
                <w:szCs w:val="22"/>
                <w:lang w:val="sr-Cyrl-CS" w:eastAsia="sr-Latn-RS"/>
              </w:rPr>
            </w:pPr>
            <w:r w:rsidRPr="006A3079">
              <w:rPr>
                <w:rFonts w:ascii="Calibri" w:hAnsi="Calibri"/>
                <w:color w:val="000000"/>
                <w:sz w:val="22"/>
                <w:szCs w:val="22"/>
                <w:lang w:val="sr-Latn-RS" w:eastAsia="sr-Latn-RS"/>
              </w:rPr>
              <w:t>Свега</w:t>
            </w:r>
            <w:r w:rsidRPr="00CB181A">
              <w:rPr>
                <w:rFonts w:ascii="Calibri" w:hAnsi="Calibri"/>
                <w:color w:val="000000"/>
                <w:sz w:val="22"/>
                <w:szCs w:val="22"/>
                <w:lang w:val="sr-Cyrl-CS" w:eastAsia="sr-Latn-RS"/>
              </w:rPr>
              <w:t xml:space="preserve"> </w:t>
            </w:r>
            <w:r w:rsidRPr="00FB1409">
              <w:rPr>
                <w:rFonts w:ascii="Calibri" w:hAnsi="Calibri" w:cs="Calibri"/>
                <w:color w:val="000000"/>
                <w:sz w:val="22"/>
                <w:szCs w:val="22"/>
                <w:lang w:val="sr-Latn-RS" w:eastAsia="sr-Latn-RS"/>
              </w:rPr>
              <w:t>исправка вредности потраживања</w:t>
            </w:r>
          </w:p>
        </w:tc>
        <w:tc>
          <w:tcPr>
            <w:tcW w:w="1290" w:type="dxa"/>
            <w:tcBorders>
              <w:top w:val="single" w:sz="4" w:space="0" w:color="4F81BD" w:themeColor="accent1"/>
              <w:left w:val="none" w:sz="0" w:space="0" w:color="auto"/>
              <w:bottom w:val="single" w:sz="4" w:space="0" w:color="4F81BD" w:themeColor="accent1"/>
              <w:right w:val="none" w:sz="0" w:space="0" w:color="auto"/>
            </w:tcBorders>
            <w:noWrap/>
            <w:vAlign w:val="center"/>
            <w:hideMark/>
          </w:tcPr>
          <w:p w14:paraId="2CC8ABD5" w14:textId="77777777" w:rsidR="00BC75BE" w:rsidRPr="00C848CD" w:rsidRDefault="00BC75BE" w:rsidP="00E847DA">
            <w:pPr>
              <w:jc w:val="right"/>
              <w:cnfStyle w:val="000000010000" w:firstRow="0" w:lastRow="0" w:firstColumn="0" w:lastColumn="0" w:oddVBand="0" w:evenVBand="0" w:oddHBand="0" w:evenHBand="1" w:firstRowFirstColumn="0" w:firstRowLastColumn="0" w:lastRowFirstColumn="0" w:lastRowLastColumn="0"/>
              <w:rPr>
                <w:rFonts w:ascii="Calibri" w:hAnsi="Calibri" w:cs="Calibri"/>
                <w:b/>
                <w:color w:val="000000"/>
                <w:sz w:val="22"/>
                <w:szCs w:val="22"/>
                <w:lang w:val="sr-Cyrl-CS" w:eastAsia="sr-Latn-RS"/>
              </w:rPr>
            </w:pPr>
            <w:r w:rsidRPr="00C848CD">
              <w:rPr>
                <w:rFonts w:ascii="Calibri" w:hAnsi="Calibri" w:cs="Calibri"/>
                <w:b/>
                <w:color w:val="000000"/>
                <w:sz w:val="22"/>
                <w:szCs w:val="22"/>
                <w:lang w:val="sr-Latn-RS" w:eastAsia="sr-Latn-RS"/>
              </w:rPr>
              <w:t>190,24</w:t>
            </w:r>
            <w:r w:rsidRPr="00C848CD">
              <w:rPr>
                <w:rFonts w:ascii="Calibri" w:hAnsi="Calibri" w:cs="Calibri"/>
                <w:b/>
                <w:color w:val="000000"/>
                <w:sz w:val="22"/>
                <w:szCs w:val="22"/>
                <w:lang w:val="sr-Cyrl-CS" w:eastAsia="sr-Latn-RS"/>
              </w:rPr>
              <w:t>5</w:t>
            </w:r>
          </w:p>
        </w:tc>
        <w:tc>
          <w:tcPr>
            <w:tcW w:w="1701" w:type="dxa"/>
            <w:tcBorders>
              <w:top w:val="single" w:sz="4" w:space="0" w:color="4F81BD" w:themeColor="accent1"/>
              <w:left w:val="none" w:sz="0" w:space="0" w:color="auto"/>
              <w:bottom w:val="single" w:sz="4" w:space="0" w:color="4F81BD" w:themeColor="accent1"/>
              <w:right w:val="none" w:sz="0" w:space="0" w:color="auto"/>
            </w:tcBorders>
            <w:noWrap/>
            <w:vAlign w:val="center"/>
            <w:hideMark/>
          </w:tcPr>
          <w:p w14:paraId="2974D921" w14:textId="77777777" w:rsidR="00BC75BE" w:rsidRPr="00C848CD" w:rsidRDefault="00BC75BE" w:rsidP="00E847DA">
            <w:pPr>
              <w:jc w:val="right"/>
              <w:cnfStyle w:val="000000010000" w:firstRow="0" w:lastRow="0" w:firstColumn="0" w:lastColumn="0" w:oddVBand="0" w:evenVBand="0" w:oddHBand="0" w:evenHBand="1" w:firstRowFirstColumn="0" w:firstRowLastColumn="0" w:lastRowFirstColumn="0" w:lastRowLastColumn="0"/>
              <w:rPr>
                <w:rFonts w:ascii="Calibri" w:hAnsi="Calibri" w:cs="Calibri"/>
                <w:b/>
                <w:color w:val="000000"/>
                <w:sz w:val="22"/>
                <w:szCs w:val="22"/>
                <w:lang w:val="sr-Latn-RS" w:eastAsia="sr-Latn-RS"/>
              </w:rPr>
            </w:pPr>
            <w:r w:rsidRPr="00C848CD">
              <w:rPr>
                <w:rFonts w:ascii="Calibri" w:hAnsi="Calibri" w:cs="Calibri"/>
                <w:b/>
                <w:color w:val="000000"/>
                <w:sz w:val="22"/>
                <w:szCs w:val="22"/>
                <w:lang w:val="sr-Latn-RS" w:eastAsia="sr-Latn-RS"/>
              </w:rPr>
              <w:t>326,496</w:t>
            </w:r>
          </w:p>
        </w:tc>
        <w:tc>
          <w:tcPr>
            <w:tcW w:w="1843" w:type="dxa"/>
            <w:tcBorders>
              <w:top w:val="single" w:sz="4" w:space="0" w:color="4F81BD" w:themeColor="accent1"/>
              <w:left w:val="none" w:sz="0" w:space="0" w:color="auto"/>
              <w:bottom w:val="single" w:sz="4" w:space="0" w:color="4F81BD" w:themeColor="accent1"/>
              <w:right w:val="none" w:sz="0" w:space="0" w:color="auto"/>
            </w:tcBorders>
            <w:noWrap/>
            <w:vAlign w:val="center"/>
            <w:hideMark/>
          </w:tcPr>
          <w:p w14:paraId="02BA9D29" w14:textId="77777777" w:rsidR="00BC75BE" w:rsidRPr="00C848CD" w:rsidRDefault="00BC75BE" w:rsidP="00E847DA">
            <w:pPr>
              <w:jc w:val="right"/>
              <w:cnfStyle w:val="000000010000" w:firstRow="0" w:lastRow="0" w:firstColumn="0" w:lastColumn="0" w:oddVBand="0" w:evenVBand="0" w:oddHBand="0" w:evenHBand="1" w:firstRowFirstColumn="0" w:firstRowLastColumn="0" w:lastRowFirstColumn="0" w:lastRowLastColumn="0"/>
              <w:rPr>
                <w:rFonts w:ascii="Calibri" w:hAnsi="Calibri" w:cs="Calibri"/>
                <w:b/>
                <w:color w:val="000000"/>
                <w:sz w:val="22"/>
                <w:szCs w:val="22"/>
                <w:lang w:val="sr-Latn-RS" w:eastAsia="sr-Latn-RS"/>
              </w:rPr>
            </w:pPr>
            <w:r w:rsidRPr="00C848CD">
              <w:rPr>
                <w:rFonts w:ascii="Calibri" w:hAnsi="Calibri" w:cs="Calibri"/>
                <w:b/>
                <w:color w:val="000000"/>
                <w:sz w:val="22"/>
                <w:szCs w:val="22"/>
                <w:lang w:val="sr-Latn-RS" w:eastAsia="sr-Latn-RS"/>
              </w:rPr>
              <w:t>303,868</w:t>
            </w:r>
          </w:p>
        </w:tc>
      </w:tr>
      <w:tr w:rsidR="00BC75BE" w:rsidRPr="00715A66" w14:paraId="766863A0" w14:textId="77777777" w:rsidTr="00E847DA">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503" w:type="dxa"/>
            <w:tcBorders>
              <w:top w:val="single" w:sz="4" w:space="0" w:color="4F81BD" w:themeColor="accent1"/>
              <w:left w:val="none" w:sz="0" w:space="0" w:color="auto"/>
              <w:bottom w:val="single" w:sz="4" w:space="0" w:color="4F81BD" w:themeColor="accent1"/>
              <w:right w:val="none" w:sz="0" w:space="0" w:color="auto"/>
            </w:tcBorders>
            <w:vAlign w:val="center"/>
          </w:tcPr>
          <w:p w14:paraId="49CB12B0" w14:textId="77777777" w:rsidR="00BC75BE" w:rsidRPr="00C848CD" w:rsidRDefault="00BC75BE" w:rsidP="00E847DA">
            <w:pPr>
              <w:rPr>
                <w:rFonts w:ascii="Calibri" w:hAnsi="Calibri"/>
                <w:color w:val="000000"/>
                <w:sz w:val="22"/>
                <w:szCs w:val="22"/>
                <w:lang w:val="sr-Cyrl-CS" w:eastAsia="sr-Latn-RS"/>
              </w:rPr>
            </w:pPr>
            <w:r w:rsidRPr="006A3079">
              <w:rPr>
                <w:rFonts w:ascii="Calibri" w:hAnsi="Calibri"/>
                <w:color w:val="000000"/>
                <w:sz w:val="22"/>
                <w:szCs w:val="22"/>
                <w:lang w:val="sr-Cyrl-CS" w:eastAsia="sr-Latn-RS"/>
              </w:rPr>
              <w:t>Нето вредност потраживања</w:t>
            </w:r>
          </w:p>
        </w:tc>
        <w:tc>
          <w:tcPr>
            <w:tcW w:w="1290" w:type="dxa"/>
            <w:tcBorders>
              <w:top w:val="single" w:sz="4" w:space="0" w:color="4F81BD" w:themeColor="accent1"/>
              <w:left w:val="none" w:sz="0" w:space="0" w:color="auto"/>
              <w:bottom w:val="single" w:sz="4" w:space="0" w:color="4F81BD" w:themeColor="accent1"/>
              <w:right w:val="none" w:sz="0" w:space="0" w:color="auto"/>
            </w:tcBorders>
            <w:noWrap/>
            <w:vAlign w:val="center"/>
          </w:tcPr>
          <w:p w14:paraId="0E98BCD0" w14:textId="77777777" w:rsidR="00BC75BE" w:rsidRPr="00C848CD" w:rsidRDefault="00BC75BE" w:rsidP="00E847DA">
            <w:pPr>
              <w:jc w:val="right"/>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22"/>
                <w:szCs w:val="22"/>
                <w:lang w:val="sr-Latn-RS" w:eastAsia="sr-Latn-RS"/>
              </w:rPr>
            </w:pPr>
            <w:r w:rsidRPr="00C848CD">
              <w:rPr>
                <w:b/>
              </w:rPr>
              <w:t>618,372</w:t>
            </w:r>
          </w:p>
        </w:tc>
        <w:tc>
          <w:tcPr>
            <w:tcW w:w="1701" w:type="dxa"/>
            <w:tcBorders>
              <w:top w:val="single" w:sz="4" w:space="0" w:color="4F81BD" w:themeColor="accent1"/>
              <w:left w:val="none" w:sz="0" w:space="0" w:color="auto"/>
              <w:bottom w:val="single" w:sz="4" w:space="0" w:color="4F81BD" w:themeColor="accent1"/>
              <w:right w:val="none" w:sz="0" w:space="0" w:color="auto"/>
            </w:tcBorders>
            <w:noWrap/>
            <w:vAlign w:val="center"/>
          </w:tcPr>
          <w:p w14:paraId="149026FF" w14:textId="77777777" w:rsidR="00BC75BE" w:rsidRPr="00C848CD" w:rsidRDefault="00BC75BE" w:rsidP="00E847DA">
            <w:pPr>
              <w:jc w:val="right"/>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22"/>
                <w:szCs w:val="22"/>
                <w:lang w:val="sr-Latn-RS" w:eastAsia="sr-Latn-RS"/>
              </w:rPr>
            </w:pPr>
            <w:r w:rsidRPr="00C848CD">
              <w:rPr>
                <w:b/>
              </w:rPr>
              <w:t>792,694</w:t>
            </w:r>
          </w:p>
        </w:tc>
        <w:tc>
          <w:tcPr>
            <w:tcW w:w="1843" w:type="dxa"/>
            <w:tcBorders>
              <w:top w:val="single" w:sz="4" w:space="0" w:color="4F81BD" w:themeColor="accent1"/>
              <w:left w:val="none" w:sz="0" w:space="0" w:color="auto"/>
              <w:bottom w:val="single" w:sz="4" w:space="0" w:color="4F81BD" w:themeColor="accent1"/>
              <w:right w:val="none" w:sz="0" w:space="0" w:color="auto"/>
            </w:tcBorders>
            <w:noWrap/>
            <w:vAlign w:val="center"/>
          </w:tcPr>
          <w:p w14:paraId="7934B749" w14:textId="77777777" w:rsidR="00BC75BE" w:rsidRPr="00C848CD" w:rsidRDefault="00BC75BE" w:rsidP="00E847DA">
            <w:pPr>
              <w:jc w:val="right"/>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22"/>
                <w:szCs w:val="22"/>
                <w:lang w:val="sr-Latn-RS" w:eastAsia="sr-Latn-RS"/>
              </w:rPr>
            </w:pPr>
            <w:r w:rsidRPr="00C848CD">
              <w:rPr>
                <w:b/>
              </w:rPr>
              <w:t>782,389</w:t>
            </w:r>
          </w:p>
        </w:tc>
      </w:tr>
    </w:tbl>
    <w:p w14:paraId="068CA0B5" w14:textId="77777777" w:rsidR="008E4D7D" w:rsidRPr="00BF3CDE" w:rsidRDefault="008E4D7D" w:rsidP="00AB59CB">
      <w:pPr>
        <w:spacing w:before="200"/>
        <w:ind w:firstLine="284"/>
        <w:jc w:val="both"/>
        <w:rPr>
          <w:rStyle w:val="Hyperlink"/>
          <w:noProof/>
          <w:color w:val="auto"/>
          <w:sz w:val="20"/>
          <w:lang w:val="sr-Cyrl-CS"/>
        </w:rPr>
      </w:pPr>
      <w:r w:rsidRPr="00BF3CDE">
        <w:rPr>
          <w:rStyle w:val="Hyperlink"/>
          <w:noProof/>
          <w:color w:val="auto"/>
          <w:sz w:val="20"/>
          <w:lang w:val="sr-Cyrl-CS"/>
        </w:rPr>
        <w:t xml:space="preserve">Друштво је на основу Правилника о начину процењивања билансних и ванбилансних позиција извршило процену потраживања као дела билансне активе и утврдило исправку вредности у износу од 190.245 хиљада динара. </w:t>
      </w:r>
    </w:p>
    <w:p w14:paraId="5BFDF46D" w14:textId="77777777" w:rsidR="008E4D7D" w:rsidRPr="00BF3CDE" w:rsidRDefault="008E4D7D" w:rsidP="00AB59CB">
      <w:pPr>
        <w:spacing w:before="200"/>
        <w:ind w:firstLine="284"/>
        <w:jc w:val="both"/>
        <w:rPr>
          <w:rStyle w:val="Hyperlink"/>
          <w:noProof/>
          <w:color w:val="auto"/>
          <w:sz w:val="20"/>
          <w:lang w:val="sr-Cyrl-CS"/>
        </w:rPr>
      </w:pPr>
      <w:r w:rsidRPr="00BF3CDE">
        <w:rPr>
          <w:rStyle w:val="Hyperlink"/>
          <w:noProof/>
          <w:color w:val="auto"/>
          <w:sz w:val="20"/>
          <w:lang w:val="sr-Cyrl-CS"/>
        </w:rPr>
        <w:t>Нето износ потраживања на дан 31.12.2014. године у билансу стања износи 618.372 хиљада динара.</w:t>
      </w:r>
    </w:p>
    <w:p w14:paraId="3896EE09" w14:textId="77777777" w:rsidR="008E4D7D" w:rsidRPr="00BF3CDE" w:rsidRDefault="008E4D7D" w:rsidP="00AB59CB">
      <w:pPr>
        <w:spacing w:before="200"/>
        <w:ind w:firstLine="284"/>
        <w:jc w:val="both"/>
        <w:rPr>
          <w:rStyle w:val="Hyperlink"/>
          <w:noProof/>
          <w:color w:val="auto"/>
          <w:sz w:val="20"/>
          <w:lang w:val="sr-Cyrl-CS"/>
        </w:rPr>
      </w:pPr>
      <w:r w:rsidRPr="00BF3CDE">
        <w:rPr>
          <w:rStyle w:val="Hyperlink"/>
          <w:noProof/>
          <w:color w:val="auto"/>
          <w:sz w:val="20"/>
          <w:lang w:val="sr-Cyrl-CS"/>
        </w:rPr>
        <w:t xml:space="preserve">Појединачна исправка вредности потраживања извршена је у целокупном износу према тачки 9. Одлуке НБС (члан 10. Правилника Друштва) – 126.308 хиљада динара.  </w:t>
      </w:r>
    </w:p>
    <w:p w14:paraId="1136B374" w14:textId="77777777" w:rsidR="008E4D7D" w:rsidRPr="00BF3CDE" w:rsidRDefault="008E4D7D" w:rsidP="00AB25B8">
      <w:pPr>
        <w:spacing w:before="120" w:after="120"/>
        <w:ind w:firstLine="284"/>
        <w:jc w:val="both"/>
        <w:rPr>
          <w:rStyle w:val="Hyperlink"/>
          <w:noProof/>
          <w:color w:val="auto"/>
          <w:sz w:val="20"/>
          <w:lang w:val="sr-Cyrl-CS"/>
        </w:rPr>
      </w:pPr>
      <w:r w:rsidRPr="00BF3CDE">
        <w:rPr>
          <w:rStyle w:val="Hyperlink"/>
          <w:noProof/>
          <w:color w:val="auto"/>
          <w:sz w:val="20"/>
          <w:lang w:val="sr-Cyrl-CS"/>
        </w:rPr>
        <w:t xml:space="preserve">У поступку процене наплативости потраживања у складу с тачком 11. Одлуке (члан 12. Правилника Друштва), дужници су разврстани у категорије, зависно од финансијске способности и дужине доцње. Укупна општа исправка вредности потраживања износи 63.9993 хиљада динара. За дужнике прве, друге и треће категорије Дрштво је формирало досијеа сагласно члану 16 Правилника Друштва. </w:t>
      </w:r>
    </w:p>
    <w:p w14:paraId="7A8F16FE" w14:textId="77777777" w:rsidR="008E4D7D" w:rsidRPr="00BF3CDE" w:rsidRDefault="008E4D7D" w:rsidP="00AB25B8">
      <w:pPr>
        <w:spacing w:before="120" w:after="120"/>
        <w:ind w:firstLine="284"/>
        <w:jc w:val="both"/>
        <w:rPr>
          <w:rFonts w:eastAsia="Times New Roman" w:cs="Tahoma"/>
          <w:noProof/>
          <w:sz w:val="20"/>
          <w:szCs w:val="20"/>
          <w:lang w:val="sr-Cyrl-CS"/>
        </w:rPr>
      </w:pPr>
      <w:r w:rsidRPr="00BF3CDE">
        <w:rPr>
          <w:rFonts w:eastAsia="Times New Roman" w:cs="Tahoma"/>
          <w:noProof/>
          <w:sz w:val="20"/>
          <w:szCs w:val="20"/>
          <w:lang w:val="sr-Cyrl-CS"/>
        </w:rPr>
        <w:t>У складу са МРС 10 Друштво је на дан 23.01.2015. године извршило класификацију свих потраживања, а узимајући у обзир следеће:</w:t>
      </w:r>
    </w:p>
    <w:p w14:paraId="5E7214C5" w14:textId="77777777" w:rsidR="008E4D7D" w:rsidRPr="00BF3CDE" w:rsidRDefault="008E4D7D" w:rsidP="00AB25B8">
      <w:pPr>
        <w:numPr>
          <w:ilvl w:val="0"/>
          <w:numId w:val="34"/>
        </w:numPr>
        <w:suppressAutoHyphens/>
        <w:spacing w:before="60" w:after="60"/>
        <w:jc w:val="both"/>
        <w:rPr>
          <w:rFonts w:eastAsia="Times New Roman" w:cs="Tahoma"/>
          <w:noProof/>
          <w:sz w:val="20"/>
          <w:szCs w:val="20"/>
          <w:lang w:val="sr-Cyrl-CS"/>
        </w:rPr>
      </w:pPr>
      <w:r w:rsidRPr="00BF3CDE">
        <w:rPr>
          <w:rFonts w:eastAsia="Times New Roman" w:cs="Tahoma"/>
          <w:noProof/>
          <w:sz w:val="20"/>
          <w:szCs w:val="20"/>
          <w:lang w:val="sr-Cyrl-CS"/>
        </w:rPr>
        <w:t>наплаћена потраживања и доцњу закључно са пресечним датумом;</w:t>
      </w:r>
    </w:p>
    <w:p w14:paraId="5993A534" w14:textId="77777777" w:rsidR="008E4D7D" w:rsidRPr="00BF3CDE" w:rsidRDefault="008E4D7D" w:rsidP="00AB25B8">
      <w:pPr>
        <w:numPr>
          <w:ilvl w:val="0"/>
          <w:numId w:val="33"/>
        </w:numPr>
        <w:suppressAutoHyphens/>
        <w:spacing w:before="60" w:after="60"/>
        <w:ind w:left="714" w:hanging="357"/>
        <w:jc w:val="both"/>
        <w:rPr>
          <w:rFonts w:eastAsia="Times New Roman" w:cs="Tahoma"/>
          <w:noProof/>
          <w:sz w:val="20"/>
          <w:szCs w:val="20"/>
          <w:lang w:val="sr-Cyrl-CS"/>
        </w:rPr>
      </w:pPr>
      <w:r w:rsidRPr="00BF3CDE">
        <w:rPr>
          <w:rFonts w:eastAsia="Times New Roman" w:cs="Tahoma"/>
          <w:noProof/>
          <w:sz w:val="20"/>
          <w:szCs w:val="20"/>
          <w:lang w:val="sr-Cyrl-CS"/>
        </w:rPr>
        <w:t>да је наведеном Одлуком НБС и Правилником утврђена обавеза да се потраживања од лица које је повезано лице са Друштвом, а која би иначе била класификована у другу или трећу категорију, класификују у четврту категорију;</w:t>
      </w:r>
    </w:p>
    <w:p w14:paraId="10359B5A" w14:textId="77777777" w:rsidR="008E4D7D" w:rsidRPr="00BF3CDE" w:rsidRDefault="008E4D7D" w:rsidP="00AB25B8">
      <w:pPr>
        <w:numPr>
          <w:ilvl w:val="0"/>
          <w:numId w:val="33"/>
        </w:numPr>
        <w:suppressAutoHyphens/>
        <w:spacing w:before="60" w:after="60"/>
        <w:ind w:left="714" w:hanging="357"/>
        <w:jc w:val="both"/>
        <w:rPr>
          <w:rFonts w:eastAsia="Times New Roman" w:cs="Tahoma"/>
          <w:noProof/>
          <w:sz w:val="20"/>
          <w:szCs w:val="20"/>
          <w:lang w:val="sr-Cyrl-CS"/>
        </w:rPr>
      </w:pPr>
      <w:r w:rsidRPr="00BF3CDE">
        <w:rPr>
          <w:rFonts w:eastAsia="Times New Roman" w:cs="Tahoma"/>
          <w:noProof/>
          <w:sz w:val="20"/>
          <w:szCs w:val="20"/>
          <w:lang w:val="sr-Cyrl-CS"/>
        </w:rPr>
        <w:t>да су под утицајем промене класификације потраживања од повезаних правних лица са прве на четврту категорију и обратно, у претходном периоду забележене велике осцилације у висини оствареног добитка/губитка које су директна последица промена у резултату од усклађивања вредности исправке потраживања;</w:t>
      </w:r>
    </w:p>
    <w:p w14:paraId="73958EE7" w14:textId="77777777" w:rsidR="008E4D7D" w:rsidRPr="00BF3CDE" w:rsidRDefault="008E4D7D" w:rsidP="00AB25B8">
      <w:pPr>
        <w:numPr>
          <w:ilvl w:val="0"/>
          <w:numId w:val="33"/>
        </w:numPr>
        <w:suppressAutoHyphens/>
        <w:spacing w:before="60" w:after="60"/>
        <w:ind w:left="714" w:hanging="357"/>
        <w:jc w:val="both"/>
        <w:rPr>
          <w:rFonts w:eastAsia="Times New Roman" w:cs="Tahoma"/>
          <w:noProof/>
          <w:sz w:val="20"/>
          <w:szCs w:val="20"/>
          <w:lang w:val="sr-Cyrl-CS"/>
        </w:rPr>
      </w:pPr>
      <w:r w:rsidRPr="00BF3CDE">
        <w:rPr>
          <w:rFonts w:eastAsia="Times New Roman" w:cs="Tahoma"/>
          <w:noProof/>
          <w:sz w:val="20"/>
          <w:szCs w:val="20"/>
          <w:lang w:val="sr-Cyrl-CS"/>
        </w:rPr>
        <w:lastRenderedPageBreak/>
        <w:t>да су сва исправљана потраживања од повезаних правних лица из претходних година наплаћивана у првом кварталу текуће године;</w:t>
      </w:r>
    </w:p>
    <w:p w14:paraId="4B98317F" w14:textId="77777777" w:rsidR="008E4D7D" w:rsidRPr="00BF3CDE" w:rsidRDefault="008E4D7D" w:rsidP="00AB25B8">
      <w:pPr>
        <w:numPr>
          <w:ilvl w:val="0"/>
          <w:numId w:val="33"/>
        </w:numPr>
        <w:suppressAutoHyphens/>
        <w:spacing w:before="60" w:after="60"/>
        <w:ind w:left="714" w:hanging="357"/>
        <w:jc w:val="both"/>
        <w:rPr>
          <w:rFonts w:eastAsia="Times New Roman" w:cs="Tahoma"/>
          <w:noProof/>
          <w:sz w:val="20"/>
          <w:szCs w:val="20"/>
          <w:lang w:val="sr-Cyrl-CS"/>
        </w:rPr>
      </w:pPr>
      <w:r w:rsidRPr="00BF3CDE">
        <w:rPr>
          <w:rFonts w:eastAsia="Times New Roman" w:cs="Tahoma"/>
          <w:noProof/>
          <w:sz w:val="20"/>
          <w:szCs w:val="20"/>
          <w:lang w:val="sr-Cyrl-CS"/>
        </w:rPr>
        <w:t>да према досадашњем искуству Друштво није изложено ризику да ова потраживања неће бити наплаћена, што произилази из природе посла, тј. реосигуравајућег покрића,  по коме су потраживања настала.</w:t>
      </w:r>
    </w:p>
    <w:p w14:paraId="28AFBF76" w14:textId="77777777" w:rsidR="008E4D7D" w:rsidRPr="00BF3CDE" w:rsidRDefault="008E4D7D" w:rsidP="00AB25B8">
      <w:pPr>
        <w:spacing w:before="120" w:after="120"/>
        <w:ind w:firstLine="284"/>
        <w:jc w:val="both"/>
        <w:rPr>
          <w:rStyle w:val="Hyperlink"/>
          <w:noProof/>
          <w:color w:val="auto"/>
          <w:sz w:val="20"/>
          <w:lang w:val="sr-Cyrl-CS"/>
        </w:rPr>
      </w:pPr>
      <w:r w:rsidRPr="00BF3CDE">
        <w:rPr>
          <w:rStyle w:val="Hyperlink"/>
          <w:noProof/>
          <w:color w:val="auto"/>
          <w:sz w:val="20"/>
          <w:lang w:val="sr-Cyrl-CS"/>
        </w:rPr>
        <w:t>С обзиром да су потраживања од повезаних правних лица била са доцњом до 30 дана (Компанија Дунав осигурање) и до 60 дана (Дунав осигурање Бања Лука) иста су класификована  у прву категорију и исправљена у складу са интерним актом са 0% односно 5% .</w:t>
      </w:r>
    </w:p>
    <w:p w14:paraId="7950E20A" w14:textId="77777777" w:rsidR="008E4D7D" w:rsidRPr="00BF3CDE" w:rsidRDefault="008E4D7D" w:rsidP="00AB25B8">
      <w:pPr>
        <w:spacing w:before="120" w:after="120"/>
        <w:ind w:firstLine="284"/>
        <w:jc w:val="both"/>
        <w:rPr>
          <w:rStyle w:val="Hyperlink"/>
          <w:noProof/>
          <w:color w:val="auto"/>
          <w:sz w:val="20"/>
          <w:lang w:val="sr-Cyrl-CS"/>
        </w:rPr>
      </w:pPr>
      <w:r w:rsidRPr="00BF3CDE">
        <w:rPr>
          <w:rStyle w:val="Hyperlink"/>
          <w:noProof/>
          <w:color w:val="auto"/>
          <w:sz w:val="20"/>
          <w:lang w:val="sr-Cyrl-CS"/>
        </w:rPr>
        <w:t>Укупни проценат исправке потраживања износи 23,53.%. Потраживања за премију која чине 81,14% укупних потраживања, исправљена су 3,10%.</w:t>
      </w:r>
    </w:p>
    <w:p w14:paraId="2EFC811C" w14:textId="77777777" w:rsidR="008555F5" w:rsidRPr="00BF3CDE" w:rsidRDefault="00E872CD" w:rsidP="00AB25B8">
      <w:pPr>
        <w:spacing w:before="120" w:after="120"/>
        <w:ind w:firstLine="284"/>
        <w:jc w:val="both"/>
        <w:rPr>
          <w:rStyle w:val="Hyperlink"/>
          <w:noProof/>
          <w:color w:val="auto"/>
          <w:sz w:val="20"/>
          <w:lang w:val="sr-Cyrl-CS"/>
        </w:rPr>
      </w:pPr>
      <w:r w:rsidRPr="00BF3CDE">
        <w:rPr>
          <w:rStyle w:val="Hyperlink"/>
          <w:noProof/>
          <w:color w:val="auto"/>
          <w:sz w:val="20"/>
          <w:lang w:val="sr-Cyrl-CS"/>
        </w:rPr>
        <w:t xml:space="preserve">Вредност исправљених потраживања је у односу на претходну годину мања за 41,71%, што је реултат боље наплате потраживања пре свега од повезаних лица. </w:t>
      </w:r>
    </w:p>
    <w:p w14:paraId="27F1E32B" w14:textId="77777777" w:rsidR="00E872CD" w:rsidRDefault="00E872CD" w:rsidP="00AB25B8">
      <w:pPr>
        <w:spacing w:before="120" w:after="120"/>
        <w:ind w:firstLine="284"/>
        <w:jc w:val="both"/>
        <w:rPr>
          <w:rStyle w:val="Hyperlink"/>
          <w:noProof/>
          <w:color w:val="auto"/>
          <w:sz w:val="20"/>
          <w:lang w:val="sr-Cyrl-CS"/>
        </w:rPr>
      </w:pPr>
      <w:r w:rsidRPr="00BF3CDE">
        <w:rPr>
          <w:rStyle w:val="Hyperlink"/>
          <w:noProof/>
          <w:color w:val="auto"/>
          <w:sz w:val="20"/>
          <w:lang w:val="sr-Cyrl-CS"/>
        </w:rPr>
        <w:t xml:space="preserve">У структури </w:t>
      </w:r>
      <w:r w:rsidR="000D2029">
        <w:rPr>
          <w:rStyle w:val="Hyperlink"/>
          <w:noProof/>
          <w:color w:val="auto"/>
          <w:sz w:val="20"/>
          <w:lang w:val="sr-Cyrl-CS"/>
        </w:rPr>
        <w:t xml:space="preserve">бруто потраживања </w:t>
      </w:r>
      <w:r w:rsidRPr="00BF3CDE">
        <w:rPr>
          <w:rStyle w:val="Hyperlink"/>
          <w:noProof/>
          <w:color w:val="auto"/>
          <w:sz w:val="20"/>
          <w:lang w:val="sr-Cyrl-CS"/>
        </w:rPr>
        <w:t>доминантна су потраживања по основу учешћа у накнади  штет</w:t>
      </w:r>
      <w:r w:rsidR="008555F5" w:rsidRPr="00BF3CDE">
        <w:rPr>
          <w:rStyle w:val="Hyperlink"/>
          <w:noProof/>
          <w:color w:val="auto"/>
          <w:sz w:val="20"/>
          <w:lang w:val="sr-Cyrl-CS"/>
        </w:rPr>
        <w:t xml:space="preserve">а из иностранства од којих се на штету ЕОС односи око 60%. </w:t>
      </w:r>
    </w:p>
    <w:p w14:paraId="05A4B3DA" w14:textId="77777777" w:rsidR="00C77721" w:rsidRPr="00BF3CDE" w:rsidRDefault="00C77721" w:rsidP="00AB25B8">
      <w:pPr>
        <w:spacing w:before="120" w:after="120"/>
        <w:ind w:firstLine="284"/>
        <w:jc w:val="both"/>
        <w:rPr>
          <w:rStyle w:val="Hyperlink"/>
          <w:noProof/>
          <w:color w:val="auto"/>
          <w:sz w:val="20"/>
          <w:lang w:val="sr-Cyrl-CS"/>
        </w:rPr>
      </w:pPr>
      <w:r w:rsidRPr="00C77721">
        <w:rPr>
          <w:rStyle w:val="Hyperlink"/>
          <w:noProof/>
          <w:color w:val="auto"/>
          <w:sz w:val="20"/>
          <w:lang w:val="sr-Cyrl-CS"/>
        </w:rPr>
        <w:t>Наведено потраживање је евидентирано на конту сумњива и спорна потраживања по основу учешћа у накнади штета из иностранства и у потпуности је исправљњн</w:t>
      </w:r>
      <w:r>
        <w:rPr>
          <w:rStyle w:val="Hyperlink"/>
          <w:noProof/>
          <w:color w:val="auto"/>
          <w:sz w:val="20"/>
          <w:lang w:val="sr-Cyrl-CS"/>
        </w:rPr>
        <w:t>о</w:t>
      </w:r>
      <w:r w:rsidRPr="00C77721">
        <w:rPr>
          <w:rStyle w:val="Hyperlink"/>
          <w:noProof/>
          <w:color w:val="auto"/>
          <w:sz w:val="20"/>
          <w:lang w:val="sr-Cyrl-CS"/>
        </w:rPr>
        <w:t xml:space="preserve"> на дан 31.12.2014.</w:t>
      </w:r>
    </w:p>
    <w:p w14:paraId="1A9473C3" w14:textId="77777777" w:rsidR="00F93B69" w:rsidRPr="00BF3CDE" w:rsidRDefault="00F93B69" w:rsidP="00F93B69">
      <w:pPr>
        <w:spacing w:before="240" w:after="240"/>
        <w:jc w:val="both"/>
        <w:rPr>
          <w:b/>
          <w:i/>
          <w:noProof/>
          <w:color w:val="365F91" w:themeColor="accent1" w:themeShade="BF"/>
          <w:sz w:val="20"/>
          <w:lang w:val="sr-Cyrl-CS"/>
        </w:rPr>
      </w:pPr>
      <w:r w:rsidRPr="00BF3CDE">
        <w:rPr>
          <w:b/>
          <w:i/>
          <w:noProof/>
          <w:color w:val="365F91" w:themeColor="accent1" w:themeShade="BF"/>
          <w:sz w:val="20"/>
          <w:lang w:val="sr-Cyrl-CS"/>
        </w:rPr>
        <w:t xml:space="preserve">Преглед потраживања по највећим по највећим дужницима </w:t>
      </w:r>
    </w:p>
    <w:p w14:paraId="4C29B0D8" w14:textId="3B63873D" w:rsidR="00F93B69" w:rsidRPr="00BF3CDE" w:rsidRDefault="00F93B69" w:rsidP="00AB25B8">
      <w:pPr>
        <w:spacing w:before="120" w:after="120"/>
        <w:ind w:firstLine="284"/>
        <w:jc w:val="both"/>
        <w:rPr>
          <w:rStyle w:val="Hyperlink"/>
          <w:noProof/>
          <w:color w:val="auto"/>
          <w:sz w:val="20"/>
          <w:lang w:val="sr-Cyrl-CS"/>
        </w:rPr>
      </w:pPr>
      <w:r w:rsidRPr="00BF3CDE">
        <w:rPr>
          <w:rStyle w:val="Hyperlink"/>
          <w:noProof/>
          <w:color w:val="auto"/>
          <w:sz w:val="20"/>
          <w:lang w:val="sr-Cyrl-CS"/>
        </w:rPr>
        <w:t xml:space="preserve">Највеће укупно потраживање у земљи на дан 31.12.2014. године Друштво има према Компанији Дунав осигурање 171.929 хиљада динара, док је највеће укупно потраживање из иностранства евидентирано за брокера </w:t>
      </w:r>
      <w:r w:rsidR="001D4002" w:rsidRPr="00BF3CDE">
        <w:rPr>
          <w:rFonts w:eastAsia="Times New Roman" w:cs="Calibri"/>
          <w:i/>
          <w:noProof/>
          <w:sz w:val="20"/>
          <w:szCs w:val="20"/>
          <w:lang w:val="sr-Cyrl-CS" w:eastAsia="sr-Latn-RS"/>
        </w:rPr>
        <w:t>Guy Carpenter&amp;Company GmbH</w:t>
      </w:r>
      <w:r w:rsidR="001D4002" w:rsidRPr="00BF3CDE">
        <w:rPr>
          <w:rFonts w:eastAsia="Times New Roman" w:cs="Calibri"/>
          <w:noProof/>
          <w:sz w:val="20"/>
          <w:szCs w:val="20"/>
          <w:lang w:val="sr-Cyrl-CS" w:eastAsia="sr-Latn-RS"/>
        </w:rPr>
        <w:t>,Енглеска</w:t>
      </w:r>
      <w:r w:rsidRPr="00BF3CDE">
        <w:rPr>
          <w:rStyle w:val="Hyperlink"/>
          <w:noProof/>
          <w:color w:val="auto"/>
          <w:sz w:val="20"/>
          <w:lang w:val="sr-Cyrl-CS"/>
        </w:rPr>
        <w:t>.</w:t>
      </w:r>
    </w:p>
    <w:p w14:paraId="7672205D" w14:textId="77777777" w:rsidR="00F93B69" w:rsidRPr="00BF3CDE" w:rsidRDefault="00D16B74" w:rsidP="00E847DA">
      <w:pPr>
        <w:spacing w:after="0"/>
        <w:jc w:val="center"/>
        <w:rPr>
          <w:b/>
          <w:i/>
          <w:noProof/>
          <w:color w:val="4F81BD" w:themeColor="accent1"/>
          <w:sz w:val="20"/>
          <w:lang w:val="sr-Cyrl-CS"/>
        </w:rPr>
      </w:pPr>
      <w:r w:rsidRPr="00BF3CDE">
        <w:rPr>
          <w:b/>
          <w:i/>
          <w:noProof/>
          <w:color w:val="4F81BD" w:themeColor="accent1"/>
          <w:sz w:val="20"/>
          <w:lang w:val="sr-Cyrl-CS"/>
        </w:rPr>
        <w:t>5 највећих дужника у земљи</w:t>
      </w:r>
    </w:p>
    <w:p w14:paraId="13507E15" w14:textId="77777777" w:rsidR="00D16B74" w:rsidRPr="00BF3CDE" w:rsidRDefault="00D16B74" w:rsidP="00D16B74">
      <w:pPr>
        <w:pStyle w:val="NoSpacing"/>
        <w:jc w:val="right"/>
        <w:rPr>
          <w:rFonts w:ascii="Tahoma" w:hAnsi="Tahoma" w:cs="Tahoma"/>
          <w:noProof/>
          <w:sz w:val="20"/>
          <w:szCs w:val="18"/>
          <w:lang w:val="sr-Cyrl-CS"/>
        </w:rPr>
      </w:pPr>
      <w:r w:rsidRPr="00BF3CDE">
        <w:rPr>
          <w:rFonts w:ascii="Tahoma" w:hAnsi="Tahoma" w:cs="Tahoma"/>
          <w:noProof/>
          <w:sz w:val="20"/>
          <w:szCs w:val="18"/>
          <w:lang w:val="sr-Cyrl-CS"/>
        </w:rPr>
        <w:t>У 000 РСД</w:t>
      </w:r>
    </w:p>
    <w:p w14:paraId="1201AD7E" w14:textId="77777777" w:rsidR="00D16B74" w:rsidRPr="00BF3CDE" w:rsidRDefault="00D16B74" w:rsidP="00D16B74">
      <w:pPr>
        <w:pStyle w:val="NoSpacing"/>
        <w:jc w:val="right"/>
        <w:rPr>
          <w:rFonts w:ascii="Tahoma" w:hAnsi="Tahoma" w:cs="Tahoma"/>
          <w:noProof/>
          <w:sz w:val="10"/>
          <w:szCs w:val="10"/>
          <w:lang w:val="sr-Cyrl-CS"/>
        </w:rPr>
      </w:pPr>
    </w:p>
    <w:tbl>
      <w:tblPr>
        <w:tblStyle w:val="LightShading-Accent11"/>
        <w:tblW w:w="9700" w:type="dxa"/>
        <w:tblLook w:val="04A0" w:firstRow="1" w:lastRow="0" w:firstColumn="1" w:lastColumn="0" w:noHBand="0" w:noVBand="1"/>
      </w:tblPr>
      <w:tblGrid>
        <w:gridCol w:w="4120"/>
        <w:gridCol w:w="1860"/>
        <w:gridCol w:w="1860"/>
        <w:gridCol w:w="1860"/>
      </w:tblGrid>
      <w:tr w:rsidR="00D16B74" w:rsidRPr="00BF3CDE" w14:paraId="05C0430B" w14:textId="77777777" w:rsidTr="00D16B74">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4120" w:type="dxa"/>
            <w:noWrap/>
            <w:vAlign w:val="center"/>
            <w:hideMark/>
          </w:tcPr>
          <w:p w14:paraId="656987A6" w14:textId="77777777" w:rsidR="00F93B69" w:rsidRPr="00BF3CDE" w:rsidRDefault="00D16B74" w:rsidP="00D16B74">
            <w:pPr>
              <w:jc w:val="center"/>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Назив Цедента</w:t>
            </w:r>
          </w:p>
        </w:tc>
        <w:tc>
          <w:tcPr>
            <w:tcW w:w="1860" w:type="dxa"/>
            <w:noWrap/>
            <w:vAlign w:val="center"/>
            <w:hideMark/>
          </w:tcPr>
          <w:p w14:paraId="1C85D315" w14:textId="77777777" w:rsidR="00F93B69" w:rsidRPr="00BF3CDE" w:rsidRDefault="00D16B74" w:rsidP="00D16B74">
            <w:pPr>
              <w:jc w:val="center"/>
              <w:cnfStyle w:val="100000000000" w:firstRow="1"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Укупно потраживање</w:t>
            </w:r>
          </w:p>
        </w:tc>
        <w:tc>
          <w:tcPr>
            <w:tcW w:w="1860" w:type="dxa"/>
            <w:noWrap/>
            <w:vAlign w:val="center"/>
            <w:hideMark/>
          </w:tcPr>
          <w:p w14:paraId="54FF960F" w14:textId="77777777" w:rsidR="00F93B69" w:rsidRPr="00BF3CDE" w:rsidRDefault="00D16B74" w:rsidP="00D16B74">
            <w:pPr>
              <w:jc w:val="center"/>
              <w:cnfStyle w:val="100000000000" w:firstRow="1"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Доспело потраживање</w:t>
            </w:r>
          </w:p>
        </w:tc>
        <w:tc>
          <w:tcPr>
            <w:tcW w:w="1860" w:type="dxa"/>
            <w:noWrap/>
            <w:vAlign w:val="center"/>
            <w:hideMark/>
          </w:tcPr>
          <w:p w14:paraId="6C2C9796" w14:textId="77777777" w:rsidR="00F93B69" w:rsidRPr="00BF3CDE" w:rsidRDefault="00D16B74" w:rsidP="00D16B74">
            <w:pPr>
              <w:jc w:val="center"/>
              <w:cnfStyle w:val="100000000000" w:firstRow="1"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Недоспело потраживање</w:t>
            </w:r>
          </w:p>
        </w:tc>
      </w:tr>
      <w:tr w:rsidR="00D16B74" w:rsidRPr="00BF3CDE" w14:paraId="0220A94C" w14:textId="77777777" w:rsidTr="00E847DA">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120" w:type="dxa"/>
            <w:noWrap/>
            <w:vAlign w:val="center"/>
            <w:hideMark/>
          </w:tcPr>
          <w:p w14:paraId="3BD89FB0" w14:textId="77777777" w:rsidR="00F93B69" w:rsidRPr="00BF3CDE" w:rsidRDefault="00D16B74" w:rsidP="00D16B74">
            <w:pPr>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Компанија Дунав осигурање</w:t>
            </w:r>
          </w:p>
        </w:tc>
        <w:tc>
          <w:tcPr>
            <w:tcW w:w="1860" w:type="dxa"/>
            <w:noWrap/>
            <w:vAlign w:val="center"/>
            <w:hideMark/>
          </w:tcPr>
          <w:p w14:paraId="0073009A" w14:textId="77777777" w:rsidR="00F93B69" w:rsidRPr="00BF3CDE" w:rsidRDefault="00F93B69" w:rsidP="00D16B74">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171,929      </w:t>
            </w:r>
          </w:p>
        </w:tc>
        <w:tc>
          <w:tcPr>
            <w:tcW w:w="1860" w:type="dxa"/>
            <w:noWrap/>
            <w:vAlign w:val="center"/>
            <w:hideMark/>
          </w:tcPr>
          <w:p w14:paraId="56EAC95E" w14:textId="77777777" w:rsidR="00F93B69" w:rsidRPr="00BF3CDE" w:rsidRDefault="00F93B69" w:rsidP="00D16B74">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55,518      </w:t>
            </w:r>
          </w:p>
        </w:tc>
        <w:tc>
          <w:tcPr>
            <w:tcW w:w="1860" w:type="dxa"/>
            <w:noWrap/>
            <w:vAlign w:val="center"/>
            <w:hideMark/>
          </w:tcPr>
          <w:p w14:paraId="083C088C" w14:textId="77777777" w:rsidR="00F93B69" w:rsidRPr="00BF3CDE" w:rsidRDefault="00F93B69" w:rsidP="00D16B74">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116,411      </w:t>
            </w:r>
          </w:p>
        </w:tc>
      </w:tr>
      <w:tr w:rsidR="009A70FE" w:rsidRPr="00BF3CDE" w14:paraId="13E36663" w14:textId="77777777" w:rsidTr="00E847DA">
        <w:trPr>
          <w:trHeight w:val="227"/>
        </w:trPr>
        <w:tc>
          <w:tcPr>
            <w:cnfStyle w:val="001000000000" w:firstRow="0" w:lastRow="0" w:firstColumn="1" w:lastColumn="0" w:oddVBand="0" w:evenVBand="0" w:oddHBand="0" w:evenHBand="0" w:firstRowFirstColumn="0" w:firstRowLastColumn="0" w:lastRowFirstColumn="0" w:lastRowLastColumn="0"/>
            <w:tcW w:w="4120" w:type="dxa"/>
            <w:noWrap/>
            <w:vAlign w:val="center"/>
            <w:hideMark/>
          </w:tcPr>
          <w:p w14:paraId="3A0B7232" w14:textId="77777777" w:rsidR="009A70FE" w:rsidRPr="00BF3CDE" w:rsidRDefault="009A70FE" w:rsidP="00BD735A">
            <w:pPr>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Согаз осигурање</w:t>
            </w:r>
          </w:p>
        </w:tc>
        <w:tc>
          <w:tcPr>
            <w:tcW w:w="1860" w:type="dxa"/>
            <w:noWrap/>
            <w:vAlign w:val="center"/>
            <w:hideMark/>
          </w:tcPr>
          <w:p w14:paraId="6428BABC" w14:textId="77777777" w:rsidR="009A70FE" w:rsidRPr="00BF3CDE" w:rsidRDefault="009A70FE" w:rsidP="00BD735A">
            <w:pPr>
              <w:jc w:val="right"/>
              <w:cnfStyle w:val="000000000000" w:firstRow="0"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141,302      </w:t>
            </w:r>
          </w:p>
        </w:tc>
        <w:tc>
          <w:tcPr>
            <w:tcW w:w="1860" w:type="dxa"/>
            <w:noWrap/>
            <w:vAlign w:val="center"/>
            <w:hideMark/>
          </w:tcPr>
          <w:p w14:paraId="0990B596" w14:textId="77777777" w:rsidR="009A70FE" w:rsidRPr="00BF3CDE" w:rsidRDefault="009A70FE" w:rsidP="00BD735A">
            <w:pPr>
              <w:jc w:val="right"/>
              <w:cnfStyle w:val="000000000000" w:firstRow="0"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w:t>
            </w:r>
          </w:p>
        </w:tc>
        <w:tc>
          <w:tcPr>
            <w:tcW w:w="1860" w:type="dxa"/>
            <w:noWrap/>
            <w:vAlign w:val="center"/>
            <w:hideMark/>
          </w:tcPr>
          <w:p w14:paraId="0F92F591" w14:textId="77777777" w:rsidR="009A70FE" w:rsidRPr="00BF3CDE" w:rsidRDefault="009A70FE" w:rsidP="00BD735A">
            <w:pPr>
              <w:jc w:val="right"/>
              <w:cnfStyle w:val="000000000000" w:firstRow="0"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141,302      </w:t>
            </w:r>
          </w:p>
        </w:tc>
      </w:tr>
      <w:tr w:rsidR="009A70FE" w:rsidRPr="00BF3CDE" w14:paraId="294FEC0F" w14:textId="77777777" w:rsidTr="00E847DA">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120" w:type="dxa"/>
            <w:noWrap/>
            <w:vAlign w:val="center"/>
            <w:hideMark/>
          </w:tcPr>
          <w:p w14:paraId="15DBABF9" w14:textId="77777777" w:rsidR="009A70FE" w:rsidRPr="00BF3CDE" w:rsidRDefault="009A70FE" w:rsidP="00BD735A">
            <w:pPr>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Меркур осигурање</w:t>
            </w:r>
          </w:p>
        </w:tc>
        <w:tc>
          <w:tcPr>
            <w:tcW w:w="1860" w:type="dxa"/>
            <w:noWrap/>
            <w:vAlign w:val="center"/>
            <w:hideMark/>
          </w:tcPr>
          <w:p w14:paraId="2761384A" w14:textId="77777777" w:rsidR="009A70FE" w:rsidRPr="00BF3CDE" w:rsidRDefault="009A70FE" w:rsidP="00BD735A">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44,867      </w:t>
            </w:r>
          </w:p>
        </w:tc>
        <w:tc>
          <w:tcPr>
            <w:tcW w:w="1860" w:type="dxa"/>
            <w:noWrap/>
            <w:vAlign w:val="center"/>
            <w:hideMark/>
          </w:tcPr>
          <w:p w14:paraId="57B937A3" w14:textId="77777777" w:rsidR="009A70FE" w:rsidRPr="00BF3CDE" w:rsidRDefault="009A70FE" w:rsidP="00BD735A">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w:t>
            </w:r>
          </w:p>
        </w:tc>
        <w:tc>
          <w:tcPr>
            <w:tcW w:w="1860" w:type="dxa"/>
            <w:noWrap/>
            <w:vAlign w:val="center"/>
            <w:hideMark/>
          </w:tcPr>
          <w:p w14:paraId="7798505D" w14:textId="77777777" w:rsidR="009A70FE" w:rsidRPr="00BF3CDE" w:rsidRDefault="009A70FE" w:rsidP="00BD735A">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44,867      </w:t>
            </w:r>
          </w:p>
        </w:tc>
      </w:tr>
      <w:tr w:rsidR="009A70FE" w:rsidRPr="00BF3CDE" w14:paraId="63BF10A2" w14:textId="77777777" w:rsidTr="00E847DA">
        <w:trPr>
          <w:trHeight w:val="227"/>
        </w:trPr>
        <w:tc>
          <w:tcPr>
            <w:cnfStyle w:val="001000000000" w:firstRow="0" w:lastRow="0" w:firstColumn="1" w:lastColumn="0" w:oddVBand="0" w:evenVBand="0" w:oddHBand="0" w:evenHBand="0" w:firstRowFirstColumn="0" w:firstRowLastColumn="0" w:lastRowFirstColumn="0" w:lastRowLastColumn="0"/>
            <w:tcW w:w="4120" w:type="dxa"/>
            <w:noWrap/>
            <w:vAlign w:val="center"/>
            <w:hideMark/>
          </w:tcPr>
          <w:p w14:paraId="7A1FC10E" w14:textId="77777777" w:rsidR="009A70FE" w:rsidRPr="00BF3CDE" w:rsidRDefault="009A70FE" w:rsidP="00BD735A">
            <w:pPr>
              <w:rPr>
                <w:rFonts w:eastAsia="Times New Roman" w:cs="Calibri"/>
                <w:noProof/>
                <w:color w:val="auto"/>
                <w:sz w:val="20"/>
                <w:szCs w:val="20"/>
                <w:lang w:val="sr-Cyrl-CS" w:eastAsia="sr-Latn-RS"/>
              </w:rPr>
            </w:pPr>
            <w:r w:rsidRPr="00BF3CDE">
              <w:rPr>
                <w:rFonts w:eastAsia="Times New Roman" w:cs="Calibri"/>
                <w:i/>
                <w:noProof/>
                <w:color w:val="auto"/>
                <w:sz w:val="20"/>
                <w:szCs w:val="20"/>
                <w:lang w:val="sr-Cyrl-CS" w:eastAsia="sr-Latn-RS"/>
              </w:rPr>
              <w:t>Grawe</w:t>
            </w:r>
            <w:r w:rsidRPr="00BF3CDE">
              <w:rPr>
                <w:rFonts w:eastAsia="Times New Roman" w:cs="Calibri"/>
                <w:noProof/>
                <w:color w:val="auto"/>
                <w:sz w:val="20"/>
                <w:szCs w:val="20"/>
                <w:lang w:val="sr-Cyrl-CS" w:eastAsia="sr-Latn-RS"/>
              </w:rPr>
              <w:t xml:space="preserve"> осигурање</w:t>
            </w:r>
          </w:p>
        </w:tc>
        <w:tc>
          <w:tcPr>
            <w:tcW w:w="1860" w:type="dxa"/>
            <w:noWrap/>
            <w:vAlign w:val="center"/>
            <w:hideMark/>
          </w:tcPr>
          <w:p w14:paraId="2F3E2C79" w14:textId="77777777" w:rsidR="009A70FE" w:rsidRPr="00BF3CDE" w:rsidRDefault="009A70FE" w:rsidP="00BD735A">
            <w:pPr>
              <w:jc w:val="right"/>
              <w:cnfStyle w:val="000000000000" w:firstRow="0"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30,634      </w:t>
            </w:r>
          </w:p>
        </w:tc>
        <w:tc>
          <w:tcPr>
            <w:tcW w:w="1860" w:type="dxa"/>
            <w:noWrap/>
            <w:vAlign w:val="center"/>
            <w:hideMark/>
          </w:tcPr>
          <w:p w14:paraId="7F3CF77E" w14:textId="77777777" w:rsidR="009A70FE" w:rsidRPr="00BF3CDE" w:rsidRDefault="009A70FE" w:rsidP="00BD735A">
            <w:pPr>
              <w:jc w:val="right"/>
              <w:cnfStyle w:val="000000000000" w:firstRow="0"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w:t>
            </w:r>
          </w:p>
        </w:tc>
        <w:tc>
          <w:tcPr>
            <w:tcW w:w="1860" w:type="dxa"/>
            <w:noWrap/>
            <w:vAlign w:val="center"/>
            <w:hideMark/>
          </w:tcPr>
          <w:p w14:paraId="60EF9F4C" w14:textId="77777777" w:rsidR="009A70FE" w:rsidRPr="00BF3CDE" w:rsidRDefault="009A70FE" w:rsidP="00BD735A">
            <w:pPr>
              <w:jc w:val="right"/>
              <w:cnfStyle w:val="000000000000" w:firstRow="0"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30,634      </w:t>
            </w:r>
          </w:p>
        </w:tc>
      </w:tr>
      <w:tr w:rsidR="009A70FE" w:rsidRPr="00BF3CDE" w14:paraId="10F64744" w14:textId="77777777" w:rsidTr="00E847DA">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120" w:type="dxa"/>
            <w:noWrap/>
            <w:vAlign w:val="center"/>
          </w:tcPr>
          <w:p w14:paraId="33EDF184" w14:textId="77777777" w:rsidR="009A70FE" w:rsidRPr="00BF3CDE" w:rsidRDefault="009A70FE" w:rsidP="00BD735A">
            <w:pPr>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Триглав осигурање</w:t>
            </w:r>
          </w:p>
        </w:tc>
        <w:tc>
          <w:tcPr>
            <w:tcW w:w="1860" w:type="dxa"/>
            <w:noWrap/>
            <w:vAlign w:val="center"/>
          </w:tcPr>
          <w:p w14:paraId="4A57268D" w14:textId="77777777" w:rsidR="009A70FE" w:rsidRPr="00BF3CDE" w:rsidRDefault="009A70FE" w:rsidP="00BD735A">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22,478      </w:t>
            </w:r>
          </w:p>
        </w:tc>
        <w:tc>
          <w:tcPr>
            <w:tcW w:w="1860" w:type="dxa"/>
            <w:noWrap/>
            <w:vAlign w:val="center"/>
          </w:tcPr>
          <w:p w14:paraId="0C6EC1A6" w14:textId="77777777" w:rsidR="009A70FE" w:rsidRPr="00BF3CDE" w:rsidRDefault="009A70FE" w:rsidP="00BD735A">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18,611      </w:t>
            </w:r>
          </w:p>
        </w:tc>
        <w:tc>
          <w:tcPr>
            <w:tcW w:w="1860" w:type="dxa"/>
            <w:noWrap/>
            <w:vAlign w:val="center"/>
          </w:tcPr>
          <w:p w14:paraId="1007A94A" w14:textId="77777777" w:rsidR="009A70FE" w:rsidRPr="00BF3CDE" w:rsidRDefault="009A70FE" w:rsidP="00BD735A">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3,867      </w:t>
            </w:r>
          </w:p>
        </w:tc>
      </w:tr>
    </w:tbl>
    <w:p w14:paraId="73789B3A" w14:textId="77777777" w:rsidR="00D16B74" w:rsidRPr="00BF3CDE" w:rsidRDefault="00D16B74" w:rsidP="00E847DA">
      <w:pPr>
        <w:spacing w:before="240" w:after="0"/>
        <w:jc w:val="center"/>
        <w:rPr>
          <w:b/>
          <w:i/>
          <w:noProof/>
          <w:color w:val="4F81BD" w:themeColor="accent1"/>
          <w:sz w:val="20"/>
          <w:lang w:val="sr-Cyrl-CS"/>
        </w:rPr>
      </w:pPr>
      <w:r w:rsidRPr="00BF3CDE">
        <w:rPr>
          <w:b/>
          <w:i/>
          <w:noProof/>
          <w:color w:val="4F81BD" w:themeColor="accent1"/>
          <w:sz w:val="20"/>
          <w:lang w:val="sr-Cyrl-CS"/>
        </w:rPr>
        <w:t>5 највећих дужника у иностранству</w:t>
      </w:r>
    </w:p>
    <w:p w14:paraId="74E7F914" w14:textId="77777777" w:rsidR="00D16B74" w:rsidRPr="00BF3CDE" w:rsidRDefault="00D16B74" w:rsidP="00D16B74">
      <w:pPr>
        <w:pStyle w:val="NoSpacing"/>
        <w:jc w:val="right"/>
        <w:rPr>
          <w:rFonts w:ascii="Tahoma" w:hAnsi="Tahoma" w:cs="Tahoma"/>
          <w:noProof/>
          <w:sz w:val="20"/>
          <w:szCs w:val="18"/>
          <w:lang w:val="sr-Cyrl-CS"/>
        </w:rPr>
      </w:pPr>
      <w:r w:rsidRPr="00BF3CDE">
        <w:rPr>
          <w:rFonts w:ascii="Tahoma" w:hAnsi="Tahoma" w:cs="Tahoma"/>
          <w:noProof/>
          <w:sz w:val="20"/>
          <w:szCs w:val="18"/>
          <w:lang w:val="sr-Cyrl-CS"/>
        </w:rPr>
        <w:t>У 000 РСД</w:t>
      </w:r>
    </w:p>
    <w:p w14:paraId="024B5B99" w14:textId="77777777" w:rsidR="00D16B74" w:rsidRPr="00BF3CDE" w:rsidRDefault="00D16B74" w:rsidP="00D16B74">
      <w:pPr>
        <w:pStyle w:val="NoSpacing"/>
        <w:jc w:val="right"/>
        <w:rPr>
          <w:rFonts w:ascii="Tahoma" w:hAnsi="Tahoma" w:cs="Tahoma"/>
          <w:noProof/>
          <w:sz w:val="10"/>
          <w:szCs w:val="10"/>
          <w:lang w:val="sr-Cyrl-CS"/>
        </w:rPr>
      </w:pPr>
    </w:p>
    <w:tbl>
      <w:tblPr>
        <w:tblStyle w:val="LightShading-Accent11"/>
        <w:tblW w:w="10181" w:type="dxa"/>
        <w:tblInd w:w="-318" w:type="dxa"/>
        <w:tblLook w:val="04A0" w:firstRow="1" w:lastRow="0" w:firstColumn="1" w:lastColumn="0" w:noHBand="0" w:noVBand="1"/>
      </w:tblPr>
      <w:tblGrid>
        <w:gridCol w:w="4962"/>
        <w:gridCol w:w="1667"/>
        <w:gridCol w:w="1853"/>
        <w:gridCol w:w="1699"/>
      </w:tblGrid>
      <w:tr w:rsidR="00D16B74" w:rsidRPr="00BF3CDE" w14:paraId="68C1F6F6" w14:textId="77777777" w:rsidTr="00D16B74">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4962" w:type="dxa"/>
            <w:noWrap/>
            <w:vAlign w:val="center"/>
            <w:hideMark/>
          </w:tcPr>
          <w:p w14:paraId="20059C47" w14:textId="77777777" w:rsidR="00D16B74" w:rsidRPr="00BF3CDE" w:rsidRDefault="00D16B74" w:rsidP="00A71AD8">
            <w:pPr>
              <w:jc w:val="center"/>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Назив Цедента</w:t>
            </w:r>
          </w:p>
        </w:tc>
        <w:tc>
          <w:tcPr>
            <w:tcW w:w="1667" w:type="dxa"/>
            <w:noWrap/>
            <w:vAlign w:val="center"/>
            <w:hideMark/>
          </w:tcPr>
          <w:p w14:paraId="12492345" w14:textId="77777777" w:rsidR="00D16B74" w:rsidRPr="00BF3CDE" w:rsidRDefault="00D16B74" w:rsidP="00A71AD8">
            <w:pPr>
              <w:jc w:val="center"/>
              <w:cnfStyle w:val="100000000000" w:firstRow="1"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Укупно </w:t>
            </w:r>
            <w:r w:rsidRPr="00BF3CDE">
              <w:rPr>
                <w:rFonts w:eastAsia="Times New Roman" w:cs="Calibri"/>
                <w:noProof/>
                <w:color w:val="auto"/>
                <w:sz w:val="18"/>
                <w:szCs w:val="20"/>
                <w:lang w:val="sr-Cyrl-CS" w:eastAsia="sr-Latn-RS"/>
              </w:rPr>
              <w:t>потраживање</w:t>
            </w:r>
          </w:p>
        </w:tc>
        <w:tc>
          <w:tcPr>
            <w:tcW w:w="1853" w:type="dxa"/>
            <w:noWrap/>
            <w:vAlign w:val="center"/>
            <w:hideMark/>
          </w:tcPr>
          <w:p w14:paraId="1ADABF86" w14:textId="77777777" w:rsidR="00D16B74" w:rsidRPr="00BF3CDE" w:rsidRDefault="00D16B74" w:rsidP="00A71AD8">
            <w:pPr>
              <w:jc w:val="center"/>
              <w:cnfStyle w:val="100000000000" w:firstRow="1"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Доспело </w:t>
            </w:r>
            <w:r w:rsidRPr="00BF3CDE">
              <w:rPr>
                <w:rFonts w:eastAsia="Times New Roman" w:cs="Calibri"/>
                <w:noProof/>
                <w:color w:val="auto"/>
                <w:sz w:val="18"/>
                <w:szCs w:val="20"/>
                <w:lang w:val="sr-Cyrl-CS" w:eastAsia="sr-Latn-RS"/>
              </w:rPr>
              <w:t>потраживање</w:t>
            </w:r>
          </w:p>
        </w:tc>
        <w:tc>
          <w:tcPr>
            <w:tcW w:w="1699" w:type="dxa"/>
            <w:noWrap/>
            <w:vAlign w:val="center"/>
            <w:hideMark/>
          </w:tcPr>
          <w:p w14:paraId="54F226A9" w14:textId="77777777" w:rsidR="00D16B74" w:rsidRPr="00BF3CDE" w:rsidRDefault="00D16B74" w:rsidP="00A71AD8">
            <w:pPr>
              <w:jc w:val="center"/>
              <w:cnfStyle w:val="100000000000" w:firstRow="1"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Недоспело </w:t>
            </w:r>
            <w:r w:rsidRPr="00BF3CDE">
              <w:rPr>
                <w:rFonts w:eastAsia="Times New Roman" w:cs="Calibri"/>
                <w:noProof/>
                <w:color w:val="auto"/>
                <w:sz w:val="18"/>
                <w:szCs w:val="20"/>
                <w:lang w:val="sr-Cyrl-CS" w:eastAsia="sr-Latn-RS"/>
              </w:rPr>
              <w:t>потраживање</w:t>
            </w:r>
          </w:p>
        </w:tc>
      </w:tr>
      <w:tr w:rsidR="009A70FE" w:rsidRPr="00BF3CDE" w14:paraId="2D74B5E3" w14:textId="77777777" w:rsidTr="00E847DA">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962" w:type="dxa"/>
            <w:noWrap/>
            <w:vAlign w:val="center"/>
            <w:hideMark/>
          </w:tcPr>
          <w:p w14:paraId="742C25D6" w14:textId="77777777" w:rsidR="009A70FE" w:rsidRPr="00BF3CDE" w:rsidRDefault="009A70FE" w:rsidP="00BD735A">
            <w:pPr>
              <w:rPr>
                <w:rFonts w:eastAsia="Times New Roman" w:cs="Calibri"/>
                <w:noProof/>
                <w:color w:val="auto"/>
                <w:sz w:val="20"/>
                <w:szCs w:val="20"/>
                <w:lang w:val="sr-Cyrl-CS" w:eastAsia="sr-Latn-RS"/>
              </w:rPr>
            </w:pPr>
            <w:r w:rsidRPr="00BF3CDE">
              <w:rPr>
                <w:rFonts w:eastAsia="Times New Roman" w:cs="Calibri"/>
                <w:i/>
                <w:noProof/>
                <w:color w:val="auto"/>
                <w:sz w:val="20"/>
                <w:szCs w:val="20"/>
                <w:lang w:val="sr-Cyrl-CS" w:eastAsia="sr-Latn-RS"/>
              </w:rPr>
              <w:t>Guy Carpenter&amp;Company GmbH</w:t>
            </w:r>
            <w:r w:rsidRPr="00BF3CDE">
              <w:rPr>
                <w:rFonts w:eastAsia="Times New Roman" w:cs="Calibri"/>
                <w:noProof/>
                <w:color w:val="auto"/>
                <w:sz w:val="20"/>
                <w:szCs w:val="20"/>
                <w:lang w:val="sr-Cyrl-CS" w:eastAsia="sr-Latn-RS"/>
              </w:rPr>
              <w:t>,Енглеска</w:t>
            </w:r>
          </w:p>
        </w:tc>
        <w:tc>
          <w:tcPr>
            <w:tcW w:w="1667" w:type="dxa"/>
            <w:noWrap/>
            <w:vAlign w:val="center"/>
            <w:hideMark/>
          </w:tcPr>
          <w:p w14:paraId="5CB48737" w14:textId="77777777" w:rsidR="009A70FE" w:rsidRPr="00BF3CDE" w:rsidRDefault="009A70FE" w:rsidP="00BD735A">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36,648      </w:t>
            </w:r>
          </w:p>
        </w:tc>
        <w:tc>
          <w:tcPr>
            <w:tcW w:w="1853" w:type="dxa"/>
            <w:noWrap/>
            <w:vAlign w:val="center"/>
            <w:hideMark/>
          </w:tcPr>
          <w:p w14:paraId="14B42838" w14:textId="77777777" w:rsidR="009A70FE" w:rsidRPr="00BF3CDE" w:rsidRDefault="009A70FE" w:rsidP="00BD735A">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16,173      </w:t>
            </w:r>
          </w:p>
        </w:tc>
        <w:tc>
          <w:tcPr>
            <w:tcW w:w="1699" w:type="dxa"/>
            <w:noWrap/>
            <w:vAlign w:val="center"/>
            <w:hideMark/>
          </w:tcPr>
          <w:p w14:paraId="5E779AA6" w14:textId="77777777" w:rsidR="009A70FE" w:rsidRPr="00BF3CDE" w:rsidRDefault="009A70FE" w:rsidP="00BD735A">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20,475      </w:t>
            </w:r>
          </w:p>
        </w:tc>
      </w:tr>
      <w:tr w:rsidR="009A70FE" w:rsidRPr="00BF3CDE" w14:paraId="3924E2FD" w14:textId="77777777" w:rsidTr="00E847DA">
        <w:trPr>
          <w:trHeight w:val="227"/>
        </w:trPr>
        <w:tc>
          <w:tcPr>
            <w:cnfStyle w:val="001000000000" w:firstRow="0" w:lastRow="0" w:firstColumn="1" w:lastColumn="0" w:oddVBand="0" w:evenVBand="0" w:oddHBand="0" w:evenHBand="0" w:firstRowFirstColumn="0" w:firstRowLastColumn="0" w:lastRowFirstColumn="0" w:lastRowLastColumn="0"/>
            <w:tcW w:w="4962" w:type="dxa"/>
            <w:noWrap/>
            <w:vAlign w:val="center"/>
            <w:hideMark/>
          </w:tcPr>
          <w:p w14:paraId="7172884C" w14:textId="77777777" w:rsidR="009A70FE" w:rsidRPr="00BF3CDE" w:rsidRDefault="009A70FE" w:rsidP="00BD735A">
            <w:pPr>
              <w:rPr>
                <w:rFonts w:eastAsia="Times New Roman" w:cs="Calibri"/>
                <w:noProof/>
                <w:color w:val="auto"/>
                <w:sz w:val="20"/>
                <w:szCs w:val="20"/>
                <w:lang w:val="sr-Cyrl-CS" w:eastAsia="sr-Latn-RS"/>
              </w:rPr>
            </w:pPr>
            <w:r w:rsidRPr="00BF3CDE">
              <w:rPr>
                <w:rFonts w:eastAsia="Times New Roman" w:cs="Calibri"/>
                <w:i/>
                <w:noProof/>
                <w:color w:val="auto"/>
                <w:sz w:val="20"/>
                <w:szCs w:val="20"/>
                <w:lang w:val="sr-Cyrl-CS" w:eastAsia="sr-Latn-RS"/>
              </w:rPr>
              <w:t>Triglav Insurance Co.</w:t>
            </w:r>
            <w:r w:rsidRPr="00BF3CDE">
              <w:rPr>
                <w:rFonts w:eastAsia="Times New Roman" w:cs="Calibri"/>
                <w:noProof/>
                <w:color w:val="auto"/>
                <w:sz w:val="20"/>
                <w:szCs w:val="20"/>
                <w:lang w:val="sr-Cyrl-CS" w:eastAsia="sr-Latn-RS"/>
              </w:rPr>
              <w:t>, Словенија</w:t>
            </w:r>
          </w:p>
        </w:tc>
        <w:tc>
          <w:tcPr>
            <w:tcW w:w="1667" w:type="dxa"/>
            <w:noWrap/>
            <w:vAlign w:val="center"/>
            <w:hideMark/>
          </w:tcPr>
          <w:p w14:paraId="51E3CCB6" w14:textId="77777777" w:rsidR="009A70FE" w:rsidRPr="00BF3CDE" w:rsidRDefault="009A70FE" w:rsidP="00BD735A">
            <w:pPr>
              <w:jc w:val="right"/>
              <w:cnfStyle w:val="000000000000" w:firstRow="0"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35,307      </w:t>
            </w:r>
          </w:p>
        </w:tc>
        <w:tc>
          <w:tcPr>
            <w:tcW w:w="1853" w:type="dxa"/>
            <w:noWrap/>
            <w:vAlign w:val="center"/>
          </w:tcPr>
          <w:p w14:paraId="2B313AC2" w14:textId="77777777" w:rsidR="009A70FE" w:rsidRPr="00BF3CDE" w:rsidRDefault="009A70FE" w:rsidP="00BD735A">
            <w:pPr>
              <w:jc w:val="right"/>
              <w:cnfStyle w:val="000000000000" w:firstRow="0"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p>
        </w:tc>
        <w:tc>
          <w:tcPr>
            <w:tcW w:w="1699" w:type="dxa"/>
            <w:noWrap/>
            <w:vAlign w:val="center"/>
            <w:hideMark/>
          </w:tcPr>
          <w:p w14:paraId="1AA7F9BF" w14:textId="77777777" w:rsidR="009A70FE" w:rsidRPr="00BF3CDE" w:rsidRDefault="009A70FE" w:rsidP="00BD735A">
            <w:pPr>
              <w:jc w:val="right"/>
              <w:cnfStyle w:val="000000000000" w:firstRow="0"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35,307      </w:t>
            </w:r>
          </w:p>
        </w:tc>
      </w:tr>
      <w:tr w:rsidR="009A70FE" w:rsidRPr="00BF3CDE" w14:paraId="1CFFE4D0" w14:textId="77777777" w:rsidTr="00E847DA">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4962" w:type="dxa"/>
            <w:noWrap/>
            <w:vAlign w:val="center"/>
            <w:hideMark/>
          </w:tcPr>
          <w:p w14:paraId="5724CC24" w14:textId="77777777" w:rsidR="009A70FE" w:rsidRPr="00BF3CDE" w:rsidRDefault="009A70FE" w:rsidP="00BD735A">
            <w:pPr>
              <w:rPr>
                <w:rFonts w:eastAsia="Times New Roman" w:cs="Calibri"/>
                <w:noProof/>
                <w:color w:val="auto"/>
                <w:sz w:val="20"/>
                <w:szCs w:val="20"/>
                <w:lang w:val="sr-Cyrl-CS" w:eastAsia="sr-Latn-RS"/>
              </w:rPr>
            </w:pPr>
            <w:r w:rsidRPr="00BF3CDE">
              <w:rPr>
                <w:rFonts w:eastAsia="Times New Roman" w:cs="Calibri"/>
                <w:i/>
                <w:noProof/>
                <w:color w:val="auto"/>
                <w:sz w:val="20"/>
                <w:szCs w:val="20"/>
                <w:lang w:val="sr-Cyrl-CS" w:eastAsia="sr-Latn-RS"/>
              </w:rPr>
              <w:t>Interlink Ins.&amp;Reins.Brokers Pvt.Ltd.</w:t>
            </w:r>
            <w:r w:rsidRPr="00BF3CDE">
              <w:rPr>
                <w:rFonts w:eastAsia="Times New Roman" w:cs="Calibri"/>
                <w:noProof/>
                <w:color w:val="auto"/>
                <w:sz w:val="20"/>
                <w:szCs w:val="20"/>
                <w:lang w:val="sr-Cyrl-CS" w:eastAsia="sr-Latn-RS"/>
              </w:rPr>
              <w:t>,Индија</w:t>
            </w:r>
          </w:p>
        </w:tc>
        <w:tc>
          <w:tcPr>
            <w:tcW w:w="1667" w:type="dxa"/>
            <w:noWrap/>
            <w:vAlign w:val="center"/>
            <w:hideMark/>
          </w:tcPr>
          <w:p w14:paraId="39B85ED0" w14:textId="77777777" w:rsidR="009A70FE" w:rsidRPr="00BF3CDE" w:rsidRDefault="009A70FE" w:rsidP="00BD735A">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31,793      </w:t>
            </w:r>
          </w:p>
        </w:tc>
        <w:tc>
          <w:tcPr>
            <w:tcW w:w="1853" w:type="dxa"/>
            <w:noWrap/>
            <w:vAlign w:val="center"/>
            <w:hideMark/>
          </w:tcPr>
          <w:p w14:paraId="711A3451" w14:textId="77777777" w:rsidR="009A70FE" w:rsidRPr="00BF3CDE" w:rsidRDefault="009A70FE" w:rsidP="00BD735A">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31,478      </w:t>
            </w:r>
          </w:p>
        </w:tc>
        <w:tc>
          <w:tcPr>
            <w:tcW w:w="1699" w:type="dxa"/>
            <w:noWrap/>
            <w:vAlign w:val="center"/>
            <w:hideMark/>
          </w:tcPr>
          <w:p w14:paraId="1555F0B4" w14:textId="77777777" w:rsidR="009A70FE" w:rsidRPr="00BF3CDE" w:rsidRDefault="009A70FE" w:rsidP="00BD735A">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315      </w:t>
            </w:r>
          </w:p>
        </w:tc>
      </w:tr>
      <w:tr w:rsidR="00D16B74" w:rsidRPr="00BF3CDE" w14:paraId="13AA2A9D" w14:textId="77777777" w:rsidTr="00E847DA">
        <w:trPr>
          <w:trHeight w:val="227"/>
        </w:trPr>
        <w:tc>
          <w:tcPr>
            <w:cnfStyle w:val="001000000000" w:firstRow="0" w:lastRow="0" w:firstColumn="1" w:lastColumn="0" w:oddVBand="0" w:evenVBand="0" w:oddHBand="0" w:evenHBand="0" w:firstRowFirstColumn="0" w:firstRowLastColumn="0" w:lastRowFirstColumn="0" w:lastRowLastColumn="0"/>
            <w:tcW w:w="4962" w:type="dxa"/>
            <w:noWrap/>
            <w:vAlign w:val="center"/>
            <w:hideMark/>
          </w:tcPr>
          <w:p w14:paraId="1FF9B49D" w14:textId="77777777" w:rsidR="00F93B69" w:rsidRPr="00BF3CDE" w:rsidRDefault="00F93B69" w:rsidP="00D16B74">
            <w:pPr>
              <w:rPr>
                <w:rFonts w:eastAsia="Times New Roman" w:cs="Calibri"/>
                <w:noProof/>
                <w:color w:val="auto"/>
                <w:sz w:val="20"/>
                <w:szCs w:val="20"/>
                <w:lang w:val="sr-Cyrl-CS" w:eastAsia="sr-Latn-RS"/>
              </w:rPr>
            </w:pPr>
            <w:r w:rsidRPr="00BF3CDE">
              <w:rPr>
                <w:rFonts w:eastAsia="Times New Roman" w:cs="Calibri"/>
                <w:i/>
                <w:noProof/>
                <w:color w:val="auto"/>
                <w:sz w:val="20"/>
                <w:szCs w:val="20"/>
                <w:lang w:val="sr-Cyrl-CS" w:eastAsia="sr-Latn-RS"/>
              </w:rPr>
              <w:t>AON Benfield</w:t>
            </w:r>
            <w:r w:rsidRPr="00BF3CDE">
              <w:rPr>
                <w:rFonts w:eastAsia="Times New Roman" w:cs="Calibri"/>
                <w:noProof/>
                <w:color w:val="auto"/>
                <w:sz w:val="20"/>
                <w:szCs w:val="20"/>
                <w:lang w:val="sr-Cyrl-CS" w:eastAsia="sr-Latn-RS"/>
              </w:rPr>
              <w:t xml:space="preserve">, </w:t>
            </w:r>
            <w:r w:rsidR="00D16B74" w:rsidRPr="00BF3CDE">
              <w:rPr>
                <w:rFonts w:eastAsia="Times New Roman" w:cs="Calibri"/>
                <w:noProof/>
                <w:color w:val="auto"/>
                <w:sz w:val="20"/>
                <w:szCs w:val="20"/>
                <w:lang w:val="sr-Cyrl-CS" w:eastAsia="sr-Latn-RS"/>
              </w:rPr>
              <w:t>Чешка</w:t>
            </w:r>
          </w:p>
        </w:tc>
        <w:tc>
          <w:tcPr>
            <w:tcW w:w="1667" w:type="dxa"/>
            <w:noWrap/>
            <w:vAlign w:val="center"/>
            <w:hideMark/>
          </w:tcPr>
          <w:p w14:paraId="4992B597" w14:textId="77777777" w:rsidR="00F93B69" w:rsidRPr="00BF3CDE" w:rsidRDefault="00F93B69" w:rsidP="00D16B74">
            <w:pPr>
              <w:jc w:val="right"/>
              <w:cnfStyle w:val="000000000000" w:firstRow="0"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31,654      </w:t>
            </w:r>
          </w:p>
        </w:tc>
        <w:tc>
          <w:tcPr>
            <w:tcW w:w="1853" w:type="dxa"/>
            <w:noWrap/>
            <w:vAlign w:val="center"/>
            <w:hideMark/>
          </w:tcPr>
          <w:p w14:paraId="1C4D316F" w14:textId="77777777" w:rsidR="00F93B69" w:rsidRPr="00BF3CDE" w:rsidRDefault="00F93B69" w:rsidP="00D16B74">
            <w:pPr>
              <w:jc w:val="right"/>
              <w:cnfStyle w:val="000000000000" w:firstRow="0"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128      </w:t>
            </w:r>
          </w:p>
        </w:tc>
        <w:tc>
          <w:tcPr>
            <w:tcW w:w="1699" w:type="dxa"/>
            <w:noWrap/>
            <w:vAlign w:val="center"/>
            <w:hideMark/>
          </w:tcPr>
          <w:p w14:paraId="586E1F0D" w14:textId="77777777" w:rsidR="00F93B69" w:rsidRPr="00BF3CDE" w:rsidRDefault="00F93B69" w:rsidP="00D16B74">
            <w:pPr>
              <w:jc w:val="right"/>
              <w:cnfStyle w:val="000000000000" w:firstRow="0"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31,526      </w:t>
            </w:r>
          </w:p>
        </w:tc>
      </w:tr>
      <w:tr w:rsidR="00D16B74" w:rsidRPr="00BF3CDE" w14:paraId="34C0EED7" w14:textId="77777777" w:rsidTr="00E847DA">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962" w:type="dxa"/>
            <w:noWrap/>
            <w:vAlign w:val="center"/>
            <w:hideMark/>
          </w:tcPr>
          <w:p w14:paraId="02318A4D" w14:textId="77777777" w:rsidR="00F93B69" w:rsidRPr="00BF3CDE" w:rsidRDefault="00D16B74" w:rsidP="00D16B74">
            <w:pPr>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Дунав осигурање, Р. Српска</w:t>
            </w:r>
          </w:p>
        </w:tc>
        <w:tc>
          <w:tcPr>
            <w:tcW w:w="1667" w:type="dxa"/>
            <w:noWrap/>
            <w:vAlign w:val="center"/>
            <w:hideMark/>
          </w:tcPr>
          <w:p w14:paraId="41936777" w14:textId="77777777" w:rsidR="00F93B69" w:rsidRPr="00BF3CDE" w:rsidRDefault="00F93B69" w:rsidP="00D16B74">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26,926      </w:t>
            </w:r>
          </w:p>
        </w:tc>
        <w:tc>
          <w:tcPr>
            <w:tcW w:w="1853" w:type="dxa"/>
            <w:noWrap/>
            <w:vAlign w:val="center"/>
            <w:hideMark/>
          </w:tcPr>
          <w:p w14:paraId="4EF5229D" w14:textId="77777777" w:rsidR="00F93B69" w:rsidRPr="00BF3CDE" w:rsidRDefault="00F93B69" w:rsidP="00D16B74">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24,039      </w:t>
            </w:r>
          </w:p>
        </w:tc>
        <w:tc>
          <w:tcPr>
            <w:tcW w:w="1699" w:type="dxa"/>
            <w:noWrap/>
            <w:vAlign w:val="center"/>
            <w:hideMark/>
          </w:tcPr>
          <w:p w14:paraId="2D3DBE79" w14:textId="77777777" w:rsidR="00F93B69" w:rsidRPr="00BF3CDE" w:rsidRDefault="00F93B69" w:rsidP="00D16B74">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2,887      </w:t>
            </w:r>
          </w:p>
        </w:tc>
      </w:tr>
    </w:tbl>
    <w:p w14:paraId="68978180" w14:textId="77777777" w:rsidR="00DC51FA" w:rsidRPr="00BF3CDE" w:rsidRDefault="00DC51FA" w:rsidP="00DE138A">
      <w:pPr>
        <w:pStyle w:val="Heading1"/>
        <w:numPr>
          <w:ilvl w:val="1"/>
          <w:numId w:val="7"/>
        </w:numPr>
        <w:spacing w:before="360" w:after="360"/>
        <w:jc w:val="left"/>
        <w:rPr>
          <w:rFonts w:asciiTheme="majorHAnsi" w:hAnsiTheme="majorHAnsi" w:cs="Tahoma"/>
          <w:i/>
          <w:noProof/>
          <w:color w:val="4F81BD"/>
          <w:sz w:val="22"/>
          <w:szCs w:val="18"/>
          <w:lang w:val="sr-Cyrl-CS"/>
        </w:rPr>
      </w:pPr>
      <w:bookmarkStart w:id="36" w:name="_Toc414356818"/>
      <w:r w:rsidRPr="00BF3CDE">
        <w:rPr>
          <w:rFonts w:asciiTheme="majorHAnsi" w:hAnsiTheme="majorHAnsi" w:cs="Tahoma"/>
          <w:i/>
          <w:noProof/>
          <w:color w:val="4F81BD"/>
          <w:sz w:val="22"/>
          <w:szCs w:val="18"/>
          <w:lang w:val="sr-Cyrl-CS"/>
        </w:rPr>
        <w:lastRenderedPageBreak/>
        <w:t>УКУПНА ПАСИВА</w:t>
      </w:r>
      <w:r w:rsidR="00492321" w:rsidRPr="00BF3CDE">
        <w:rPr>
          <w:rFonts w:asciiTheme="majorHAnsi" w:hAnsiTheme="majorHAnsi" w:cs="Tahoma"/>
          <w:i/>
          <w:noProof/>
          <w:color w:val="4F81BD"/>
          <w:sz w:val="22"/>
          <w:szCs w:val="18"/>
          <w:lang w:val="sr-Cyrl-CS"/>
        </w:rPr>
        <w:t xml:space="preserve"> НА ДАН 31.12.201</w:t>
      </w:r>
      <w:r w:rsidR="00A205B2" w:rsidRPr="00BF3CDE">
        <w:rPr>
          <w:rFonts w:asciiTheme="majorHAnsi" w:hAnsiTheme="majorHAnsi" w:cs="Tahoma"/>
          <w:i/>
          <w:noProof/>
          <w:color w:val="4F81BD"/>
          <w:sz w:val="22"/>
          <w:szCs w:val="18"/>
          <w:lang w:val="sr-Cyrl-CS"/>
        </w:rPr>
        <w:t>4</w:t>
      </w:r>
      <w:r w:rsidR="00492321" w:rsidRPr="00BF3CDE">
        <w:rPr>
          <w:rFonts w:asciiTheme="majorHAnsi" w:hAnsiTheme="majorHAnsi" w:cs="Tahoma"/>
          <w:i/>
          <w:noProof/>
          <w:color w:val="4F81BD"/>
          <w:sz w:val="22"/>
          <w:szCs w:val="18"/>
          <w:lang w:val="sr-Cyrl-CS"/>
        </w:rPr>
        <w:t>.</w:t>
      </w:r>
      <w:bookmarkEnd w:id="36"/>
      <w:r w:rsidR="00492321" w:rsidRPr="00BF3CDE">
        <w:rPr>
          <w:rFonts w:asciiTheme="majorHAnsi" w:hAnsiTheme="majorHAnsi" w:cs="Tahoma"/>
          <w:i/>
          <w:noProof/>
          <w:color w:val="4F81BD"/>
          <w:sz w:val="22"/>
          <w:szCs w:val="18"/>
          <w:lang w:val="sr-Cyrl-CS"/>
        </w:rPr>
        <w:t xml:space="preserve"> </w:t>
      </w:r>
    </w:p>
    <w:p w14:paraId="174FEBB6" w14:textId="77777777" w:rsidR="00C9033A" w:rsidRPr="00BF3CDE" w:rsidRDefault="00E03E1D" w:rsidP="00AE6FEE">
      <w:pPr>
        <w:spacing w:after="0"/>
        <w:ind w:firstLine="567"/>
        <w:jc w:val="both"/>
        <w:rPr>
          <w:noProof/>
          <w:sz w:val="20"/>
          <w:szCs w:val="20"/>
          <w:lang w:val="sr-Cyrl-CS"/>
        </w:rPr>
      </w:pPr>
      <w:r w:rsidRPr="00BF3CDE">
        <w:rPr>
          <w:noProof/>
          <w:sz w:val="20"/>
          <w:szCs w:val="20"/>
          <w:lang w:val="sr-Cyrl-CS"/>
        </w:rPr>
        <w:t xml:space="preserve">Укупна пасива Друштва износи </w:t>
      </w:r>
      <w:r w:rsidR="005E3D22" w:rsidRPr="00BF3CDE">
        <w:rPr>
          <w:noProof/>
          <w:sz w:val="20"/>
          <w:szCs w:val="20"/>
          <w:lang w:val="sr-Cyrl-CS"/>
        </w:rPr>
        <w:t>3,863,623</w:t>
      </w:r>
      <w:r w:rsidR="00B51D5E" w:rsidRPr="00BF3CDE">
        <w:rPr>
          <w:noProof/>
          <w:sz w:val="20"/>
          <w:szCs w:val="20"/>
          <w:lang w:val="sr-Cyrl-CS"/>
        </w:rPr>
        <w:t xml:space="preserve"> </w:t>
      </w:r>
      <w:r w:rsidRPr="00BF3CDE">
        <w:rPr>
          <w:noProof/>
          <w:sz w:val="20"/>
          <w:szCs w:val="20"/>
          <w:lang w:val="sr-Cyrl-CS"/>
        </w:rPr>
        <w:t>хиљада динара</w:t>
      </w:r>
      <w:r w:rsidR="00AE6FEE" w:rsidRPr="00BF3CDE">
        <w:rPr>
          <w:noProof/>
          <w:sz w:val="20"/>
          <w:szCs w:val="20"/>
          <w:lang w:val="sr-Cyrl-CS"/>
        </w:rPr>
        <w:t xml:space="preserve"> и</w:t>
      </w:r>
      <w:r w:rsidR="00C9033A" w:rsidRPr="00BF3CDE">
        <w:rPr>
          <w:noProof/>
          <w:sz w:val="20"/>
          <w:szCs w:val="20"/>
          <w:lang w:val="sr-Cyrl-CS"/>
        </w:rPr>
        <w:t xml:space="preserve"> </w:t>
      </w:r>
      <w:r w:rsidR="003E4705" w:rsidRPr="00BF3CDE">
        <w:rPr>
          <w:noProof/>
          <w:sz w:val="20"/>
          <w:szCs w:val="20"/>
          <w:lang w:val="sr-Cyrl-CS"/>
        </w:rPr>
        <w:t>мања</w:t>
      </w:r>
      <w:r w:rsidR="00C9033A" w:rsidRPr="00BF3CDE">
        <w:rPr>
          <w:noProof/>
          <w:sz w:val="20"/>
          <w:szCs w:val="20"/>
          <w:lang w:val="sr-Cyrl-CS"/>
        </w:rPr>
        <w:t xml:space="preserve"> је за </w:t>
      </w:r>
      <w:r w:rsidR="005E3D22" w:rsidRPr="00BF3CDE">
        <w:rPr>
          <w:noProof/>
          <w:sz w:val="20"/>
          <w:szCs w:val="20"/>
          <w:lang w:val="sr-Cyrl-CS"/>
        </w:rPr>
        <w:t>5,40</w:t>
      </w:r>
      <w:r w:rsidR="00C9033A" w:rsidRPr="00BF3CDE">
        <w:rPr>
          <w:noProof/>
          <w:sz w:val="20"/>
          <w:szCs w:val="20"/>
          <w:lang w:val="sr-Cyrl-CS"/>
        </w:rPr>
        <w:t>% у односу на исти период прошле године.</w:t>
      </w:r>
    </w:p>
    <w:p w14:paraId="70126148" w14:textId="77777777" w:rsidR="00E03E1D" w:rsidRPr="00BF3CDE" w:rsidRDefault="00E03E1D" w:rsidP="00E03E1D">
      <w:pPr>
        <w:pStyle w:val="NoSpacing"/>
        <w:jc w:val="right"/>
        <w:rPr>
          <w:rFonts w:ascii="Tahoma" w:hAnsi="Tahoma" w:cs="Tahoma"/>
          <w:noProof/>
          <w:sz w:val="20"/>
          <w:szCs w:val="18"/>
          <w:lang w:val="sr-Cyrl-CS"/>
        </w:rPr>
      </w:pPr>
      <w:r w:rsidRPr="00BF3CDE">
        <w:rPr>
          <w:rFonts w:ascii="Tahoma" w:hAnsi="Tahoma" w:cs="Tahoma"/>
          <w:noProof/>
          <w:sz w:val="20"/>
          <w:szCs w:val="18"/>
          <w:lang w:val="sr-Cyrl-CS"/>
        </w:rPr>
        <w:t>У 000 РСД</w:t>
      </w:r>
    </w:p>
    <w:tbl>
      <w:tblPr>
        <w:tblW w:w="9374" w:type="dxa"/>
        <w:tblInd w:w="-34" w:type="dxa"/>
        <w:tblLook w:val="04A0" w:firstRow="1" w:lastRow="0" w:firstColumn="1" w:lastColumn="0" w:noHBand="0" w:noVBand="1"/>
      </w:tblPr>
      <w:tblGrid>
        <w:gridCol w:w="659"/>
        <w:gridCol w:w="3467"/>
        <w:gridCol w:w="1897"/>
        <w:gridCol w:w="1843"/>
        <w:gridCol w:w="1508"/>
      </w:tblGrid>
      <w:tr w:rsidR="0061552B" w:rsidRPr="00BF3CDE" w14:paraId="7F3CCFB0" w14:textId="77777777" w:rsidTr="00D16B74">
        <w:trPr>
          <w:trHeight w:val="510"/>
        </w:trPr>
        <w:tc>
          <w:tcPr>
            <w:tcW w:w="659" w:type="dxa"/>
            <w:tcBorders>
              <w:top w:val="nil"/>
              <w:left w:val="nil"/>
              <w:bottom w:val="single" w:sz="8" w:space="0" w:color="629DD1"/>
              <w:right w:val="nil"/>
            </w:tcBorders>
            <w:shd w:val="clear" w:color="auto" w:fill="auto"/>
            <w:vAlign w:val="center"/>
            <w:hideMark/>
          </w:tcPr>
          <w:p w14:paraId="0C2B01E4" w14:textId="77777777" w:rsidR="0061552B" w:rsidRPr="00BF3CDE" w:rsidRDefault="0061552B" w:rsidP="0061552B">
            <w:pPr>
              <w:spacing w:after="0" w:line="240" w:lineRule="auto"/>
              <w:jc w:val="center"/>
              <w:rPr>
                <w:rFonts w:ascii="Verdana" w:eastAsia="Times New Roman" w:hAnsi="Verdana" w:cs="Calibri"/>
                <w:b/>
                <w:bCs/>
                <w:noProof/>
                <w:color w:val="000000"/>
                <w:sz w:val="20"/>
                <w:szCs w:val="20"/>
                <w:lang w:val="sr-Cyrl-CS" w:eastAsia="sr-Latn-RS"/>
              </w:rPr>
            </w:pPr>
            <w:r w:rsidRPr="00BF3CDE">
              <w:rPr>
                <w:rFonts w:ascii="Verdana" w:eastAsia="Times New Roman" w:hAnsi="Verdana" w:cs="Calibri"/>
                <w:b/>
                <w:bCs/>
                <w:noProof/>
                <w:color w:val="000000"/>
                <w:sz w:val="20"/>
                <w:szCs w:val="20"/>
                <w:lang w:val="sr-Cyrl-CS" w:eastAsia="sr-Latn-RS"/>
              </w:rPr>
              <w:t>Р.Б.</w:t>
            </w:r>
          </w:p>
        </w:tc>
        <w:tc>
          <w:tcPr>
            <w:tcW w:w="3467" w:type="dxa"/>
            <w:tcBorders>
              <w:top w:val="nil"/>
              <w:left w:val="nil"/>
              <w:bottom w:val="single" w:sz="8" w:space="0" w:color="629DD1"/>
              <w:right w:val="nil"/>
            </w:tcBorders>
            <w:shd w:val="clear" w:color="auto" w:fill="auto"/>
            <w:vAlign w:val="center"/>
            <w:hideMark/>
          </w:tcPr>
          <w:p w14:paraId="68F44FAF" w14:textId="77777777" w:rsidR="0061552B" w:rsidRPr="00BF3CDE" w:rsidRDefault="0061552B" w:rsidP="0061552B">
            <w:pPr>
              <w:spacing w:after="0" w:line="240" w:lineRule="auto"/>
              <w:jc w:val="center"/>
              <w:rPr>
                <w:rFonts w:ascii="Verdana" w:eastAsia="Times New Roman" w:hAnsi="Verdana" w:cs="Calibri"/>
                <w:b/>
                <w:bCs/>
                <w:noProof/>
                <w:color w:val="000000"/>
                <w:sz w:val="20"/>
                <w:szCs w:val="20"/>
                <w:lang w:val="sr-Cyrl-CS" w:eastAsia="sr-Latn-RS"/>
              </w:rPr>
            </w:pPr>
            <w:r w:rsidRPr="00BF3CDE">
              <w:rPr>
                <w:rFonts w:ascii="Verdana" w:eastAsia="Times New Roman" w:hAnsi="Verdana" w:cs="Calibri"/>
                <w:b/>
                <w:bCs/>
                <w:noProof/>
                <w:color w:val="000000"/>
                <w:sz w:val="20"/>
                <w:szCs w:val="20"/>
                <w:lang w:val="sr-Cyrl-CS" w:eastAsia="sr-Latn-RS"/>
              </w:rPr>
              <w:t>КАТЕГОРИЈА</w:t>
            </w:r>
          </w:p>
        </w:tc>
        <w:tc>
          <w:tcPr>
            <w:tcW w:w="1897" w:type="dxa"/>
            <w:tcBorders>
              <w:top w:val="nil"/>
              <w:left w:val="nil"/>
              <w:bottom w:val="single" w:sz="8" w:space="0" w:color="629DD1"/>
              <w:right w:val="nil"/>
            </w:tcBorders>
            <w:shd w:val="clear" w:color="auto" w:fill="auto"/>
            <w:vAlign w:val="center"/>
            <w:hideMark/>
          </w:tcPr>
          <w:p w14:paraId="7FA1CDD4" w14:textId="77777777" w:rsidR="0061552B" w:rsidRPr="00BF3CDE" w:rsidRDefault="0061552B" w:rsidP="00A205B2">
            <w:pPr>
              <w:spacing w:after="0" w:line="240" w:lineRule="auto"/>
              <w:jc w:val="center"/>
              <w:rPr>
                <w:rFonts w:ascii="Verdana" w:eastAsia="Times New Roman" w:hAnsi="Verdana" w:cs="Calibri"/>
                <w:b/>
                <w:bCs/>
                <w:noProof/>
                <w:color w:val="000000"/>
                <w:sz w:val="20"/>
                <w:szCs w:val="20"/>
                <w:lang w:val="sr-Cyrl-CS" w:eastAsia="sr-Latn-RS"/>
              </w:rPr>
            </w:pPr>
            <w:r w:rsidRPr="00BF3CDE">
              <w:rPr>
                <w:rFonts w:ascii="Verdana" w:eastAsia="Times New Roman" w:hAnsi="Verdana" w:cs="Calibri"/>
                <w:b/>
                <w:bCs/>
                <w:noProof/>
                <w:color w:val="000000"/>
                <w:sz w:val="20"/>
                <w:szCs w:val="20"/>
                <w:lang w:val="sr-Cyrl-CS" w:eastAsia="sr-Latn-RS"/>
              </w:rPr>
              <w:t>Стање на дан 31.12.201</w:t>
            </w:r>
            <w:r w:rsidR="00A205B2" w:rsidRPr="00BF3CDE">
              <w:rPr>
                <w:rFonts w:ascii="Verdana" w:eastAsia="Times New Roman" w:hAnsi="Verdana" w:cs="Calibri"/>
                <w:b/>
                <w:bCs/>
                <w:noProof/>
                <w:color w:val="000000"/>
                <w:sz w:val="20"/>
                <w:szCs w:val="20"/>
                <w:lang w:val="sr-Cyrl-CS" w:eastAsia="sr-Latn-RS"/>
              </w:rPr>
              <w:t>3</w:t>
            </w:r>
            <w:r w:rsidRPr="00BF3CDE">
              <w:rPr>
                <w:rFonts w:ascii="Verdana" w:eastAsia="Times New Roman" w:hAnsi="Verdana" w:cs="Calibri"/>
                <w:b/>
                <w:bCs/>
                <w:noProof/>
                <w:color w:val="000000"/>
                <w:sz w:val="20"/>
                <w:szCs w:val="20"/>
                <w:lang w:val="sr-Cyrl-CS" w:eastAsia="sr-Latn-RS"/>
              </w:rPr>
              <w:t>.</w:t>
            </w:r>
          </w:p>
        </w:tc>
        <w:tc>
          <w:tcPr>
            <w:tcW w:w="1843" w:type="dxa"/>
            <w:tcBorders>
              <w:top w:val="nil"/>
              <w:left w:val="nil"/>
              <w:bottom w:val="single" w:sz="8" w:space="0" w:color="629DD1"/>
              <w:right w:val="nil"/>
            </w:tcBorders>
            <w:shd w:val="clear" w:color="auto" w:fill="auto"/>
            <w:vAlign w:val="center"/>
            <w:hideMark/>
          </w:tcPr>
          <w:p w14:paraId="7D62355F" w14:textId="77777777" w:rsidR="0061552B" w:rsidRPr="00BF3CDE" w:rsidRDefault="0061552B" w:rsidP="00A205B2">
            <w:pPr>
              <w:spacing w:after="0" w:line="240" w:lineRule="auto"/>
              <w:jc w:val="center"/>
              <w:rPr>
                <w:rFonts w:ascii="Verdana" w:eastAsia="Times New Roman" w:hAnsi="Verdana" w:cs="Calibri"/>
                <w:b/>
                <w:bCs/>
                <w:noProof/>
                <w:color w:val="000000"/>
                <w:sz w:val="20"/>
                <w:szCs w:val="20"/>
                <w:lang w:val="sr-Cyrl-CS" w:eastAsia="sr-Latn-RS"/>
              </w:rPr>
            </w:pPr>
            <w:r w:rsidRPr="00BF3CDE">
              <w:rPr>
                <w:rFonts w:ascii="Verdana" w:eastAsia="Times New Roman" w:hAnsi="Verdana" w:cs="Calibri"/>
                <w:b/>
                <w:bCs/>
                <w:noProof/>
                <w:color w:val="000000"/>
                <w:sz w:val="20"/>
                <w:szCs w:val="20"/>
                <w:lang w:val="sr-Cyrl-CS" w:eastAsia="sr-Latn-RS"/>
              </w:rPr>
              <w:t>Стање на дан 31.12.201</w:t>
            </w:r>
            <w:r w:rsidR="00A205B2" w:rsidRPr="00BF3CDE">
              <w:rPr>
                <w:rFonts w:ascii="Verdana" w:eastAsia="Times New Roman" w:hAnsi="Verdana" w:cs="Calibri"/>
                <w:b/>
                <w:bCs/>
                <w:noProof/>
                <w:color w:val="000000"/>
                <w:sz w:val="20"/>
                <w:szCs w:val="20"/>
                <w:lang w:val="sr-Cyrl-CS" w:eastAsia="sr-Latn-RS"/>
              </w:rPr>
              <w:t>4</w:t>
            </w:r>
            <w:r w:rsidRPr="00BF3CDE">
              <w:rPr>
                <w:rFonts w:ascii="Verdana" w:eastAsia="Times New Roman" w:hAnsi="Verdana" w:cs="Calibri"/>
                <w:b/>
                <w:bCs/>
                <w:noProof/>
                <w:color w:val="000000"/>
                <w:sz w:val="20"/>
                <w:szCs w:val="20"/>
                <w:lang w:val="sr-Cyrl-CS" w:eastAsia="sr-Latn-RS"/>
              </w:rPr>
              <w:t>.</w:t>
            </w:r>
          </w:p>
        </w:tc>
        <w:tc>
          <w:tcPr>
            <w:tcW w:w="1508" w:type="dxa"/>
            <w:tcBorders>
              <w:top w:val="nil"/>
              <w:left w:val="nil"/>
              <w:bottom w:val="single" w:sz="8" w:space="0" w:color="629DD1"/>
              <w:right w:val="nil"/>
            </w:tcBorders>
            <w:shd w:val="clear" w:color="auto" w:fill="auto"/>
            <w:vAlign w:val="center"/>
            <w:hideMark/>
          </w:tcPr>
          <w:p w14:paraId="3BA68B5A" w14:textId="77777777" w:rsidR="0061552B" w:rsidRPr="00BF3CDE" w:rsidRDefault="0061552B" w:rsidP="0061552B">
            <w:pPr>
              <w:spacing w:after="0" w:line="240" w:lineRule="auto"/>
              <w:jc w:val="center"/>
              <w:rPr>
                <w:rFonts w:ascii="Verdana" w:eastAsia="Times New Roman" w:hAnsi="Verdana" w:cs="Calibri"/>
                <w:b/>
                <w:bCs/>
                <w:noProof/>
                <w:color w:val="000000"/>
                <w:sz w:val="20"/>
                <w:szCs w:val="20"/>
                <w:lang w:val="sr-Cyrl-CS" w:eastAsia="sr-Latn-RS"/>
              </w:rPr>
            </w:pPr>
            <w:r w:rsidRPr="00BF3CDE">
              <w:rPr>
                <w:rFonts w:ascii="Verdana" w:eastAsia="Times New Roman" w:hAnsi="Verdana" w:cs="Calibri"/>
                <w:b/>
                <w:bCs/>
                <w:noProof/>
                <w:color w:val="000000"/>
                <w:sz w:val="20"/>
                <w:szCs w:val="20"/>
                <w:lang w:val="sr-Cyrl-CS" w:eastAsia="sr-Latn-RS"/>
              </w:rPr>
              <w:t>Индекс</w:t>
            </w:r>
          </w:p>
        </w:tc>
      </w:tr>
      <w:tr w:rsidR="00AB59CB" w:rsidRPr="00BF3CDE" w14:paraId="221DA694" w14:textId="77777777" w:rsidTr="00D16B74">
        <w:trPr>
          <w:trHeight w:val="340"/>
        </w:trPr>
        <w:tc>
          <w:tcPr>
            <w:tcW w:w="659" w:type="dxa"/>
            <w:tcBorders>
              <w:top w:val="nil"/>
              <w:left w:val="nil"/>
              <w:bottom w:val="nil"/>
              <w:right w:val="nil"/>
            </w:tcBorders>
            <w:shd w:val="clear" w:color="000000" w:fill="D8E6F3"/>
            <w:vAlign w:val="center"/>
            <w:hideMark/>
          </w:tcPr>
          <w:p w14:paraId="5AF88487" w14:textId="77777777" w:rsidR="00AB59CB" w:rsidRPr="00BF3CDE" w:rsidRDefault="00AB59CB" w:rsidP="0061552B">
            <w:pPr>
              <w:spacing w:after="0" w:line="240" w:lineRule="auto"/>
              <w:jc w:val="center"/>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1</w:t>
            </w:r>
          </w:p>
        </w:tc>
        <w:tc>
          <w:tcPr>
            <w:tcW w:w="3467" w:type="dxa"/>
            <w:tcBorders>
              <w:top w:val="nil"/>
              <w:left w:val="nil"/>
              <w:bottom w:val="nil"/>
              <w:right w:val="nil"/>
            </w:tcBorders>
            <w:shd w:val="clear" w:color="000000" w:fill="D8E6F3"/>
            <w:vAlign w:val="center"/>
            <w:hideMark/>
          </w:tcPr>
          <w:p w14:paraId="0B0116F9" w14:textId="77777777" w:rsidR="00AB59CB" w:rsidRPr="00BF3CDE" w:rsidRDefault="00AB59CB" w:rsidP="0061552B">
            <w:pPr>
              <w:spacing w:after="0" w:line="240" w:lineRule="auto"/>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Капитал и резерве</w:t>
            </w:r>
          </w:p>
        </w:tc>
        <w:tc>
          <w:tcPr>
            <w:tcW w:w="1897" w:type="dxa"/>
            <w:tcBorders>
              <w:top w:val="nil"/>
              <w:left w:val="nil"/>
              <w:bottom w:val="nil"/>
              <w:right w:val="nil"/>
            </w:tcBorders>
            <w:shd w:val="clear" w:color="000000" w:fill="D8E6F3"/>
            <w:vAlign w:val="center"/>
          </w:tcPr>
          <w:p w14:paraId="43DAFF76" w14:textId="77777777" w:rsidR="00AB59CB" w:rsidRPr="00BF3CDE" w:rsidRDefault="00AB59CB" w:rsidP="00AB59CB">
            <w:pPr>
              <w:pStyle w:val="NoSpacing"/>
              <w:jc w:val="right"/>
              <w:rPr>
                <w:noProof/>
                <w:sz w:val="20"/>
                <w:lang w:val="sr-Cyrl-CS"/>
              </w:rPr>
            </w:pPr>
            <w:r w:rsidRPr="00BF3CDE">
              <w:rPr>
                <w:noProof/>
                <w:sz w:val="20"/>
                <w:lang w:val="sr-Cyrl-CS"/>
              </w:rPr>
              <w:t>1,233,043</w:t>
            </w:r>
          </w:p>
        </w:tc>
        <w:tc>
          <w:tcPr>
            <w:tcW w:w="1843" w:type="dxa"/>
            <w:tcBorders>
              <w:top w:val="nil"/>
              <w:left w:val="nil"/>
              <w:bottom w:val="nil"/>
              <w:right w:val="nil"/>
            </w:tcBorders>
            <w:shd w:val="clear" w:color="000000" w:fill="D8E6F3"/>
            <w:vAlign w:val="center"/>
          </w:tcPr>
          <w:p w14:paraId="438723C4" w14:textId="77777777" w:rsidR="00AB59CB" w:rsidRPr="00BF3CDE" w:rsidRDefault="00AB59CB" w:rsidP="00AB59CB">
            <w:pPr>
              <w:pStyle w:val="NoSpacing"/>
              <w:jc w:val="right"/>
              <w:rPr>
                <w:noProof/>
                <w:sz w:val="20"/>
                <w:lang w:val="sr-Cyrl-CS"/>
              </w:rPr>
            </w:pPr>
            <w:r w:rsidRPr="00BF3CDE">
              <w:rPr>
                <w:noProof/>
                <w:sz w:val="20"/>
                <w:lang w:val="sr-Cyrl-CS"/>
              </w:rPr>
              <w:t>1,183,632</w:t>
            </w:r>
          </w:p>
        </w:tc>
        <w:tc>
          <w:tcPr>
            <w:tcW w:w="1508" w:type="dxa"/>
            <w:tcBorders>
              <w:top w:val="nil"/>
              <w:left w:val="nil"/>
              <w:bottom w:val="nil"/>
              <w:right w:val="nil"/>
            </w:tcBorders>
            <w:shd w:val="clear" w:color="000000" w:fill="D8E6F3"/>
            <w:vAlign w:val="center"/>
          </w:tcPr>
          <w:p w14:paraId="3273DE23" w14:textId="77777777" w:rsidR="00AB59CB" w:rsidRPr="00BF3CDE" w:rsidRDefault="00AB59CB" w:rsidP="00AB59CB">
            <w:pPr>
              <w:pStyle w:val="NoSpacing"/>
              <w:jc w:val="center"/>
              <w:rPr>
                <w:noProof/>
                <w:sz w:val="20"/>
                <w:lang w:val="sr-Cyrl-CS"/>
              </w:rPr>
            </w:pPr>
            <w:r w:rsidRPr="00BF3CDE">
              <w:rPr>
                <w:noProof/>
                <w:sz w:val="20"/>
                <w:lang w:val="sr-Cyrl-CS"/>
              </w:rPr>
              <w:t>95.99</w:t>
            </w:r>
          </w:p>
        </w:tc>
      </w:tr>
      <w:tr w:rsidR="00AB59CB" w:rsidRPr="00BF3CDE" w14:paraId="7963D2AF" w14:textId="77777777" w:rsidTr="00D16B74">
        <w:trPr>
          <w:trHeight w:val="340"/>
        </w:trPr>
        <w:tc>
          <w:tcPr>
            <w:tcW w:w="659" w:type="dxa"/>
            <w:tcBorders>
              <w:top w:val="nil"/>
              <w:left w:val="nil"/>
              <w:bottom w:val="nil"/>
              <w:right w:val="nil"/>
            </w:tcBorders>
            <w:shd w:val="clear" w:color="auto" w:fill="auto"/>
            <w:vAlign w:val="center"/>
            <w:hideMark/>
          </w:tcPr>
          <w:p w14:paraId="668C48A4" w14:textId="77777777" w:rsidR="00AB59CB" w:rsidRPr="00BF3CDE" w:rsidRDefault="00AB59CB" w:rsidP="0061552B">
            <w:pPr>
              <w:spacing w:after="0" w:line="240" w:lineRule="auto"/>
              <w:jc w:val="center"/>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2</w:t>
            </w:r>
          </w:p>
        </w:tc>
        <w:tc>
          <w:tcPr>
            <w:tcW w:w="3467" w:type="dxa"/>
            <w:tcBorders>
              <w:top w:val="nil"/>
              <w:left w:val="nil"/>
              <w:bottom w:val="nil"/>
              <w:right w:val="nil"/>
            </w:tcBorders>
            <w:shd w:val="clear" w:color="auto" w:fill="auto"/>
            <w:vAlign w:val="center"/>
            <w:hideMark/>
          </w:tcPr>
          <w:p w14:paraId="2ECBA35B" w14:textId="77777777" w:rsidR="00AB59CB" w:rsidRPr="00BF3CDE" w:rsidRDefault="00AB59CB" w:rsidP="0061552B">
            <w:pPr>
              <w:spacing w:after="0" w:line="240" w:lineRule="auto"/>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Дугорочна резервисања</w:t>
            </w:r>
          </w:p>
        </w:tc>
        <w:tc>
          <w:tcPr>
            <w:tcW w:w="1897" w:type="dxa"/>
            <w:tcBorders>
              <w:top w:val="nil"/>
              <w:left w:val="nil"/>
              <w:bottom w:val="nil"/>
              <w:right w:val="nil"/>
            </w:tcBorders>
            <w:shd w:val="clear" w:color="auto" w:fill="auto"/>
            <w:vAlign w:val="center"/>
          </w:tcPr>
          <w:p w14:paraId="5546A37D" w14:textId="77777777" w:rsidR="00AB59CB" w:rsidRPr="00BF3CDE" w:rsidRDefault="00AB59CB" w:rsidP="00AB59CB">
            <w:pPr>
              <w:pStyle w:val="NoSpacing"/>
              <w:jc w:val="right"/>
              <w:rPr>
                <w:noProof/>
                <w:sz w:val="20"/>
                <w:lang w:val="sr-Cyrl-CS"/>
              </w:rPr>
            </w:pPr>
            <w:r w:rsidRPr="00BF3CDE">
              <w:rPr>
                <w:noProof/>
                <w:sz w:val="20"/>
                <w:lang w:val="sr-Cyrl-CS"/>
              </w:rPr>
              <w:t>226,378</w:t>
            </w:r>
          </w:p>
        </w:tc>
        <w:tc>
          <w:tcPr>
            <w:tcW w:w="1843" w:type="dxa"/>
            <w:tcBorders>
              <w:top w:val="nil"/>
              <w:left w:val="nil"/>
              <w:bottom w:val="nil"/>
              <w:right w:val="nil"/>
            </w:tcBorders>
            <w:shd w:val="clear" w:color="auto" w:fill="auto"/>
            <w:vAlign w:val="center"/>
          </w:tcPr>
          <w:p w14:paraId="11FACC8D" w14:textId="77777777" w:rsidR="00AB59CB" w:rsidRPr="00BF3CDE" w:rsidRDefault="00AB59CB" w:rsidP="00AB59CB">
            <w:pPr>
              <w:pStyle w:val="NoSpacing"/>
              <w:jc w:val="right"/>
              <w:rPr>
                <w:noProof/>
                <w:sz w:val="20"/>
                <w:lang w:val="sr-Cyrl-CS"/>
              </w:rPr>
            </w:pPr>
            <w:r w:rsidRPr="00BF3CDE">
              <w:rPr>
                <w:noProof/>
                <w:sz w:val="20"/>
                <w:lang w:val="sr-Cyrl-CS"/>
              </w:rPr>
              <w:t>249,543</w:t>
            </w:r>
          </w:p>
        </w:tc>
        <w:tc>
          <w:tcPr>
            <w:tcW w:w="1508" w:type="dxa"/>
            <w:tcBorders>
              <w:top w:val="nil"/>
              <w:left w:val="nil"/>
              <w:bottom w:val="nil"/>
              <w:right w:val="nil"/>
            </w:tcBorders>
            <w:shd w:val="clear" w:color="000000" w:fill="FFFFFF"/>
            <w:vAlign w:val="center"/>
          </w:tcPr>
          <w:p w14:paraId="5D860467" w14:textId="77777777" w:rsidR="00AB59CB" w:rsidRPr="00BF3CDE" w:rsidRDefault="00AB59CB" w:rsidP="00AB59CB">
            <w:pPr>
              <w:pStyle w:val="NoSpacing"/>
              <w:jc w:val="center"/>
              <w:rPr>
                <w:noProof/>
                <w:sz w:val="20"/>
                <w:lang w:val="sr-Cyrl-CS"/>
              </w:rPr>
            </w:pPr>
            <w:r w:rsidRPr="00BF3CDE">
              <w:rPr>
                <w:noProof/>
                <w:sz w:val="20"/>
                <w:lang w:val="sr-Cyrl-CS"/>
              </w:rPr>
              <w:t>110.23</w:t>
            </w:r>
          </w:p>
        </w:tc>
      </w:tr>
      <w:tr w:rsidR="00AB59CB" w:rsidRPr="00BF3CDE" w14:paraId="595BA3A5" w14:textId="77777777" w:rsidTr="00D16B74">
        <w:trPr>
          <w:trHeight w:val="340"/>
        </w:trPr>
        <w:tc>
          <w:tcPr>
            <w:tcW w:w="659" w:type="dxa"/>
            <w:tcBorders>
              <w:top w:val="nil"/>
              <w:left w:val="nil"/>
              <w:bottom w:val="nil"/>
              <w:right w:val="nil"/>
            </w:tcBorders>
            <w:shd w:val="clear" w:color="000000" w:fill="D8E6F3"/>
            <w:vAlign w:val="center"/>
            <w:hideMark/>
          </w:tcPr>
          <w:p w14:paraId="059679AA" w14:textId="77777777" w:rsidR="00AB59CB" w:rsidRPr="00BF3CDE" w:rsidRDefault="00AB59CB" w:rsidP="0061552B">
            <w:pPr>
              <w:spacing w:after="0" w:line="240" w:lineRule="auto"/>
              <w:jc w:val="center"/>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3</w:t>
            </w:r>
          </w:p>
        </w:tc>
        <w:tc>
          <w:tcPr>
            <w:tcW w:w="3467" w:type="dxa"/>
            <w:tcBorders>
              <w:top w:val="nil"/>
              <w:left w:val="nil"/>
              <w:bottom w:val="nil"/>
              <w:right w:val="nil"/>
            </w:tcBorders>
            <w:shd w:val="clear" w:color="000000" w:fill="D8E6F3"/>
            <w:vAlign w:val="center"/>
            <w:hideMark/>
          </w:tcPr>
          <w:p w14:paraId="78C62C6C" w14:textId="77777777" w:rsidR="00AB59CB" w:rsidRPr="00BF3CDE" w:rsidRDefault="00AB59CB" w:rsidP="0061552B">
            <w:pPr>
              <w:spacing w:after="0" w:line="240" w:lineRule="auto"/>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Дугорочне обавезе</w:t>
            </w:r>
          </w:p>
        </w:tc>
        <w:tc>
          <w:tcPr>
            <w:tcW w:w="1897" w:type="dxa"/>
            <w:tcBorders>
              <w:top w:val="nil"/>
              <w:left w:val="nil"/>
              <w:bottom w:val="nil"/>
              <w:right w:val="nil"/>
            </w:tcBorders>
            <w:shd w:val="clear" w:color="000000" w:fill="D8E6F3"/>
            <w:vAlign w:val="center"/>
          </w:tcPr>
          <w:p w14:paraId="65A317E1" w14:textId="77777777" w:rsidR="00AB59CB" w:rsidRPr="00BF3CDE" w:rsidRDefault="00AB59CB" w:rsidP="00AB59CB">
            <w:pPr>
              <w:pStyle w:val="NoSpacing"/>
              <w:jc w:val="right"/>
              <w:rPr>
                <w:noProof/>
                <w:sz w:val="20"/>
                <w:lang w:val="sr-Cyrl-CS"/>
              </w:rPr>
            </w:pPr>
            <w:r w:rsidRPr="00BF3CDE">
              <w:rPr>
                <w:noProof/>
                <w:sz w:val="20"/>
                <w:lang w:val="sr-Cyrl-CS"/>
              </w:rPr>
              <w:t>0</w:t>
            </w:r>
          </w:p>
        </w:tc>
        <w:tc>
          <w:tcPr>
            <w:tcW w:w="1843" w:type="dxa"/>
            <w:tcBorders>
              <w:top w:val="nil"/>
              <w:left w:val="nil"/>
              <w:bottom w:val="nil"/>
              <w:right w:val="nil"/>
            </w:tcBorders>
            <w:shd w:val="clear" w:color="000000" w:fill="D8E6F3"/>
            <w:vAlign w:val="center"/>
          </w:tcPr>
          <w:p w14:paraId="3CD7FB44" w14:textId="77777777" w:rsidR="00AB59CB" w:rsidRPr="00BF3CDE" w:rsidRDefault="00AB59CB" w:rsidP="00AB59CB">
            <w:pPr>
              <w:pStyle w:val="NoSpacing"/>
              <w:jc w:val="right"/>
              <w:rPr>
                <w:noProof/>
                <w:sz w:val="20"/>
                <w:lang w:val="sr-Cyrl-CS"/>
              </w:rPr>
            </w:pPr>
            <w:r w:rsidRPr="00BF3CDE">
              <w:rPr>
                <w:noProof/>
                <w:sz w:val="20"/>
                <w:lang w:val="sr-Cyrl-CS"/>
              </w:rPr>
              <w:t>1,457</w:t>
            </w:r>
          </w:p>
        </w:tc>
        <w:tc>
          <w:tcPr>
            <w:tcW w:w="1508" w:type="dxa"/>
            <w:tcBorders>
              <w:top w:val="nil"/>
              <w:left w:val="nil"/>
              <w:bottom w:val="nil"/>
              <w:right w:val="nil"/>
            </w:tcBorders>
            <w:shd w:val="clear" w:color="000000" w:fill="D8E6F3"/>
            <w:vAlign w:val="center"/>
          </w:tcPr>
          <w:p w14:paraId="44CF2217" w14:textId="77777777" w:rsidR="00AB59CB" w:rsidRPr="00BF3CDE" w:rsidRDefault="00AB59CB" w:rsidP="00AB59CB">
            <w:pPr>
              <w:pStyle w:val="NoSpacing"/>
              <w:jc w:val="center"/>
              <w:rPr>
                <w:noProof/>
                <w:sz w:val="20"/>
                <w:lang w:val="sr-Cyrl-CS"/>
              </w:rPr>
            </w:pPr>
            <w:r w:rsidRPr="00BF3CDE">
              <w:rPr>
                <w:noProof/>
                <w:sz w:val="20"/>
                <w:lang w:val="sr-Cyrl-CS"/>
              </w:rPr>
              <w:t>-</w:t>
            </w:r>
          </w:p>
        </w:tc>
      </w:tr>
      <w:tr w:rsidR="00AB59CB" w:rsidRPr="00BF3CDE" w14:paraId="109431A9" w14:textId="77777777" w:rsidTr="00D16B74">
        <w:trPr>
          <w:trHeight w:val="340"/>
        </w:trPr>
        <w:tc>
          <w:tcPr>
            <w:tcW w:w="659" w:type="dxa"/>
            <w:tcBorders>
              <w:top w:val="nil"/>
              <w:left w:val="nil"/>
              <w:bottom w:val="nil"/>
              <w:right w:val="nil"/>
            </w:tcBorders>
            <w:shd w:val="clear" w:color="auto" w:fill="auto"/>
            <w:vAlign w:val="center"/>
            <w:hideMark/>
          </w:tcPr>
          <w:p w14:paraId="2BA1E23C" w14:textId="77777777" w:rsidR="00AB59CB" w:rsidRPr="00BF3CDE" w:rsidRDefault="00AB59CB" w:rsidP="0061552B">
            <w:pPr>
              <w:spacing w:after="0" w:line="240" w:lineRule="auto"/>
              <w:jc w:val="center"/>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3</w:t>
            </w:r>
          </w:p>
        </w:tc>
        <w:tc>
          <w:tcPr>
            <w:tcW w:w="3467" w:type="dxa"/>
            <w:tcBorders>
              <w:top w:val="nil"/>
              <w:left w:val="nil"/>
              <w:bottom w:val="nil"/>
              <w:right w:val="nil"/>
            </w:tcBorders>
            <w:shd w:val="clear" w:color="auto" w:fill="auto"/>
            <w:vAlign w:val="center"/>
            <w:hideMark/>
          </w:tcPr>
          <w:p w14:paraId="7C70E3D9" w14:textId="77777777" w:rsidR="00AB59CB" w:rsidRPr="00BF3CDE" w:rsidRDefault="00AB59CB" w:rsidP="0061552B">
            <w:pPr>
              <w:spacing w:after="0" w:line="240" w:lineRule="auto"/>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Краткорочне обавезе</w:t>
            </w:r>
          </w:p>
        </w:tc>
        <w:tc>
          <w:tcPr>
            <w:tcW w:w="1897" w:type="dxa"/>
            <w:tcBorders>
              <w:top w:val="nil"/>
              <w:left w:val="nil"/>
              <w:bottom w:val="nil"/>
              <w:right w:val="nil"/>
            </w:tcBorders>
            <w:shd w:val="clear" w:color="auto" w:fill="auto"/>
            <w:vAlign w:val="center"/>
          </w:tcPr>
          <w:p w14:paraId="11E1E3B0" w14:textId="77777777" w:rsidR="00AB59CB" w:rsidRPr="00BF3CDE" w:rsidRDefault="00AB59CB" w:rsidP="00AB59CB">
            <w:pPr>
              <w:pStyle w:val="NoSpacing"/>
              <w:jc w:val="right"/>
              <w:rPr>
                <w:noProof/>
                <w:sz w:val="20"/>
                <w:lang w:val="sr-Cyrl-CS"/>
              </w:rPr>
            </w:pPr>
            <w:r w:rsidRPr="00BF3CDE">
              <w:rPr>
                <w:noProof/>
                <w:sz w:val="20"/>
                <w:lang w:val="sr-Cyrl-CS"/>
              </w:rPr>
              <w:t>1,038,903</w:t>
            </w:r>
          </w:p>
        </w:tc>
        <w:tc>
          <w:tcPr>
            <w:tcW w:w="1843" w:type="dxa"/>
            <w:tcBorders>
              <w:top w:val="nil"/>
              <w:left w:val="nil"/>
              <w:bottom w:val="nil"/>
              <w:right w:val="nil"/>
            </w:tcBorders>
            <w:shd w:val="clear" w:color="auto" w:fill="auto"/>
            <w:vAlign w:val="center"/>
          </w:tcPr>
          <w:p w14:paraId="21E88120" w14:textId="77777777" w:rsidR="00AB59CB" w:rsidRPr="00BF3CDE" w:rsidRDefault="00AB59CB" w:rsidP="00AB59CB">
            <w:pPr>
              <w:pStyle w:val="NoSpacing"/>
              <w:jc w:val="right"/>
              <w:rPr>
                <w:noProof/>
                <w:sz w:val="20"/>
                <w:lang w:val="sr-Cyrl-CS"/>
              </w:rPr>
            </w:pPr>
            <w:r w:rsidRPr="00BF3CDE">
              <w:rPr>
                <w:noProof/>
                <w:sz w:val="20"/>
                <w:lang w:val="sr-Cyrl-CS"/>
              </w:rPr>
              <w:t>804,930</w:t>
            </w:r>
          </w:p>
        </w:tc>
        <w:tc>
          <w:tcPr>
            <w:tcW w:w="1508" w:type="dxa"/>
            <w:tcBorders>
              <w:top w:val="nil"/>
              <w:left w:val="nil"/>
              <w:bottom w:val="nil"/>
              <w:right w:val="nil"/>
            </w:tcBorders>
            <w:shd w:val="clear" w:color="000000" w:fill="FFFFFF"/>
            <w:vAlign w:val="center"/>
          </w:tcPr>
          <w:p w14:paraId="6FAE6637" w14:textId="77777777" w:rsidR="00AB59CB" w:rsidRPr="00BF3CDE" w:rsidRDefault="00AB59CB" w:rsidP="00AB59CB">
            <w:pPr>
              <w:pStyle w:val="NoSpacing"/>
              <w:jc w:val="center"/>
              <w:rPr>
                <w:noProof/>
                <w:sz w:val="20"/>
                <w:lang w:val="sr-Cyrl-CS"/>
              </w:rPr>
            </w:pPr>
            <w:r w:rsidRPr="00BF3CDE">
              <w:rPr>
                <w:noProof/>
                <w:sz w:val="20"/>
                <w:lang w:val="sr-Cyrl-CS"/>
              </w:rPr>
              <w:t>77.48</w:t>
            </w:r>
          </w:p>
        </w:tc>
      </w:tr>
      <w:tr w:rsidR="00AB59CB" w:rsidRPr="00BF3CDE" w14:paraId="66543510" w14:textId="77777777" w:rsidTr="00D16B74">
        <w:trPr>
          <w:trHeight w:val="340"/>
        </w:trPr>
        <w:tc>
          <w:tcPr>
            <w:tcW w:w="659" w:type="dxa"/>
            <w:tcBorders>
              <w:top w:val="nil"/>
              <w:left w:val="nil"/>
              <w:bottom w:val="nil"/>
              <w:right w:val="nil"/>
            </w:tcBorders>
            <w:shd w:val="clear" w:color="000000" w:fill="D8E6F3"/>
            <w:vAlign w:val="center"/>
            <w:hideMark/>
          </w:tcPr>
          <w:p w14:paraId="2041E69B" w14:textId="77777777" w:rsidR="00AB59CB" w:rsidRPr="00BF3CDE" w:rsidRDefault="00AB59CB" w:rsidP="0061552B">
            <w:pPr>
              <w:spacing w:after="0" w:line="240" w:lineRule="auto"/>
              <w:jc w:val="center"/>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4</w:t>
            </w:r>
          </w:p>
        </w:tc>
        <w:tc>
          <w:tcPr>
            <w:tcW w:w="3467" w:type="dxa"/>
            <w:tcBorders>
              <w:top w:val="nil"/>
              <w:left w:val="nil"/>
              <w:bottom w:val="nil"/>
              <w:right w:val="nil"/>
            </w:tcBorders>
            <w:shd w:val="clear" w:color="000000" w:fill="D8E6F3"/>
            <w:vAlign w:val="center"/>
            <w:hideMark/>
          </w:tcPr>
          <w:p w14:paraId="1B38835B" w14:textId="77777777" w:rsidR="00AB59CB" w:rsidRPr="00BF3CDE" w:rsidRDefault="00AB59CB" w:rsidP="0061552B">
            <w:pPr>
              <w:spacing w:after="0" w:line="240" w:lineRule="auto"/>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Преносна премија</w:t>
            </w:r>
          </w:p>
        </w:tc>
        <w:tc>
          <w:tcPr>
            <w:tcW w:w="1897" w:type="dxa"/>
            <w:tcBorders>
              <w:top w:val="nil"/>
              <w:left w:val="nil"/>
              <w:bottom w:val="nil"/>
              <w:right w:val="nil"/>
            </w:tcBorders>
            <w:shd w:val="clear" w:color="000000" w:fill="D8E6F3"/>
            <w:vAlign w:val="center"/>
          </w:tcPr>
          <w:p w14:paraId="6213F2A1" w14:textId="77777777" w:rsidR="00AB59CB" w:rsidRPr="00BF3CDE" w:rsidRDefault="00AB59CB" w:rsidP="00AB59CB">
            <w:pPr>
              <w:pStyle w:val="NoSpacing"/>
              <w:jc w:val="right"/>
              <w:rPr>
                <w:noProof/>
                <w:sz w:val="20"/>
                <w:lang w:val="sr-Cyrl-CS"/>
              </w:rPr>
            </w:pPr>
            <w:r w:rsidRPr="00BF3CDE">
              <w:rPr>
                <w:noProof/>
                <w:sz w:val="20"/>
                <w:lang w:val="sr-Cyrl-CS"/>
              </w:rPr>
              <w:t>211,058</w:t>
            </w:r>
          </w:p>
        </w:tc>
        <w:tc>
          <w:tcPr>
            <w:tcW w:w="1843" w:type="dxa"/>
            <w:tcBorders>
              <w:top w:val="nil"/>
              <w:left w:val="nil"/>
              <w:bottom w:val="nil"/>
              <w:right w:val="nil"/>
            </w:tcBorders>
            <w:shd w:val="clear" w:color="000000" w:fill="D8E6F3"/>
            <w:vAlign w:val="center"/>
          </w:tcPr>
          <w:p w14:paraId="324FE9A6" w14:textId="77777777" w:rsidR="00AB59CB" w:rsidRPr="00BF3CDE" w:rsidRDefault="00AB59CB" w:rsidP="00AB59CB">
            <w:pPr>
              <w:pStyle w:val="NoSpacing"/>
              <w:jc w:val="right"/>
              <w:rPr>
                <w:noProof/>
                <w:sz w:val="20"/>
                <w:lang w:val="sr-Cyrl-CS"/>
              </w:rPr>
            </w:pPr>
            <w:r w:rsidRPr="00BF3CDE">
              <w:rPr>
                <w:noProof/>
                <w:sz w:val="20"/>
                <w:lang w:val="sr-Cyrl-CS"/>
              </w:rPr>
              <w:t>341,696</w:t>
            </w:r>
          </w:p>
        </w:tc>
        <w:tc>
          <w:tcPr>
            <w:tcW w:w="1508" w:type="dxa"/>
            <w:tcBorders>
              <w:top w:val="nil"/>
              <w:left w:val="nil"/>
              <w:bottom w:val="nil"/>
              <w:right w:val="nil"/>
            </w:tcBorders>
            <w:shd w:val="clear" w:color="000000" w:fill="D8E6F3"/>
            <w:vAlign w:val="center"/>
          </w:tcPr>
          <w:p w14:paraId="3EC35301" w14:textId="77777777" w:rsidR="00AB59CB" w:rsidRPr="00BF3CDE" w:rsidRDefault="00AB59CB" w:rsidP="00AB59CB">
            <w:pPr>
              <w:pStyle w:val="NoSpacing"/>
              <w:jc w:val="center"/>
              <w:rPr>
                <w:noProof/>
                <w:sz w:val="20"/>
                <w:lang w:val="sr-Cyrl-CS"/>
              </w:rPr>
            </w:pPr>
            <w:r w:rsidRPr="00BF3CDE">
              <w:rPr>
                <w:noProof/>
                <w:sz w:val="20"/>
                <w:lang w:val="sr-Cyrl-CS"/>
              </w:rPr>
              <w:t>161.90</w:t>
            </w:r>
          </w:p>
        </w:tc>
      </w:tr>
      <w:tr w:rsidR="00AB59CB" w:rsidRPr="00BF3CDE" w14:paraId="49E7F8E6" w14:textId="77777777" w:rsidTr="00D16B74">
        <w:trPr>
          <w:trHeight w:val="340"/>
        </w:trPr>
        <w:tc>
          <w:tcPr>
            <w:tcW w:w="659" w:type="dxa"/>
            <w:tcBorders>
              <w:top w:val="nil"/>
              <w:left w:val="nil"/>
              <w:bottom w:val="nil"/>
              <w:right w:val="nil"/>
            </w:tcBorders>
            <w:shd w:val="clear" w:color="auto" w:fill="auto"/>
            <w:vAlign w:val="center"/>
            <w:hideMark/>
          </w:tcPr>
          <w:p w14:paraId="47848FA3" w14:textId="77777777" w:rsidR="00AB59CB" w:rsidRPr="00BF3CDE" w:rsidRDefault="00AB59CB" w:rsidP="0061552B">
            <w:pPr>
              <w:spacing w:after="0" w:line="240" w:lineRule="auto"/>
              <w:jc w:val="center"/>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5</w:t>
            </w:r>
          </w:p>
        </w:tc>
        <w:tc>
          <w:tcPr>
            <w:tcW w:w="3467" w:type="dxa"/>
            <w:tcBorders>
              <w:top w:val="nil"/>
              <w:left w:val="nil"/>
              <w:bottom w:val="nil"/>
              <w:right w:val="nil"/>
            </w:tcBorders>
            <w:shd w:val="clear" w:color="auto" w:fill="auto"/>
            <w:vAlign w:val="center"/>
            <w:hideMark/>
          </w:tcPr>
          <w:p w14:paraId="43873E7A" w14:textId="77777777" w:rsidR="00AB59CB" w:rsidRPr="00BF3CDE" w:rsidRDefault="00AB59CB" w:rsidP="0061552B">
            <w:pPr>
              <w:spacing w:after="0" w:line="240" w:lineRule="auto"/>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Резервисане штете</w:t>
            </w:r>
          </w:p>
        </w:tc>
        <w:tc>
          <w:tcPr>
            <w:tcW w:w="1897" w:type="dxa"/>
            <w:tcBorders>
              <w:top w:val="nil"/>
              <w:left w:val="nil"/>
              <w:bottom w:val="nil"/>
              <w:right w:val="nil"/>
            </w:tcBorders>
            <w:shd w:val="clear" w:color="auto" w:fill="auto"/>
            <w:vAlign w:val="center"/>
          </w:tcPr>
          <w:p w14:paraId="36749521" w14:textId="77777777" w:rsidR="00AB59CB" w:rsidRPr="00BF3CDE" w:rsidRDefault="00AB59CB" w:rsidP="00AB59CB">
            <w:pPr>
              <w:pStyle w:val="NoSpacing"/>
              <w:jc w:val="right"/>
              <w:rPr>
                <w:noProof/>
                <w:sz w:val="20"/>
                <w:lang w:val="sr-Cyrl-CS"/>
              </w:rPr>
            </w:pPr>
            <w:r w:rsidRPr="00BF3CDE">
              <w:rPr>
                <w:noProof/>
                <w:sz w:val="20"/>
                <w:lang w:val="sr-Cyrl-CS"/>
              </w:rPr>
              <w:t>1,002,683</w:t>
            </w:r>
          </w:p>
        </w:tc>
        <w:tc>
          <w:tcPr>
            <w:tcW w:w="1843" w:type="dxa"/>
            <w:tcBorders>
              <w:top w:val="nil"/>
              <w:left w:val="nil"/>
              <w:bottom w:val="nil"/>
              <w:right w:val="nil"/>
            </w:tcBorders>
            <w:shd w:val="clear" w:color="auto" w:fill="auto"/>
            <w:vAlign w:val="center"/>
          </w:tcPr>
          <w:p w14:paraId="3189DF6B" w14:textId="77777777" w:rsidR="00AB59CB" w:rsidRPr="00BF3CDE" w:rsidRDefault="00AB59CB" w:rsidP="00AB59CB">
            <w:pPr>
              <w:pStyle w:val="NoSpacing"/>
              <w:jc w:val="right"/>
              <w:rPr>
                <w:noProof/>
                <w:sz w:val="20"/>
                <w:lang w:val="sr-Cyrl-CS"/>
              </w:rPr>
            </w:pPr>
            <w:r w:rsidRPr="00BF3CDE">
              <w:rPr>
                <w:noProof/>
                <w:sz w:val="20"/>
                <w:lang w:val="sr-Cyrl-CS"/>
              </w:rPr>
              <w:t>1,577,705</w:t>
            </w:r>
          </w:p>
        </w:tc>
        <w:tc>
          <w:tcPr>
            <w:tcW w:w="1508" w:type="dxa"/>
            <w:tcBorders>
              <w:top w:val="nil"/>
              <w:left w:val="nil"/>
              <w:bottom w:val="nil"/>
              <w:right w:val="nil"/>
            </w:tcBorders>
            <w:shd w:val="clear" w:color="000000" w:fill="FFFFFF"/>
            <w:vAlign w:val="center"/>
          </w:tcPr>
          <w:p w14:paraId="114CC9D7" w14:textId="77777777" w:rsidR="00AB59CB" w:rsidRPr="00BF3CDE" w:rsidRDefault="00AB59CB" w:rsidP="00AB59CB">
            <w:pPr>
              <w:pStyle w:val="NoSpacing"/>
              <w:jc w:val="center"/>
              <w:rPr>
                <w:noProof/>
                <w:sz w:val="20"/>
                <w:lang w:val="sr-Cyrl-CS"/>
              </w:rPr>
            </w:pPr>
            <w:r w:rsidRPr="00BF3CDE">
              <w:rPr>
                <w:noProof/>
                <w:sz w:val="20"/>
                <w:lang w:val="sr-Cyrl-CS"/>
              </w:rPr>
              <w:t>157.35</w:t>
            </w:r>
          </w:p>
        </w:tc>
      </w:tr>
      <w:tr w:rsidR="00AB59CB" w:rsidRPr="00BF3CDE" w14:paraId="6E5AE803" w14:textId="77777777" w:rsidTr="00D16B74">
        <w:trPr>
          <w:trHeight w:val="340"/>
        </w:trPr>
        <w:tc>
          <w:tcPr>
            <w:tcW w:w="659" w:type="dxa"/>
            <w:tcBorders>
              <w:top w:val="nil"/>
              <w:left w:val="nil"/>
              <w:bottom w:val="nil"/>
              <w:right w:val="nil"/>
            </w:tcBorders>
            <w:shd w:val="clear" w:color="000000" w:fill="D8E6F3"/>
            <w:vAlign w:val="center"/>
            <w:hideMark/>
          </w:tcPr>
          <w:p w14:paraId="63446772" w14:textId="77777777" w:rsidR="00AB59CB" w:rsidRPr="00BF3CDE" w:rsidRDefault="00AB59CB" w:rsidP="0061552B">
            <w:pPr>
              <w:spacing w:after="0" w:line="240" w:lineRule="auto"/>
              <w:jc w:val="center"/>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6</w:t>
            </w:r>
          </w:p>
        </w:tc>
        <w:tc>
          <w:tcPr>
            <w:tcW w:w="3467" w:type="dxa"/>
            <w:tcBorders>
              <w:top w:val="nil"/>
              <w:left w:val="nil"/>
              <w:bottom w:val="nil"/>
              <w:right w:val="nil"/>
            </w:tcBorders>
            <w:shd w:val="clear" w:color="000000" w:fill="D8E6F3"/>
            <w:vAlign w:val="center"/>
            <w:hideMark/>
          </w:tcPr>
          <w:p w14:paraId="52415CBA" w14:textId="77777777" w:rsidR="00AB59CB" w:rsidRPr="00BF3CDE" w:rsidRDefault="00AB59CB" w:rsidP="0061552B">
            <w:pPr>
              <w:spacing w:after="0" w:line="240" w:lineRule="auto"/>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Остала пасивна разграничења</w:t>
            </w:r>
          </w:p>
        </w:tc>
        <w:tc>
          <w:tcPr>
            <w:tcW w:w="1897" w:type="dxa"/>
            <w:tcBorders>
              <w:top w:val="nil"/>
              <w:left w:val="nil"/>
              <w:bottom w:val="nil"/>
              <w:right w:val="nil"/>
            </w:tcBorders>
            <w:shd w:val="clear" w:color="000000" w:fill="D8E6F3"/>
            <w:vAlign w:val="center"/>
          </w:tcPr>
          <w:p w14:paraId="308F1D05" w14:textId="77777777" w:rsidR="00AB59CB" w:rsidRPr="00BF3CDE" w:rsidRDefault="00AB59CB" w:rsidP="00AB59CB">
            <w:pPr>
              <w:pStyle w:val="NoSpacing"/>
              <w:jc w:val="right"/>
              <w:rPr>
                <w:noProof/>
                <w:sz w:val="20"/>
                <w:lang w:val="sr-Cyrl-CS"/>
              </w:rPr>
            </w:pPr>
            <w:r w:rsidRPr="00BF3CDE">
              <w:rPr>
                <w:noProof/>
                <w:sz w:val="20"/>
                <w:lang w:val="sr-Cyrl-CS"/>
              </w:rPr>
              <w:t>148,965</w:t>
            </w:r>
          </w:p>
        </w:tc>
        <w:tc>
          <w:tcPr>
            <w:tcW w:w="1843" w:type="dxa"/>
            <w:tcBorders>
              <w:top w:val="nil"/>
              <w:left w:val="nil"/>
              <w:bottom w:val="nil"/>
              <w:right w:val="nil"/>
            </w:tcBorders>
            <w:shd w:val="clear" w:color="000000" w:fill="D8E6F3"/>
            <w:vAlign w:val="center"/>
          </w:tcPr>
          <w:p w14:paraId="7D590D4C" w14:textId="77777777" w:rsidR="00AB59CB" w:rsidRPr="00BF3CDE" w:rsidRDefault="00AB59CB" w:rsidP="00AB59CB">
            <w:pPr>
              <w:pStyle w:val="NoSpacing"/>
              <w:jc w:val="right"/>
              <w:rPr>
                <w:noProof/>
                <w:sz w:val="20"/>
                <w:lang w:val="sr-Cyrl-CS"/>
              </w:rPr>
            </w:pPr>
            <w:r w:rsidRPr="00BF3CDE">
              <w:rPr>
                <w:noProof/>
                <w:sz w:val="20"/>
                <w:lang w:val="sr-Cyrl-CS"/>
              </w:rPr>
              <w:t>33,151</w:t>
            </w:r>
          </w:p>
        </w:tc>
        <w:tc>
          <w:tcPr>
            <w:tcW w:w="1508" w:type="dxa"/>
            <w:tcBorders>
              <w:top w:val="nil"/>
              <w:left w:val="nil"/>
              <w:bottom w:val="nil"/>
              <w:right w:val="nil"/>
            </w:tcBorders>
            <w:shd w:val="clear" w:color="000000" w:fill="D8E6F3"/>
            <w:vAlign w:val="center"/>
          </w:tcPr>
          <w:p w14:paraId="5C601D8F" w14:textId="77777777" w:rsidR="00AB59CB" w:rsidRPr="00BF3CDE" w:rsidRDefault="00AB59CB" w:rsidP="00AB59CB">
            <w:pPr>
              <w:pStyle w:val="NoSpacing"/>
              <w:jc w:val="center"/>
              <w:rPr>
                <w:noProof/>
                <w:sz w:val="20"/>
                <w:lang w:val="sr-Cyrl-CS"/>
              </w:rPr>
            </w:pPr>
            <w:r w:rsidRPr="00BF3CDE">
              <w:rPr>
                <w:noProof/>
                <w:sz w:val="20"/>
                <w:lang w:val="sr-Cyrl-CS"/>
              </w:rPr>
              <w:t>22.25</w:t>
            </w:r>
          </w:p>
        </w:tc>
      </w:tr>
      <w:tr w:rsidR="00AB59CB" w:rsidRPr="00BF3CDE" w14:paraId="386B1BBA" w14:textId="77777777" w:rsidTr="00D16B74">
        <w:trPr>
          <w:trHeight w:val="340"/>
        </w:trPr>
        <w:tc>
          <w:tcPr>
            <w:tcW w:w="659" w:type="dxa"/>
            <w:tcBorders>
              <w:top w:val="nil"/>
              <w:left w:val="nil"/>
              <w:bottom w:val="nil"/>
              <w:right w:val="nil"/>
            </w:tcBorders>
            <w:shd w:val="clear" w:color="auto" w:fill="auto"/>
            <w:vAlign w:val="center"/>
            <w:hideMark/>
          </w:tcPr>
          <w:p w14:paraId="3083BEF7" w14:textId="77777777" w:rsidR="00AB59CB" w:rsidRPr="00BF3CDE" w:rsidRDefault="00AB59CB" w:rsidP="0061552B">
            <w:pPr>
              <w:spacing w:after="0" w:line="240" w:lineRule="auto"/>
              <w:jc w:val="center"/>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7</w:t>
            </w:r>
          </w:p>
        </w:tc>
        <w:tc>
          <w:tcPr>
            <w:tcW w:w="3467" w:type="dxa"/>
            <w:tcBorders>
              <w:top w:val="nil"/>
              <w:left w:val="nil"/>
              <w:bottom w:val="nil"/>
              <w:right w:val="nil"/>
            </w:tcBorders>
            <w:shd w:val="clear" w:color="auto" w:fill="auto"/>
            <w:vAlign w:val="center"/>
            <w:hideMark/>
          </w:tcPr>
          <w:p w14:paraId="4941D795" w14:textId="77777777" w:rsidR="00AB59CB" w:rsidRPr="00BF3CDE" w:rsidRDefault="00AB59CB" w:rsidP="0061552B">
            <w:pPr>
              <w:spacing w:after="0" w:line="240" w:lineRule="auto"/>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Одложене пореске обавезе</w:t>
            </w:r>
          </w:p>
        </w:tc>
        <w:tc>
          <w:tcPr>
            <w:tcW w:w="1897" w:type="dxa"/>
            <w:tcBorders>
              <w:top w:val="nil"/>
              <w:left w:val="nil"/>
              <w:bottom w:val="nil"/>
              <w:right w:val="nil"/>
            </w:tcBorders>
            <w:shd w:val="clear" w:color="auto" w:fill="auto"/>
            <w:vAlign w:val="center"/>
          </w:tcPr>
          <w:p w14:paraId="7DF83E66" w14:textId="77777777" w:rsidR="00AB59CB" w:rsidRPr="00BF3CDE" w:rsidRDefault="00AB59CB" w:rsidP="00AB59CB">
            <w:pPr>
              <w:pStyle w:val="NoSpacing"/>
              <w:jc w:val="right"/>
              <w:rPr>
                <w:noProof/>
                <w:sz w:val="20"/>
                <w:lang w:val="sr-Cyrl-CS"/>
              </w:rPr>
            </w:pPr>
            <w:r w:rsidRPr="00BF3CDE">
              <w:rPr>
                <w:noProof/>
                <w:sz w:val="20"/>
                <w:lang w:val="sr-Cyrl-CS"/>
              </w:rPr>
              <w:t>2,593</w:t>
            </w:r>
          </w:p>
        </w:tc>
        <w:tc>
          <w:tcPr>
            <w:tcW w:w="1843" w:type="dxa"/>
            <w:tcBorders>
              <w:top w:val="nil"/>
              <w:left w:val="nil"/>
              <w:bottom w:val="nil"/>
              <w:right w:val="nil"/>
            </w:tcBorders>
            <w:shd w:val="clear" w:color="auto" w:fill="auto"/>
            <w:vAlign w:val="center"/>
          </w:tcPr>
          <w:p w14:paraId="377ED600" w14:textId="77777777" w:rsidR="00AB59CB" w:rsidRPr="00BF3CDE" w:rsidRDefault="00AB59CB" w:rsidP="00AB59CB">
            <w:pPr>
              <w:pStyle w:val="NoSpacing"/>
              <w:jc w:val="right"/>
              <w:rPr>
                <w:noProof/>
                <w:sz w:val="20"/>
                <w:lang w:val="sr-Cyrl-CS"/>
              </w:rPr>
            </w:pPr>
            <w:r w:rsidRPr="00BF3CDE">
              <w:rPr>
                <w:noProof/>
                <w:sz w:val="20"/>
                <w:lang w:val="sr-Cyrl-CS"/>
              </w:rPr>
              <w:t>4,484</w:t>
            </w:r>
          </w:p>
        </w:tc>
        <w:tc>
          <w:tcPr>
            <w:tcW w:w="1508" w:type="dxa"/>
            <w:tcBorders>
              <w:top w:val="nil"/>
              <w:left w:val="nil"/>
              <w:bottom w:val="nil"/>
              <w:right w:val="nil"/>
            </w:tcBorders>
            <w:shd w:val="clear" w:color="000000" w:fill="FFFFFF"/>
            <w:vAlign w:val="center"/>
          </w:tcPr>
          <w:p w14:paraId="17E49D16" w14:textId="77777777" w:rsidR="00AB59CB" w:rsidRPr="00BF3CDE" w:rsidRDefault="00AB59CB" w:rsidP="00AB59CB">
            <w:pPr>
              <w:pStyle w:val="NoSpacing"/>
              <w:jc w:val="center"/>
              <w:rPr>
                <w:noProof/>
                <w:sz w:val="20"/>
                <w:lang w:val="sr-Cyrl-CS"/>
              </w:rPr>
            </w:pPr>
            <w:r w:rsidRPr="00BF3CDE">
              <w:rPr>
                <w:noProof/>
                <w:sz w:val="20"/>
                <w:lang w:val="sr-Cyrl-CS"/>
              </w:rPr>
              <w:t>172.93</w:t>
            </w:r>
          </w:p>
        </w:tc>
      </w:tr>
      <w:tr w:rsidR="00AB59CB" w:rsidRPr="00BF3CDE" w14:paraId="1CEFF78B" w14:textId="77777777" w:rsidTr="00D16B74">
        <w:trPr>
          <w:trHeight w:val="510"/>
        </w:trPr>
        <w:tc>
          <w:tcPr>
            <w:tcW w:w="4126" w:type="dxa"/>
            <w:gridSpan w:val="2"/>
            <w:tcBorders>
              <w:top w:val="single" w:sz="8" w:space="0" w:color="629DD1"/>
              <w:left w:val="nil"/>
              <w:bottom w:val="single" w:sz="8" w:space="0" w:color="629DD1"/>
              <w:right w:val="nil"/>
            </w:tcBorders>
            <w:shd w:val="clear" w:color="auto" w:fill="auto"/>
            <w:vAlign w:val="center"/>
            <w:hideMark/>
          </w:tcPr>
          <w:p w14:paraId="00137408" w14:textId="77777777" w:rsidR="00AB59CB" w:rsidRPr="00BF3CDE" w:rsidRDefault="00AB59CB" w:rsidP="0061552B">
            <w:pPr>
              <w:spacing w:after="0" w:line="240" w:lineRule="auto"/>
              <w:rPr>
                <w:rFonts w:ascii="Verdana" w:eastAsia="Times New Roman" w:hAnsi="Verdana" w:cs="Calibri"/>
                <w:b/>
                <w:bCs/>
                <w:noProof/>
                <w:color w:val="000000"/>
                <w:sz w:val="20"/>
                <w:szCs w:val="20"/>
                <w:lang w:val="sr-Cyrl-CS" w:eastAsia="sr-Latn-RS"/>
              </w:rPr>
            </w:pPr>
            <w:r w:rsidRPr="00BF3CDE">
              <w:rPr>
                <w:rFonts w:ascii="Verdana" w:eastAsia="Times New Roman" w:hAnsi="Verdana" w:cs="Calibri"/>
                <w:b/>
                <w:bCs/>
                <w:noProof/>
                <w:color w:val="000000"/>
                <w:sz w:val="20"/>
                <w:szCs w:val="20"/>
                <w:lang w:val="sr-Cyrl-CS" w:eastAsia="sr-Latn-RS"/>
              </w:rPr>
              <w:t>УКУПНА ПАСИВА</w:t>
            </w:r>
          </w:p>
        </w:tc>
        <w:tc>
          <w:tcPr>
            <w:tcW w:w="1897" w:type="dxa"/>
            <w:tcBorders>
              <w:top w:val="single" w:sz="8" w:space="0" w:color="629DD1"/>
              <w:left w:val="nil"/>
              <w:bottom w:val="single" w:sz="8" w:space="0" w:color="629DD1"/>
              <w:right w:val="nil"/>
            </w:tcBorders>
            <w:shd w:val="clear" w:color="auto" w:fill="auto"/>
            <w:vAlign w:val="center"/>
          </w:tcPr>
          <w:p w14:paraId="055718FF" w14:textId="77777777" w:rsidR="00AB59CB" w:rsidRPr="00BF3CDE" w:rsidRDefault="00AB59CB" w:rsidP="00AB59CB">
            <w:pPr>
              <w:pStyle w:val="NoSpacing"/>
              <w:jc w:val="right"/>
              <w:rPr>
                <w:rFonts w:ascii="Verdana" w:eastAsia="Times New Roman" w:hAnsi="Verdana" w:cs="Calibri"/>
                <w:b/>
                <w:noProof/>
                <w:color w:val="000000"/>
                <w:sz w:val="20"/>
                <w:szCs w:val="20"/>
                <w:lang w:val="sr-Cyrl-CS" w:eastAsia="sr-Latn-RS"/>
              </w:rPr>
            </w:pPr>
            <w:r w:rsidRPr="00BF3CDE">
              <w:rPr>
                <w:rFonts w:ascii="Verdana" w:eastAsia="Times New Roman" w:hAnsi="Verdana" w:cs="Calibri"/>
                <w:b/>
                <w:noProof/>
                <w:color w:val="000000"/>
                <w:sz w:val="20"/>
                <w:szCs w:val="20"/>
                <w:lang w:val="sr-Cyrl-CS" w:eastAsia="sr-Latn-RS"/>
              </w:rPr>
              <w:t>3,863,623</w:t>
            </w:r>
          </w:p>
        </w:tc>
        <w:tc>
          <w:tcPr>
            <w:tcW w:w="1843" w:type="dxa"/>
            <w:tcBorders>
              <w:top w:val="single" w:sz="8" w:space="0" w:color="629DD1"/>
              <w:left w:val="nil"/>
              <w:bottom w:val="single" w:sz="8" w:space="0" w:color="629DD1"/>
              <w:right w:val="nil"/>
            </w:tcBorders>
            <w:shd w:val="clear" w:color="auto" w:fill="auto"/>
            <w:vAlign w:val="center"/>
          </w:tcPr>
          <w:p w14:paraId="7966AA0E" w14:textId="77777777" w:rsidR="00AB59CB" w:rsidRPr="00BF3CDE" w:rsidRDefault="00AB59CB" w:rsidP="00AB59CB">
            <w:pPr>
              <w:pStyle w:val="NoSpacing"/>
              <w:jc w:val="right"/>
              <w:rPr>
                <w:b/>
                <w:noProof/>
                <w:sz w:val="20"/>
                <w:lang w:val="sr-Cyrl-CS"/>
              </w:rPr>
            </w:pPr>
            <w:r w:rsidRPr="00BF3CDE">
              <w:rPr>
                <w:b/>
                <w:noProof/>
                <w:sz w:val="20"/>
                <w:lang w:val="sr-Cyrl-CS"/>
              </w:rPr>
              <w:t>4,196,598</w:t>
            </w:r>
          </w:p>
        </w:tc>
        <w:tc>
          <w:tcPr>
            <w:tcW w:w="1508" w:type="dxa"/>
            <w:tcBorders>
              <w:top w:val="single" w:sz="8" w:space="0" w:color="629DD1"/>
              <w:left w:val="nil"/>
              <w:bottom w:val="single" w:sz="8" w:space="0" w:color="629DD1"/>
              <w:right w:val="nil"/>
            </w:tcBorders>
            <w:shd w:val="clear" w:color="auto" w:fill="auto"/>
            <w:vAlign w:val="center"/>
          </w:tcPr>
          <w:p w14:paraId="7296C427" w14:textId="77777777" w:rsidR="00AB59CB" w:rsidRPr="00BF3CDE" w:rsidRDefault="00AB59CB" w:rsidP="00AB59CB">
            <w:pPr>
              <w:pStyle w:val="NoSpacing"/>
              <w:jc w:val="center"/>
              <w:rPr>
                <w:b/>
                <w:noProof/>
                <w:sz w:val="20"/>
                <w:lang w:val="sr-Cyrl-CS"/>
              </w:rPr>
            </w:pPr>
            <w:r w:rsidRPr="00BF3CDE">
              <w:rPr>
                <w:b/>
                <w:noProof/>
                <w:sz w:val="20"/>
                <w:lang w:val="sr-Cyrl-CS"/>
              </w:rPr>
              <w:t>108.62</w:t>
            </w:r>
          </w:p>
        </w:tc>
      </w:tr>
    </w:tbl>
    <w:p w14:paraId="3CF84E36" w14:textId="77777777" w:rsidR="00E03E1D" w:rsidRPr="00BF3CDE" w:rsidRDefault="00E03E1D" w:rsidP="00C9033A">
      <w:pPr>
        <w:spacing w:before="120" w:after="120"/>
        <w:ind w:hanging="284"/>
        <w:jc w:val="both"/>
        <w:rPr>
          <w:noProof/>
          <w:sz w:val="20"/>
          <w:szCs w:val="20"/>
          <w:highlight w:val="yellow"/>
          <w:lang w:val="sr-Cyrl-CS"/>
        </w:rPr>
      </w:pPr>
    </w:p>
    <w:p w14:paraId="1CDD48BC" w14:textId="77777777" w:rsidR="00E47CFE" w:rsidRPr="00BF3CDE" w:rsidRDefault="00E47CFE" w:rsidP="00C9033A">
      <w:pPr>
        <w:spacing w:before="120" w:after="120"/>
        <w:ind w:hanging="284"/>
        <w:jc w:val="both"/>
        <w:rPr>
          <w:noProof/>
          <w:sz w:val="20"/>
          <w:szCs w:val="20"/>
          <w:highlight w:val="yellow"/>
          <w:lang w:val="sr-Cyrl-CS"/>
        </w:rPr>
      </w:pPr>
      <w:r w:rsidRPr="00BF3CDE">
        <w:rPr>
          <w:noProof/>
          <w:lang w:val="sr-Latn-RS" w:eastAsia="sr-Latn-RS"/>
        </w:rPr>
        <w:drawing>
          <wp:inline distT="0" distB="0" distL="0" distR="0" wp14:anchorId="4BB5A3AB" wp14:editId="1254BC81">
            <wp:extent cx="6448301" cy="4085112"/>
            <wp:effectExtent l="0" t="19050" r="0" b="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703C02F9" w14:textId="77777777" w:rsidR="003724D4" w:rsidRPr="00BF3CDE" w:rsidRDefault="00492321" w:rsidP="000A6024">
      <w:pPr>
        <w:pStyle w:val="Heading1"/>
        <w:numPr>
          <w:ilvl w:val="2"/>
          <w:numId w:val="7"/>
        </w:numPr>
        <w:spacing w:before="360"/>
        <w:ind w:left="1077" w:hanging="1077"/>
        <w:jc w:val="left"/>
        <w:rPr>
          <w:rFonts w:asciiTheme="majorHAnsi" w:hAnsiTheme="majorHAnsi" w:cs="Tahoma"/>
          <w:i/>
          <w:noProof/>
          <w:color w:val="4F81BD"/>
          <w:sz w:val="22"/>
          <w:szCs w:val="18"/>
          <w:lang w:val="sr-Cyrl-CS"/>
        </w:rPr>
      </w:pPr>
      <w:bookmarkStart w:id="37" w:name="_Toc414356819"/>
      <w:r w:rsidRPr="00BF3CDE">
        <w:rPr>
          <w:rFonts w:asciiTheme="majorHAnsi" w:hAnsiTheme="majorHAnsi" w:cs="Tahoma"/>
          <w:i/>
          <w:noProof/>
          <w:color w:val="4F81BD"/>
          <w:sz w:val="22"/>
          <w:szCs w:val="18"/>
          <w:lang w:val="sr-Cyrl-CS"/>
        </w:rPr>
        <w:lastRenderedPageBreak/>
        <w:t>Капитал</w:t>
      </w:r>
      <w:r w:rsidR="003724D4" w:rsidRPr="00BF3CDE">
        <w:rPr>
          <w:rFonts w:asciiTheme="majorHAnsi" w:hAnsiTheme="majorHAnsi" w:cs="Tahoma"/>
          <w:i/>
          <w:noProof/>
          <w:color w:val="4F81BD"/>
          <w:sz w:val="22"/>
          <w:szCs w:val="18"/>
          <w:lang w:val="sr-Cyrl-CS"/>
        </w:rPr>
        <w:t>, резерве</w:t>
      </w:r>
      <w:r w:rsidRPr="00BF3CDE">
        <w:rPr>
          <w:rFonts w:asciiTheme="majorHAnsi" w:hAnsiTheme="majorHAnsi" w:cs="Tahoma"/>
          <w:i/>
          <w:noProof/>
          <w:color w:val="4F81BD"/>
          <w:sz w:val="22"/>
          <w:szCs w:val="18"/>
          <w:lang w:val="sr-Cyrl-CS"/>
        </w:rPr>
        <w:t>, дугорочна резервисања</w:t>
      </w:r>
      <w:bookmarkEnd w:id="37"/>
      <w:r w:rsidRPr="00BF3CDE">
        <w:rPr>
          <w:rFonts w:asciiTheme="majorHAnsi" w:hAnsiTheme="majorHAnsi" w:cs="Tahoma"/>
          <w:i/>
          <w:noProof/>
          <w:color w:val="4F81BD"/>
          <w:sz w:val="22"/>
          <w:szCs w:val="18"/>
          <w:lang w:val="sr-Cyrl-CS"/>
        </w:rPr>
        <w:t xml:space="preserve"> </w:t>
      </w:r>
    </w:p>
    <w:p w14:paraId="494B10E1" w14:textId="77777777" w:rsidR="00DC51FA" w:rsidRPr="00BF3CDE" w:rsidRDefault="00492321" w:rsidP="000A6024">
      <w:pPr>
        <w:pStyle w:val="Heading1"/>
        <w:numPr>
          <w:ilvl w:val="0"/>
          <w:numId w:val="0"/>
        </w:numPr>
        <w:spacing w:after="360"/>
        <w:ind w:left="1077"/>
        <w:jc w:val="left"/>
        <w:rPr>
          <w:rFonts w:asciiTheme="majorHAnsi" w:hAnsiTheme="majorHAnsi" w:cs="Tahoma"/>
          <w:i/>
          <w:noProof/>
          <w:color w:val="4F81BD"/>
          <w:sz w:val="22"/>
          <w:szCs w:val="18"/>
          <w:lang w:val="sr-Cyrl-CS"/>
        </w:rPr>
      </w:pPr>
      <w:bookmarkStart w:id="38" w:name="_Toc319069774"/>
      <w:bookmarkStart w:id="39" w:name="_Toc414356820"/>
      <w:r w:rsidRPr="00BF3CDE">
        <w:rPr>
          <w:rFonts w:asciiTheme="majorHAnsi" w:hAnsiTheme="majorHAnsi" w:cs="Tahoma"/>
          <w:i/>
          <w:noProof/>
          <w:color w:val="4F81BD"/>
          <w:sz w:val="22"/>
          <w:szCs w:val="18"/>
          <w:lang w:val="sr-Cyrl-CS"/>
        </w:rPr>
        <w:t>и дугорочне обавезе</w:t>
      </w:r>
      <w:bookmarkEnd w:id="38"/>
      <w:bookmarkEnd w:id="39"/>
      <w:r w:rsidR="0046210A" w:rsidRPr="00BF3CDE">
        <w:rPr>
          <w:rFonts w:asciiTheme="majorHAnsi" w:hAnsiTheme="majorHAnsi" w:cs="Tahoma"/>
          <w:i/>
          <w:noProof/>
          <w:color w:val="4F81BD"/>
          <w:sz w:val="22"/>
          <w:szCs w:val="18"/>
          <w:lang w:val="sr-Cyrl-CS"/>
        </w:rPr>
        <w:t xml:space="preserve"> </w:t>
      </w:r>
    </w:p>
    <w:p w14:paraId="5FD35C7B" w14:textId="77777777" w:rsidR="001571ED" w:rsidRPr="00BF3CDE" w:rsidRDefault="001571ED" w:rsidP="000A6024">
      <w:pPr>
        <w:spacing w:before="200"/>
        <w:ind w:firstLine="567"/>
        <w:jc w:val="both"/>
        <w:rPr>
          <w:noProof/>
          <w:sz w:val="20"/>
          <w:szCs w:val="20"/>
          <w:lang w:val="sr-Cyrl-CS"/>
        </w:rPr>
      </w:pPr>
      <w:r w:rsidRPr="00BF3CDE">
        <w:rPr>
          <w:noProof/>
          <w:sz w:val="20"/>
          <w:szCs w:val="20"/>
          <w:lang w:val="sr-Cyrl-CS"/>
        </w:rPr>
        <w:t xml:space="preserve">Укупан капитал, резерве, дугорочна резервисања и дугорочне обавезе </w:t>
      </w:r>
      <w:r w:rsidR="000A6024" w:rsidRPr="00BF3CDE">
        <w:rPr>
          <w:noProof/>
          <w:sz w:val="20"/>
          <w:szCs w:val="20"/>
          <w:lang w:val="sr-Cyrl-CS"/>
        </w:rPr>
        <w:t xml:space="preserve">Друштва на дан 31.12.2014. године износе </w:t>
      </w:r>
      <w:r w:rsidRPr="00BF3CDE">
        <w:rPr>
          <w:noProof/>
          <w:sz w:val="20"/>
          <w:szCs w:val="20"/>
          <w:lang w:val="sr-Cyrl-CS"/>
        </w:rPr>
        <w:t>1</w:t>
      </w:r>
      <w:r w:rsidR="000A6024" w:rsidRPr="00BF3CDE">
        <w:rPr>
          <w:noProof/>
          <w:sz w:val="20"/>
          <w:szCs w:val="20"/>
          <w:lang w:val="sr-Cyrl-CS"/>
        </w:rPr>
        <w:t>.</w:t>
      </w:r>
      <w:r w:rsidRPr="00BF3CDE">
        <w:rPr>
          <w:noProof/>
          <w:sz w:val="20"/>
          <w:szCs w:val="20"/>
          <w:lang w:val="sr-Cyrl-CS"/>
        </w:rPr>
        <w:t>434</w:t>
      </w:r>
      <w:r w:rsidR="000A6024" w:rsidRPr="00BF3CDE">
        <w:rPr>
          <w:noProof/>
          <w:sz w:val="20"/>
          <w:szCs w:val="20"/>
          <w:lang w:val="sr-Cyrl-CS"/>
        </w:rPr>
        <w:t>.</w:t>
      </w:r>
      <w:r w:rsidRPr="00BF3CDE">
        <w:rPr>
          <w:noProof/>
          <w:sz w:val="20"/>
          <w:szCs w:val="20"/>
          <w:lang w:val="sr-Cyrl-CS"/>
        </w:rPr>
        <w:t>632</w:t>
      </w:r>
      <w:r w:rsidR="000A6024" w:rsidRPr="00BF3CDE">
        <w:rPr>
          <w:noProof/>
          <w:sz w:val="20"/>
          <w:szCs w:val="20"/>
          <w:lang w:val="sr-Cyrl-CS"/>
        </w:rPr>
        <w:t xml:space="preserve"> хиљада динара и за 1,70% су мање него у претходној години.</w:t>
      </w:r>
    </w:p>
    <w:p w14:paraId="4A8FC53B" w14:textId="77777777" w:rsidR="00C9033A" w:rsidRPr="00BF3CDE" w:rsidRDefault="00C9033A" w:rsidP="000A6024">
      <w:pPr>
        <w:spacing w:before="240" w:after="240"/>
        <w:jc w:val="both"/>
        <w:rPr>
          <w:b/>
          <w:i/>
          <w:noProof/>
          <w:color w:val="365F91" w:themeColor="accent1" w:themeShade="BF"/>
          <w:sz w:val="20"/>
          <w:lang w:val="sr-Cyrl-CS"/>
        </w:rPr>
      </w:pPr>
      <w:r w:rsidRPr="00BF3CDE">
        <w:rPr>
          <w:b/>
          <w:i/>
          <w:noProof/>
          <w:color w:val="365F91" w:themeColor="accent1" w:themeShade="BF"/>
          <w:sz w:val="20"/>
          <w:lang w:val="sr-Cyrl-CS"/>
        </w:rPr>
        <w:t>Капитал</w:t>
      </w:r>
    </w:p>
    <w:p w14:paraId="088E4D84" w14:textId="77777777" w:rsidR="00C9033A" w:rsidRPr="00BF3CDE" w:rsidRDefault="00AD0A1A" w:rsidP="000A6024">
      <w:pPr>
        <w:spacing w:before="200"/>
        <w:ind w:firstLine="567"/>
        <w:jc w:val="both"/>
        <w:rPr>
          <w:noProof/>
          <w:sz w:val="20"/>
          <w:szCs w:val="20"/>
          <w:lang w:val="sr-Cyrl-CS"/>
        </w:rPr>
      </w:pPr>
      <w:r w:rsidRPr="00BF3CDE">
        <w:rPr>
          <w:noProof/>
          <w:sz w:val="20"/>
          <w:szCs w:val="20"/>
          <w:lang w:val="sr-Cyrl-CS"/>
        </w:rPr>
        <w:t>Чланом 28. Закона о осигурању прописан је лимит за обављање послова реосигурања од 4,5 милиона ЕУР, а Друштво на дан 31.12.201</w:t>
      </w:r>
      <w:r w:rsidR="005C2BDB" w:rsidRPr="00BF3CDE">
        <w:rPr>
          <w:noProof/>
          <w:sz w:val="20"/>
          <w:szCs w:val="20"/>
          <w:lang w:val="sr-Cyrl-CS"/>
        </w:rPr>
        <w:t>4</w:t>
      </w:r>
      <w:r w:rsidRPr="00BF3CDE">
        <w:rPr>
          <w:noProof/>
          <w:sz w:val="20"/>
          <w:szCs w:val="20"/>
          <w:lang w:val="sr-Cyrl-CS"/>
        </w:rPr>
        <w:t xml:space="preserve">. године има основни капитал у износу од </w:t>
      </w:r>
      <w:r w:rsidR="0085678B" w:rsidRPr="00BF3CDE">
        <w:rPr>
          <w:noProof/>
          <w:sz w:val="20"/>
          <w:szCs w:val="20"/>
          <w:lang w:val="sr-Cyrl-CS"/>
        </w:rPr>
        <w:t>6,</w:t>
      </w:r>
      <w:r w:rsidR="005C2BDB" w:rsidRPr="00BF3CDE">
        <w:rPr>
          <w:noProof/>
          <w:sz w:val="20"/>
          <w:szCs w:val="20"/>
          <w:lang w:val="sr-Cyrl-CS"/>
        </w:rPr>
        <w:t>3</w:t>
      </w:r>
      <w:r w:rsidR="00306DF9" w:rsidRPr="00BF3CDE">
        <w:rPr>
          <w:noProof/>
          <w:sz w:val="20"/>
          <w:szCs w:val="20"/>
          <w:lang w:val="sr-Cyrl-CS"/>
        </w:rPr>
        <w:t xml:space="preserve"> </w:t>
      </w:r>
      <w:r w:rsidR="0085678B" w:rsidRPr="00BF3CDE">
        <w:rPr>
          <w:noProof/>
          <w:sz w:val="20"/>
          <w:szCs w:val="20"/>
          <w:lang w:val="sr-Cyrl-CS"/>
        </w:rPr>
        <w:t>милиона ЕУР</w:t>
      </w:r>
      <w:r w:rsidR="005C2BDB" w:rsidRPr="00BF3CDE">
        <w:rPr>
          <w:noProof/>
          <w:sz w:val="20"/>
          <w:szCs w:val="20"/>
          <w:lang w:val="sr-Cyrl-CS"/>
        </w:rPr>
        <w:t>-</w:t>
      </w:r>
      <w:r w:rsidR="0085678B" w:rsidRPr="00BF3CDE">
        <w:rPr>
          <w:noProof/>
          <w:sz w:val="20"/>
          <w:szCs w:val="20"/>
          <w:lang w:val="sr-Cyrl-CS"/>
        </w:rPr>
        <w:t>а</w:t>
      </w:r>
      <w:r w:rsidRPr="00BF3CDE">
        <w:rPr>
          <w:noProof/>
          <w:sz w:val="20"/>
          <w:szCs w:val="20"/>
          <w:lang w:val="sr-Cyrl-CS"/>
        </w:rPr>
        <w:t>.</w:t>
      </w:r>
      <w:r w:rsidR="00C9033A" w:rsidRPr="00BF3CDE">
        <w:rPr>
          <w:noProof/>
          <w:sz w:val="20"/>
          <w:szCs w:val="20"/>
          <w:lang w:val="sr-Cyrl-CS"/>
        </w:rPr>
        <w:t xml:space="preserve"> </w:t>
      </w:r>
    </w:p>
    <w:p w14:paraId="564075B4" w14:textId="77777777" w:rsidR="00875757" w:rsidRPr="00BF3CDE" w:rsidRDefault="00875757" w:rsidP="000A6024">
      <w:pPr>
        <w:spacing w:before="200"/>
        <w:ind w:firstLine="567"/>
        <w:jc w:val="both"/>
        <w:rPr>
          <w:noProof/>
          <w:sz w:val="20"/>
          <w:szCs w:val="20"/>
          <w:lang w:val="sr-Cyrl-CS"/>
        </w:rPr>
      </w:pPr>
      <w:r w:rsidRPr="00BF3CDE">
        <w:rPr>
          <w:noProof/>
          <w:sz w:val="20"/>
          <w:szCs w:val="20"/>
          <w:lang w:val="sr-Cyrl-CS"/>
        </w:rPr>
        <w:t>Берзански показатељи на дан 31.12.201</w:t>
      </w:r>
      <w:r w:rsidR="001D1258" w:rsidRPr="00BF3CDE">
        <w:rPr>
          <w:noProof/>
          <w:sz w:val="20"/>
          <w:szCs w:val="20"/>
          <w:lang w:val="sr-Cyrl-CS"/>
        </w:rPr>
        <w:t>4</w:t>
      </w:r>
      <w:r w:rsidRPr="00BF3CDE">
        <w:rPr>
          <w:noProof/>
          <w:sz w:val="20"/>
          <w:szCs w:val="20"/>
          <w:lang w:val="sr-Cyrl-CS"/>
        </w:rPr>
        <w:t>. године су:</w:t>
      </w:r>
    </w:p>
    <w:p w14:paraId="01F04F70" w14:textId="77777777" w:rsidR="00875757" w:rsidRPr="00BF3CDE" w:rsidRDefault="00875757" w:rsidP="000A6024">
      <w:pPr>
        <w:pStyle w:val="ListParagraph"/>
        <w:numPr>
          <w:ilvl w:val="0"/>
          <w:numId w:val="19"/>
        </w:numPr>
        <w:spacing w:before="120" w:after="120"/>
        <w:contextualSpacing w:val="0"/>
        <w:jc w:val="both"/>
        <w:rPr>
          <w:noProof/>
          <w:sz w:val="20"/>
          <w:szCs w:val="20"/>
          <w:lang w:val="sr-Cyrl-CS"/>
        </w:rPr>
      </w:pPr>
      <w:r w:rsidRPr="00BF3CDE">
        <w:rPr>
          <w:noProof/>
          <w:sz w:val="20"/>
          <w:szCs w:val="20"/>
          <w:lang w:val="sr-Cyrl-CS"/>
        </w:rPr>
        <w:t xml:space="preserve">Тржишна капитализација износи </w:t>
      </w:r>
      <w:r w:rsidR="001D1258" w:rsidRPr="00BF3CDE">
        <w:rPr>
          <w:noProof/>
          <w:sz w:val="20"/>
          <w:szCs w:val="20"/>
          <w:lang w:val="sr-Cyrl-CS"/>
        </w:rPr>
        <w:t xml:space="preserve">729.747 </w:t>
      </w:r>
      <w:r w:rsidRPr="00BF3CDE">
        <w:rPr>
          <w:noProof/>
          <w:sz w:val="20"/>
          <w:szCs w:val="20"/>
          <w:lang w:val="sr-Cyrl-CS"/>
        </w:rPr>
        <w:t>хиљада динара,</w:t>
      </w:r>
    </w:p>
    <w:p w14:paraId="7B243561" w14:textId="77777777" w:rsidR="00875757" w:rsidRPr="00BF3CDE" w:rsidRDefault="00875757" w:rsidP="000A6024">
      <w:pPr>
        <w:pStyle w:val="ListParagraph"/>
        <w:numPr>
          <w:ilvl w:val="0"/>
          <w:numId w:val="19"/>
        </w:numPr>
        <w:spacing w:before="120" w:after="120"/>
        <w:ind w:left="1281" w:hanging="357"/>
        <w:contextualSpacing w:val="0"/>
        <w:jc w:val="both"/>
        <w:rPr>
          <w:noProof/>
          <w:sz w:val="20"/>
          <w:szCs w:val="20"/>
          <w:lang w:val="sr-Cyrl-CS"/>
        </w:rPr>
      </w:pPr>
      <w:r w:rsidRPr="00BF3CDE">
        <w:rPr>
          <w:noProof/>
          <w:sz w:val="20"/>
          <w:szCs w:val="20"/>
          <w:lang w:val="sr-Cyrl-CS"/>
        </w:rPr>
        <w:t xml:space="preserve">П/Б </w:t>
      </w:r>
      <w:r w:rsidR="0060244E" w:rsidRPr="00BF3CDE">
        <w:rPr>
          <w:noProof/>
          <w:sz w:val="20"/>
          <w:szCs w:val="20"/>
          <w:lang w:val="sr-Cyrl-CS"/>
        </w:rPr>
        <w:t>(однос тржишне и к</w:t>
      </w:r>
      <w:r w:rsidR="00306DF9" w:rsidRPr="00BF3CDE">
        <w:rPr>
          <w:noProof/>
          <w:sz w:val="20"/>
          <w:szCs w:val="20"/>
          <w:lang w:val="sr-Cyrl-CS"/>
        </w:rPr>
        <w:t>њ</w:t>
      </w:r>
      <w:r w:rsidR="0060244E" w:rsidRPr="00BF3CDE">
        <w:rPr>
          <w:noProof/>
          <w:sz w:val="20"/>
          <w:szCs w:val="20"/>
          <w:lang w:val="sr-Cyrl-CS"/>
        </w:rPr>
        <w:t>иговодствене цене акција</w:t>
      </w:r>
      <w:r w:rsidR="00D33AAC" w:rsidRPr="00BF3CDE">
        <w:rPr>
          <w:noProof/>
          <w:sz w:val="20"/>
          <w:szCs w:val="20"/>
          <w:lang w:val="sr-Cyrl-CS"/>
        </w:rPr>
        <w:t xml:space="preserve">  1,00</w:t>
      </w:r>
      <w:r w:rsidRPr="00BF3CDE">
        <w:rPr>
          <w:noProof/>
          <w:sz w:val="20"/>
          <w:szCs w:val="20"/>
          <w:lang w:val="sr-Cyrl-CS"/>
        </w:rPr>
        <w:t xml:space="preserve"> и</w:t>
      </w:r>
    </w:p>
    <w:p w14:paraId="3720C533" w14:textId="77777777" w:rsidR="00875757" w:rsidRPr="00BF3CDE" w:rsidRDefault="00306DF9" w:rsidP="000A6024">
      <w:pPr>
        <w:pStyle w:val="ListParagraph"/>
        <w:numPr>
          <w:ilvl w:val="0"/>
          <w:numId w:val="19"/>
        </w:numPr>
        <w:spacing w:before="120" w:after="120"/>
        <w:ind w:left="1281" w:hanging="357"/>
        <w:contextualSpacing w:val="0"/>
        <w:jc w:val="both"/>
        <w:rPr>
          <w:noProof/>
          <w:sz w:val="20"/>
          <w:szCs w:val="20"/>
          <w:lang w:val="sr-Cyrl-CS"/>
        </w:rPr>
      </w:pPr>
      <w:r w:rsidRPr="00BF3CDE">
        <w:rPr>
          <w:noProof/>
          <w:sz w:val="20"/>
          <w:szCs w:val="20"/>
          <w:lang w:val="sr-Cyrl-CS"/>
        </w:rPr>
        <w:t xml:space="preserve">тржишна </w:t>
      </w:r>
      <w:r w:rsidR="00875757" w:rsidRPr="00BF3CDE">
        <w:rPr>
          <w:noProof/>
          <w:sz w:val="20"/>
          <w:szCs w:val="20"/>
          <w:lang w:val="sr-Cyrl-CS"/>
        </w:rPr>
        <w:t xml:space="preserve">цена акције </w:t>
      </w:r>
      <w:r w:rsidRPr="00BF3CDE">
        <w:rPr>
          <w:noProof/>
          <w:sz w:val="20"/>
          <w:szCs w:val="20"/>
          <w:lang w:val="sr-Cyrl-CS"/>
        </w:rPr>
        <w:t xml:space="preserve">је </w:t>
      </w:r>
      <w:r w:rsidR="00D33AAC" w:rsidRPr="00BF3CDE">
        <w:rPr>
          <w:noProof/>
          <w:sz w:val="20"/>
          <w:szCs w:val="20"/>
          <w:lang w:val="sr-Cyrl-CS"/>
        </w:rPr>
        <w:t>9</w:t>
      </w:r>
      <w:r w:rsidR="00875757" w:rsidRPr="00BF3CDE">
        <w:rPr>
          <w:noProof/>
          <w:sz w:val="20"/>
          <w:szCs w:val="20"/>
          <w:lang w:val="sr-Cyrl-CS"/>
        </w:rPr>
        <w:t>.</w:t>
      </w:r>
      <w:r w:rsidR="00D33AAC" w:rsidRPr="00BF3CDE">
        <w:rPr>
          <w:noProof/>
          <w:sz w:val="20"/>
          <w:szCs w:val="20"/>
          <w:lang w:val="sr-Cyrl-CS"/>
        </w:rPr>
        <w:t>0</w:t>
      </w:r>
      <w:r w:rsidR="00875757" w:rsidRPr="00BF3CDE">
        <w:rPr>
          <w:noProof/>
          <w:sz w:val="20"/>
          <w:szCs w:val="20"/>
          <w:lang w:val="sr-Cyrl-CS"/>
        </w:rPr>
        <w:t>00 динара</w:t>
      </w:r>
      <w:r w:rsidRPr="00BF3CDE">
        <w:rPr>
          <w:noProof/>
          <w:sz w:val="20"/>
          <w:szCs w:val="20"/>
          <w:lang w:val="sr-Cyrl-CS"/>
        </w:rPr>
        <w:t>, а номинална 9.000 динара</w:t>
      </w:r>
    </w:p>
    <w:p w14:paraId="7F3A02C6" w14:textId="77777777" w:rsidR="0061552B" w:rsidRPr="00BF3CDE" w:rsidRDefault="00C9033A" w:rsidP="00F93B69">
      <w:pPr>
        <w:spacing w:before="200" w:after="0"/>
        <w:ind w:firstLine="567"/>
        <w:jc w:val="both"/>
        <w:rPr>
          <w:noProof/>
          <w:sz w:val="20"/>
          <w:szCs w:val="20"/>
          <w:lang w:val="sr-Cyrl-CS"/>
        </w:rPr>
      </w:pPr>
      <w:r w:rsidRPr="00BF3CDE">
        <w:rPr>
          <w:noProof/>
          <w:sz w:val="20"/>
          <w:szCs w:val="20"/>
          <w:lang w:val="sr-Cyrl-CS"/>
        </w:rPr>
        <w:t xml:space="preserve">Већински власник Друштва је Компанија „Дунав осигурање“ а.д.о. са 92,65% у акцијском, односно 88,41% у основном  капиталу. </w:t>
      </w:r>
    </w:p>
    <w:p w14:paraId="6F89708B" w14:textId="77777777" w:rsidR="00306DF9" w:rsidRDefault="00306DF9" w:rsidP="00CF0ACE">
      <w:pPr>
        <w:spacing w:after="0"/>
        <w:ind w:firstLine="567"/>
        <w:jc w:val="right"/>
        <w:rPr>
          <w:noProof/>
          <w:sz w:val="20"/>
          <w:szCs w:val="20"/>
          <w:lang w:val="sr-Cyrl-CS"/>
        </w:rPr>
      </w:pPr>
      <w:r w:rsidRPr="00BF3CDE">
        <w:rPr>
          <w:noProof/>
          <w:sz w:val="20"/>
          <w:szCs w:val="20"/>
          <w:lang w:val="sr-Cyrl-CS"/>
        </w:rPr>
        <w:t>у 000 РСД</w:t>
      </w:r>
    </w:p>
    <w:p w14:paraId="264975AA" w14:textId="77777777" w:rsidR="00B256EA" w:rsidRDefault="00B256EA" w:rsidP="00CF0ACE">
      <w:pPr>
        <w:spacing w:after="0"/>
        <w:ind w:firstLine="567"/>
        <w:jc w:val="right"/>
        <w:rPr>
          <w:noProof/>
          <w:sz w:val="20"/>
          <w:szCs w:val="20"/>
          <w:lang w:val="sr-Cyrl-CS"/>
        </w:rPr>
      </w:pPr>
    </w:p>
    <w:tbl>
      <w:tblPr>
        <w:tblW w:w="9270" w:type="dxa"/>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000" w:firstRow="0" w:lastRow="0" w:firstColumn="0" w:lastColumn="0" w:noHBand="0" w:noVBand="0"/>
      </w:tblPr>
      <w:tblGrid>
        <w:gridCol w:w="600"/>
        <w:gridCol w:w="3666"/>
        <w:gridCol w:w="992"/>
        <w:gridCol w:w="1222"/>
        <w:gridCol w:w="1418"/>
        <w:gridCol w:w="1372"/>
      </w:tblGrid>
      <w:tr w:rsidR="00B256EA" w:rsidRPr="00252815" w14:paraId="7C8A6A8E" w14:textId="77777777" w:rsidTr="004E6E16">
        <w:trPr>
          <w:trHeight w:val="567"/>
          <w:tblCellSpacing w:w="20" w:type="dxa"/>
        </w:trPr>
        <w:tc>
          <w:tcPr>
            <w:tcW w:w="540" w:type="dxa"/>
            <w:shd w:val="clear" w:color="auto" w:fill="auto"/>
          </w:tcPr>
          <w:p w14:paraId="394E651B" w14:textId="77777777" w:rsidR="00B256EA" w:rsidRPr="00252815" w:rsidRDefault="00B256EA" w:rsidP="004E6E16">
            <w:pPr>
              <w:spacing w:after="0" w:line="240" w:lineRule="auto"/>
              <w:jc w:val="both"/>
              <w:rPr>
                <w:rFonts w:ascii="Tahoma" w:eastAsia="Times New Roman" w:hAnsi="Tahoma" w:cs="Tahoma"/>
                <w:b/>
                <w:bCs/>
                <w:noProof/>
                <w:lang w:val="sr-Cyrl-CS"/>
              </w:rPr>
            </w:pPr>
            <w:r w:rsidRPr="00252815">
              <w:rPr>
                <w:rFonts w:ascii="Tahoma" w:eastAsia="Times New Roman" w:hAnsi="Tahoma" w:cs="Tahoma"/>
                <w:b/>
                <w:bCs/>
                <w:noProof/>
                <w:lang w:val="sr-Cyrl-CS"/>
              </w:rPr>
              <w:t> </w:t>
            </w:r>
          </w:p>
        </w:tc>
        <w:tc>
          <w:tcPr>
            <w:tcW w:w="3626" w:type="dxa"/>
            <w:shd w:val="clear" w:color="auto" w:fill="auto"/>
          </w:tcPr>
          <w:p w14:paraId="0F898D0F" w14:textId="77777777" w:rsidR="00B256EA" w:rsidRPr="00252815" w:rsidRDefault="00B256EA" w:rsidP="004E6E16">
            <w:pPr>
              <w:spacing w:after="0" w:line="240" w:lineRule="auto"/>
              <w:jc w:val="center"/>
              <w:rPr>
                <w:rFonts w:ascii="Tahoma" w:eastAsia="Times New Roman" w:hAnsi="Tahoma" w:cs="Tahoma"/>
                <w:b/>
                <w:bCs/>
                <w:noProof/>
                <w:sz w:val="16"/>
                <w:lang w:val="sr-Cyrl-CS"/>
              </w:rPr>
            </w:pPr>
          </w:p>
          <w:p w14:paraId="2AF54088" w14:textId="77777777" w:rsidR="00B256EA" w:rsidRPr="00252815" w:rsidRDefault="00B256EA" w:rsidP="004E6E16">
            <w:pPr>
              <w:spacing w:after="0" w:line="240" w:lineRule="auto"/>
              <w:jc w:val="center"/>
              <w:rPr>
                <w:rFonts w:ascii="Tahoma" w:eastAsia="Times New Roman" w:hAnsi="Tahoma" w:cs="Tahoma"/>
                <w:b/>
                <w:bCs/>
                <w:noProof/>
                <w:sz w:val="16"/>
                <w:lang w:val="sr-Cyrl-CS"/>
              </w:rPr>
            </w:pPr>
            <w:r w:rsidRPr="00252815">
              <w:rPr>
                <w:rFonts w:ascii="Tahoma" w:eastAsia="Times New Roman" w:hAnsi="Tahoma" w:cs="Tahoma"/>
                <w:b/>
                <w:bCs/>
                <w:noProof/>
                <w:sz w:val="16"/>
                <w:lang w:val="sr-Cyrl-CS"/>
              </w:rPr>
              <w:t>АКЦИОНАРИ на дан 30.06.2012.</w:t>
            </w:r>
          </w:p>
        </w:tc>
        <w:tc>
          <w:tcPr>
            <w:tcW w:w="952" w:type="dxa"/>
            <w:shd w:val="clear" w:color="auto" w:fill="auto"/>
            <w:vAlign w:val="center"/>
          </w:tcPr>
          <w:p w14:paraId="1DB97135" w14:textId="77777777" w:rsidR="00B256EA" w:rsidRPr="00252815" w:rsidRDefault="00B256EA" w:rsidP="004E6E16">
            <w:pPr>
              <w:spacing w:after="0" w:line="240" w:lineRule="auto"/>
              <w:jc w:val="center"/>
              <w:rPr>
                <w:rFonts w:ascii="Tahoma" w:eastAsia="Times New Roman" w:hAnsi="Tahoma" w:cs="Tahoma"/>
                <w:b/>
                <w:bCs/>
                <w:noProof/>
                <w:sz w:val="16"/>
                <w:lang w:val="sr-Cyrl-CS"/>
              </w:rPr>
            </w:pPr>
            <w:r w:rsidRPr="00252815">
              <w:rPr>
                <w:rFonts w:ascii="Tahoma" w:eastAsia="Times New Roman" w:hAnsi="Tahoma" w:cs="Tahoma"/>
                <w:b/>
                <w:bCs/>
                <w:noProof/>
                <w:sz w:val="16"/>
                <w:lang w:val="sr-Cyrl-CS"/>
              </w:rPr>
              <w:t>БРОЈ АКЦИЈА</w:t>
            </w:r>
          </w:p>
        </w:tc>
        <w:tc>
          <w:tcPr>
            <w:tcW w:w="1182" w:type="dxa"/>
            <w:shd w:val="clear" w:color="auto" w:fill="auto"/>
            <w:vAlign w:val="center"/>
          </w:tcPr>
          <w:p w14:paraId="6E38C2E3" w14:textId="77777777" w:rsidR="00B256EA" w:rsidRPr="00252815" w:rsidRDefault="00B256EA" w:rsidP="004E6E16">
            <w:pPr>
              <w:spacing w:after="0" w:line="240" w:lineRule="auto"/>
              <w:jc w:val="center"/>
              <w:rPr>
                <w:rFonts w:ascii="Tahoma" w:eastAsia="Times New Roman" w:hAnsi="Tahoma" w:cs="Tahoma"/>
                <w:b/>
                <w:bCs/>
                <w:noProof/>
                <w:sz w:val="16"/>
                <w:lang w:val="sr-Cyrl-CS"/>
              </w:rPr>
            </w:pPr>
            <w:r w:rsidRPr="00252815">
              <w:rPr>
                <w:rFonts w:ascii="Tahoma" w:eastAsia="Times New Roman" w:hAnsi="Tahoma" w:cs="Tahoma"/>
                <w:b/>
                <w:bCs/>
                <w:noProof/>
                <w:sz w:val="16"/>
                <w:lang w:val="sr-Cyrl-CS"/>
              </w:rPr>
              <w:t>УКУПАН КАПИТАЛ</w:t>
            </w:r>
          </w:p>
        </w:tc>
        <w:tc>
          <w:tcPr>
            <w:tcW w:w="1378" w:type="dxa"/>
            <w:shd w:val="clear" w:color="auto" w:fill="auto"/>
          </w:tcPr>
          <w:p w14:paraId="129966FE" w14:textId="77777777" w:rsidR="00B256EA" w:rsidRPr="00252815" w:rsidRDefault="00B256EA" w:rsidP="004E6E16">
            <w:pPr>
              <w:spacing w:after="0" w:line="240" w:lineRule="auto"/>
              <w:jc w:val="center"/>
              <w:rPr>
                <w:rFonts w:ascii="Tahoma" w:eastAsia="Times New Roman" w:hAnsi="Tahoma" w:cs="Tahoma"/>
                <w:b/>
                <w:bCs/>
                <w:noProof/>
                <w:sz w:val="16"/>
                <w:lang w:val="sr-Cyrl-CS"/>
              </w:rPr>
            </w:pPr>
            <w:r w:rsidRPr="00252815">
              <w:rPr>
                <w:rFonts w:ascii="Tahoma" w:eastAsia="Times New Roman" w:hAnsi="Tahoma" w:cs="Tahoma"/>
                <w:b/>
                <w:bCs/>
                <w:noProof/>
                <w:sz w:val="16"/>
                <w:lang w:val="sr-Cyrl-CS"/>
              </w:rPr>
              <w:t>% УЧЕШЋА У АКЦИЈСКОМ КАПИТАЛУ</w:t>
            </w:r>
          </w:p>
        </w:tc>
        <w:tc>
          <w:tcPr>
            <w:tcW w:w="1312" w:type="dxa"/>
            <w:shd w:val="clear" w:color="auto" w:fill="auto"/>
          </w:tcPr>
          <w:p w14:paraId="2210E0BD" w14:textId="77777777" w:rsidR="00B256EA" w:rsidRPr="00252815" w:rsidRDefault="00B256EA" w:rsidP="004E6E16">
            <w:pPr>
              <w:spacing w:after="0" w:line="240" w:lineRule="auto"/>
              <w:jc w:val="center"/>
              <w:rPr>
                <w:rFonts w:ascii="Tahoma" w:eastAsia="Times New Roman" w:hAnsi="Tahoma" w:cs="Tahoma"/>
                <w:b/>
                <w:bCs/>
                <w:noProof/>
                <w:sz w:val="16"/>
                <w:lang w:val="sr-Cyrl-CS"/>
              </w:rPr>
            </w:pPr>
            <w:r w:rsidRPr="00252815">
              <w:rPr>
                <w:rFonts w:ascii="Tahoma" w:eastAsia="Times New Roman" w:hAnsi="Tahoma" w:cs="Tahoma"/>
                <w:b/>
                <w:bCs/>
                <w:noProof/>
                <w:sz w:val="16"/>
                <w:lang w:val="sr-Cyrl-CS"/>
              </w:rPr>
              <w:t>% УЧЕШЋА У ОСН. КАПИТАЛУ</w:t>
            </w:r>
          </w:p>
        </w:tc>
      </w:tr>
      <w:tr w:rsidR="00B256EA" w:rsidRPr="00252815" w14:paraId="7698E289" w14:textId="77777777" w:rsidTr="004E6E16">
        <w:trPr>
          <w:trHeight w:val="170"/>
          <w:tblCellSpacing w:w="20" w:type="dxa"/>
        </w:trPr>
        <w:tc>
          <w:tcPr>
            <w:tcW w:w="540" w:type="dxa"/>
            <w:shd w:val="clear" w:color="auto" w:fill="auto"/>
            <w:noWrap/>
          </w:tcPr>
          <w:p w14:paraId="6526B6C1" w14:textId="77777777" w:rsidR="00B256EA" w:rsidRPr="00252815" w:rsidRDefault="00B256EA" w:rsidP="004E6E16">
            <w:pPr>
              <w:spacing w:after="0" w:line="240" w:lineRule="auto"/>
              <w:jc w:val="both"/>
              <w:rPr>
                <w:rFonts w:ascii="Tahoma" w:eastAsia="Times New Roman" w:hAnsi="Tahoma" w:cs="Tahoma"/>
                <w:noProof/>
                <w:sz w:val="18"/>
                <w:szCs w:val="18"/>
                <w:lang w:val="sr-Cyrl-CS"/>
              </w:rPr>
            </w:pPr>
            <w:r w:rsidRPr="00252815">
              <w:rPr>
                <w:rFonts w:ascii="Tahoma" w:eastAsia="Times New Roman" w:hAnsi="Tahoma" w:cs="Tahoma"/>
                <w:noProof/>
                <w:sz w:val="18"/>
                <w:szCs w:val="18"/>
                <w:lang w:val="sr-Cyrl-CS"/>
              </w:rPr>
              <w:t>1</w:t>
            </w:r>
          </w:p>
        </w:tc>
        <w:tc>
          <w:tcPr>
            <w:tcW w:w="3626" w:type="dxa"/>
            <w:shd w:val="clear" w:color="auto" w:fill="auto"/>
            <w:noWrap/>
          </w:tcPr>
          <w:p w14:paraId="193DFCFB" w14:textId="77777777" w:rsidR="00B256EA" w:rsidRPr="00252815" w:rsidRDefault="00B256EA" w:rsidP="004E6E16">
            <w:pPr>
              <w:suppressAutoHyphens/>
              <w:spacing w:after="0" w:line="240" w:lineRule="auto"/>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ДУНАВ ОСИГУРАЊЕ Београд</w:t>
            </w:r>
          </w:p>
        </w:tc>
        <w:tc>
          <w:tcPr>
            <w:tcW w:w="952" w:type="dxa"/>
            <w:shd w:val="clear" w:color="auto" w:fill="auto"/>
            <w:noWrap/>
          </w:tcPr>
          <w:p w14:paraId="7A1EEE1D" w14:textId="77777777" w:rsidR="00B256EA" w:rsidRPr="00252815" w:rsidRDefault="00B256EA" w:rsidP="004E6E16">
            <w:pPr>
              <w:suppressAutoHyphens/>
              <w:spacing w:after="0" w:line="240" w:lineRule="auto"/>
              <w:jc w:val="right"/>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75.126</w:t>
            </w:r>
          </w:p>
        </w:tc>
        <w:tc>
          <w:tcPr>
            <w:tcW w:w="1182" w:type="dxa"/>
            <w:shd w:val="clear" w:color="auto" w:fill="auto"/>
            <w:noWrap/>
          </w:tcPr>
          <w:p w14:paraId="0FA1D2F0" w14:textId="77777777" w:rsidR="00B256EA" w:rsidRPr="00252815" w:rsidRDefault="00B256EA" w:rsidP="004E6E16">
            <w:pPr>
              <w:suppressAutoHyphens/>
              <w:spacing w:after="0" w:line="240" w:lineRule="auto"/>
              <w:jc w:val="right"/>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676.134</w:t>
            </w:r>
          </w:p>
        </w:tc>
        <w:tc>
          <w:tcPr>
            <w:tcW w:w="1378" w:type="dxa"/>
            <w:shd w:val="clear" w:color="auto" w:fill="auto"/>
            <w:noWrap/>
          </w:tcPr>
          <w:p w14:paraId="4E25F32A"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92,65</w:t>
            </w:r>
          </w:p>
        </w:tc>
        <w:tc>
          <w:tcPr>
            <w:tcW w:w="1312" w:type="dxa"/>
            <w:shd w:val="clear" w:color="auto" w:fill="auto"/>
            <w:noWrap/>
          </w:tcPr>
          <w:p w14:paraId="20EE7205"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88,41</w:t>
            </w:r>
          </w:p>
        </w:tc>
      </w:tr>
      <w:tr w:rsidR="00B256EA" w:rsidRPr="00252815" w14:paraId="6F8DC22C" w14:textId="77777777" w:rsidTr="004E6E16">
        <w:trPr>
          <w:trHeight w:val="170"/>
          <w:tblCellSpacing w:w="20" w:type="dxa"/>
        </w:trPr>
        <w:tc>
          <w:tcPr>
            <w:tcW w:w="540" w:type="dxa"/>
            <w:shd w:val="clear" w:color="auto" w:fill="auto"/>
            <w:noWrap/>
          </w:tcPr>
          <w:p w14:paraId="62378EDD" w14:textId="77777777" w:rsidR="00B256EA" w:rsidRPr="00252815" w:rsidRDefault="00B256EA" w:rsidP="004E6E16">
            <w:pPr>
              <w:spacing w:after="0" w:line="240" w:lineRule="auto"/>
              <w:jc w:val="both"/>
              <w:rPr>
                <w:rFonts w:ascii="Tahoma" w:eastAsia="Times New Roman" w:hAnsi="Tahoma" w:cs="Tahoma"/>
                <w:noProof/>
                <w:sz w:val="18"/>
                <w:szCs w:val="18"/>
                <w:lang w:val="sr-Cyrl-CS"/>
              </w:rPr>
            </w:pPr>
            <w:r w:rsidRPr="00252815">
              <w:rPr>
                <w:rFonts w:ascii="Tahoma" w:eastAsia="Times New Roman" w:hAnsi="Tahoma" w:cs="Tahoma"/>
                <w:noProof/>
                <w:sz w:val="18"/>
                <w:szCs w:val="18"/>
                <w:lang w:val="sr-Cyrl-CS"/>
              </w:rPr>
              <w:t>2</w:t>
            </w:r>
          </w:p>
        </w:tc>
        <w:tc>
          <w:tcPr>
            <w:tcW w:w="3626" w:type="dxa"/>
            <w:shd w:val="clear" w:color="auto" w:fill="auto"/>
            <w:noWrap/>
          </w:tcPr>
          <w:p w14:paraId="0870A01C" w14:textId="77777777" w:rsidR="00B256EA" w:rsidRPr="00252815" w:rsidRDefault="00B256EA" w:rsidP="004E6E16">
            <w:pPr>
              <w:suppressAutoHyphens/>
              <w:spacing w:after="0" w:line="240" w:lineRule="auto"/>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САВА ОСИГУРАЊЕ Београд</w:t>
            </w:r>
          </w:p>
        </w:tc>
        <w:tc>
          <w:tcPr>
            <w:tcW w:w="952" w:type="dxa"/>
            <w:shd w:val="clear" w:color="auto" w:fill="auto"/>
            <w:noWrap/>
          </w:tcPr>
          <w:p w14:paraId="63BB1442" w14:textId="77777777" w:rsidR="00B256EA" w:rsidRPr="00252815" w:rsidRDefault="00B256EA" w:rsidP="004E6E16">
            <w:pPr>
              <w:suppressAutoHyphens/>
              <w:spacing w:after="0" w:line="240" w:lineRule="auto"/>
              <w:jc w:val="right"/>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2.731</w:t>
            </w:r>
          </w:p>
        </w:tc>
        <w:tc>
          <w:tcPr>
            <w:tcW w:w="1182" w:type="dxa"/>
            <w:shd w:val="clear" w:color="auto" w:fill="auto"/>
            <w:noWrap/>
          </w:tcPr>
          <w:p w14:paraId="1B0509C3" w14:textId="77777777" w:rsidR="00B256EA" w:rsidRPr="00252815" w:rsidRDefault="00B256EA" w:rsidP="004E6E16">
            <w:pPr>
              <w:suppressAutoHyphens/>
              <w:spacing w:after="0" w:line="240" w:lineRule="auto"/>
              <w:jc w:val="right"/>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24.579</w:t>
            </w:r>
          </w:p>
        </w:tc>
        <w:tc>
          <w:tcPr>
            <w:tcW w:w="1378" w:type="dxa"/>
            <w:shd w:val="clear" w:color="auto" w:fill="auto"/>
            <w:noWrap/>
          </w:tcPr>
          <w:p w14:paraId="2B5432E4"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3,37</w:t>
            </w:r>
          </w:p>
        </w:tc>
        <w:tc>
          <w:tcPr>
            <w:tcW w:w="1312" w:type="dxa"/>
            <w:shd w:val="clear" w:color="auto" w:fill="auto"/>
            <w:noWrap/>
          </w:tcPr>
          <w:p w14:paraId="58311F61"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3,21</w:t>
            </w:r>
          </w:p>
        </w:tc>
      </w:tr>
      <w:tr w:rsidR="00B256EA" w:rsidRPr="00252815" w14:paraId="312B959F" w14:textId="77777777" w:rsidTr="004E6E16">
        <w:trPr>
          <w:trHeight w:val="170"/>
          <w:tblCellSpacing w:w="20" w:type="dxa"/>
        </w:trPr>
        <w:tc>
          <w:tcPr>
            <w:tcW w:w="540" w:type="dxa"/>
            <w:shd w:val="clear" w:color="auto" w:fill="auto"/>
            <w:noWrap/>
          </w:tcPr>
          <w:p w14:paraId="2C5F0E71" w14:textId="77777777" w:rsidR="00B256EA" w:rsidRPr="00252815" w:rsidRDefault="00B256EA" w:rsidP="004E6E16">
            <w:pPr>
              <w:spacing w:after="0" w:line="240" w:lineRule="auto"/>
              <w:jc w:val="both"/>
              <w:rPr>
                <w:rFonts w:ascii="Tahoma" w:eastAsia="Times New Roman" w:hAnsi="Tahoma" w:cs="Tahoma"/>
                <w:noProof/>
                <w:sz w:val="18"/>
                <w:szCs w:val="18"/>
                <w:lang w:val="sr-Cyrl-CS"/>
              </w:rPr>
            </w:pPr>
            <w:r w:rsidRPr="00252815">
              <w:rPr>
                <w:rFonts w:ascii="Tahoma" w:eastAsia="Times New Roman" w:hAnsi="Tahoma" w:cs="Tahoma"/>
                <w:noProof/>
                <w:sz w:val="18"/>
                <w:szCs w:val="18"/>
                <w:lang w:val="sr-Cyrl-CS"/>
              </w:rPr>
              <w:t>3</w:t>
            </w:r>
          </w:p>
        </w:tc>
        <w:tc>
          <w:tcPr>
            <w:tcW w:w="3626" w:type="dxa"/>
            <w:shd w:val="clear" w:color="auto" w:fill="auto"/>
            <w:noWrap/>
          </w:tcPr>
          <w:p w14:paraId="55B9D3A6" w14:textId="77777777" w:rsidR="00B256EA" w:rsidRPr="00252815" w:rsidRDefault="00B256EA" w:rsidP="004E6E16">
            <w:pPr>
              <w:suppressAutoHyphens/>
              <w:spacing w:after="0" w:line="240" w:lineRule="auto"/>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УниЦредит банка Словенија</w:t>
            </w:r>
          </w:p>
        </w:tc>
        <w:tc>
          <w:tcPr>
            <w:tcW w:w="952" w:type="dxa"/>
            <w:shd w:val="clear" w:color="auto" w:fill="auto"/>
            <w:noWrap/>
          </w:tcPr>
          <w:p w14:paraId="54F975E6" w14:textId="77777777" w:rsidR="00B256EA" w:rsidRPr="00252815" w:rsidRDefault="00B256EA" w:rsidP="004E6E16">
            <w:pPr>
              <w:suppressAutoHyphens/>
              <w:spacing w:after="0" w:line="240" w:lineRule="auto"/>
              <w:jc w:val="right"/>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910</w:t>
            </w:r>
          </w:p>
        </w:tc>
        <w:tc>
          <w:tcPr>
            <w:tcW w:w="1182" w:type="dxa"/>
            <w:shd w:val="clear" w:color="auto" w:fill="auto"/>
            <w:noWrap/>
          </w:tcPr>
          <w:p w14:paraId="012CD64B" w14:textId="77777777" w:rsidR="00B256EA" w:rsidRPr="00252815" w:rsidRDefault="00B256EA" w:rsidP="004E6E16">
            <w:pPr>
              <w:suppressAutoHyphens/>
              <w:spacing w:after="0" w:line="240" w:lineRule="auto"/>
              <w:jc w:val="right"/>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8.190</w:t>
            </w:r>
          </w:p>
        </w:tc>
        <w:tc>
          <w:tcPr>
            <w:tcW w:w="1378" w:type="dxa"/>
            <w:shd w:val="clear" w:color="auto" w:fill="auto"/>
            <w:noWrap/>
          </w:tcPr>
          <w:p w14:paraId="3025B7A4"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1,12</w:t>
            </w:r>
          </w:p>
        </w:tc>
        <w:tc>
          <w:tcPr>
            <w:tcW w:w="1312" w:type="dxa"/>
            <w:shd w:val="clear" w:color="auto" w:fill="auto"/>
            <w:noWrap/>
          </w:tcPr>
          <w:p w14:paraId="3202D17E"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1,07</w:t>
            </w:r>
          </w:p>
        </w:tc>
      </w:tr>
      <w:tr w:rsidR="00B256EA" w:rsidRPr="00252815" w14:paraId="3E5824F7" w14:textId="77777777" w:rsidTr="004E6E16">
        <w:trPr>
          <w:trHeight w:val="170"/>
          <w:tblCellSpacing w:w="20" w:type="dxa"/>
        </w:trPr>
        <w:tc>
          <w:tcPr>
            <w:tcW w:w="540" w:type="dxa"/>
            <w:shd w:val="clear" w:color="auto" w:fill="auto"/>
            <w:noWrap/>
          </w:tcPr>
          <w:p w14:paraId="7017B17D" w14:textId="77777777" w:rsidR="00B256EA" w:rsidRPr="00252815" w:rsidRDefault="00B256EA" w:rsidP="004E6E16">
            <w:pPr>
              <w:spacing w:after="0" w:line="240" w:lineRule="auto"/>
              <w:jc w:val="both"/>
              <w:rPr>
                <w:rFonts w:ascii="Tahoma" w:eastAsia="Times New Roman" w:hAnsi="Tahoma" w:cs="Tahoma"/>
                <w:noProof/>
                <w:sz w:val="18"/>
                <w:szCs w:val="18"/>
                <w:lang w:val="sr-Cyrl-CS"/>
              </w:rPr>
            </w:pPr>
            <w:r w:rsidRPr="00252815">
              <w:rPr>
                <w:rFonts w:ascii="Tahoma" w:eastAsia="Times New Roman" w:hAnsi="Tahoma" w:cs="Tahoma"/>
                <w:noProof/>
                <w:sz w:val="18"/>
                <w:szCs w:val="18"/>
                <w:lang w:val="sr-Cyrl-CS"/>
              </w:rPr>
              <w:t>4</w:t>
            </w:r>
          </w:p>
        </w:tc>
        <w:tc>
          <w:tcPr>
            <w:tcW w:w="3626" w:type="dxa"/>
            <w:shd w:val="clear" w:color="auto" w:fill="auto"/>
            <w:noWrap/>
          </w:tcPr>
          <w:p w14:paraId="5800FDDC" w14:textId="77777777" w:rsidR="00B256EA" w:rsidRPr="00252815" w:rsidRDefault="00B256EA" w:rsidP="004E6E16">
            <w:pPr>
              <w:suppressAutoHyphens/>
              <w:spacing w:after="0" w:line="240" w:lineRule="auto"/>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Банка Интеса -кастоди</w:t>
            </w:r>
          </w:p>
        </w:tc>
        <w:tc>
          <w:tcPr>
            <w:tcW w:w="952" w:type="dxa"/>
            <w:shd w:val="clear" w:color="auto" w:fill="auto"/>
            <w:noWrap/>
          </w:tcPr>
          <w:p w14:paraId="3917C34E" w14:textId="77777777" w:rsidR="00B256EA" w:rsidRPr="00252815" w:rsidRDefault="00B256EA" w:rsidP="004E6E16">
            <w:pPr>
              <w:suppressAutoHyphens/>
              <w:spacing w:after="0" w:line="240" w:lineRule="auto"/>
              <w:jc w:val="right"/>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513</w:t>
            </w:r>
          </w:p>
        </w:tc>
        <w:tc>
          <w:tcPr>
            <w:tcW w:w="1182" w:type="dxa"/>
            <w:shd w:val="clear" w:color="auto" w:fill="auto"/>
            <w:noWrap/>
          </w:tcPr>
          <w:p w14:paraId="5FAC4DC4" w14:textId="77777777" w:rsidR="00B256EA" w:rsidRPr="00252815" w:rsidRDefault="00B256EA" w:rsidP="004E6E16">
            <w:pPr>
              <w:suppressAutoHyphens/>
              <w:spacing w:after="0" w:line="240" w:lineRule="auto"/>
              <w:jc w:val="right"/>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4.617</w:t>
            </w:r>
          </w:p>
        </w:tc>
        <w:tc>
          <w:tcPr>
            <w:tcW w:w="1378" w:type="dxa"/>
            <w:shd w:val="clear" w:color="auto" w:fill="auto"/>
            <w:noWrap/>
          </w:tcPr>
          <w:p w14:paraId="70304E83"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0,63</w:t>
            </w:r>
          </w:p>
        </w:tc>
        <w:tc>
          <w:tcPr>
            <w:tcW w:w="1312" w:type="dxa"/>
            <w:shd w:val="clear" w:color="auto" w:fill="auto"/>
            <w:noWrap/>
          </w:tcPr>
          <w:p w14:paraId="0840F087"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0,60</w:t>
            </w:r>
          </w:p>
        </w:tc>
      </w:tr>
      <w:tr w:rsidR="00B256EA" w:rsidRPr="00252815" w14:paraId="6F59D0B3" w14:textId="77777777" w:rsidTr="004E6E16">
        <w:trPr>
          <w:trHeight w:val="170"/>
          <w:tblCellSpacing w:w="20" w:type="dxa"/>
        </w:trPr>
        <w:tc>
          <w:tcPr>
            <w:tcW w:w="540" w:type="dxa"/>
            <w:shd w:val="clear" w:color="auto" w:fill="auto"/>
            <w:noWrap/>
          </w:tcPr>
          <w:p w14:paraId="568EDADD" w14:textId="77777777" w:rsidR="00B256EA" w:rsidRPr="00252815" w:rsidRDefault="00B256EA" w:rsidP="004E6E16">
            <w:pPr>
              <w:spacing w:after="0" w:line="240" w:lineRule="auto"/>
              <w:jc w:val="both"/>
              <w:rPr>
                <w:rFonts w:ascii="Tahoma" w:eastAsia="Times New Roman" w:hAnsi="Tahoma" w:cs="Tahoma"/>
                <w:noProof/>
                <w:sz w:val="18"/>
                <w:szCs w:val="18"/>
                <w:lang w:val="sr-Cyrl-CS"/>
              </w:rPr>
            </w:pPr>
            <w:r w:rsidRPr="00252815">
              <w:rPr>
                <w:rFonts w:ascii="Tahoma" w:eastAsia="Times New Roman" w:hAnsi="Tahoma" w:cs="Tahoma"/>
                <w:noProof/>
                <w:sz w:val="18"/>
                <w:szCs w:val="18"/>
                <w:lang w:val="sr-Cyrl-CS"/>
              </w:rPr>
              <w:t>5</w:t>
            </w:r>
          </w:p>
        </w:tc>
        <w:tc>
          <w:tcPr>
            <w:tcW w:w="3626" w:type="dxa"/>
            <w:shd w:val="clear" w:color="auto" w:fill="auto"/>
            <w:noWrap/>
          </w:tcPr>
          <w:p w14:paraId="416F46E6" w14:textId="77777777" w:rsidR="00B256EA" w:rsidRPr="00252815" w:rsidRDefault="00B256EA" w:rsidP="004E6E16">
            <w:pPr>
              <w:suppressAutoHyphens/>
              <w:spacing w:after="0" w:line="240" w:lineRule="auto"/>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Војвођанска банка -кастоди</w:t>
            </w:r>
          </w:p>
        </w:tc>
        <w:tc>
          <w:tcPr>
            <w:tcW w:w="952" w:type="dxa"/>
            <w:shd w:val="clear" w:color="auto" w:fill="auto"/>
            <w:noWrap/>
          </w:tcPr>
          <w:p w14:paraId="64FFADA2" w14:textId="77777777" w:rsidR="00B256EA" w:rsidRPr="00252815" w:rsidRDefault="00B256EA" w:rsidP="004E6E16">
            <w:pPr>
              <w:suppressAutoHyphens/>
              <w:spacing w:after="0" w:line="240" w:lineRule="auto"/>
              <w:jc w:val="right"/>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365</w:t>
            </w:r>
          </w:p>
        </w:tc>
        <w:tc>
          <w:tcPr>
            <w:tcW w:w="1182" w:type="dxa"/>
            <w:shd w:val="clear" w:color="auto" w:fill="auto"/>
            <w:noWrap/>
          </w:tcPr>
          <w:p w14:paraId="3FB51604" w14:textId="77777777" w:rsidR="00B256EA" w:rsidRPr="00252815" w:rsidRDefault="00B256EA" w:rsidP="004E6E16">
            <w:pPr>
              <w:suppressAutoHyphens/>
              <w:spacing w:after="0" w:line="240" w:lineRule="auto"/>
              <w:jc w:val="right"/>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3.285</w:t>
            </w:r>
          </w:p>
        </w:tc>
        <w:tc>
          <w:tcPr>
            <w:tcW w:w="1378" w:type="dxa"/>
            <w:shd w:val="clear" w:color="auto" w:fill="auto"/>
            <w:noWrap/>
          </w:tcPr>
          <w:p w14:paraId="211A5C17"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0,45</w:t>
            </w:r>
          </w:p>
        </w:tc>
        <w:tc>
          <w:tcPr>
            <w:tcW w:w="1312" w:type="dxa"/>
            <w:shd w:val="clear" w:color="auto" w:fill="auto"/>
            <w:noWrap/>
          </w:tcPr>
          <w:p w14:paraId="0B4BA085"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0,43</w:t>
            </w:r>
          </w:p>
        </w:tc>
      </w:tr>
      <w:tr w:rsidR="00B256EA" w:rsidRPr="00252815" w14:paraId="2776D08E" w14:textId="77777777" w:rsidTr="004E6E16">
        <w:trPr>
          <w:trHeight w:val="170"/>
          <w:tblCellSpacing w:w="20" w:type="dxa"/>
        </w:trPr>
        <w:tc>
          <w:tcPr>
            <w:tcW w:w="540" w:type="dxa"/>
            <w:shd w:val="clear" w:color="auto" w:fill="auto"/>
            <w:noWrap/>
          </w:tcPr>
          <w:p w14:paraId="63A860AE" w14:textId="77777777" w:rsidR="00B256EA" w:rsidRPr="00252815" w:rsidRDefault="00B256EA" w:rsidP="004E6E16">
            <w:pPr>
              <w:spacing w:after="0" w:line="240" w:lineRule="auto"/>
              <w:jc w:val="both"/>
              <w:rPr>
                <w:rFonts w:ascii="Tahoma" w:eastAsia="Times New Roman" w:hAnsi="Tahoma" w:cs="Tahoma"/>
                <w:noProof/>
                <w:sz w:val="18"/>
                <w:szCs w:val="18"/>
                <w:lang w:val="sr-Cyrl-CS"/>
              </w:rPr>
            </w:pPr>
            <w:r w:rsidRPr="00252815">
              <w:rPr>
                <w:rFonts w:ascii="Tahoma" w:eastAsia="Times New Roman" w:hAnsi="Tahoma" w:cs="Tahoma"/>
                <w:noProof/>
                <w:sz w:val="18"/>
                <w:szCs w:val="18"/>
                <w:lang w:val="sr-Cyrl-CS"/>
              </w:rPr>
              <w:t>6</w:t>
            </w:r>
          </w:p>
        </w:tc>
        <w:tc>
          <w:tcPr>
            <w:tcW w:w="3626" w:type="dxa"/>
            <w:shd w:val="clear" w:color="auto" w:fill="auto"/>
            <w:noWrap/>
          </w:tcPr>
          <w:p w14:paraId="4D91E494" w14:textId="77777777" w:rsidR="00B256EA" w:rsidRPr="00252815" w:rsidRDefault="00B256EA" w:rsidP="004E6E16">
            <w:pPr>
              <w:suppressAutoHyphens/>
              <w:spacing w:after="0" w:line="240" w:lineRule="auto"/>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АМС осигурање адо</w:t>
            </w:r>
          </w:p>
        </w:tc>
        <w:tc>
          <w:tcPr>
            <w:tcW w:w="952" w:type="dxa"/>
            <w:shd w:val="clear" w:color="auto" w:fill="auto"/>
            <w:noWrap/>
          </w:tcPr>
          <w:p w14:paraId="70FAD4C9" w14:textId="77777777" w:rsidR="00B256EA" w:rsidRPr="00252815" w:rsidRDefault="00B256EA" w:rsidP="004E6E16">
            <w:pPr>
              <w:suppressAutoHyphens/>
              <w:spacing w:after="0" w:line="240" w:lineRule="auto"/>
              <w:jc w:val="right"/>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353</w:t>
            </w:r>
          </w:p>
        </w:tc>
        <w:tc>
          <w:tcPr>
            <w:tcW w:w="1182" w:type="dxa"/>
            <w:shd w:val="clear" w:color="auto" w:fill="auto"/>
            <w:noWrap/>
          </w:tcPr>
          <w:p w14:paraId="61C206BF" w14:textId="77777777" w:rsidR="00B256EA" w:rsidRPr="00252815" w:rsidRDefault="00B256EA" w:rsidP="004E6E16">
            <w:pPr>
              <w:suppressAutoHyphens/>
              <w:spacing w:after="0" w:line="240" w:lineRule="auto"/>
              <w:jc w:val="right"/>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3.177</w:t>
            </w:r>
          </w:p>
        </w:tc>
        <w:tc>
          <w:tcPr>
            <w:tcW w:w="1378" w:type="dxa"/>
            <w:shd w:val="clear" w:color="auto" w:fill="auto"/>
            <w:noWrap/>
          </w:tcPr>
          <w:p w14:paraId="6B89C498"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0,44</w:t>
            </w:r>
          </w:p>
        </w:tc>
        <w:tc>
          <w:tcPr>
            <w:tcW w:w="1312" w:type="dxa"/>
            <w:shd w:val="clear" w:color="auto" w:fill="auto"/>
            <w:noWrap/>
          </w:tcPr>
          <w:p w14:paraId="1F47FB0C"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0,42</w:t>
            </w:r>
          </w:p>
        </w:tc>
      </w:tr>
      <w:tr w:rsidR="00B256EA" w:rsidRPr="00252815" w14:paraId="592E866E" w14:textId="77777777" w:rsidTr="004E6E16">
        <w:trPr>
          <w:trHeight w:val="170"/>
          <w:tblCellSpacing w:w="20" w:type="dxa"/>
        </w:trPr>
        <w:tc>
          <w:tcPr>
            <w:tcW w:w="540" w:type="dxa"/>
            <w:shd w:val="clear" w:color="auto" w:fill="auto"/>
            <w:noWrap/>
          </w:tcPr>
          <w:p w14:paraId="142B9F38" w14:textId="77777777" w:rsidR="00B256EA" w:rsidRPr="00252815" w:rsidRDefault="00B256EA" w:rsidP="004E6E16">
            <w:pPr>
              <w:spacing w:after="0" w:line="240" w:lineRule="auto"/>
              <w:jc w:val="both"/>
              <w:rPr>
                <w:rFonts w:ascii="Tahoma" w:eastAsia="Times New Roman" w:hAnsi="Tahoma" w:cs="Tahoma"/>
                <w:noProof/>
                <w:sz w:val="18"/>
                <w:szCs w:val="18"/>
                <w:lang w:val="sr-Cyrl-CS"/>
              </w:rPr>
            </w:pPr>
            <w:r w:rsidRPr="00252815">
              <w:rPr>
                <w:rFonts w:ascii="Tahoma" w:eastAsia="Times New Roman" w:hAnsi="Tahoma" w:cs="Tahoma"/>
                <w:noProof/>
                <w:sz w:val="18"/>
                <w:szCs w:val="18"/>
                <w:lang w:val="sr-Cyrl-CS"/>
              </w:rPr>
              <w:t>7</w:t>
            </w:r>
          </w:p>
        </w:tc>
        <w:tc>
          <w:tcPr>
            <w:tcW w:w="3626" w:type="dxa"/>
            <w:shd w:val="clear" w:color="auto" w:fill="auto"/>
            <w:noWrap/>
          </w:tcPr>
          <w:p w14:paraId="6887F3B2" w14:textId="77777777" w:rsidR="00B256EA" w:rsidRPr="00252815" w:rsidRDefault="00B256EA" w:rsidP="004E6E16">
            <w:pPr>
              <w:suppressAutoHyphens/>
              <w:spacing w:after="0" w:line="240" w:lineRule="auto"/>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Ерсте банка - кастоди</w:t>
            </w:r>
          </w:p>
        </w:tc>
        <w:tc>
          <w:tcPr>
            <w:tcW w:w="952" w:type="dxa"/>
            <w:shd w:val="clear" w:color="auto" w:fill="auto"/>
            <w:noWrap/>
          </w:tcPr>
          <w:p w14:paraId="429CD106" w14:textId="77777777" w:rsidR="00B256EA" w:rsidRPr="00252815" w:rsidRDefault="00B256EA" w:rsidP="004E6E16">
            <w:pPr>
              <w:suppressAutoHyphens/>
              <w:spacing w:after="0" w:line="240" w:lineRule="auto"/>
              <w:jc w:val="right"/>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121</w:t>
            </w:r>
          </w:p>
        </w:tc>
        <w:tc>
          <w:tcPr>
            <w:tcW w:w="1182" w:type="dxa"/>
            <w:shd w:val="clear" w:color="auto" w:fill="auto"/>
            <w:noWrap/>
          </w:tcPr>
          <w:p w14:paraId="150BB976" w14:textId="77777777" w:rsidR="00B256EA" w:rsidRPr="00252815" w:rsidRDefault="00B256EA" w:rsidP="004E6E16">
            <w:pPr>
              <w:suppressAutoHyphens/>
              <w:spacing w:after="0" w:line="240" w:lineRule="auto"/>
              <w:jc w:val="right"/>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1.089</w:t>
            </w:r>
          </w:p>
        </w:tc>
        <w:tc>
          <w:tcPr>
            <w:tcW w:w="1378" w:type="dxa"/>
            <w:shd w:val="clear" w:color="auto" w:fill="auto"/>
            <w:noWrap/>
          </w:tcPr>
          <w:p w14:paraId="7DD69504"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0,15</w:t>
            </w:r>
          </w:p>
        </w:tc>
        <w:tc>
          <w:tcPr>
            <w:tcW w:w="1312" w:type="dxa"/>
            <w:shd w:val="clear" w:color="auto" w:fill="auto"/>
            <w:noWrap/>
          </w:tcPr>
          <w:p w14:paraId="2C1FC0A7"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0,14</w:t>
            </w:r>
          </w:p>
        </w:tc>
      </w:tr>
      <w:tr w:rsidR="00B256EA" w:rsidRPr="00252815" w14:paraId="17FC64D5" w14:textId="77777777" w:rsidTr="004E6E16">
        <w:trPr>
          <w:trHeight w:val="170"/>
          <w:tblCellSpacing w:w="20" w:type="dxa"/>
        </w:trPr>
        <w:tc>
          <w:tcPr>
            <w:tcW w:w="540" w:type="dxa"/>
            <w:shd w:val="clear" w:color="auto" w:fill="auto"/>
            <w:noWrap/>
          </w:tcPr>
          <w:p w14:paraId="68E819E7" w14:textId="77777777" w:rsidR="00B256EA" w:rsidRPr="00252815" w:rsidRDefault="00B256EA" w:rsidP="004E6E16">
            <w:pPr>
              <w:spacing w:after="0" w:line="240" w:lineRule="auto"/>
              <w:jc w:val="both"/>
              <w:rPr>
                <w:rFonts w:ascii="Tahoma" w:eastAsia="Times New Roman" w:hAnsi="Tahoma" w:cs="Tahoma"/>
                <w:noProof/>
                <w:sz w:val="18"/>
                <w:szCs w:val="18"/>
                <w:lang w:val="sr-Cyrl-CS"/>
              </w:rPr>
            </w:pPr>
            <w:r w:rsidRPr="00252815">
              <w:rPr>
                <w:rFonts w:ascii="Tahoma" w:eastAsia="Times New Roman" w:hAnsi="Tahoma" w:cs="Tahoma"/>
                <w:noProof/>
                <w:sz w:val="18"/>
                <w:szCs w:val="18"/>
                <w:lang w:val="sr-Cyrl-CS"/>
              </w:rPr>
              <w:t>8</w:t>
            </w:r>
          </w:p>
        </w:tc>
        <w:tc>
          <w:tcPr>
            <w:tcW w:w="3626" w:type="dxa"/>
            <w:shd w:val="clear" w:color="auto" w:fill="auto"/>
            <w:noWrap/>
          </w:tcPr>
          <w:p w14:paraId="2B369AFF" w14:textId="77777777" w:rsidR="00B256EA" w:rsidRPr="00252815" w:rsidRDefault="00B256EA" w:rsidP="004E6E16">
            <w:pPr>
              <w:suppressAutoHyphens/>
              <w:spacing w:after="0" w:line="240" w:lineRule="auto"/>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ЕГП Инвестментс д.о.о</w:t>
            </w:r>
          </w:p>
        </w:tc>
        <w:tc>
          <w:tcPr>
            <w:tcW w:w="952" w:type="dxa"/>
            <w:shd w:val="clear" w:color="auto" w:fill="auto"/>
            <w:noWrap/>
          </w:tcPr>
          <w:p w14:paraId="68E4E793" w14:textId="77777777" w:rsidR="00B256EA" w:rsidRPr="00252815" w:rsidRDefault="00B256EA" w:rsidP="004E6E16">
            <w:pPr>
              <w:suppressAutoHyphens/>
              <w:spacing w:after="0" w:line="240" w:lineRule="auto"/>
              <w:jc w:val="right"/>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50</w:t>
            </w:r>
          </w:p>
        </w:tc>
        <w:tc>
          <w:tcPr>
            <w:tcW w:w="1182" w:type="dxa"/>
            <w:shd w:val="clear" w:color="auto" w:fill="auto"/>
            <w:noWrap/>
          </w:tcPr>
          <w:p w14:paraId="3094E26C" w14:textId="77777777" w:rsidR="00B256EA" w:rsidRPr="00252815" w:rsidRDefault="00B256EA" w:rsidP="004E6E16">
            <w:pPr>
              <w:suppressAutoHyphens/>
              <w:spacing w:after="0" w:line="240" w:lineRule="auto"/>
              <w:jc w:val="right"/>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450</w:t>
            </w:r>
          </w:p>
        </w:tc>
        <w:tc>
          <w:tcPr>
            <w:tcW w:w="1378" w:type="dxa"/>
            <w:shd w:val="clear" w:color="auto" w:fill="auto"/>
            <w:noWrap/>
          </w:tcPr>
          <w:p w14:paraId="5ABF11EA"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0,06</w:t>
            </w:r>
          </w:p>
        </w:tc>
        <w:tc>
          <w:tcPr>
            <w:tcW w:w="1312" w:type="dxa"/>
            <w:shd w:val="clear" w:color="auto" w:fill="auto"/>
            <w:noWrap/>
          </w:tcPr>
          <w:p w14:paraId="6F1F1F30"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0,06</w:t>
            </w:r>
          </w:p>
        </w:tc>
      </w:tr>
      <w:tr w:rsidR="00B256EA" w:rsidRPr="00252815" w14:paraId="71B8D415" w14:textId="77777777" w:rsidTr="004E6E16">
        <w:trPr>
          <w:trHeight w:val="170"/>
          <w:tblCellSpacing w:w="20" w:type="dxa"/>
        </w:trPr>
        <w:tc>
          <w:tcPr>
            <w:tcW w:w="540" w:type="dxa"/>
            <w:shd w:val="clear" w:color="auto" w:fill="auto"/>
            <w:noWrap/>
          </w:tcPr>
          <w:p w14:paraId="48B5048A" w14:textId="77777777" w:rsidR="00B256EA" w:rsidRPr="00252815" w:rsidRDefault="00B256EA" w:rsidP="004E6E16">
            <w:pPr>
              <w:spacing w:after="0" w:line="240" w:lineRule="auto"/>
              <w:jc w:val="both"/>
              <w:rPr>
                <w:rFonts w:ascii="Tahoma" w:eastAsia="Times New Roman" w:hAnsi="Tahoma" w:cs="Tahoma"/>
                <w:noProof/>
                <w:sz w:val="18"/>
                <w:szCs w:val="18"/>
                <w:lang w:val="sr-Cyrl-CS"/>
              </w:rPr>
            </w:pPr>
            <w:r w:rsidRPr="00252815">
              <w:rPr>
                <w:rFonts w:ascii="Tahoma" w:eastAsia="Times New Roman" w:hAnsi="Tahoma" w:cs="Tahoma"/>
                <w:noProof/>
                <w:sz w:val="18"/>
                <w:szCs w:val="18"/>
                <w:lang w:val="sr-Cyrl-CS"/>
              </w:rPr>
              <w:t>9</w:t>
            </w:r>
          </w:p>
        </w:tc>
        <w:tc>
          <w:tcPr>
            <w:tcW w:w="3626" w:type="dxa"/>
            <w:shd w:val="clear" w:color="auto" w:fill="auto"/>
            <w:noWrap/>
          </w:tcPr>
          <w:p w14:paraId="637BEEB5" w14:textId="77777777" w:rsidR="00B256EA" w:rsidRPr="00252815" w:rsidRDefault="00B256EA" w:rsidP="004E6E16">
            <w:pPr>
              <w:suppressAutoHyphens/>
              <w:spacing w:after="0" w:line="240" w:lineRule="auto"/>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Триглав осигурање</w:t>
            </w:r>
          </w:p>
        </w:tc>
        <w:tc>
          <w:tcPr>
            <w:tcW w:w="952" w:type="dxa"/>
            <w:shd w:val="clear" w:color="auto" w:fill="auto"/>
            <w:noWrap/>
          </w:tcPr>
          <w:p w14:paraId="24818806" w14:textId="77777777" w:rsidR="00B256EA" w:rsidRPr="00252815" w:rsidRDefault="00B256EA" w:rsidP="004E6E16">
            <w:pPr>
              <w:suppressAutoHyphens/>
              <w:spacing w:after="0" w:line="240" w:lineRule="auto"/>
              <w:jc w:val="right"/>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46</w:t>
            </w:r>
          </w:p>
        </w:tc>
        <w:tc>
          <w:tcPr>
            <w:tcW w:w="1182" w:type="dxa"/>
            <w:shd w:val="clear" w:color="auto" w:fill="auto"/>
            <w:noWrap/>
          </w:tcPr>
          <w:p w14:paraId="184C01BC" w14:textId="77777777" w:rsidR="00B256EA" w:rsidRPr="00252815" w:rsidRDefault="00B256EA" w:rsidP="004E6E16">
            <w:pPr>
              <w:suppressAutoHyphens/>
              <w:spacing w:after="0" w:line="240" w:lineRule="auto"/>
              <w:jc w:val="right"/>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414</w:t>
            </w:r>
          </w:p>
        </w:tc>
        <w:tc>
          <w:tcPr>
            <w:tcW w:w="1378" w:type="dxa"/>
            <w:shd w:val="clear" w:color="auto" w:fill="auto"/>
            <w:noWrap/>
          </w:tcPr>
          <w:p w14:paraId="36EB3B93"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0,06</w:t>
            </w:r>
          </w:p>
        </w:tc>
        <w:tc>
          <w:tcPr>
            <w:tcW w:w="1312" w:type="dxa"/>
            <w:shd w:val="clear" w:color="auto" w:fill="auto"/>
            <w:noWrap/>
          </w:tcPr>
          <w:p w14:paraId="79594BAB"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0,05</w:t>
            </w:r>
          </w:p>
        </w:tc>
      </w:tr>
      <w:tr w:rsidR="00B256EA" w:rsidRPr="00252815" w14:paraId="661736B3" w14:textId="77777777" w:rsidTr="004E6E16">
        <w:trPr>
          <w:trHeight w:val="170"/>
          <w:tblCellSpacing w:w="20" w:type="dxa"/>
        </w:trPr>
        <w:tc>
          <w:tcPr>
            <w:tcW w:w="540" w:type="dxa"/>
            <w:shd w:val="clear" w:color="auto" w:fill="auto"/>
            <w:noWrap/>
          </w:tcPr>
          <w:p w14:paraId="5AAD184C" w14:textId="77777777" w:rsidR="00B256EA" w:rsidRPr="00252815" w:rsidRDefault="00B256EA" w:rsidP="004E6E16">
            <w:pPr>
              <w:spacing w:after="0" w:line="240" w:lineRule="auto"/>
              <w:jc w:val="both"/>
              <w:rPr>
                <w:rFonts w:ascii="Tahoma" w:eastAsia="Times New Roman" w:hAnsi="Tahoma" w:cs="Tahoma"/>
                <w:noProof/>
                <w:sz w:val="18"/>
                <w:szCs w:val="18"/>
                <w:lang w:val="sr-Cyrl-CS"/>
              </w:rPr>
            </w:pPr>
            <w:r w:rsidRPr="00252815">
              <w:rPr>
                <w:rFonts w:ascii="Tahoma" w:eastAsia="Times New Roman" w:hAnsi="Tahoma" w:cs="Tahoma"/>
                <w:noProof/>
                <w:sz w:val="18"/>
                <w:szCs w:val="18"/>
                <w:lang w:val="sr-Cyrl-CS"/>
              </w:rPr>
              <w:t>10</w:t>
            </w:r>
          </w:p>
        </w:tc>
        <w:tc>
          <w:tcPr>
            <w:tcW w:w="3626" w:type="dxa"/>
            <w:shd w:val="clear" w:color="auto" w:fill="auto"/>
            <w:noWrap/>
          </w:tcPr>
          <w:p w14:paraId="3D8A0063" w14:textId="77777777" w:rsidR="00B256EA" w:rsidRPr="00252815" w:rsidRDefault="00B256EA" w:rsidP="004E6E16">
            <w:pPr>
              <w:suppressAutoHyphens/>
              <w:spacing w:after="0" w:line="240" w:lineRule="auto"/>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Ловћен осигурање</w:t>
            </w:r>
          </w:p>
        </w:tc>
        <w:tc>
          <w:tcPr>
            <w:tcW w:w="952" w:type="dxa"/>
            <w:shd w:val="clear" w:color="auto" w:fill="auto"/>
            <w:noWrap/>
          </w:tcPr>
          <w:p w14:paraId="723DBB91" w14:textId="77777777" w:rsidR="00B256EA" w:rsidRPr="00252815" w:rsidRDefault="00B256EA" w:rsidP="004E6E16">
            <w:pPr>
              <w:suppressAutoHyphens/>
              <w:spacing w:after="0" w:line="240" w:lineRule="auto"/>
              <w:jc w:val="right"/>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631</w:t>
            </w:r>
          </w:p>
        </w:tc>
        <w:tc>
          <w:tcPr>
            <w:tcW w:w="1182" w:type="dxa"/>
            <w:shd w:val="clear" w:color="auto" w:fill="auto"/>
            <w:noWrap/>
          </w:tcPr>
          <w:p w14:paraId="45518F34" w14:textId="77777777" w:rsidR="00B256EA" w:rsidRPr="00252815" w:rsidRDefault="00B256EA" w:rsidP="004E6E16">
            <w:pPr>
              <w:suppressAutoHyphens/>
              <w:spacing w:after="0" w:line="240" w:lineRule="auto"/>
              <w:jc w:val="right"/>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5.679</w:t>
            </w:r>
          </w:p>
        </w:tc>
        <w:tc>
          <w:tcPr>
            <w:tcW w:w="1378" w:type="dxa"/>
            <w:shd w:val="clear" w:color="auto" w:fill="auto"/>
            <w:noWrap/>
          </w:tcPr>
          <w:p w14:paraId="64EF9C86"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0,78</w:t>
            </w:r>
          </w:p>
        </w:tc>
        <w:tc>
          <w:tcPr>
            <w:tcW w:w="1312" w:type="dxa"/>
            <w:shd w:val="clear" w:color="auto" w:fill="auto"/>
            <w:noWrap/>
          </w:tcPr>
          <w:p w14:paraId="5754AA54"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0,74</w:t>
            </w:r>
          </w:p>
        </w:tc>
      </w:tr>
      <w:tr w:rsidR="00B256EA" w:rsidRPr="00252815" w14:paraId="12B4FB4E" w14:textId="77777777" w:rsidTr="004E6E16">
        <w:trPr>
          <w:trHeight w:val="170"/>
          <w:tblCellSpacing w:w="20" w:type="dxa"/>
        </w:trPr>
        <w:tc>
          <w:tcPr>
            <w:tcW w:w="540" w:type="dxa"/>
            <w:shd w:val="clear" w:color="auto" w:fill="auto"/>
            <w:noWrap/>
          </w:tcPr>
          <w:p w14:paraId="239A573B" w14:textId="77777777" w:rsidR="00B256EA" w:rsidRPr="00252815" w:rsidRDefault="00B256EA" w:rsidP="004E6E16">
            <w:pPr>
              <w:spacing w:after="0" w:line="240" w:lineRule="auto"/>
              <w:jc w:val="both"/>
              <w:rPr>
                <w:rFonts w:ascii="Tahoma" w:eastAsia="Times New Roman" w:hAnsi="Tahoma" w:cs="Tahoma"/>
                <w:noProof/>
                <w:sz w:val="18"/>
                <w:szCs w:val="18"/>
                <w:lang w:val="sr-Cyrl-CS"/>
              </w:rPr>
            </w:pPr>
            <w:r w:rsidRPr="00252815">
              <w:rPr>
                <w:rFonts w:ascii="Tahoma" w:eastAsia="Times New Roman" w:hAnsi="Tahoma" w:cs="Tahoma"/>
                <w:noProof/>
                <w:sz w:val="18"/>
                <w:szCs w:val="18"/>
                <w:lang w:val="sr-Cyrl-CS"/>
              </w:rPr>
              <w:t>11</w:t>
            </w:r>
          </w:p>
        </w:tc>
        <w:tc>
          <w:tcPr>
            <w:tcW w:w="3626" w:type="dxa"/>
            <w:shd w:val="clear" w:color="auto" w:fill="auto"/>
            <w:noWrap/>
          </w:tcPr>
          <w:p w14:paraId="731142FB" w14:textId="77777777" w:rsidR="00B256EA" w:rsidRPr="00252815" w:rsidRDefault="00B256EA" w:rsidP="004E6E16">
            <w:pPr>
              <w:suppressAutoHyphens/>
              <w:spacing w:after="0" w:line="240" w:lineRule="auto"/>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Свис агроосигурање</w:t>
            </w:r>
          </w:p>
        </w:tc>
        <w:tc>
          <w:tcPr>
            <w:tcW w:w="952" w:type="dxa"/>
            <w:shd w:val="clear" w:color="auto" w:fill="auto"/>
            <w:noWrap/>
          </w:tcPr>
          <w:p w14:paraId="78437B23" w14:textId="77777777" w:rsidR="00B256EA" w:rsidRPr="00252815" w:rsidRDefault="00B256EA" w:rsidP="004E6E16">
            <w:pPr>
              <w:suppressAutoHyphens/>
              <w:spacing w:after="0" w:line="240" w:lineRule="auto"/>
              <w:jc w:val="right"/>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192</w:t>
            </w:r>
          </w:p>
        </w:tc>
        <w:tc>
          <w:tcPr>
            <w:tcW w:w="1182" w:type="dxa"/>
            <w:shd w:val="clear" w:color="auto" w:fill="auto"/>
            <w:noWrap/>
          </w:tcPr>
          <w:p w14:paraId="4FD7D364" w14:textId="77777777" w:rsidR="00B256EA" w:rsidRPr="00252815" w:rsidRDefault="00B256EA" w:rsidP="004E6E16">
            <w:pPr>
              <w:suppressAutoHyphens/>
              <w:spacing w:after="0" w:line="240" w:lineRule="auto"/>
              <w:jc w:val="right"/>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1.728</w:t>
            </w:r>
          </w:p>
        </w:tc>
        <w:tc>
          <w:tcPr>
            <w:tcW w:w="1378" w:type="dxa"/>
            <w:shd w:val="clear" w:color="auto" w:fill="auto"/>
            <w:noWrap/>
          </w:tcPr>
          <w:p w14:paraId="25D58FE7"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0,24</w:t>
            </w:r>
          </w:p>
        </w:tc>
        <w:tc>
          <w:tcPr>
            <w:tcW w:w="1312" w:type="dxa"/>
            <w:shd w:val="clear" w:color="auto" w:fill="auto"/>
            <w:noWrap/>
          </w:tcPr>
          <w:p w14:paraId="0CFE4BF7"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0,23</w:t>
            </w:r>
          </w:p>
        </w:tc>
      </w:tr>
      <w:tr w:rsidR="00B256EA" w:rsidRPr="00252815" w14:paraId="426CA986" w14:textId="77777777" w:rsidTr="004E6E16">
        <w:trPr>
          <w:trHeight w:val="170"/>
          <w:tblCellSpacing w:w="20" w:type="dxa"/>
        </w:trPr>
        <w:tc>
          <w:tcPr>
            <w:tcW w:w="540" w:type="dxa"/>
            <w:shd w:val="clear" w:color="auto" w:fill="auto"/>
            <w:noWrap/>
          </w:tcPr>
          <w:p w14:paraId="44199822" w14:textId="77777777" w:rsidR="00B256EA" w:rsidRPr="00252815" w:rsidRDefault="00B256EA" w:rsidP="004E6E16">
            <w:pPr>
              <w:spacing w:after="0" w:line="240" w:lineRule="auto"/>
              <w:jc w:val="both"/>
              <w:rPr>
                <w:rFonts w:ascii="Tahoma" w:eastAsia="Times New Roman" w:hAnsi="Tahoma" w:cs="Tahoma"/>
                <w:noProof/>
                <w:sz w:val="18"/>
                <w:szCs w:val="18"/>
                <w:lang w:val="sr-Cyrl-CS"/>
              </w:rPr>
            </w:pPr>
            <w:r w:rsidRPr="00252815">
              <w:rPr>
                <w:rFonts w:ascii="Tahoma" w:eastAsia="Times New Roman" w:hAnsi="Tahoma" w:cs="Tahoma"/>
                <w:noProof/>
                <w:sz w:val="18"/>
                <w:szCs w:val="18"/>
                <w:lang w:val="sr-Cyrl-CS"/>
              </w:rPr>
              <w:t>12</w:t>
            </w:r>
          </w:p>
        </w:tc>
        <w:tc>
          <w:tcPr>
            <w:tcW w:w="3626" w:type="dxa"/>
            <w:shd w:val="clear" w:color="auto" w:fill="auto"/>
            <w:noWrap/>
          </w:tcPr>
          <w:p w14:paraId="24EE1E0E" w14:textId="77777777" w:rsidR="00B256EA" w:rsidRPr="00252815" w:rsidRDefault="00B256EA" w:rsidP="004E6E16">
            <w:pPr>
              <w:suppressAutoHyphens/>
              <w:spacing w:after="0" w:line="240" w:lineRule="auto"/>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Станић Зоран</w:t>
            </w:r>
          </w:p>
        </w:tc>
        <w:tc>
          <w:tcPr>
            <w:tcW w:w="952" w:type="dxa"/>
            <w:shd w:val="clear" w:color="auto" w:fill="auto"/>
            <w:noWrap/>
          </w:tcPr>
          <w:p w14:paraId="5E03C06C" w14:textId="77777777" w:rsidR="00B256EA" w:rsidRPr="00252815" w:rsidRDefault="00B256EA" w:rsidP="004E6E16">
            <w:pPr>
              <w:suppressAutoHyphens/>
              <w:spacing w:after="0" w:line="240" w:lineRule="auto"/>
              <w:jc w:val="right"/>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30</w:t>
            </w:r>
          </w:p>
        </w:tc>
        <w:tc>
          <w:tcPr>
            <w:tcW w:w="1182" w:type="dxa"/>
            <w:shd w:val="clear" w:color="auto" w:fill="auto"/>
            <w:noWrap/>
          </w:tcPr>
          <w:p w14:paraId="50F9D80F" w14:textId="77777777" w:rsidR="00B256EA" w:rsidRPr="00252815" w:rsidRDefault="00B256EA" w:rsidP="004E6E16">
            <w:pPr>
              <w:suppressAutoHyphens/>
              <w:spacing w:after="0" w:line="240" w:lineRule="auto"/>
              <w:jc w:val="right"/>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270</w:t>
            </w:r>
          </w:p>
        </w:tc>
        <w:tc>
          <w:tcPr>
            <w:tcW w:w="1378" w:type="dxa"/>
            <w:shd w:val="clear" w:color="auto" w:fill="auto"/>
            <w:noWrap/>
          </w:tcPr>
          <w:p w14:paraId="1BE295B6"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0,04</w:t>
            </w:r>
          </w:p>
        </w:tc>
        <w:tc>
          <w:tcPr>
            <w:tcW w:w="1312" w:type="dxa"/>
            <w:shd w:val="clear" w:color="auto" w:fill="auto"/>
            <w:noWrap/>
          </w:tcPr>
          <w:p w14:paraId="5E962DEC"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0,04</w:t>
            </w:r>
          </w:p>
        </w:tc>
      </w:tr>
      <w:tr w:rsidR="00B256EA" w:rsidRPr="00252815" w14:paraId="455955DC" w14:textId="77777777" w:rsidTr="004E6E16">
        <w:trPr>
          <w:trHeight w:val="170"/>
          <w:tblCellSpacing w:w="20" w:type="dxa"/>
        </w:trPr>
        <w:tc>
          <w:tcPr>
            <w:tcW w:w="540" w:type="dxa"/>
            <w:shd w:val="clear" w:color="auto" w:fill="auto"/>
            <w:noWrap/>
          </w:tcPr>
          <w:p w14:paraId="5DB05E02" w14:textId="77777777" w:rsidR="00B256EA" w:rsidRPr="00252815" w:rsidRDefault="00B256EA" w:rsidP="004E6E16">
            <w:pPr>
              <w:spacing w:after="0" w:line="240" w:lineRule="auto"/>
              <w:jc w:val="both"/>
              <w:rPr>
                <w:rFonts w:ascii="Tahoma" w:eastAsia="Times New Roman" w:hAnsi="Tahoma" w:cs="Tahoma"/>
                <w:noProof/>
                <w:sz w:val="18"/>
                <w:szCs w:val="18"/>
                <w:lang w:val="sr-Cyrl-CS"/>
              </w:rPr>
            </w:pPr>
            <w:r w:rsidRPr="00252815">
              <w:rPr>
                <w:rFonts w:ascii="Tahoma" w:eastAsia="Times New Roman" w:hAnsi="Tahoma" w:cs="Tahoma"/>
                <w:noProof/>
                <w:sz w:val="18"/>
                <w:szCs w:val="18"/>
                <w:lang w:val="sr-Cyrl-CS"/>
              </w:rPr>
              <w:t>13</w:t>
            </w:r>
          </w:p>
        </w:tc>
        <w:tc>
          <w:tcPr>
            <w:tcW w:w="3626" w:type="dxa"/>
            <w:shd w:val="clear" w:color="auto" w:fill="auto"/>
            <w:noWrap/>
          </w:tcPr>
          <w:p w14:paraId="521354E2" w14:textId="77777777" w:rsidR="00B256EA" w:rsidRPr="00252815" w:rsidRDefault="00B256EA" w:rsidP="004E6E16">
            <w:pPr>
              <w:suppressAutoHyphens/>
              <w:spacing w:after="0" w:line="240" w:lineRule="auto"/>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Недељковић Игор</w:t>
            </w:r>
          </w:p>
        </w:tc>
        <w:tc>
          <w:tcPr>
            <w:tcW w:w="952" w:type="dxa"/>
            <w:shd w:val="clear" w:color="auto" w:fill="auto"/>
            <w:noWrap/>
          </w:tcPr>
          <w:p w14:paraId="4AAC39FE" w14:textId="77777777" w:rsidR="00B256EA" w:rsidRPr="00252815" w:rsidRDefault="00B256EA" w:rsidP="004E6E16">
            <w:pPr>
              <w:suppressAutoHyphens/>
              <w:spacing w:after="0" w:line="240" w:lineRule="auto"/>
              <w:jc w:val="right"/>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6</w:t>
            </w:r>
          </w:p>
        </w:tc>
        <w:tc>
          <w:tcPr>
            <w:tcW w:w="1182" w:type="dxa"/>
            <w:shd w:val="clear" w:color="auto" w:fill="auto"/>
            <w:noWrap/>
          </w:tcPr>
          <w:p w14:paraId="4C39A196" w14:textId="77777777" w:rsidR="00B256EA" w:rsidRPr="00252815" w:rsidRDefault="00B256EA" w:rsidP="004E6E16">
            <w:pPr>
              <w:suppressAutoHyphens/>
              <w:spacing w:after="0" w:line="240" w:lineRule="auto"/>
              <w:jc w:val="right"/>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54</w:t>
            </w:r>
          </w:p>
        </w:tc>
        <w:tc>
          <w:tcPr>
            <w:tcW w:w="1378" w:type="dxa"/>
            <w:shd w:val="clear" w:color="auto" w:fill="auto"/>
            <w:noWrap/>
          </w:tcPr>
          <w:p w14:paraId="59F8C8F0"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0,01</w:t>
            </w:r>
          </w:p>
        </w:tc>
        <w:tc>
          <w:tcPr>
            <w:tcW w:w="1312" w:type="dxa"/>
            <w:shd w:val="clear" w:color="auto" w:fill="auto"/>
            <w:noWrap/>
          </w:tcPr>
          <w:p w14:paraId="38418A09"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0,01</w:t>
            </w:r>
          </w:p>
        </w:tc>
      </w:tr>
      <w:tr w:rsidR="00B256EA" w:rsidRPr="00252815" w14:paraId="14248E03" w14:textId="77777777" w:rsidTr="004E6E16">
        <w:trPr>
          <w:trHeight w:val="170"/>
          <w:tblCellSpacing w:w="20" w:type="dxa"/>
        </w:trPr>
        <w:tc>
          <w:tcPr>
            <w:tcW w:w="540" w:type="dxa"/>
            <w:shd w:val="clear" w:color="auto" w:fill="auto"/>
            <w:noWrap/>
          </w:tcPr>
          <w:p w14:paraId="0F3FA38E" w14:textId="77777777" w:rsidR="00B256EA" w:rsidRPr="00252815" w:rsidRDefault="00B256EA" w:rsidP="004E6E16">
            <w:pPr>
              <w:spacing w:after="0" w:line="240" w:lineRule="auto"/>
              <w:jc w:val="both"/>
              <w:rPr>
                <w:rFonts w:ascii="Tahoma" w:eastAsia="Times New Roman" w:hAnsi="Tahoma" w:cs="Tahoma"/>
                <w:noProof/>
                <w:sz w:val="18"/>
                <w:szCs w:val="18"/>
                <w:lang w:val="sr-Cyrl-CS"/>
              </w:rPr>
            </w:pPr>
            <w:r w:rsidRPr="00252815">
              <w:rPr>
                <w:rFonts w:ascii="Tahoma" w:eastAsia="Times New Roman" w:hAnsi="Tahoma" w:cs="Tahoma"/>
                <w:noProof/>
                <w:sz w:val="18"/>
                <w:szCs w:val="18"/>
                <w:lang w:val="sr-Cyrl-CS"/>
              </w:rPr>
              <w:t>14</w:t>
            </w:r>
          </w:p>
        </w:tc>
        <w:tc>
          <w:tcPr>
            <w:tcW w:w="3626" w:type="dxa"/>
            <w:shd w:val="clear" w:color="auto" w:fill="auto"/>
            <w:noWrap/>
          </w:tcPr>
          <w:p w14:paraId="17722EC5" w14:textId="77777777" w:rsidR="00B256EA" w:rsidRPr="00252815" w:rsidRDefault="00B256EA" w:rsidP="004E6E16">
            <w:pPr>
              <w:suppressAutoHyphens/>
              <w:spacing w:after="0" w:line="240" w:lineRule="auto"/>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Лукић Стефан</w:t>
            </w:r>
          </w:p>
        </w:tc>
        <w:tc>
          <w:tcPr>
            <w:tcW w:w="952" w:type="dxa"/>
            <w:shd w:val="clear" w:color="auto" w:fill="auto"/>
            <w:noWrap/>
          </w:tcPr>
          <w:p w14:paraId="1278E72E" w14:textId="77777777" w:rsidR="00B256EA" w:rsidRPr="00252815" w:rsidRDefault="00B256EA" w:rsidP="004E6E16">
            <w:pPr>
              <w:suppressAutoHyphens/>
              <w:spacing w:after="0" w:line="240" w:lineRule="auto"/>
              <w:jc w:val="right"/>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3</w:t>
            </w:r>
          </w:p>
        </w:tc>
        <w:tc>
          <w:tcPr>
            <w:tcW w:w="1182" w:type="dxa"/>
            <w:shd w:val="clear" w:color="auto" w:fill="auto"/>
            <w:noWrap/>
          </w:tcPr>
          <w:p w14:paraId="4349783F" w14:textId="77777777" w:rsidR="00B256EA" w:rsidRPr="00252815" w:rsidRDefault="00B256EA" w:rsidP="004E6E16">
            <w:pPr>
              <w:suppressAutoHyphens/>
              <w:spacing w:after="0" w:line="240" w:lineRule="auto"/>
              <w:jc w:val="right"/>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27</w:t>
            </w:r>
          </w:p>
        </w:tc>
        <w:tc>
          <w:tcPr>
            <w:tcW w:w="1378" w:type="dxa"/>
            <w:shd w:val="clear" w:color="auto" w:fill="auto"/>
            <w:noWrap/>
          </w:tcPr>
          <w:p w14:paraId="7496ECFD"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0,00</w:t>
            </w:r>
          </w:p>
        </w:tc>
        <w:tc>
          <w:tcPr>
            <w:tcW w:w="1312" w:type="dxa"/>
            <w:shd w:val="clear" w:color="auto" w:fill="auto"/>
            <w:noWrap/>
          </w:tcPr>
          <w:p w14:paraId="5D0E9986"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0,00</w:t>
            </w:r>
          </w:p>
        </w:tc>
      </w:tr>
      <w:tr w:rsidR="00B256EA" w:rsidRPr="00252815" w14:paraId="6197938C" w14:textId="77777777" w:rsidTr="004E6E16">
        <w:trPr>
          <w:trHeight w:val="170"/>
          <w:tblCellSpacing w:w="20" w:type="dxa"/>
        </w:trPr>
        <w:tc>
          <w:tcPr>
            <w:tcW w:w="540" w:type="dxa"/>
            <w:shd w:val="clear" w:color="auto" w:fill="auto"/>
            <w:noWrap/>
          </w:tcPr>
          <w:p w14:paraId="5968C4E2" w14:textId="77777777" w:rsidR="00B256EA" w:rsidRPr="00252815" w:rsidRDefault="00B256EA" w:rsidP="004E6E16">
            <w:pPr>
              <w:spacing w:after="0" w:line="240" w:lineRule="auto"/>
              <w:jc w:val="both"/>
              <w:rPr>
                <w:rFonts w:ascii="Tahoma" w:eastAsia="Times New Roman" w:hAnsi="Tahoma" w:cs="Tahoma"/>
                <w:noProof/>
                <w:sz w:val="18"/>
                <w:szCs w:val="18"/>
                <w:lang w:val="sr-Cyrl-CS"/>
              </w:rPr>
            </w:pPr>
            <w:r w:rsidRPr="00252815">
              <w:rPr>
                <w:rFonts w:ascii="Tahoma" w:eastAsia="Times New Roman" w:hAnsi="Tahoma" w:cs="Tahoma"/>
                <w:noProof/>
                <w:sz w:val="18"/>
                <w:szCs w:val="18"/>
                <w:lang w:val="sr-Cyrl-CS"/>
              </w:rPr>
              <w:t>15</w:t>
            </w:r>
          </w:p>
        </w:tc>
        <w:tc>
          <w:tcPr>
            <w:tcW w:w="3626" w:type="dxa"/>
            <w:shd w:val="clear" w:color="auto" w:fill="auto"/>
            <w:noWrap/>
          </w:tcPr>
          <w:p w14:paraId="2355E9FF" w14:textId="77777777" w:rsidR="00B256EA" w:rsidRPr="00252815" w:rsidRDefault="00B256EA" w:rsidP="004E6E16">
            <w:pPr>
              <w:suppressAutoHyphens/>
              <w:spacing w:after="0" w:line="240" w:lineRule="auto"/>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Мацура Слободан</w:t>
            </w:r>
          </w:p>
        </w:tc>
        <w:tc>
          <w:tcPr>
            <w:tcW w:w="952" w:type="dxa"/>
            <w:shd w:val="clear" w:color="auto" w:fill="auto"/>
            <w:noWrap/>
          </w:tcPr>
          <w:p w14:paraId="31FE9196" w14:textId="77777777" w:rsidR="00B256EA" w:rsidRPr="00252815" w:rsidRDefault="00B256EA" w:rsidP="004E6E16">
            <w:pPr>
              <w:suppressAutoHyphens/>
              <w:spacing w:after="0" w:line="240" w:lineRule="auto"/>
              <w:jc w:val="right"/>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4</w:t>
            </w:r>
          </w:p>
        </w:tc>
        <w:tc>
          <w:tcPr>
            <w:tcW w:w="1182" w:type="dxa"/>
            <w:shd w:val="clear" w:color="auto" w:fill="auto"/>
            <w:noWrap/>
          </w:tcPr>
          <w:p w14:paraId="0E23F8F1" w14:textId="77777777" w:rsidR="00B256EA" w:rsidRPr="00252815" w:rsidRDefault="00B256EA" w:rsidP="004E6E16">
            <w:pPr>
              <w:suppressAutoHyphens/>
              <w:spacing w:after="0" w:line="240" w:lineRule="auto"/>
              <w:jc w:val="right"/>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36</w:t>
            </w:r>
          </w:p>
        </w:tc>
        <w:tc>
          <w:tcPr>
            <w:tcW w:w="1378" w:type="dxa"/>
            <w:shd w:val="clear" w:color="auto" w:fill="auto"/>
            <w:noWrap/>
          </w:tcPr>
          <w:p w14:paraId="1511FA0A"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0,01</w:t>
            </w:r>
          </w:p>
        </w:tc>
        <w:tc>
          <w:tcPr>
            <w:tcW w:w="1312" w:type="dxa"/>
            <w:shd w:val="clear" w:color="auto" w:fill="auto"/>
            <w:noWrap/>
          </w:tcPr>
          <w:p w14:paraId="6DB205DB"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0,01</w:t>
            </w:r>
          </w:p>
        </w:tc>
      </w:tr>
      <w:tr w:rsidR="00B256EA" w:rsidRPr="00252815" w14:paraId="3DAC9503" w14:textId="77777777" w:rsidTr="004E6E16">
        <w:trPr>
          <w:trHeight w:val="170"/>
          <w:tblCellSpacing w:w="20" w:type="dxa"/>
        </w:trPr>
        <w:tc>
          <w:tcPr>
            <w:tcW w:w="540" w:type="dxa"/>
            <w:shd w:val="clear" w:color="auto" w:fill="auto"/>
            <w:noWrap/>
          </w:tcPr>
          <w:p w14:paraId="0F045EC5" w14:textId="77777777" w:rsidR="00B256EA" w:rsidRPr="00252815" w:rsidRDefault="00B256EA" w:rsidP="004E6E16">
            <w:pPr>
              <w:spacing w:after="0" w:line="240" w:lineRule="auto"/>
              <w:jc w:val="both"/>
              <w:rPr>
                <w:rFonts w:ascii="Tahoma" w:eastAsia="Times New Roman" w:hAnsi="Tahoma" w:cs="Tahoma"/>
                <w:noProof/>
                <w:sz w:val="18"/>
                <w:szCs w:val="18"/>
                <w:lang w:val="sr-Cyrl-CS"/>
              </w:rPr>
            </w:pPr>
            <w:r w:rsidRPr="00252815">
              <w:rPr>
                <w:rFonts w:ascii="Tahoma" w:eastAsia="Times New Roman" w:hAnsi="Tahoma" w:cs="Tahoma"/>
                <w:noProof/>
                <w:sz w:val="18"/>
                <w:szCs w:val="18"/>
                <w:lang w:val="sr-Cyrl-CS"/>
              </w:rPr>
              <w:t>16</w:t>
            </w:r>
          </w:p>
        </w:tc>
        <w:tc>
          <w:tcPr>
            <w:tcW w:w="3626" w:type="dxa"/>
            <w:shd w:val="clear" w:color="auto" w:fill="auto"/>
            <w:noWrap/>
          </w:tcPr>
          <w:p w14:paraId="35B4572D" w14:textId="77777777" w:rsidR="00B256EA" w:rsidRPr="00252815" w:rsidRDefault="00B256EA" w:rsidP="004E6E16">
            <w:pPr>
              <w:suppressAutoHyphens/>
              <w:spacing w:after="0" w:line="240" w:lineRule="auto"/>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Вранешевић Данко</w:t>
            </w:r>
          </w:p>
        </w:tc>
        <w:tc>
          <w:tcPr>
            <w:tcW w:w="952" w:type="dxa"/>
            <w:shd w:val="clear" w:color="auto" w:fill="auto"/>
            <w:noWrap/>
          </w:tcPr>
          <w:p w14:paraId="6281283F" w14:textId="77777777" w:rsidR="00B256EA" w:rsidRPr="00252815" w:rsidRDefault="00B256EA" w:rsidP="004E6E16">
            <w:pPr>
              <w:suppressAutoHyphens/>
              <w:spacing w:after="0" w:line="240" w:lineRule="auto"/>
              <w:jc w:val="right"/>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1</w:t>
            </w:r>
          </w:p>
        </w:tc>
        <w:tc>
          <w:tcPr>
            <w:tcW w:w="1182" w:type="dxa"/>
            <w:shd w:val="clear" w:color="auto" w:fill="auto"/>
            <w:noWrap/>
          </w:tcPr>
          <w:p w14:paraId="0FF1DCFF" w14:textId="77777777" w:rsidR="00B256EA" w:rsidRPr="00252815" w:rsidRDefault="00B256EA" w:rsidP="004E6E16">
            <w:pPr>
              <w:suppressAutoHyphens/>
              <w:spacing w:after="0" w:line="240" w:lineRule="auto"/>
              <w:jc w:val="right"/>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9</w:t>
            </w:r>
          </w:p>
        </w:tc>
        <w:tc>
          <w:tcPr>
            <w:tcW w:w="1378" w:type="dxa"/>
            <w:shd w:val="clear" w:color="auto" w:fill="auto"/>
            <w:noWrap/>
          </w:tcPr>
          <w:p w14:paraId="4CB7C986"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0,00</w:t>
            </w:r>
          </w:p>
        </w:tc>
        <w:tc>
          <w:tcPr>
            <w:tcW w:w="1312" w:type="dxa"/>
            <w:shd w:val="clear" w:color="auto" w:fill="auto"/>
            <w:noWrap/>
          </w:tcPr>
          <w:p w14:paraId="41BAFDEF"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0,00</w:t>
            </w:r>
          </w:p>
        </w:tc>
      </w:tr>
      <w:tr w:rsidR="00B256EA" w:rsidRPr="00252815" w14:paraId="00C3E8F9" w14:textId="77777777" w:rsidTr="004E6E16">
        <w:trPr>
          <w:trHeight w:val="170"/>
          <w:tblCellSpacing w:w="20" w:type="dxa"/>
        </w:trPr>
        <w:tc>
          <w:tcPr>
            <w:tcW w:w="540" w:type="dxa"/>
            <w:shd w:val="clear" w:color="auto" w:fill="auto"/>
            <w:noWrap/>
          </w:tcPr>
          <w:p w14:paraId="20DD701B" w14:textId="77777777" w:rsidR="00B256EA" w:rsidRPr="00252815" w:rsidRDefault="00B256EA" w:rsidP="004E6E16">
            <w:pPr>
              <w:spacing w:after="0" w:line="240" w:lineRule="auto"/>
              <w:jc w:val="both"/>
              <w:rPr>
                <w:rFonts w:ascii="Tahoma" w:eastAsia="Times New Roman" w:hAnsi="Tahoma" w:cs="Tahoma"/>
                <w:noProof/>
                <w:sz w:val="20"/>
                <w:szCs w:val="20"/>
                <w:lang w:val="sr-Cyrl-CS"/>
              </w:rPr>
            </w:pPr>
            <w:r w:rsidRPr="00252815">
              <w:rPr>
                <w:rFonts w:ascii="Tahoma" w:eastAsia="Times New Roman" w:hAnsi="Tahoma" w:cs="Tahoma"/>
                <w:noProof/>
                <w:sz w:val="20"/>
                <w:szCs w:val="20"/>
                <w:lang w:val="sr-Cyrl-CS"/>
              </w:rPr>
              <w:t>17</w:t>
            </w:r>
          </w:p>
        </w:tc>
        <w:tc>
          <w:tcPr>
            <w:tcW w:w="3626" w:type="dxa"/>
            <w:shd w:val="clear" w:color="auto" w:fill="auto"/>
            <w:noWrap/>
          </w:tcPr>
          <w:p w14:paraId="6A227161" w14:textId="77777777" w:rsidR="00B256EA" w:rsidRPr="00252815" w:rsidRDefault="00B256EA" w:rsidP="004E6E16">
            <w:pPr>
              <w:spacing w:after="0" w:line="240" w:lineRule="auto"/>
              <w:jc w:val="both"/>
              <w:rPr>
                <w:rFonts w:ascii="Tahoma" w:eastAsia="Times New Roman" w:hAnsi="Tahoma" w:cs="Tahoma"/>
                <w:noProof/>
                <w:sz w:val="20"/>
                <w:szCs w:val="20"/>
                <w:lang w:val="sr-Cyrl-CS"/>
              </w:rPr>
            </w:pPr>
            <w:r w:rsidRPr="00252815">
              <w:rPr>
                <w:rFonts w:ascii="Tahoma" w:eastAsia="Times New Roman" w:hAnsi="Tahoma" w:cs="Tahoma"/>
                <w:noProof/>
                <w:sz w:val="20"/>
                <w:szCs w:val="20"/>
                <w:lang w:val="sr-Cyrl-CS"/>
              </w:rPr>
              <w:t>Адамов Предраг</w:t>
            </w:r>
          </w:p>
        </w:tc>
        <w:tc>
          <w:tcPr>
            <w:tcW w:w="952" w:type="dxa"/>
            <w:shd w:val="clear" w:color="auto" w:fill="auto"/>
            <w:noWrap/>
          </w:tcPr>
          <w:p w14:paraId="46649192" w14:textId="77777777" w:rsidR="00B256EA" w:rsidRPr="00252815" w:rsidRDefault="00B256EA" w:rsidP="004E6E16">
            <w:pPr>
              <w:spacing w:after="0" w:line="240" w:lineRule="auto"/>
              <w:jc w:val="right"/>
              <w:rPr>
                <w:rFonts w:ascii="Tahoma" w:eastAsia="Times New Roman" w:hAnsi="Tahoma" w:cs="Tahoma"/>
                <w:noProof/>
                <w:sz w:val="18"/>
                <w:szCs w:val="20"/>
                <w:lang w:val="sr-Cyrl-CS"/>
              </w:rPr>
            </w:pPr>
            <w:r w:rsidRPr="00252815">
              <w:rPr>
                <w:rFonts w:ascii="Tahoma" w:eastAsia="Times New Roman" w:hAnsi="Tahoma" w:cs="Tahoma"/>
                <w:noProof/>
                <w:sz w:val="18"/>
                <w:szCs w:val="20"/>
                <w:lang w:val="sr-Cyrl-CS"/>
              </w:rPr>
              <w:t>1</w:t>
            </w:r>
          </w:p>
        </w:tc>
        <w:tc>
          <w:tcPr>
            <w:tcW w:w="1182" w:type="dxa"/>
            <w:shd w:val="clear" w:color="auto" w:fill="auto"/>
            <w:noWrap/>
          </w:tcPr>
          <w:p w14:paraId="1B316722" w14:textId="77777777" w:rsidR="00B256EA" w:rsidRPr="00252815" w:rsidRDefault="00B256EA" w:rsidP="004E6E16">
            <w:pPr>
              <w:spacing w:after="0" w:line="240" w:lineRule="auto"/>
              <w:jc w:val="right"/>
              <w:rPr>
                <w:rFonts w:ascii="Tahoma" w:eastAsia="Times New Roman" w:hAnsi="Tahoma" w:cs="Tahoma"/>
                <w:noProof/>
                <w:sz w:val="18"/>
                <w:szCs w:val="20"/>
                <w:lang w:val="sr-Cyrl-CS"/>
              </w:rPr>
            </w:pPr>
            <w:r w:rsidRPr="00252815">
              <w:rPr>
                <w:rFonts w:ascii="Tahoma" w:eastAsia="Times New Roman" w:hAnsi="Tahoma" w:cs="Tahoma"/>
                <w:noProof/>
                <w:sz w:val="18"/>
                <w:szCs w:val="20"/>
                <w:lang w:val="sr-Cyrl-CS"/>
              </w:rPr>
              <w:t>9</w:t>
            </w:r>
          </w:p>
        </w:tc>
        <w:tc>
          <w:tcPr>
            <w:tcW w:w="1378" w:type="dxa"/>
            <w:shd w:val="clear" w:color="auto" w:fill="auto"/>
            <w:noWrap/>
          </w:tcPr>
          <w:p w14:paraId="514E35B4"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0,00</w:t>
            </w:r>
          </w:p>
        </w:tc>
        <w:tc>
          <w:tcPr>
            <w:tcW w:w="1312" w:type="dxa"/>
            <w:shd w:val="clear" w:color="auto" w:fill="auto"/>
            <w:noWrap/>
          </w:tcPr>
          <w:p w14:paraId="406F16A1" w14:textId="77777777" w:rsidR="00B256EA" w:rsidRPr="00252815" w:rsidRDefault="00B256EA" w:rsidP="004E6E16">
            <w:pPr>
              <w:suppressAutoHyphens/>
              <w:spacing w:after="0" w:line="240" w:lineRule="auto"/>
              <w:jc w:val="center"/>
              <w:rPr>
                <w:rFonts w:ascii="Tahoma" w:eastAsia="Times New Roman" w:hAnsi="Tahoma" w:cs="Tahoma"/>
                <w:noProof/>
                <w:sz w:val="18"/>
                <w:szCs w:val="18"/>
                <w:lang w:val="sr-Cyrl-RS" w:eastAsia="ar-SA"/>
              </w:rPr>
            </w:pPr>
            <w:r w:rsidRPr="00252815">
              <w:rPr>
                <w:rFonts w:ascii="Tahoma" w:eastAsia="Times New Roman" w:hAnsi="Tahoma" w:cs="Tahoma"/>
                <w:noProof/>
                <w:sz w:val="18"/>
                <w:szCs w:val="18"/>
                <w:lang w:val="sr-Cyrl-RS" w:eastAsia="ar-SA"/>
              </w:rPr>
              <w:t>0,00</w:t>
            </w:r>
          </w:p>
        </w:tc>
      </w:tr>
      <w:tr w:rsidR="00B256EA" w:rsidRPr="00252815" w14:paraId="62D98DE2" w14:textId="77777777" w:rsidTr="004E6E16">
        <w:trPr>
          <w:trHeight w:val="170"/>
          <w:tblCellSpacing w:w="20" w:type="dxa"/>
        </w:trPr>
        <w:tc>
          <w:tcPr>
            <w:tcW w:w="540" w:type="dxa"/>
            <w:shd w:val="clear" w:color="auto" w:fill="auto"/>
            <w:noWrap/>
          </w:tcPr>
          <w:p w14:paraId="76CD3AB2" w14:textId="77777777" w:rsidR="00B256EA" w:rsidRPr="00252815" w:rsidRDefault="00B256EA" w:rsidP="004E6E16">
            <w:pPr>
              <w:spacing w:after="0" w:line="240" w:lineRule="auto"/>
              <w:jc w:val="both"/>
              <w:rPr>
                <w:rFonts w:ascii="Tahoma" w:eastAsia="Times New Roman" w:hAnsi="Tahoma" w:cs="Tahoma"/>
                <w:noProof/>
                <w:lang w:val="sr-Cyrl-CS"/>
              </w:rPr>
            </w:pPr>
          </w:p>
        </w:tc>
        <w:tc>
          <w:tcPr>
            <w:tcW w:w="3626" w:type="dxa"/>
            <w:shd w:val="clear" w:color="auto" w:fill="auto"/>
            <w:noWrap/>
          </w:tcPr>
          <w:p w14:paraId="3A51BF3E" w14:textId="77777777" w:rsidR="00B256EA" w:rsidRPr="00252815" w:rsidRDefault="00B256EA" w:rsidP="004E6E16">
            <w:pPr>
              <w:spacing w:after="0" w:line="240" w:lineRule="auto"/>
              <w:jc w:val="both"/>
              <w:rPr>
                <w:rFonts w:ascii="Tahoma" w:eastAsia="Times New Roman" w:hAnsi="Tahoma" w:cs="Tahoma"/>
                <w:b/>
                <w:noProof/>
                <w:sz w:val="18"/>
                <w:szCs w:val="20"/>
                <w:lang w:val="sr-Cyrl-CS"/>
              </w:rPr>
            </w:pPr>
            <w:r w:rsidRPr="00252815">
              <w:rPr>
                <w:rFonts w:ascii="Tahoma" w:eastAsia="Times New Roman" w:hAnsi="Tahoma" w:cs="Tahoma"/>
                <w:b/>
                <w:noProof/>
                <w:sz w:val="18"/>
                <w:szCs w:val="20"/>
                <w:lang w:val="sr-Cyrl-CS"/>
              </w:rPr>
              <w:t>Акционарски капитал</w:t>
            </w:r>
          </w:p>
        </w:tc>
        <w:tc>
          <w:tcPr>
            <w:tcW w:w="952" w:type="dxa"/>
            <w:shd w:val="clear" w:color="auto" w:fill="auto"/>
            <w:noWrap/>
          </w:tcPr>
          <w:p w14:paraId="6D228736" w14:textId="77777777" w:rsidR="00B256EA" w:rsidRPr="00252815" w:rsidRDefault="00B256EA" w:rsidP="004E6E16">
            <w:pPr>
              <w:spacing w:after="0" w:line="240" w:lineRule="auto"/>
              <w:jc w:val="center"/>
              <w:rPr>
                <w:rFonts w:ascii="Tahoma" w:eastAsia="Times New Roman" w:hAnsi="Tahoma" w:cs="Tahoma"/>
                <w:noProof/>
                <w:sz w:val="18"/>
                <w:szCs w:val="20"/>
                <w:lang w:val="sr-Cyrl-CS"/>
              </w:rPr>
            </w:pPr>
            <w:r w:rsidRPr="00252815">
              <w:rPr>
                <w:rFonts w:ascii="Tahoma" w:eastAsia="Times New Roman" w:hAnsi="Tahoma" w:cs="Tahoma"/>
                <w:noProof/>
                <w:sz w:val="18"/>
                <w:szCs w:val="20"/>
                <w:lang w:val="sr-Cyrl-CS"/>
              </w:rPr>
              <w:t>81.083</w:t>
            </w:r>
          </w:p>
        </w:tc>
        <w:tc>
          <w:tcPr>
            <w:tcW w:w="1182" w:type="dxa"/>
            <w:shd w:val="clear" w:color="auto" w:fill="auto"/>
            <w:noWrap/>
          </w:tcPr>
          <w:p w14:paraId="60AA0CB7" w14:textId="77777777" w:rsidR="00B256EA" w:rsidRPr="00252815" w:rsidRDefault="00B256EA" w:rsidP="004E6E16">
            <w:pPr>
              <w:spacing w:after="0" w:line="240" w:lineRule="auto"/>
              <w:jc w:val="right"/>
              <w:rPr>
                <w:rFonts w:ascii="Tahoma" w:eastAsia="Times New Roman" w:hAnsi="Tahoma" w:cs="Tahoma"/>
                <w:noProof/>
                <w:sz w:val="18"/>
                <w:szCs w:val="20"/>
                <w:lang w:val="sr-Cyrl-CS"/>
              </w:rPr>
            </w:pPr>
            <w:r w:rsidRPr="00252815">
              <w:rPr>
                <w:rFonts w:ascii="Tahoma" w:eastAsia="Times New Roman" w:hAnsi="Tahoma" w:cs="Tahoma"/>
                <w:noProof/>
                <w:sz w:val="18"/>
                <w:szCs w:val="20"/>
                <w:lang w:val="sr-Cyrl-CS"/>
              </w:rPr>
              <w:t>729.747</w:t>
            </w:r>
          </w:p>
        </w:tc>
        <w:tc>
          <w:tcPr>
            <w:tcW w:w="1378" w:type="dxa"/>
            <w:shd w:val="clear" w:color="auto" w:fill="auto"/>
            <w:noWrap/>
          </w:tcPr>
          <w:p w14:paraId="76B6AA1C" w14:textId="77777777" w:rsidR="00B256EA" w:rsidRPr="00252815" w:rsidRDefault="00B256EA" w:rsidP="004E6E16">
            <w:pPr>
              <w:spacing w:after="0" w:line="240" w:lineRule="auto"/>
              <w:jc w:val="center"/>
              <w:rPr>
                <w:rFonts w:ascii="Tahoma" w:eastAsia="Times New Roman" w:hAnsi="Tahoma" w:cs="Tahoma"/>
                <w:noProof/>
                <w:sz w:val="18"/>
                <w:szCs w:val="20"/>
                <w:lang w:val="sr-Cyrl-CS"/>
              </w:rPr>
            </w:pPr>
            <w:r w:rsidRPr="00252815">
              <w:rPr>
                <w:rFonts w:ascii="Tahoma" w:eastAsia="Times New Roman" w:hAnsi="Tahoma" w:cs="Tahoma"/>
                <w:noProof/>
                <w:sz w:val="18"/>
                <w:szCs w:val="20"/>
                <w:lang w:val="sr-Cyrl-CS"/>
              </w:rPr>
              <w:t>100,00</w:t>
            </w:r>
          </w:p>
        </w:tc>
        <w:tc>
          <w:tcPr>
            <w:tcW w:w="1312" w:type="dxa"/>
            <w:shd w:val="clear" w:color="auto" w:fill="auto"/>
            <w:noWrap/>
          </w:tcPr>
          <w:p w14:paraId="58A8E803" w14:textId="77777777" w:rsidR="00B256EA" w:rsidRPr="00252815" w:rsidRDefault="00B256EA" w:rsidP="004E6E16">
            <w:pPr>
              <w:spacing w:after="0" w:line="240" w:lineRule="auto"/>
              <w:jc w:val="center"/>
              <w:rPr>
                <w:rFonts w:ascii="Tahoma" w:eastAsia="Times New Roman" w:hAnsi="Tahoma" w:cs="Tahoma"/>
                <w:noProof/>
                <w:sz w:val="18"/>
                <w:szCs w:val="20"/>
                <w:lang w:val="sr-Cyrl-CS"/>
              </w:rPr>
            </w:pPr>
            <w:r w:rsidRPr="00252815">
              <w:rPr>
                <w:rFonts w:ascii="Tahoma" w:eastAsia="Times New Roman" w:hAnsi="Tahoma" w:cs="Tahoma"/>
                <w:noProof/>
                <w:sz w:val="18"/>
                <w:szCs w:val="20"/>
                <w:lang w:val="sr-Cyrl-CS"/>
              </w:rPr>
              <w:t>95,42</w:t>
            </w:r>
          </w:p>
        </w:tc>
      </w:tr>
      <w:tr w:rsidR="00B256EA" w:rsidRPr="00252815" w14:paraId="0E43C20D" w14:textId="77777777" w:rsidTr="004E6E16">
        <w:trPr>
          <w:trHeight w:val="170"/>
          <w:tblCellSpacing w:w="20" w:type="dxa"/>
        </w:trPr>
        <w:tc>
          <w:tcPr>
            <w:tcW w:w="540" w:type="dxa"/>
            <w:shd w:val="clear" w:color="auto" w:fill="auto"/>
            <w:noWrap/>
          </w:tcPr>
          <w:p w14:paraId="4F250C4A" w14:textId="77777777" w:rsidR="00B256EA" w:rsidRPr="00252815" w:rsidRDefault="00B256EA" w:rsidP="004E6E16">
            <w:pPr>
              <w:spacing w:after="0" w:line="240" w:lineRule="auto"/>
              <w:jc w:val="both"/>
              <w:rPr>
                <w:rFonts w:ascii="Tahoma" w:eastAsia="Times New Roman" w:hAnsi="Tahoma" w:cs="Tahoma"/>
                <w:noProof/>
                <w:lang w:val="sr-Cyrl-CS"/>
              </w:rPr>
            </w:pPr>
          </w:p>
        </w:tc>
        <w:tc>
          <w:tcPr>
            <w:tcW w:w="3626" w:type="dxa"/>
            <w:shd w:val="clear" w:color="auto" w:fill="auto"/>
            <w:noWrap/>
          </w:tcPr>
          <w:p w14:paraId="5B555004" w14:textId="77777777" w:rsidR="00B256EA" w:rsidRPr="00252815" w:rsidRDefault="00B256EA" w:rsidP="004E6E16">
            <w:pPr>
              <w:spacing w:after="0" w:line="240" w:lineRule="auto"/>
              <w:jc w:val="both"/>
              <w:rPr>
                <w:rFonts w:ascii="Tahoma" w:eastAsia="Times New Roman" w:hAnsi="Tahoma" w:cs="Tahoma"/>
                <w:b/>
                <w:noProof/>
                <w:sz w:val="18"/>
                <w:szCs w:val="20"/>
                <w:lang w:val="sr-Cyrl-CS"/>
              </w:rPr>
            </w:pPr>
            <w:r w:rsidRPr="00252815">
              <w:rPr>
                <w:rFonts w:ascii="Tahoma" w:eastAsia="Times New Roman" w:hAnsi="Tahoma" w:cs="Tahoma"/>
                <w:b/>
                <w:noProof/>
                <w:sz w:val="18"/>
                <w:szCs w:val="20"/>
                <w:lang w:val="sr-Cyrl-CS"/>
              </w:rPr>
              <w:t>Друштвени капитал</w:t>
            </w:r>
          </w:p>
        </w:tc>
        <w:tc>
          <w:tcPr>
            <w:tcW w:w="952" w:type="dxa"/>
            <w:shd w:val="clear" w:color="auto" w:fill="auto"/>
            <w:noWrap/>
          </w:tcPr>
          <w:p w14:paraId="72EBA130" w14:textId="77777777" w:rsidR="00B256EA" w:rsidRPr="00252815" w:rsidRDefault="00B256EA" w:rsidP="004E6E16">
            <w:pPr>
              <w:spacing w:after="0" w:line="240" w:lineRule="auto"/>
              <w:jc w:val="center"/>
              <w:rPr>
                <w:rFonts w:ascii="Tahoma" w:eastAsia="Times New Roman" w:hAnsi="Tahoma" w:cs="Tahoma"/>
                <w:noProof/>
                <w:sz w:val="18"/>
                <w:szCs w:val="20"/>
                <w:lang w:val="sr-Cyrl-CS"/>
              </w:rPr>
            </w:pPr>
          </w:p>
        </w:tc>
        <w:tc>
          <w:tcPr>
            <w:tcW w:w="1182" w:type="dxa"/>
            <w:shd w:val="clear" w:color="auto" w:fill="auto"/>
            <w:noWrap/>
          </w:tcPr>
          <w:p w14:paraId="54939251" w14:textId="77777777" w:rsidR="00B256EA" w:rsidRPr="00252815" w:rsidRDefault="00B256EA" w:rsidP="004E6E16">
            <w:pPr>
              <w:spacing w:after="0" w:line="240" w:lineRule="auto"/>
              <w:jc w:val="right"/>
              <w:rPr>
                <w:rFonts w:ascii="Tahoma" w:eastAsia="Times New Roman" w:hAnsi="Tahoma" w:cs="Tahoma"/>
                <w:noProof/>
                <w:sz w:val="18"/>
                <w:szCs w:val="20"/>
                <w:lang w:val="sr-Cyrl-CS"/>
              </w:rPr>
            </w:pPr>
            <w:r w:rsidRPr="00252815">
              <w:rPr>
                <w:rFonts w:ascii="Tahoma" w:eastAsia="Times New Roman" w:hAnsi="Tahoma" w:cs="Tahoma"/>
                <w:noProof/>
                <w:sz w:val="18"/>
                <w:szCs w:val="20"/>
                <w:lang w:val="sr-Cyrl-CS"/>
              </w:rPr>
              <w:t>35.055</w:t>
            </w:r>
          </w:p>
        </w:tc>
        <w:tc>
          <w:tcPr>
            <w:tcW w:w="1378" w:type="dxa"/>
            <w:shd w:val="clear" w:color="auto" w:fill="auto"/>
            <w:noWrap/>
          </w:tcPr>
          <w:p w14:paraId="3C610C36" w14:textId="77777777" w:rsidR="00B256EA" w:rsidRPr="00252815" w:rsidRDefault="00B256EA" w:rsidP="004E6E16">
            <w:pPr>
              <w:spacing w:after="0" w:line="240" w:lineRule="auto"/>
              <w:jc w:val="center"/>
              <w:rPr>
                <w:rFonts w:ascii="Tahoma" w:eastAsia="Times New Roman" w:hAnsi="Tahoma" w:cs="Tahoma"/>
                <w:noProof/>
                <w:sz w:val="18"/>
                <w:szCs w:val="20"/>
                <w:lang w:val="sr-Cyrl-CS"/>
              </w:rPr>
            </w:pPr>
          </w:p>
        </w:tc>
        <w:tc>
          <w:tcPr>
            <w:tcW w:w="1312" w:type="dxa"/>
            <w:shd w:val="clear" w:color="auto" w:fill="auto"/>
            <w:noWrap/>
          </w:tcPr>
          <w:p w14:paraId="721E44D6" w14:textId="77777777" w:rsidR="00B256EA" w:rsidRPr="00252815" w:rsidRDefault="00B256EA" w:rsidP="004E6E16">
            <w:pPr>
              <w:spacing w:after="0" w:line="240" w:lineRule="auto"/>
              <w:jc w:val="center"/>
              <w:rPr>
                <w:rFonts w:ascii="Tahoma" w:eastAsia="Times New Roman" w:hAnsi="Tahoma" w:cs="Tahoma"/>
                <w:noProof/>
                <w:sz w:val="18"/>
                <w:szCs w:val="20"/>
                <w:lang w:val="sr-Cyrl-CS"/>
              </w:rPr>
            </w:pPr>
            <w:r w:rsidRPr="00252815">
              <w:rPr>
                <w:rFonts w:ascii="Tahoma" w:eastAsia="Times New Roman" w:hAnsi="Tahoma" w:cs="Tahoma"/>
                <w:noProof/>
                <w:sz w:val="18"/>
                <w:szCs w:val="20"/>
                <w:lang w:val="sr-Cyrl-CS"/>
              </w:rPr>
              <w:t>4,58</w:t>
            </w:r>
          </w:p>
        </w:tc>
      </w:tr>
      <w:tr w:rsidR="00B256EA" w:rsidRPr="00252815" w14:paraId="667AB869" w14:textId="77777777" w:rsidTr="004E6E16">
        <w:trPr>
          <w:trHeight w:val="170"/>
          <w:tblCellSpacing w:w="20" w:type="dxa"/>
        </w:trPr>
        <w:tc>
          <w:tcPr>
            <w:tcW w:w="540" w:type="dxa"/>
            <w:shd w:val="clear" w:color="auto" w:fill="auto"/>
            <w:noWrap/>
          </w:tcPr>
          <w:p w14:paraId="58782D62" w14:textId="77777777" w:rsidR="00B256EA" w:rsidRPr="00252815" w:rsidRDefault="00B256EA" w:rsidP="004E6E16">
            <w:pPr>
              <w:spacing w:after="0" w:line="240" w:lineRule="auto"/>
              <w:jc w:val="both"/>
              <w:rPr>
                <w:rFonts w:ascii="Tahoma" w:eastAsia="Times New Roman" w:hAnsi="Tahoma" w:cs="Tahoma"/>
                <w:noProof/>
                <w:lang w:val="sr-Cyrl-CS"/>
              </w:rPr>
            </w:pPr>
          </w:p>
        </w:tc>
        <w:tc>
          <w:tcPr>
            <w:tcW w:w="3626" w:type="dxa"/>
            <w:shd w:val="clear" w:color="auto" w:fill="auto"/>
            <w:noWrap/>
          </w:tcPr>
          <w:p w14:paraId="1571FF71" w14:textId="77777777" w:rsidR="00B256EA" w:rsidRPr="00252815" w:rsidRDefault="00B256EA" w:rsidP="004E6E16">
            <w:pPr>
              <w:spacing w:after="0" w:line="240" w:lineRule="auto"/>
              <w:jc w:val="both"/>
              <w:rPr>
                <w:rFonts w:ascii="Tahoma" w:eastAsia="Times New Roman" w:hAnsi="Tahoma" w:cs="Tahoma"/>
                <w:b/>
                <w:noProof/>
                <w:sz w:val="18"/>
                <w:szCs w:val="20"/>
                <w:lang w:val="sr-Cyrl-CS"/>
              </w:rPr>
            </w:pPr>
            <w:r w:rsidRPr="00252815">
              <w:rPr>
                <w:rFonts w:ascii="Tahoma" w:eastAsia="Times New Roman" w:hAnsi="Tahoma" w:cs="Tahoma"/>
                <w:b/>
                <w:noProof/>
                <w:sz w:val="18"/>
                <w:szCs w:val="20"/>
                <w:lang w:val="sr-Cyrl-CS"/>
              </w:rPr>
              <w:t>УКУПНО ОСНОВНИ КАПИТАЛ</w:t>
            </w:r>
          </w:p>
        </w:tc>
        <w:tc>
          <w:tcPr>
            <w:tcW w:w="952" w:type="dxa"/>
            <w:shd w:val="clear" w:color="auto" w:fill="auto"/>
            <w:noWrap/>
          </w:tcPr>
          <w:p w14:paraId="516148AC" w14:textId="77777777" w:rsidR="00B256EA" w:rsidRPr="00252815" w:rsidRDefault="00B256EA" w:rsidP="004E6E16">
            <w:pPr>
              <w:spacing w:after="0" w:line="240" w:lineRule="auto"/>
              <w:jc w:val="center"/>
              <w:rPr>
                <w:rFonts w:ascii="Tahoma" w:eastAsia="Times New Roman" w:hAnsi="Tahoma" w:cs="Tahoma"/>
                <w:noProof/>
                <w:sz w:val="18"/>
                <w:szCs w:val="20"/>
                <w:lang w:val="sr-Cyrl-CS"/>
              </w:rPr>
            </w:pPr>
          </w:p>
        </w:tc>
        <w:tc>
          <w:tcPr>
            <w:tcW w:w="1182" w:type="dxa"/>
            <w:shd w:val="clear" w:color="auto" w:fill="auto"/>
            <w:noWrap/>
          </w:tcPr>
          <w:p w14:paraId="1C2DD849" w14:textId="77777777" w:rsidR="00B256EA" w:rsidRPr="00252815" w:rsidRDefault="00B256EA" w:rsidP="004E6E16">
            <w:pPr>
              <w:spacing w:after="0" w:line="240" w:lineRule="auto"/>
              <w:jc w:val="right"/>
              <w:rPr>
                <w:rFonts w:ascii="Tahoma" w:eastAsia="Times New Roman" w:hAnsi="Tahoma" w:cs="Tahoma"/>
                <w:b/>
                <w:noProof/>
                <w:sz w:val="18"/>
                <w:szCs w:val="20"/>
                <w:lang w:val="sr-Cyrl-CS"/>
              </w:rPr>
            </w:pPr>
            <w:r w:rsidRPr="00252815">
              <w:rPr>
                <w:rFonts w:ascii="Tahoma" w:eastAsia="Times New Roman" w:hAnsi="Tahoma" w:cs="Tahoma"/>
                <w:b/>
                <w:noProof/>
                <w:sz w:val="18"/>
                <w:szCs w:val="20"/>
                <w:lang w:val="sr-Cyrl-CS"/>
              </w:rPr>
              <w:t>7</w:t>
            </w:r>
            <w:r w:rsidRPr="00252815">
              <w:rPr>
                <w:rFonts w:ascii="Tahoma" w:eastAsia="Times New Roman" w:hAnsi="Tahoma" w:cs="Tahoma"/>
                <w:b/>
                <w:noProof/>
                <w:sz w:val="18"/>
                <w:szCs w:val="20"/>
                <w:lang w:val="sr-Latn-RS"/>
              </w:rPr>
              <w:t>64</w:t>
            </w:r>
            <w:r w:rsidRPr="00252815">
              <w:rPr>
                <w:rFonts w:ascii="Tahoma" w:eastAsia="Times New Roman" w:hAnsi="Tahoma" w:cs="Tahoma"/>
                <w:b/>
                <w:noProof/>
                <w:sz w:val="18"/>
                <w:szCs w:val="20"/>
                <w:lang w:val="sr-Cyrl-CS"/>
              </w:rPr>
              <w:t>.</w:t>
            </w:r>
            <w:r w:rsidRPr="00252815">
              <w:rPr>
                <w:rFonts w:ascii="Tahoma" w:eastAsia="Times New Roman" w:hAnsi="Tahoma" w:cs="Tahoma"/>
                <w:b/>
                <w:noProof/>
                <w:sz w:val="18"/>
                <w:szCs w:val="20"/>
                <w:lang w:val="sr-Latn-RS"/>
              </w:rPr>
              <w:t>802</w:t>
            </w:r>
          </w:p>
        </w:tc>
        <w:tc>
          <w:tcPr>
            <w:tcW w:w="1378" w:type="dxa"/>
            <w:shd w:val="clear" w:color="auto" w:fill="auto"/>
            <w:noWrap/>
          </w:tcPr>
          <w:p w14:paraId="25CF2E48" w14:textId="77777777" w:rsidR="00B256EA" w:rsidRPr="00252815" w:rsidRDefault="00B256EA" w:rsidP="004E6E16">
            <w:pPr>
              <w:spacing w:after="0" w:line="240" w:lineRule="auto"/>
              <w:jc w:val="center"/>
              <w:rPr>
                <w:rFonts w:ascii="Tahoma" w:eastAsia="Times New Roman" w:hAnsi="Tahoma" w:cs="Tahoma"/>
                <w:noProof/>
                <w:sz w:val="18"/>
                <w:szCs w:val="20"/>
                <w:lang w:val="sr-Cyrl-CS"/>
              </w:rPr>
            </w:pPr>
          </w:p>
        </w:tc>
        <w:tc>
          <w:tcPr>
            <w:tcW w:w="1312" w:type="dxa"/>
            <w:shd w:val="clear" w:color="auto" w:fill="auto"/>
            <w:noWrap/>
          </w:tcPr>
          <w:p w14:paraId="182F37C1" w14:textId="77777777" w:rsidR="00B256EA" w:rsidRPr="00252815" w:rsidRDefault="00B256EA" w:rsidP="004E6E16">
            <w:pPr>
              <w:spacing w:after="0" w:line="240" w:lineRule="auto"/>
              <w:jc w:val="center"/>
              <w:rPr>
                <w:rFonts w:ascii="Tahoma" w:eastAsia="Times New Roman" w:hAnsi="Tahoma" w:cs="Tahoma"/>
                <w:b/>
                <w:noProof/>
                <w:sz w:val="18"/>
                <w:szCs w:val="20"/>
                <w:lang w:val="sr-Cyrl-CS"/>
              </w:rPr>
            </w:pPr>
            <w:r w:rsidRPr="00252815">
              <w:rPr>
                <w:rFonts w:ascii="Tahoma" w:eastAsia="Times New Roman" w:hAnsi="Tahoma" w:cs="Tahoma"/>
                <w:b/>
                <w:noProof/>
                <w:sz w:val="18"/>
                <w:szCs w:val="20"/>
                <w:lang w:val="sr-Cyrl-CS"/>
              </w:rPr>
              <w:t>100,00</w:t>
            </w:r>
          </w:p>
        </w:tc>
      </w:tr>
    </w:tbl>
    <w:p w14:paraId="609B1A57" w14:textId="77777777" w:rsidR="00B256EA" w:rsidRDefault="00B256EA" w:rsidP="00CF0ACE">
      <w:pPr>
        <w:spacing w:after="0"/>
        <w:ind w:firstLine="567"/>
        <w:jc w:val="right"/>
        <w:rPr>
          <w:noProof/>
          <w:sz w:val="20"/>
          <w:szCs w:val="20"/>
          <w:lang w:val="sr-Cyrl-CS"/>
        </w:rPr>
      </w:pPr>
    </w:p>
    <w:p w14:paraId="2EE5B55D" w14:textId="77777777" w:rsidR="00B256EA" w:rsidRDefault="00B256EA" w:rsidP="00CF0ACE">
      <w:pPr>
        <w:spacing w:after="0"/>
        <w:ind w:firstLine="567"/>
        <w:jc w:val="right"/>
        <w:rPr>
          <w:noProof/>
          <w:sz w:val="20"/>
          <w:szCs w:val="20"/>
          <w:lang w:val="sr-Cyrl-CS"/>
        </w:rPr>
      </w:pPr>
    </w:p>
    <w:p w14:paraId="3D6B835B" w14:textId="77777777" w:rsidR="00B256EA" w:rsidRPr="00BF3CDE" w:rsidRDefault="00B256EA" w:rsidP="00CF0ACE">
      <w:pPr>
        <w:spacing w:after="0"/>
        <w:ind w:firstLine="567"/>
        <w:jc w:val="right"/>
        <w:rPr>
          <w:noProof/>
          <w:sz w:val="20"/>
          <w:szCs w:val="20"/>
          <w:lang w:val="sr-Cyrl-CS"/>
        </w:rPr>
      </w:pPr>
    </w:p>
    <w:p w14:paraId="372FDF77" w14:textId="77777777" w:rsidR="00C9033A" w:rsidRPr="00BF3CDE" w:rsidRDefault="00BB2651" w:rsidP="00CF0ACE">
      <w:pPr>
        <w:spacing w:before="240" w:after="0"/>
        <w:jc w:val="both"/>
        <w:rPr>
          <w:b/>
          <w:i/>
          <w:noProof/>
          <w:color w:val="365F91" w:themeColor="accent1" w:themeShade="BF"/>
          <w:sz w:val="20"/>
          <w:lang w:val="sr-Cyrl-CS"/>
        </w:rPr>
      </w:pPr>
      <w:r w:rsidRPr="00BF3CDE">
        <w:rPr>
          <w:b/>
          <w:i/>
          <w:noProof/>
          <w:color w:val="365F91" w:themeColor="accent1" w:themeShade="BF"/>
          <w:sz w:val="20"/>
          <w:lang w:val="sr-Cyrl-CS"/>
        </w:rPr>
        <w:lastRenderedPageBreak/>
        <w:t>Резерве</w:t>
      </w:r>
    </w:p>
    <w:p w14:paraId="429CA448" w14:textId="77777777" w:rsidR="007F70AC" w:rsidRPr="00BF3CDE" w:rsidRDefault="007F70AC" w:rsidP="00CF0ACE">
      <w:pPr>
        <w:spacing w:after="0"/>
        <w:ind w:firstLine="567"/>
        <w:jc w:val="right"/>
        <w:rPr>
          <w:noProof/>
          <w:sz w:val="20"/>
          <w:szCs w:val="20"/>
          <w:lang w:val="sr-Cyrl-CS"/>
        </w:rPr>
      </w:pPr>
      <w:r w:rsidRPr="00BF3CDE">
        <w:rPr>
          <w:noProof/>
          <w:sz w:val="20"/>
          <w:szCs w:val="20"/>
          <w:lang w:val="sr-Cyrl-CS"/>
        </w:rPr>
        <w:t>у 000 РСД</w:t>
      </w:r>
    </w:p>
    <w:tbl>
      <w:tblPr>
        <w:tblW w:w="7369" w:type="dxa"/>
        <w:jc w:val="center"/>
        <w:tblLook w:val="04A0" w:firstRow="1" w:lastRow="0" w:firstColumn="1" w:lastColumn="0" w:noHBand="0" w:noVBand="1"/>
      </w:tblPr>
      <w:tblGrid>
        <w:gridCol w:w="700"/>
        <w:gridCol w:w="3878"/>
        <w:gridCol w:w="1360"/>
        <w:gridCol w:w="1431"/>
      </w:tblGrid>
      <w:tr w:rsidR="00C376BB" w:rsidRPr="00BF3CDE" w14:paraId="2BEDF0E3" w14:textId="77777777" w:rsidTr="009A70FE">
        <w:trPr>
          <w:trHeight w:val="227"/>
          <w:jc w:val="center"/>
        </w:trPr>
        <w:tc>
          <w:tcPr>
            <w:tcW w:w="700" w:type="dxa"/>
            <w:tcBorders>
              <w:top w:val="nil"/>
              <w:left w:val="nil"/>
              <w:bottom w:val="single" w:sz="8" w:space="0" w:color="629DD1"/>
              <w:right w:val="nil"/>
            </w:tcBorders>
            <w:shd w:val="clear" w:color="auto" w:fill="auto"/>
            <w:noWrap/>
            <w:vAlign w:val="center"/>
            <w:hideMark/>
          </w:tcPr>
          <w:p w14:paraId="0E574603" w14:textId="77777777" w:rsidR="0061552B" w:rsidRPr="00BF3CDE" w:rsidRDefault="0061552B" w:rsidP="0061552B">
            <w:pPr>
              <w:spacing w:after="0" w:line="240" w:lineRule="auto"/>
              <w:jc w:val="both"/>
              <w:rPr>
                <w:rFonts w:ascii="Verdana" w:eastAsia="Times New Roman" w:hAnsi="Verdana" w:cs="Calibri"/>
                <w:b/>
                <w:bCs/>
                <w:noProof/>
                <w:sz w:val="20"/>
                <w:szCs w:val="20"/>
                <w:lang w:val="sr-Cyrl-CS" w:eastAsia="sr-Latn-RS"/>
              </w:rPr>
            </w:pPr>
            <w:r w:rsidRPr="00BF3CDE">
              <w:rPr>
                <w:rFonts w:ascii="Verdana" w:eastAsia="Times New Roman" w:hAnsi="Verdana" w:cs="Calibri"/>
                <w:b/>
                <w:bCs/>
                <w:noProof/>
                <w:sz w:val="20"/>
                <w:szCs w:val="20"/>
                <w:lang w:val="sr-Cyrl-CS" w:eastAsia="sr-Latn-RS"/>
              </w:rPr>
              <w:t> </w:t>
            </w:r>
          </w:p>
        </w:tc>
        <w:tc>
          <w:tcPr>
            <w:tcW w:w="3878" w:type="dxa"/>
            <w:tcBorders>
              <w:top w:val="nil"/>
              <w:left w:val="nil"/>
              <w:bottom w:val="single" w:sz="8" w:space="0" w:color="629DD1"/>
              <w:right w:val="nil"/>
            </w:tcBorders>
            <w:shd w:val="clear" w:color="auto" w:fill="auto"/>
            <w:noWrap/>
            <w:vAlign w:val="center"/>
            <w:hideMark/>
          </w:tcPr>
          <w:p w14:paraId="45258B20" w14:textId="77777777" w:rsidR="0061552B" w:rsidRPr="00BF3CDE" w:rsidRDefault="0061552B" w:rsidP="0061552B">
            <w:pPr>
              <w:spacing w:after="0" w:line="240" w:lineRule="auto"/>
              <w:jc w:val="both"/>
              <w:rPr>
                <w:rFonts w:ascii="Verdana" w:eastAsia="Times New Roman" w:hAnsi="Verdana" w:cs="Calibri"/>
                <w:b/>
                <w:bCs/>
                <w:noProof/>
                <w:sz w:val="20"/>
                <w:szCs w:val="20"/>
                <w:lang w:val="sr-Cyrl-CS" w:eastAsia="sr-Latn-RS"/>
              </w:rPr>
            </w:pPr>
            <w:r w:rsidRPr="00BF3CDE">
              <w:rPr>
                <w:rFonts w:ascii="Verdana" w:eastAsia="Times New Roman" w:hAnsi="Verdana" w:cs="Calibri"/>
                <w:b/>
                <w:bCs/>
                <w:noProof/>
                <w:sz w:val="20"/>
                <w:szCs w:val="20"/>
                <w:lang w:val="sr-Cyrl-CS" w:eastAsia="sr-Latn-RS"/>
              </w:rPr>
              <w:t> </w:t>
            </w:r>
          </w:p>
        </w:tc>
        <w:tc>
          <w:tcPr>
            <w:tcW w:w="1360" w:type="dxa"/>
            <w:tcBorders>
              <w:top w:val="nil"/>
              <w:left w:val="nil"/>
              <w:bottom w:val="single" w:sz="8" w:space="0" w:color="629DD1"/>
              <w:right w:val="nil"/>
            </w:tcBorders>
            <w:shd w:val="clear" w:color="auto" w:fill="auto"/>
            <w:vAlign w:val="center"/>
            <w:hideMark/>
          </w:tcPr>
          <w:p w14:paraId="4C5720A4" w14:textId="77777777" w:rsidR="0061552B" w:rsidRPr="00BF3CDE" w:rsidRDefault="0061552B" w:rsidP="00C376BB">
            <w:pPr>
              <w:spacing w:after="0" w:line="240" w:lineRule="auto"/>
              <w:jc w:val="both"/>
              <w:rPr>
                <w:rFonts w:ascii="Verdana" w:eastAsia="Times New Roman" w:hAnsi="Verdana" w:cs="Calibri"/>
                <w:b/>
                <w:bCs/>
                <w:noProof/>
                <w:sz w:val="20"/>
                <w:szCs w:val="20"/>
                <w:lang w:val="sr-Cyrl-CS" w:eastAsia="sr-Latn-RS"/>
              </w:rPr>
            </w:pPr>
            <w:r w:rsidRPr="00BF3CDE">
              <w:rPr>
                <w:rFonts w:ascii="Verdana" w:eastAsia="Times New Roman" w:hAnsi="Verdana" w:cs="Calibri"/>
                <w:b/>
                <w:bCs/>
                <w:noProof/>
                <w:sz w:val="20"/>
                <w:szCs w:val="20"/>
                <w:lang w:val="sr-Cyrl-CS" w:eastAsia="sr-Latn-RS"/>
              </w:rPr>
              <w:t>201</w:t>
            </w:r>
            <w:r w:rsidR="00C376BB" w:rsidRPr="00BF3CDE">
              <w:rPr>
                <w:rFonts w:ascii="Verdana" w:eastAsia="Times New Roman" w:hAnsi="Verdana" w:cs="Calibri"/>
                <w:b/>
                <w:bCs/>
                <w:noProof/>
                <w:sz w:val="20"/>
                <w:szCs w:val="20"/>
                <w:lang w:val="sr-Cyrl-CS" w:eastAsia="sr-Latn-RS"/>
              </w:rPr>
              <w:t>3</w:t>
            </w:r>
          </w:p>
        </w:tc>
        <w:tc>
          <w:tcPr>
            <w:tcW w:w="1431" w:type="dxa"/>
            <w:tcBorders>
              <w:top w:val="nil"/>
              <w:left w:val="nil"/>
              <w:bottom w:val="single" w:sz="8" w:space="0" w:color="629DD1"/>
              <w:right w:val="nil"/>
            </w:tcBorders>
            <w:shd w:val="clear" w:color="auto" w:fill="auto"/>
            <w:noWrap/>
            <w:vAlign w:val="center"/>
            <w:hideMark/>
          </w:tcPr>
          <w:p w14:paraId="458C217F" w14:textId="77777777" w:rsidR="0061552B" w:rsidRPr="00BF3CDE" w:rsidRDefault="0061552B" w:rsidP="00C376BB">
            <w:pPr>
              <w:spacing w:after="0" w:line="240" w:lineRule="auto"/>
              <w:jc w:val="both"/>
              <w:rPr>
                <w:rFonts w:ascii="Verdana" w:eastAsia="Times New Roman" w:hAnsi="Verdana" w:cs="Calibri"/>
                <w:b/>
                <w:bCs/>
                <w:noProof/>
                <w:sz w:val="20"/>
                <w:szCs w:val="20"/>
                <w:lang w:val="sr-Cyrl-CS" w:eastAsia="sr-Latn-RS"/>
              </w:rPr>
            </w:pPr>
            <w:r w:rsidRPr="00BF3CDE">
              <w:rPr>
                <w:rFonts w:ascii="Verdana" w:eastAsia="Times New Roman" w:hAnsi="Verdana" w:cs="Calibri"/>
                <w:b/>
                <w:bCs/>
                <w:noProof/>
                <w:sz w:val="20"/>
                <w:szCs w:val="20"/>
                <w:lang w:val="sr-Cyrl-CS" w:eastAsia="sr-Latn-RS"/>
              </w:rPr>
              <w:t>201</w:t>
            </w:r>
            <w:r w:rsidR="00C376BB" w:rsidRPr="00BF3CDE">
              <w:rPr>
                <w:rFonts w:ascii="Verdana" w:eastAsia="Times New Roman" w:hAnsi="Verdana" w:cs="Calibri"/>
                <w:b/>
                <w:bCs/>
                <w:noProof/>
                <w:sz w:val="20"/>
                <w:szCs w:val="20"/>
                <w:lang w:val="sr-Cyrl-CS" w:eastAsia="sr-Latn-RS"/>
              </w:rPr>
              <w:t>4</w:t>
            </w:r>
          </w:p>
        </w:tc>
      </w:tr>
      <w:tr w:rsidR="00B256EA" w:rsidRPr="00BF3CDE" w14:paraId="2EA6FFFE" w14:textId="77777777" w:rsidTr="00B256EA">
        <w:trPr>
          <w:trHeight w:val="227"/>
          <w:jc w:val="center"/>
        </w:trPr>
        <w:tc>
          <w:tcPr>
            <w:tcW w:w="4578" w:type="dxa"/>
            <w:gridSpan w:val="2"/>
            <w:tcBorders>
              <w:top w:val="nil"/>
              <w:left w:val="nil"/>
              <w:bottom w:val="nil"/>
              <w:right w:val="nil"/>
            </w:tcBorders>
            <w:shd w:val="clear" w:color="000000" w:fill="D8E6F3"/>
            <w:noWrap/>
            <w:vAlign w:val="center"/>
            <w:hideMark/>
          </w:tcPr>
          <w:p w14:paraId="623EEF95" w14:textId="77777777" w:rsidR="00B256EA" w:rsidRPr="00BF3CDE" w:rsidRDefault="00B256EA" w:rsidP="0061552B">
            <w:pPr>
              <w:spacing w:after="0" w:line="240" w:lineRule="auto"/>
              <w:rPr>
                <w:rFonts w:ascii="Verdana" w:eastAsia="Times New Roman" w:hAnsi="Verdana" w:cs="Calibri"/>
                <w:noProof/>
                <w:sz w:val="20"/>
                <w:szCs w:val="20"/>
                <w:lang w:val="sr-Cyrl-CS" w:eastAsia="sr-Latn-RS"/>
              </w:rPr>
            </w:pPr>
            <w:r w:rsidRPr="00BF3CDE">
              <w:rPr>
                <w:rFonts w:ascii="Verdana" w:eastAsia="Times New Roman" w:hAnsi="Verdana" w:cs="Calibri"/>
                <w:noProof/>
                <w:sz w:val="20"/>
                <w:szCs w:val="20"/>
                <w:lang w:val="sr-Cyrl-CS" w:eastAsia="sr-Latn-RS"/>
              </w:rPr>
              <w:t>Емисиона премија</w:t>
            </w:r>
          </w:p>
        </w:tc>
        <w:tc>
          <w:tcPr>
            <w:tcW w:w="1360" w:type="dxa"/>
            <w:tcBorders>
              <w:top w:val="nil"/>
              <w:left w:val="nil"/>
              <w:bottom w:val="nil"/>
              <w:right w:val="nil"/>
            </w:tcBorders>
            <w:shd w:val="clear" w:color="000000" w:fill="D8E6F3"/>
            <w:noWrap/>
            <w:hideMark/>
          </w:tcPr>
          <w:p w14:paraId="237A0D09" w14:textId="04441560" w:rsidR="00B256EA" w:rsidRPr="00B256EA" w:rsidRDefault="00B256EA" w:rsidP="0061552B">
            <w:pPr>
              <w:spacing w:after="0" w:line="240" w:lineRule="auto"/>
              <w:jc w:val="right"/>
              <w:rPr>
                <w:rFonts w:ascii="Verdana" w:eastAsia="Times New Roman" w:hAnsi="Verdana" w:cs="Calibri"/>
                <w:noProof/>
                <w:sz w:val="20"/>
                <w:szCs w:val="20"/>
                <w:lang w:val="sr-Cyrl-CS" w:eastAsia="sr-Latn-RS"/>
              </w:rPr>
            </w:pPr>
            <w:r w:rsidRPr="00B256EA">
              <w:rPr>
                <w:sz w:val="20"/>
                <w:szCs w:val="20"/>
              </w:rPr>
              <w:t>57,996</w:t>
            </w:r>
          </w:p>
        </w:tc>
        <w:tc>
          <w:tcPr>
            <w:tcW w:w="1431" w:type="dxa"/>
            <w:tcBorders>
              <w:top w:val="nil"/>
              <w:left w:val="nil"/>
              <w:bottom w:val="nil"/>
              <w:right w:val="nil"/>
            </w:tcBorders>
            <w:shd w:val="clear" w:color="000000" w:fill="D8E6F3"/>
            <w:noWrap/>
            <w:hideMark/>
          </w:tcPr>
          <w:p w14:paraId="1C52C6F2" w14:textId="42F4B088" w:rsidR="00B256EA" w:rsidRPr="00B256EA" w:rsidRDefault="00B256EA" w:rsidP="0061552B">
            <w:pPr>
              <w:spacing w:after="0" w:line="240" w:lineRule="auto"/>
              <w:jc w:val="right"/>
              <w:rPr>
                <w:rFonts w:ascii="Verdana" w:eastAsia="Times New Roman" w:hAnsi="Verdana" w:cs="Calibri"/>
                <w:noProof/>
                <w:sz w:val="20"/>
                <w:szCs w:val="20"/>
                <w:lang w:val="sr-Cyrl-CS" w:eastAsia="sr-Latn-RS"/>
              </w:rPr>
            </w:pPr>
            <w:r w:rsidRPr="00B256EA">
              <w:rPr>
                <w:sz w:val="20"/>
                <w:szCs w:val="20"/>
              </w:rPr>
              <w:t>57,996</w:t>
            </w:r>
          </w:p>
        </w:tc>
      </w:tr>
      <w:tr w:rsidR="00B256EA" w:rsidRPr="00BF3CDE" w14:paraId="4C6B7955" w14:textId="77777777" w:rsidTr="00B256EA">
        <w:trPr>
          <w:trHeight w:val="227"/>
          <w:jc w:val="center"/>
        </w:trPr>
        <w:tc>
          <w:tcPr>
            <w:tcW w:w="4578" w:type="dxa"/>
            <w:gridSpan w:val="2"/>
            <w:tcBorders>
              <w:top w:val="nil"/>
              <w:left w:val="nil"/>
              <w:bottom w:val="nil"/>
              <w:right w:val="nil"/>
            </w:tcBorders>
            <w:shd w:val="clear" w:color="auto" w:fill="auto"/>
            <w:noWrap/>
            <w:vAlign w:val="center"/>
            <w:hideMark/>
          </w:tcPr>
          <w:p w14:paraId="57B77117" w14:textId="77777777" w:rsidR="00B256EA" w:rsidRPr="00BF3CDE" w:rsidRDefault="00B256EA" w:rsidP="0061552B">
            <w:pPr>
              <w:spacing w:after="0" w:line="240" w:lineRule="auto"/>
              <w:rPr>
                <w:rFonts w:ascii="Verdana" w:eastAsia="Times New Roman" w:hAnsi="Verdana" w:cs="Calibri"/>
                <w:noProof/>
                <w:sz w:val="20"/>
                <w:szCs w:val="20"/>
                <w:lang w:val="sr-Cyrl-CS" w:eastAsia="sr-Latn-RS"/>
              </w:rPr>
            </w:pPr>
            <w:r w:rsidRPr="00BF3CDE">
              <w:rPr>
                <w:rFonts w:ascii="Verdana" w:eastAsia="Times New Roman" w:hAnsi="Verdana" w:cs="Calibri"/>
                <w:noProof/>
                <w:sz w:val="20"/>
                <w:szCs w:val="20"/>
                <w:lang w:val="sr-Cyrl-CS" w:eastAsia="sr-Latn-RS"/>
              </w:rPr>
              <w:t xml:space="preserve">Резерве сигурности из добити </w:t>
            </w:r>
          </w:p>
        </w:tc>
        <w:tc>
          <w:tcPr>
            <w:tcW w:w="1360" w:type="dxa"/>
            <w:tcBorders>
              <w:top w:val="nil"/>
              <w:left w:val="nil"/>
              <w:bottom w:val="nil"/>
              <w:right w:val="nil"/>
            </w:tcBorders>
            <w:shd w:val="clear" w:color="auto" w:fill="auto"/>
            <w:noWrap/>
            <w:hideMark/>
          </w:tcPr>
          <w:p w14:paraId="337A5393" w14:textId="40253523" w:rsidR="00B256EA" w:rsidRPr="00B256EA" w:rsidRDefault="00B256EA" w:rsidP="0061552B">
            <w:pPr>
              <w:spacing w:after="0" w:line="240" w:lineRule="auto"/>
              <w:jc w:val="right"/>
              <w:rPr>
                <w:rFonts w:ascii="Verdana" w:eastAsia="Times New Roman" w:hAnsi="Verdana" w:cs="Calibri"/>
                <w:noProof/>
                <w:sz w:val="20"/>
                <w:szCs w:val="20"/>
                <w:lang w:val="sr-Cyrl-CS" w:eastAsia="sr-Latn-RS"/>
              </w:rPr>
            </w:pPr>
            <w:r w:rsidRPr="00B256EA">
              <w:rPr>
                <w:sz w:val="20"/>
                <w:szCs w:val="20"/>
              </w:rPr>
              <w:t>153,760</w:t>
            </w:r>
          </w:p>
        </w:tc>
        <w:tc>
          <w:tcPr>
            <w:tcW w:w="1431" w:type="dxa"/>
            <w:tcBorders>
              <w:top w:val="nil"/>
              <w:left w:val="nil"/>
              <w:bottom w:val="nil"/>
              <w:right w:val="nil"/>
            </w:tcBorders>
            <w:shd w:val="clear" w:color="auto" w:fill="auto"/>
            <w:noWrap/>
            <w:hideMark/>
          </w:tcPr>
          <w:p w14:paraId="76E50E88" w14:textId="6E74507C" w:rsidR="00B256EA" w:rsidRPr="00B256EA" w:rsidRDefault="00B256EA" w:rsidP="0061552B">
            <w:pPr>
              <w:spacing w:after="0" w:line="240" w:lineRule="auto"/>
              <w:jc w:val="right"/>
              <w:rPr>
                <w:rFonts w:ascii="Verdana" w:eastAsia="Times New Roman" w:hAnsi="Verdana" w:cs="Calibri"/>
                <w:noProof/>
                <w:sz w:val="20"/>
                <w:szCs w:val="20"/>
                <w:lang w:val="sr-Cyrl-CS" w:eastAsia="sr-Latn-RS"/>
              </w:rPr>
            </w:pPr>
            <w:r w:rsidRPr="00B256EA">
              <w:rPr>
                <w:sz w:val="20"/>
                <w:szCs w:val="20"/>
              </w:rPr>
              <w:t>153,760</w:t>
            </w:r>
          </w:p>
        </w:tc>
      </w:tr>
      <w:tr w:rsidR="00B256EA" w:rsidRPr="00BF3CDE" w14:paraId="41BCB2F3" w14:textId="77777777" w:rsidTr="00B256EA">
        <w:trPr>
          <w:trHeight w:val="227"/>
          <w:jc w:val="center"/>
        </w:trPr>
        <w:tc>
          <w:tcPr>
            <w:tcW w:w="4578" w:type="dxa"/>
            <w:gridSpan w:val="2"/>
            <w:tcBorders>
              <w:top w:val="nil"/>
              <w:left w:val="nil"/>
              <w:bottom w:val="nil"/>
              <w:right w:val="nil"/>
            </w:tcBorders>
            <w:shd w:val="clear" w:color="000000" w:fill="D8E6F3"/>
            <w:noWrap/>
            <w:vAlign w:val="center"/>
            <w:hideMark/>
          </w:tcPr>
          <w:p w14:paraId="521A8A85" w14:textId="77777777" w:rsidR="00B256EA" w:rsidRPr="00BF3CDE" w:rsidRDefault="00B256EA" w:rsidP="0061552B">
            <w:pPr>
              <w:spacing w:after="0" w:line="240" w:lineRule="auto"/>
              <w:rPr>
                <w:rFonts w:ascii="Verdana" w:eastAsia="Times New Roman" w:hAnsi="Verdana" w:cs="Calibri"/>
                <w:noProof/>
                <w:sz w:val="20"/>
                <w:szCs w:val="20"/>
                <w:lang w:val="sr-Cyrl-CS" w:eastAsia="sr-Latn-RS"/>
              </w:rPr>
            </w:pPr>
            <w:r w:rsidRPr="00BF3CDE">
              <w:rPr>
                <w:rFonts w:ascii="Verdana" w:eastAsia="Times New Roman" w:hAnsi="Verdana" w:cs="Calibri"/>
                <w:noProof/>
                <w:sz w:val="20"/>
                <w:szCs w:val="20"/>
                <w:lang w:val="sr-Cyrl-CS" w:eastAsia="sr-Latn-RS"/>
              </w:rPr>
              <w:t>Нереализовани добици по основу ХоВ</w:t>
            </w:r>
          </w:p>
        </w:tc>
        <w:tc>
          <w:tcPr>
            <w:tcW w:w="1360" w:type="dxa"/>
            <w:tcBorders>
              <w:top w:val="nil"/>
              <w:left w:val="nil"/>
              <w:bottom w:val="nil"/>
              <w:right w:val="nil"/>
            </w:tcBorders>
            <w:shd w:val="clear" w:color="000000" w:fill="D8E6F3"/>
            <w:noWrap/>
            <w:hideMark/>
          </w:tcPr>
          <w:p w14:paraId="5F40E595" w14:textId="7F409DE7" w:rsidR="00B256EA" w:rsidRPr="00B256EA" w:rsidRDefault="00B256EA" w:rsidP="0061552B">
            <w:pPr>
              <w:spacing w:after="0" w:line="240" w:lineRule="auto"/>
              <w:jc w:val="right"/>
              <w:rPr>
                <w:rFonts w:ascii="Verdana" w:eastAsia="Times New Roman" w:hAnsi="Verdana" w:cs="Calibri"/>
                <w:noProof/>
                <w:sz w:val="20"/>
                <w:szCs w:val="20"/>
                <w:lang w:val="sr-Cyrl-CS" w:eastAsia="sr-Latn-RS"/>
              </w:rPr>
            </w:pPr>
            <w:r w:rsidRPr="00B256EA">
              <w:rPr>
                <w:sz w:val="20"/>
                <w:szCs w:val="20"/>
              </w:rPr>
              <w:t>13,790</w:t>
            </w:r>
          </w:p>
        </w:tc>
        <w:tc>
          <w:tcPr>
            <w:tcW w:w="1431" w:type="dxa"/>
            <w:tcBorders>
              <w:top w:val="nil"/>
              <w:left w:val="nil"/>
              <w:bottom w:val="nil"/>
              <w:right w:val="nil"/>
            </w:tcBorders>
            <w:shd w:val="clear" w:color="000000" w:fill="D8E6F3"/>
            <w:noWrap/>
            <w:hideMark/>
          </w:tcPr>
          <w:p w14:paraId="57B47A17" w14:textId="6CF6A6AB" w:rsidR="00B256EA" w:rsidRPr="00B256EA" w:rsidRDefault="00B256EA" w:rsidP="0061552B">
            <w:pPr>
              <w:spacing w:after="0" w:line="240" w:lineRule="auto"/>
              <w:jc w:val="right"/>
              <w:rPr>
                <w:rFonts w:ascii="Verdana" w:eastAsia="Times New Roman" w:hAnsi="Verdana" w:cs="Calibri"/>
                <w:noProof/>
                <w:sz w:val="20"/>
                <w:szCs w:val="20"/>
                <w:lang w:val="sr-Cyrl-CS" w:eastAsia="sr-Latn-RS"/>
              </w:rPr>
            </w:pPr>
            <w:r w:rsidRPr="00B256EA">
              <w:rPr>
                <w:sz w:val="20"/>
                <w:szCs w:val="20"/>
              </w:rPr>
              <w:t>39.182</w:t>
            </w:r>
          </w:p>
        </w:tc>
      </w:tr>
      <w:tr w:rsidR="00B256EA" w:rsidRPr="00BF3CDE" w14:paraId="6A465C78" w14:textId="77777777" w:rsidTr="00B256EA">
        <w:trPr>
          <w:trHeight w:val="227"/>
          <w:jc w:val="center"/>
        </w:trPr>
        <w:tc>
          <w:tcPr>
            <w:tcW w:w="4578" w:type="dxa"/>
            <w:gridSpan w:val="2"/>
            <w:tcBorders>
              <w:top w:val="nil"/>
              <w:left w:val="nil"/>
              <w:bottom w:val="nil"/>
              <w:right w:val="nil"/>
            </w:tcBorders>
            <w:shd w:val="clear" w:color="auto" w:fill="auto"/>
            <w:noWrap/>
            <w:vAlign w:val="center"/>
            <w:hideMark/>
          </w:tcPr>
          <w:p w14:paraId="7F29F202" w14:textId="77777777" w:rsidR="00B256EA" w:rsidRPr="00BF3CDE" w:rsidRDefault="00B256EA" w:rsidP="0061552B">
            <w:pPr>
              <w:spacing w:after="0" w:line="240" w:lineRule="auto"/>
              <w:rPr>
                <w:rFonts w:ascii="Verdana" w:eastAsia="Times New Roman" w:hAnsi="Verdana" w:cs="Calibri"/>
                <w:noProof/>
                <w:sz w:val="20"/>
                <w:szCs w:val="20"/>
                <w:lang w:val="sr-Cyrl-CS" w:eastAsia="sr-Latn-RS"/>
              </w:rPr>
            </w:pPr>
            <w:r w:rsidRPr="00BF3CDE">
              <w:rPr>
                <w:rFonts w:ascii="Verdana" w:eastAsia="Times New Roman" w:hAnsi="Verdana" w:cs="Calibri"/>
                <w:noProof/>
                <w:sz w:val="20"/>
                <w:szCs w:val="20"/>
                <w:lang w:val="sr-Cyrl-CS" w:eastAsia="sr-Latn-RS"/>
              </w:rPr>
              <w:t>Нереализовани губици по основу ХоВ</w:t>
            </w:r>
          </w:p>
        </w:tc>
        <w:tc>
          <w:tcPr>
            <w:tcW w:w="1360" w:type="dxa"/>
            <w:tcBorders>
              <w:top w:val="nil"/>
              <w:left w:val="nil"/>
              <w:bottom w:val="nil"/>
              <w:right w:val="nil"/>
            </w:tcBorders>
            <w:shd w:val="clear" w:color="auto" w:fill="auto"/>
            <w:noWrap/>
            <w:hideMark/>
          </w:tcPr>
          <w:p w14:paraId="07363FD9" w14:textId="4D64E2C9" w:rsidR="00B256EA" w:rsidRPr="00B256EA" w:rsidRDefault="00B256EA" w:rsidP="0061552B">
            <w:pPr>
              <w:spacing w:after="0" w:line="240" w:lineRule="auto"/>
              <w:jc w:val="right"/>
              <w:rPr>
                <w:rFonts w:ascii="Verdana" w:eastAsia="Times New Roman" w:hAnsi="Verdana" w:cs="Calibri"/>
                <w:noProof/>
                <w:sz w:val="20"/>
                <w:szCs w:val="20"/>
                <w:lang w:val="sr-Cyrl-CS" w:eastAsia="sr-Latn-RS"/>
              </w:rPr>
            </w:pPr>
            <w:r w:rsidRPr="00B256EA">
              <w:rPr>
                <w:sz w:val="20"/>
                <w:szCs w:val="20"/>
              </w:rPr>
              <w:t>-825</w:t>
            </w:r>
          </w:p>
        </w:tc>
        <w:tc>
          <w:tcPr>
            <w:tcW w:w="1431" w:type="dxa"/>
            <w:tcBorders>
              <w:top w:val="nil"/>
              <w:left w:val="nil"/>
              <w:bottom w:val="nil"/>
              <w:right w:val="nil"/>
            </w:tcBorders>
            <w:shd w:val="clear" w:color="auto" w:fill="auto"/>
            <w:noWrap/>
            <w:hideMark/>
          </w:tcPr>
          <w:p w14:paraId="473C2AE5" w14:textId="369B1FC0" w:rsidR="00B256EA" w:rsidRPr="00B256EA" w:rsidRDefault="00B256EA" w:rsidP="00C376BB">
            <w:pPr>
              <w:spacing w:after="0" w:line="240" w:lineRule="auto"/>
              <w:jc w:val="right"/>
              <w:rPr>
                <w:rFonts w:ascii="Verdana" w:eastAsia="Times New Roman" w:hAnsi="Verdana" w:cs="Calibri"/>
                <w:noProof/>
                <w:sz w:val="20"/>
                <w:szCs w:val="20"/>
                <w:lang w:val="sr-Cyrl-CS" w:eastAsia="sr-Latn-RS"/>
              </w:rPr>
            </w:pPr>
            <w:r w:rsidRPr="00B256EA">
              <w:rPr>
                <w:sz w:val="20"/>
                <w:szCs w:val="20"/>
              </w:rPr>
              <w:t>-571</w:t>
            </w:r>
          </w:p>
        </w:tc>
      </w:tr>
      <w:tr w:rsidR="00B256EA" w:rsidRPr="00BF3CDE" w14:paraId="65D79DAE" w14:textId="77777777" w:rsidTr="00B256EA">
        <w:trPr>
          <w:trHeight w:val="227"/>
          <w:jc w:val="center"/>
        </w:trPr>
        <w:tc>
          <w:tcPr>
            <w:tcW w:w="4578" w:type="dxa"/>
            <w:gridSpan w:val="2"/>
            <w:tcBorders>
              <w:top w:val="nil"/>
              <w:left w:val="nil"/>
              <w:bottom w:val="nil"/>
              <w:right w:val="nil"/>
            </w:tcBorders>
            <w:shd w:val="clear" w:color="000000" w:fill="D8E6F3"/>
            <w:noWrap/>
            <w:vAlign w:val="center"/>
            <w:hideMark/>
          </w:tcPr>
          <w:p w14:paraId="28565A29" w14:textId="77777777" w:rsidR="00B256EA" w:rsidRPr="00BF3CDE" w:rsidRDefault="00B256EA" w:rsidP="0061552B">
            <w:pPr>
              <w:spacing w:after="0" w:line="240" w:lineRule="auto"/>
              <w:rPr>
                <w:rFonts w:ascii="Verdana" w:eastAsia="Times New Roman" w:hAnsi="Verdana" w:cs="Calibri"/>
                <w:noProof/>
                <w:sz w:val="20"/>
                <w:szCs w:val="20"/>
                <w:lang w:val="sr-Cyrl-CS" w:eastAsia="sr-Latn-RS"/>
              </w:rPr>
            </w:pPr>
            <w:r w:rsidRPr="00BF3CDE">
              <w:rPr>
                <w:rFonts w:ascii="Verdana" w:eastAsia="Times New Roman" w:hAnsi="Verdana" w:cs="Calibri"/>
                <w:noProof/>
                <w:sz w:val="20"/>
                <w:szCs w:val="20"/>
                <w:lang w:val="sr-Cyrl-CS" w:eastAsia="sr-Latn-RS"/>
              </w:rPr>
              <w:t>Нераспоређена добит ранијих година</w:t>
            </w:r>
          </w:p>
        </w:tc>
        <w:tc>
          <w:tcPr>
            <w:tcW w:w="1360" w:type="dxa"/>
            <w:tcBorders>
              <w:top w:val="nil"/>
              <w:left w:val="nil"/>
              <w:bottom w:val="nil"/>
              <w:right w:val="nil"/>
            </w:tcBorders>
            <w:shd w:val="clear" w:color="000000" w:fill="D8E6F3"/>
            <w:noWrap/>
            <w:hideMark/>
          </w:tcPr>
          <w:p w14:paraId="13CDA652" w14:textId="781DE5E2" w:rsidR="00B256EA" w:rsidRPr="00B256EA" w:rsidRDefault="00B256EA" w:rsidP="00C376BB">
            <w:pPr>
              <w:spacing w:after="0" w:line="240" w:lineRule="auto"/>
              <w:jc w:val="right"/>
              <w:rPr>
                <w:rFonts w:ascii="Verdana" w:eastAsia="Times New Roman" w:hAnsi="Verdana" w:cs="Calibri"/>
                <w:noProof/>
                <w:sz w:val="20"/>
                <w:szCs w:val="20"/>
                <w:lang w:val="sr-Cyrl-CS" w:eastAsia="sr-Latn-RS"/>
              </w:rPr>
            </w:pPr>
            <w:r w:rsidRPr="00B256EA">
              <w:rPr>
                <w:sz w:val="20"/>
                <w:szCs w:val="20"/>
              </w:rPr>
              <w:t>363,463</w:t>
            </w:r>
          </w:p>
        </w:tc>
        <w:tc>
          <w:tcPr>
            <w:tcW w:w="1431" w:type="dxa"/>
            <w:tcBorders>
              <w:top w:val="nil"/>
              <w:left w:val="nil"/>
              <w:bottom w:val="nil"/>
              <w:right w:val="nil"/>
            </w:tcBorders>
            <w:shd w:val="clear" w:color="000000" w:fill="D8E6F3"/>
            <w:noWrap/>
            <w:hideMark/>
          </w:tcPr>
          <w:p w14:paraId="53725FF2" w14:textId="6F5B6978" w:rsidR="00B256EA" w:rsidRPr="00B256EA" w:rsidRDefault="00B256EA" w:rsidP="0061552B">
            <w:pPr>
              <w:spacing w:after="0" w:line="240" w:lineRule="auto"/>
              <w:jc w:val="right"/>
              <w:rPr>
                <w:rFonts w:ascii="Verdana" w:eastAsia="Times New Roman" w:hAnsi="Verdana" w:cs="Calibri"/>
                <w:noProof/>
                <w:sz w:val="20"/>
                <w:szCs w:val="20"/>
                <w:lang w:val="sr-Cyrl-CS" w:eastAsia="sr-Latn-RS"/>
              </w:rPr>
            </w:pPr>
            <w:r w:rsidRPr="00B256EA">
              <w:rPr>
                <w:sz w:val="20"/>
                <w:szCs w:val="20"/>
              </w:rPr>
              <w:t>240,076</w:t>
            </w:r>
          </w:p>
        </w:tc>
      </w:tr>
      <w:tr w:rsidR="00B256EA" w:rsidRPr="00BF3CDE" w14:paraId="07E9B524" w14:textId="77777777" w:rsidTr="00B256EA">
        <w:trPr>
          <w:trHeight w:val="227"/>
          <w:jc w:val="center"/>
        </w:trPr>
        <w:tc>
          <w:tcPr>
            <w:tcW w:w="4578" w:type="dxa"/>
            <w:gridSpan w:val="2"/>
            <w:tcBorders>
              <w:top w:val="nil"/>
              <w:left w:val="nil"/>
              <w:bottom w:val="nil"/>
              <w:right w:val="nil"/>
            </w:tcBorders>
            <w:shd w:val="clear" w:color="auto" w:fill="auto"/>
            <w:noWrap/>
            <w:vAlign w:val="center"/>
            <w:hideMark/>
          </w:tcPr>
          <w:p w14:paraId="1BC90317" w14:textId="77777777" w:rsidR="00B256EA" w:rsidRPr="00BF3CDE" w:rsidRDefault="00B256EA" w:rsidP="0061552B">
            <w:pPr>
              <w:spacing w:after="0" w:line="240" w:lineRule="auto"/>
              <w:rPr>
                <w:rFonts w:ascii="Verdana" w:eastAsia="Times New Roman" w:hAnsi="Verdana" w:cs="Calibri"/>
                <w:noProof/>
                <w:sz w:val="20"/>
                <w:szCs w:val="20"/>
                <w:lang w:val="sr-Cyrl-CS" w:eastAsia="sr-Latn-RS"/>
              </w:rPr>
            </w:pPr>
            <w:r w:rsidRPr="00BF3CDE">
              <w:rPr>
                <w:rFonts w:ascii="Verdana" w:eastAsia="Times New Roman" w:hAnsi="Verdana" w:cs="Calibri"/>
                <w:noProof/>
                <w:sz w:val="20"/>
                <w:szCs w:val="20"/>
                <w:lang w:val="sr-Cyrl-CS" w:eastAsia="sr-Latn-RS"/>
              </w:rPr>
              <w:t>Нераспоређена добит текуће године</w:t>
            </w:r>
          </w:p>
        </w:tc>
        <w:tc>
          <w:tcPr>
            <w:tcW w:w="1360" w:type="dxa"/>
            <w:tcBorders>
              <w:top w:val="nil"/>
              <w:left w:val="nil"/>
              <w:bottom w:val="nil"/>
              <w:right w:val="nil"/>
            </w:tcBorders>
            <w:shd w:val="clear" w:color="auto" w:fill="auto"/>
            <w:noWrap/>
            <w:hideMark/>
          </w:tcPr>
          <w:p w14:paraId="09884BE5" w14:textId="20EA1137" w:rsidR="00B256EA" w:rsidRPr="00B256EA" w:rsidRDefault="00B256EA" w:rsidP="000A6024">
            <w:pPr>
              <w:spacing w:after="0" w:line="240" w:lineRule="auto"/>
              <w:jc w:val="center"/>
              <w:rPr>
                <w:rFonts w:ascii="Verdana" w:eastAsia="Times New Roman" w:hAnsi="Verdana" w:cs="Calibri"/>
                <w:noProof/>
                <w:sz w:val="20"/>
                <w:szCs w:val="20"/>
                <w:lang w:val="sr-Cyrl-CS" w:eastAsia="sr-Latn-RS"/>
              </w:rPr>
            </w:pPr>
            <w:r w:rsidRPr="00B256EA">
              <w:rPr>
                <w:sz w:val="20"/>
                <w:szCs w:val="20"/>
              </w:rPr>
              <w:t>-</w:t>
            </w:r>
          </w:p>
        </w:tc>
        <w:tc>
          <w:tcPr>
            <w:tcW w:w="1431" w:type="dxa"/>
            <w:tcBorders>
              <w:top w:val="nil"/>
              <w:left w:val="nil"/>
              <w:bottom w:val="nil"/>
              <w:right w:val="nil"/>
            </w:tcBorders>
            <w:shd w:val="clear" w:color="auto" w:fill="auto"/>
            <w:noWrap/>
            <w:hideMark/>
          </w:tcPr>
          <w:p w14:paraId="4CD44F0E" w14:textId="4EA31EC1" w:rsidR="00B256EA" w:rsidRPr="00B256EA" w:rsidRDefault="00B256EA" w:rsidP="000A6024">
            <w:pPr>
              <w:spacing w:after="0" w:line="240" w:lineRule="auto"/>
              <w:jc w:val="center"/>
              <w:rPr>
                <w:rFonts w:ascii="Verdana" w:eastAsia="Times New Roman" w:hAnsi="Verdana" w:cs="Calibri"/>
                <w:noProof/>
                <w:sz w:val="20"/>
                <w:szCs w:val="20"/>
                <w:lang w:val="sr-Cyrl-CS" w:eastAsia="sr-Latn-RS"/>
              </w:rPr>
            </w:pPr>
            <w:r w:rsidRPr="00B256EA">
              <w:rPr>
                <w:sz w:val="20"/>
                <w:szCs w:val="20"/>
              </w:rPr>
              <w:t>-</w:t>
            </w:r>
          </w:p>
        </w:tc>
      </w:tr>
      <w:tr w:rsidR="00B256EA" w:rsidRPr="00BF3CDE" w14:paraId="4581E818" w14:textId="77777777" w:rsidTr="00B256EA">
        <w:trPr>
          <w:trHeight w:val="227"/>
          <w:jc w:val="center"/>
        </w:trPr>
        <w:tc>
          <w:tcPr>
            <w:tcW w:w="4578" w:type="dxa"/>
            <w:gridSpan w:val="2"/>
            <w:tcBorders>
              <w:top w:val="nil"/>
              <w:left w:val="nil"/>
              <w:bottom w:val="nil"/>
              <w:right w:val="nil"/>
            </w:tcBorders>
            <w:shd w:val="clear" w:color="auto" w:fill="DBE5F1" w:themeFill="accent1" w:themeFillTint="33"/>
            <w:noWrap/>
            <w:vAlign w:val="center"/>
            <w:hideMark/>
          </w:tcPr>
          <w:p w14:paraId="2BD6CC85" w14:textId="77777777" w:rsidR="00B256EA" w:rsidRPr="00BF3CDE" w:rsidRDefault="00B256EA" w:rsidP="0061552B">
            <w:pPr>
              <w:spacing w:after="0" w:line="240" w:lineRule="auto"/>
              <w:rPr>
                <w:rFonts w:ascii="Verdana" w:eastAsia="Times New Roman" w:hAnsi="Verdana" w:cs="Calibri"/>
                <w:noProof/>
                <w:sz w:val="20"/>
                <w:szCs w:val="20"/>
                <w:lang w:val="sr-Cyrl-CS" w:eastAsia="sr-Latn-RS"/>
              </w:rPr>
            </w:pPr>
            <w:r w:rsidRPr="00BF3CDE">
              <w:rPr>
                <w:rFonts w:ascii="Verdana" w:eastAsia="Times New Roman" w:hAnsi="Verdana" w:cs="Calibri"/>
                <w:noProof/>
                <w:sz w:val="20"/>
                <w:szCs w:val="20"/>
                <w:lang w:val="sr-Cyrl-CS" w:eastAsia="sr-Latn-RS"/>
              </w:rPr>
              <w:t>Губитак текуће године</w:t>
            </w:r>
          </w:p>
        </w:tc>
        <w:tc>
          <w:tcPr>
            <w:tcW w:w="1360" w:type="dxa"/>
            <w:tcBorders>
              <w:top w:val="nil"/>
              <w:left w:val="nil"/>
              <w:bottom w:val="nil"/>
              <w:right w:val="nil"/>
            </w:tcBorders>
            <w:shd w:val="clear" w:color="auto" w:fill="DBE5F1" w:themeFill="accent1" w:themeFillTint="33"/>
            <w:noWrap/>
            <w:hideMark/>
          </w:tcPr>
          <w:p w14:paraId="6A70C4C2" w14:textId="62DFBFA8" w:rsidR="00B256EA" w:rsidRPr="00B256EA" w:rsidRDefault="00B256EA" w:rsidP="0061552B">
            <w:pPr>
              <w:spacing w:after="0" w:line="240" w:lineRule="auto"/>
              <w:jc w:val="right"/>
              <w:rPr>
                <w:rFonts w:ascii="Verdana" w:eastAsia="Times New Roman" w:hAnsi="Verdana" w:cs="Calibri"/>
                <w:noProof/>
                <w:sz w:val="20"/>
                <w:szCs w:val="20"/>
                <w:lang w:val="sr-Cyrl-CS" w:eastAsia="sr-Latn-RS"/>
              </w:rPr>
            </w:pPr>
            <w:r w:rsidRPr="00B256EA">
              <w:rPr>
                <w:sz w:val="20"/>
                <w:szCs w:val="20"/>
              </w:rPr>
              <w:t>-123,387</w:t>
            </w:r>
          </w:p>
        </w:tc>
        <w:tc>
          <w:tcPr>
            <w:tcW w:w="1431" w:type="dxa"/>
            <w:tcBorders>
              <w:top w:val="nil"/>
              <w:left w:val="nil"/>
              <w:bottom w:val="nil"/>
              <w:right w:val="nil"/>
            </w:tcBorders>
            <w:shd w:val="clear" w:color="auto" w:fill="DBE5F1" w:themeFill="accent1" w:themeFillTint="33"/>
            <w:noWrap/>
            <w:hideMark/>
          </w:tcPr>
          <w:p w14:paraId="03393A65" w14:textId="3CC87F4D" w:rsidR="00B256EA" w:rsidRPr="00B256EA" w:rsidRDefault="00B256EA" w:rsidP="0061552B">
            <w:pPr>
              <w:spacing w:after="0" w:line="240" w:lineRule="auto"/>
              <w:jc w:val="right"/>
              <w:rPr>
                <w:rFonts w:ascii="Verdana" w:eastAsia="Times New Roman" w:hAnsi="Verdana" w:cs="Calibri"/>
                <w:noProof/>
                <w:sz w:val="20"/>
                <w:szCs w:val="20"/>
                <w:lang w:val="sr-Cyrl-CS" w:eastAsia="sr-Latn-RS"/>
              </w:rPr>
            </w:pPr>
            <w:r w:rsidRPr="00B256EA">
              <w:rPr>
                <w:sz w:val="20"/>
                <w:szCs w:val="20"/>
              </w:rPr>
              <w:t>-75.057</w:t>
            </w:r>
          </w:p>
        </w:tc>
      </w:tr>
      <w:tr w:rsidR="00B256EA" w:rsidRPr="00BF3CDE" w14:paraId="7E7C4C04" w14:textId="77777777" w:rsidTr="00B256EA">
        <w:trPr>
          <w:trHeight w:val="227"/>
          <w:jc w:val="center"/>
        </w:trPr>
        <w:tc>
          <w:tcPr>
            <w:tcW w:w="4578" w:type="dxa"/>
            <w:gridSpan w:val="2"/>
            <w:tcBorders>
              <w:top w:val="single" w:sz="8" w:space="0" w:color="629DD1"/>
              <w:left w:val="nil"/>
              <w:bottom w:val="single" w:sz="8" w:space="0" w:color="629DD1"/>
              <w:right w:val="nil"/>
            </w:tcBorders>
            <w:shd w:val="clear" w:color="auto" w:fill="auto"/>
            <w:vAlign w:val="center"/>
            <w:hideMark/>
          </w:tcPr>
          <w:p w14:paraId="23B1AB6D" w14:textId="77777777" w:rsidR="00B256EA" w:rsidRPr="00BF3CDE" w:rsidRDefault="00B256EA" w:rsidP="0061552B">
            <w:pPr>
              <w:spacing w:after="0" w:line="240" w:lineRule="auto"/>
              <w:rPr>
                <w:rFonts w:ascii="Verdana" w:eastAsia="Times New Roman" w:hAnsi="Verdana" w:cs="Calibri"/>
                <w:b/>
                <w:bCs/>
                <w:noProof/>
                <w:sz w:val="20"/>
                <w:szCs w:val="20"/>
                <w:lang w:val="sr-Cyrl-CS" w:eastAsia="sr-Latn-RS"/>
              </w:rPr>
            </w:pPr>
            <w:r w:rsidRPr="00BF3CDE">
              <w:rPr>
                <w:rFonts w:ascii="Verdana" w:eastAsia="Times New Roman" w:hAnsi="Verdana" w:cs="Calibri"/>
                <w:b/>
                <w:bCs/>
                <w:noProof/>
                <w:sz w:val="20"/>
                <w:szCs w:val="20"/>
                <w:lang w:val="sr-Cyrl-CS" w:eastAsia="sr-Latn-RS"/>
              </w:rPr>
              <w:t>УКУПНО</w:t>
            </w:r>
          </w:p>
        </w:tc>
        <w:tc>
          <w:tcPr>
            <w:tcW w:w="1360" w:type="dxa"/>
            <w:tcBorders>
              <w:top w:val="single" w:sz="8" w:space="0" w:color="629DD1"/>
              <w:left w:val="nil"/>
              <w:bottom w:val="single" w:sz="8" w:space="0" w:color="629DD1"/>
              <w:right w:val="nil"/>
            </w:tcBorders>
            <w:shd w:val="clear" w:color="auto" w:fill="auto"/>
            <w:hideMark/>
          </w:tcPr>
          <w:p w14:paraId="720A42BF" w14:textId="10649CB2" w:rsidR="00B256EA" w:rsidRPr="00B256EA" w:rsidRDefault="00B256EA" w:rsidP="0061552B">
            <w:pPr>
              <w:spacing w:after="0" w:line="240" w:lineRule="auto"/>
              <w:jc w:val="right"/>
              <w:rPr>
                <w:rFonts w:ascii="Verdana" w:eastAsia="Times New Roman" w:hAnsi="Verdana" w:cs="Calibri"/>
                <w:b/>
                <w:bCs/>
                <w:noProof/>
                <w:sz w:val="20"/>
                <w:szCs w:val="20"/>
                <w:lang w:val="sr-Cyrl-CS" w:eastAsia="sr-Latn-RS"/>
              </w:rPr>
            </w:pPr>
            <w:r w:rsidRPr="00B256EA">
              <w:rPr>
                <w:sz w:val="20"/>
                <w:szCs w:val="20"/>
              </w:rPr>
              <w:t>464.797</w:t>
            </w:r>
          </w:p>
        </w:tc>
        <w:tc>
          <w:tcPr>
            <w:tcW w:w="1431" w:type="dxa"/>
            <w:tcBorders>
              <w:top w:val="single" w:sz="8" w:space="0" w:color="629DD1"/>
              <w:left w:val="nil"/>
              <w:bottom w:val="single" w:sz="8" w:space="0" w:color="629DD1"/>
              <w:right w:val="nil"/>
            </w:tcBorders>
            <w:shd w:val="clear" w:color="auto" w:fill="auto"/>
            <w:hideMark/>
          </w:tcPr>
          <w:p w14:paraId="0EAF848A" w14:textId="7EDC1F05" w:rsidR="00B256EA" w:rsidRPr="00B256EA" w:rsidRDefault="00B256EA" w:rsidP="0061552B">
            <w:pPr>
              <w:spacing w:after="0" w:line="240" w:lineRule="auto"/>
              <w:jc w:val="right"/>
              <w:rPr>
                <w:rFonts w:ascii="Verdana" w:eastAsia="Times New Roman" w:hAnsi="Verdana" w:cs="Calibri"/>
                <w:b/>
                <w:bCs/>
                <w:noProof/>
                <w:sz w:val="20"/>
                <w:szCs w:val="20"/>
                <w:lang w:val="sr-Cyrl-CS" w:eastAsia="sr-Latn-RS"/>
              </w:rPr>
            </w:pPr>
            <w:r w:rsidRPr="00B256EA">
              <w:rPr>
                <w:sz w:val="20"/>
                <w:szCs w:val="20"/>
              </w:rPr>
              <w:t>451.225</w:t>
            </w:r>
          </w:p>
        </w:tc>
      </w:tr>
    </w:tbl>
    <w:p w14:paraId="017D23E7" w14:textId="77777777" w:rsidR="000359C0" w:rsidRPr="00BF3CDE" w:rsidRDefault="003724D4" w:rsidP="00E847DA">
      <w:pPr>
        <w:spacing w:before="120" w:after="80"/>
        <w:ind w:firstLine="567"/>
        <w:jc w:val="both"/>
        <w:rPr>
          <w:noProof/>
          <w:sz w:val="20"/>
          <w:szCs w:val="20"/>
          <w:lang w:val="sr-Cyrl-CS"/>
        </w:rPr>
      </w:pPr>
      <w:r w:rsidRPr="00BF3CDE">
        <w:rPr>
          <w:noProof/>
          <w:sz w:val="20"/>
          <w:szCs w:val="20"/>
          <w:lang w:val="sr-Cyrl-CS"/>
        </w:rPr>
        <w:t>Резерве Друшт</w:t>
      </w:r>
      <w:r w:rsidR="00983D47" w:rsidRPr="00BF3CDE">
        <w:rPr>
          <w:noProof/>
          <w:sz w:val="20"/>
          <w:szCs w:val="20"/>
          <w:lang w:val="sr-Cyrl-CS"/>
        </w:rPr>
        <w:t>в</w:t>
      </w:r>
      <w:r w:rsidRPr="00BF3CDE">
        <w:rPr>
          <w:noProof/>
          <w:sz w:val="20"/>
          <w:szCs w:val="20"/>
          <w:lang w:val="sr-Cyrl-CS"/>
        </w:rPr>
        <w:t xml:space="preserve">а износе </w:t>
      </w:r>
      <w:r w:rsidR="00C779EB" w:rsidRPr="00BF3CDE">
        <w:rPr>
          <w:noProof/>
          <w:sz w:val="20"/>
          <w:szCs w:val="20"/>
          <w:lang w:val="sr-Cyrl-CS"/>
        </w:rPr>
        <w:t>2</w:t>
      </w:r>
      <w:r w:rsidR="000359C0" w:rsidRPr="00BF3CDE">
        <w:rPr>
          <w:noProof/>
          <w:sz w:val="20"/>
          <w:szCs w:val="20"/>
          <w:lang w:val="sr-Cyrl-CS"/>
        </w:rPr>
        <w:t>11.756</w:t>
      </w:r>
      <w:r w:rsidRPr="00BF3CDE">
        <w:rPr>
          <w:noProof/>
          <w:sz w:val="20"/>
          <w:szCs w:val="20"/>
          <w:lang w:val="sr-Cyrl-CS"/>
        </w:rPr>
        <w:t xml:space="preserve"> хиљада динара и однос</w:t>
      </w:r>
      <w:r w:rsidR="009A70FE">
        <w:rPr>
          <w:noProof/>
          <w:sz w:val="20"/>
          <w:szCs w:val="20"/>
          <w:lang w:val="sr-Cyrl-CS"/>
        </w:rPr>
        <w:t>е</w:t>
      </w:r>
      <w:r w:rsidRPr="00BF3CDE">
        <w:rPr>
          <w:noProof/>
          <w:sz w:val="20"/>
          <w:szCs w:val="20"/>
          <w:lang w:val="sr-Cyrl-CS"/>
        </w:rPr>
        <w:t xml:space="preserve"> се на емисиону премију и резерве сигурности из добити. </w:t>
      </w:r>
    </w:p>
    <w:p w14:paraId="2B37335B" w14:textId="77777777" w:rsidR="004E6E16" w:rsidRPr="00BF3CDE" w:rsidRDefault="004E6E16" w:rsidP="004E6E16">
      <w:pPr>
        <w:spacing w:before="80" w:after="80"/>
        <w:ind w:firstLine="567"/>
        <w:jc w:val="both"/>
        <w:rPr>
          <w:noProof/>
          <w:sz w:val="20"/>
          <w:szCs w:val="20"/>
          <w:lang w:val="sr-Cyrl-CS"/>
        </w:rPr>
      </w:pPr>
      <w:r w:rsidRPr="00BF3CDE">
        <w:rPr>
          <w:noProof/>
          <w:sz w:val="20"/>
          <w:szCs w:val="20"/>
          <w:lang w:val="sr-Cyrl-CS"/>
        </w:rPr>
        <w:t>Друштво има у свом портфолију ХОВ које су сагласно рачуноводственој политици разврстане у ХОВ расположиве за продају и намењене трговини и њихове осцилације фер вредности евидентирају се преко биланса стања. Нереализовани добици по основу ХоВ износе на дан 31.12.2014. године 39.1</w:t>
      </w:r>
      <w:r>
        <w:rPr>
          <w:noProof/>
          <w:sz w:val="20"/>
          <w:szCs w:val="20"/>
          <w:lang w:val="sr-Cyrl-CS"/>
        </w:rPr>
        <w:t>82</w:t>
      </w:r>
      <w:r w:rsidRPr="00BF3CDE">
        <w:rPr>
          <w:noProof/>
          <w:sz w:val="20"/>
          <w:szCs w:val="20"/>
          <w:lang w:val="sr-Cyrl-CS"/>
        </w:rPr>
        <w:t xml:space="preserve"> хиљада динара, док нереализовани губици по основу ХоВ износе </w:t>
      </w:r>
      <w:r>
        <w:rPr>
          <w:noProof/>
          <w:sz w:val="20"/>
          <w:szCs w:val="20"/>
          <w:lang w:val="sr-Cyrl-CS"/>
        </w:rPr>
        <w:t>571</w:t>
      </w:r>
      <w:r w:rsidRPr="00BF3CDE">
        <w:rPr>
          <w:noProof/>
          <w:sz w:val="20"/>
          <w:szCs w:val="20"/>
          <w:lang w:val="sr-Cyrl-CS"/>
        </w:rPr>
        <w:t xml:space="preserve"> хиљада динара. </w:t>
      </w:r>
    </w:p>
    <w:p w14:paraId="2AEE6D70" w14:textId="77777777" w:rsidR="003724D4" w:rsidRPr="00BF3CDE" w:rsidRDefault="00875757" w:rsidP="009A70FE">
      <w:pPr>
        <w:spacing w:before="80" w:after="80"/>
        <w:ind w:firstLine="567"/>
        <w:jc w:val="both"/>
        <w:rPr>
          <w:noProof/>
          <w:sz w:val="20"/>
          <w:szCs w:val="20"/>
          <w:lang w:val="sr-Cyrl-CS"/>
        </w:rPr>
      </w:pPr>
      <w:r w:rsidRPr="00BF3CDE">
        <w:rPr>
          <w:noProof/>
          <w:sz w:val="20"/>
          <w:szCs w:val="20"/>
          <w:lang w:val="sr-Cyrl-CS"/>
        </w:rPr>
        <w:t>Губи</w:t>
      </w:r>
      <w:r w:rsidR="003724D4" w:rsidRPr="00BF3CDE">
        <w:rPr>
          <w:noProof/>
          <w:sz w:val="20"/>
          <w:szCs w:val="20"/>
          <w:lang w:val="sr-Cyrl-CS"/>
        </w:rPr>
        <w:t>т</w:t>
      </w:r>
      <w:r w:rsidRPr="00BF3CDE">
        <w:rPr>
          <w:noProof/>
          <w:sz w:val="20"/>
          <w:szCs w:val="20"/>
          <w:lang w:val="sr-Cyrl-CS"/>
        </w:rPr>
        <w:t xml:space="preserve">ак </w:t>
      </w:r>
      <w:r w:rsidR="003724D4" w:rsidRPr="00BF3CDE">
        <w:rPr>
          <w:noProof/>
          <w:sz w:val="20"/>
          <w:szCs w:val="20"/>
          <w:lang w:val="sr-Cyrl-CS"/>
        </w:rPr>
        <w:t xml:space="preserve"> текуће године износи </w:t>
      </w:r>
      <w:r w:rsidR="00C376BB" w:rsidRPr="00BF3CDE">
        <w:rPr>
          <w:noProof/>
          <w:sz w:val="20"/>
          <w:szCs w:val="20"/>
          <w:lang w:val="sr-Cyrl-CS"/>
        </w:rPr>
        <w:t>75.057</w:t>
      </w:r>
      <w:r w:rsidR="003724D4" w:rsidRPr="00BF3CDE">
        <w:rPr>
          <w:noProof/>
          <w:sz w:val="20"/>
          <w:szCs w:val="20"/>
          <w:lang w:val="sr-Cyrl-CS"/>
        </w:rPr>
        <w:t xml:space="preserve"> хиљада динара, а нераспоређена добит претходних година износи </w:t>
      </w:r>
      <w:r w:rsidR="00C376BB" w:rsidRPr="00BF3CDE">
        <w:rPr>
          <w:noProof/>
          <w:sz w:val="20"/>
          <w:szCs w:val="20"/>
          <w:lang w:val="sr-Cyrl-CS"/>
        </w:rPr>
        <w:t>240.076</w:t>
      </w:r>
      <w:r w:rsidR="003724D4" w:rsidRPr="00BF3CDE">
        <w:rPr>
          <w:noProof/>
          <w:sz w:val="20"/>
          <w:szCs w:val="20"/>
          <w:lang w:val="sr-Cyrl-CS"/>
        </w:rPr>
        <w:t xml:space="preserve"> хиљада динара.</w:t>
      </w:r>
    </w:p>
    <w:p w14:paraId="17E92713" w14:textId="77777777" w:rsidR="00BB2651" w:rsidRPr="00BF3CDE" w:rsidRDefault="00BB2651" w:rsidP="009A70FE">
      <w:pPr>
        <w:spacing w:before="120" w:after="0"/>
        <w:jc w:val="both"/>
        <w:rPr>
          <w:b/>
          <w:i/>
          <w:noProof/>
          <w:color w:val="365F91" w:themeColor="accent1" w:themeShade="BF"/>
          <w:sz w:val="20"/>
          <w:lang w:val="sr-Cyrl-CS"/>
        </w:rPr>
      </w:pPr>
      <w:r w:rsidRPr="00BF3CDE">
        <w:rPr>
          <w:b/>
          <w:i/>
          <w:noProof/>
          <w:color w:val="365F91" w:themeColor="accent1" w:themeShade="BF"/>
          <w:sz w:val="20"/>
          <w:lang w:val="sr-Cyrl-CS"/>
        </w:rPr>
        <w:t>Дугорочна резервисања</w:t>
      </w:r>
    </w:p>
    <w:p w14:paraId="668CBF05" w14:textId="77777777" w:rsidR="007F70AC" w:rsidRPr="00BF3CDE" w:rsidRDefault="007F70AC" w:rsidP="009A70FE">
      <w:pPr>
        <w:spacing w:after="0"/>
        <w:ind w:firstLine="567"/>
        <w:jc w:val="right"/>
        <w:rPr>
          <w:noProof/>
          <w:sz w:val="20"/>
          <w:szCs w:val="20"/>
          <w:lang w:val="sr-Cyrl-CS"/>
        </w:rPr>
      </w:pPr>
      <w:r w:rsidRPr="00BF3CDE">
        <w:rPr>
          <w:noProof/>
          <w:sz w:val="20"/>
          <w:szCs w:val="20"/>
          <w:lang w:val="sr-Cyrl-CS"/>
        </w:rPr>
        <w:t>у 000 РСД</w:t>
      </w:r>
    </w:p>
    <w:tbl>
      <w:tblPr>
        <w:tblW w:w="9148" w:type="dxa"/>
        <w:tblInd w:w="93" w:type="dxa"/>
        <w:tblLook w:val="04A0" w:firstRow="1" w:lastRow="0" w:firstColumn="1" w:lastColumn="0" w:noHBand="0" w:noVBand="1"/>
      </w:tblPr>
      <w:tblGrid>
        <w:gridCol w:w="871"/>
        <w:gridCol w:w="3795"/>
        <w:gridCol w:w="1693"/>
        <w:gridCol w:w="287"/>
        <w:gridCol w:w="1142"/>
        <w:gridCol w:w="1360"/>
      </w:tblGrid>
      <w:tr w:rsidR="0061552B" w:rsidRPr="00BF3CDE" w14:paraId="51D10D85" w14:textId="77777777" w:rsidTr="009A70FE">
        <w:trPr>
          <w:trHeight w:val="227"/>
        </w:trPr>
        <w:tc>
          <w:tcPr>
            <w:tcW w:w="871" w:type="dxa"/>
            <w:tcBorders>
              <w:top w:val="nil"/>
              <w:left w:val="nil"/>
              <w:bottom w:val="single" w:sz="8" w:space="0" w:color="629DD1"/>
              <w:right w:val="nil"/>
            </w:tcBorders>
            <w:shd w:val="clear" w:color="auto" w:fill="auto"/>
            <w:noWrap/>
            <w:vAlign w:val="center"/>
            <w:hideMark/>
          </w:tcPr>
          <w:p w14:paraId="408908B8" w14:textId="77777777" w:rsidR="0061552B" w:rsidRPr="00BF3CDE" w:rsidRDefault="0061552B" w:rsidP="0061552B">
            <w:pPr>
              <w:spacing w:after="0" w:line="240" w:lineRule="auto"/>
              <w:rPr>
                <w:rFonts w:ascii="Verdana" w:eastAsia="Times New Roman" w:hAnsi="Verdana" w:cs="Calibri"/>
                <w:noProof/>
                <w:color w:val="000000"/>
                <w:lang w:val="sr-Cyrl-CS" w:eastAsia="sr-Latn-RS"/>
              </w:rPr>
            </w:pPr>
            <w:r w:rsidRPr="00BF3CDE">
              <w:rPr>
                <w:rFonts w:ascii="Verdana" w:eastAsia="Times New Roman" w:hAnsi="Verdana" w:cs="Calibri"/>
                <w:noProof/>
                <w:color w:val="000000"/>
                <w:lang w:val="sr-Cyrl-CS" w:eastAsia="sr-Latn-RS"/>
              </w:rPr>
              <w:t> </w:t>
            </w:r>
          </w:p>
        </w:tc>
        <w:tc>
          <w:tcPr>
            <w:tcW w:w="3795" w:type="dxa"/>
            <w:tcBorders>
              <w:top w:val="nil"/>
              <w:left w:val="nil"/>
              <w:bottom w:val="single" w:sz="8" w:space="0" w:color="629DD1"/>
              <w:right w:val="nil"/>
            </w:tcBorders>
            <w:shd w:val="clear" w:color="auto" w:fill="auto"/>
            <w:vAlign w:val="center"/>
            <w:hideMark/>
          </w:tcPr>
          <w:p w14:paraId="642055E1" w14:textId="77777777" w:rsidR="0061552B" w:rsidRPr="00BF3CDE" w:rsidRDefault="0061552B" w:rsidP="0061552B">
            <w:pPr>
              <w:spacing w:after="0" w:line="240" w:lineRule="auto"/>
              <w:jc w:val="center"/>
              <w:rPr>
                <w:rFonts w:ascii="Verdana" w:eastAsia="Times New Roman" w:hAnsi="Verdana" w:cs="Calibri"/>
                <w:b/>
                <w:bCs/>
                <w:noProof/>
                <w:color w:val="000000"/>
                <w:sz w:val="20"/>
                <w:szCs w:val="20"/>
                <w:lang w:val="sr-Cyrl-CS" w:eastAsia="sr-Latn-RS"/>
              </w:rPr>
            </w:pPr>
            <w:r w:rsidRPr="00BF3CDE">
              <w:rPr>
                <w:rFonts w:ascii="Verdana" w:eastAsia="Times New Roman" w:hAnsi="Verdana" w:cs="Calibri"/>
                <w:b/>
                <w:bCs/>
                <w:noProof/>
                <w:color w:val="000000"/>
                <w:sz w:val="20"/>
                <w:szCs w:val="20"/>
                <w:lang w:val="sr-Cyrl-CS" w:eastAsia="sr-Latn-RS"/>
              </w:rPr>
              <w:t> </w:t>
            </w:r>
          </w:p>
        </w:tc>
        <w:tc>
          <w:tcPr>
            <w:tcW w:w="1693" w:type="dxa"/>
            <w:tcBorders>
              <w:top w:val="nil"/>
              <w:left w:val="nil"/>
              <w:bottom w:val="single" w:sz="8" w:space="0" w:color="629DD1"/>
              <w:right w:val="nil"/>
            </w:tcBorders>
            <w:shd w:val="clear" w:color="auto" w:fill="auto"/>
            <w:noWrap/>
            <w:vAlign w:val="center"/>
            <w:hideMark/>
          </w:tcPr>
          <w:p w14:paraId="478B8D2D" w14:textId="77777777" w:rsidR="0061552B" w:rsidRPr="00BF3CDE" w:rsidRDefault="0061552B" w:rsidP="0061552B">
            <w:pPr>
              <w:spacing w:after="0" w:line="240" w:lineRule="auto"/>
              <w:jc w:val="center"/>
              <w:rPr>
                <w:rFonts w:ascii="Verdana" w:eastAsia="Times New Roman" w:hAnsi="Verdana" w:cs="Calibri"/>
                <w:b/>
                <w:bCs/>
                <w:noProof/>
                <w:color w:val="000000"/>
                <w:sz w:val="20"/>
                <w:szCs w:val="20"/>
                <w:lang w:val="sr-Cyrl-CS" w:eastAsia="sr-Latn-RS"/>
              </w:rPr>
            </w:pPr>
            <w:r w:rsidRPr="00BF3CDE">
              <w:rPr>
                <w:rFonts w:ascii="Verdana" w:eastAsia="Times New Roman" w:hAnsi="Verdana" w:cs="Calibri"/>
                <w:b/>
                <w:bCs/>
                <w:noProof/>
                <w:color w:val="000000"/>
                <w:sz w:val="20"/>
                <w:szCs w:val="20"/>
                <w:lang w:val="sr-Cyrl-CS" w:eastAsia="sr-Latn-RS"/>
              </w:rPr>
              <w:t> </w:t>
            </w:r>
          </w:p>
        </w:tc>
        <w:tc>
          <w:tcPr>
            <w:tcW w:w="287" w:type="dxa"/>
            <w:tcBorders>
              <w:top w:val="nil"/>
              <w:left w:val="nil"/>
              <w:bottom w:val="single" w:sz="8" w:space="0" w:color="629DD1"/>
              <w:right w:val="nil"/>
            </w:tcBorders>
            <w:shd w:val="clear" w:color="auto" w:fill="auto"/>
            <w:vAlign w:val="center"/>
            <w:hideMark/>
          </w:tcPr>
          <w:p w14:paraId="4FB3DB87" w14:textId="77777777" w:rsidR="0061552B" w:rsidRPr="00BF3CDE" w:rsidRDefault="0061552B" w:rsidP="0061552B">
            <w:pPr>
              <w:spacing w:after="0" w:line="240" w:lineRule="auto"/>
              <w:jc w:val="center"/>
              <w:rPr>
                <w:rFonts w:ascii="Verdana" w:eastAsia="Times New Roman" w:hAnsi="Verdana" w:cs="Calibri"/>
                <w:b/>
                <w:bCs/>
                <w:noProof/>
                <w:color w:val="000000"/>
                <w:sz w:val="20"/>
                <w:szCs w:val="20"/>
                <w:lang w:val="sr-Cyrl-CS" w:eastAsia="sr-Latn-RS"/>
              </w:rPr>
            </w:pPr>
            <w:r w:rsidRPr="00BF3CDE">
              <w:rPr>
                <w:rFonts w:ascii="Verdana" w:eastAsia="Times New Roman" w:hAnsi="Verdana" w:cs="Calibri"/>
                <w:b/>
                <w:bCs/>
                <w:noProof/>
                <w:color w:val="000000"/>
                <w:sz w:val="20"/>
                <w:szCs w:val="20"/>
                <w:lang w:val="sr-Cyrl-CS" w:eastAsia="sr-Latn-RS"/>
              </w:rPr>
              <w:t> </w:t>
            </w:r>
          </w:p>
        </w:tc>
        <w:tc>
          <w:tcPr>
            <w:tcW w:w="1142" w:type="dxa"/>
            <w:tcBorders>
              <w:top w:val="nil"/>
              <w:left w:val="nil"/>
              <w:bottom w:val="single" w:sz="8" w:space="0" w:color="629DD1"/>
              <w:right w:val="nil"/>
            </w:tcBorders>
            <w:shd w:val="clear" w:color="auto" w:fill="auto"/>
            <w:vAlign w:val="center"/>
            <w:hideMark/>
          </w:tcPr>
          <w:p w14:paraId="41F99E43" w14:textId="77777777" w:rsidR="0061552B" w:rsidRPr="00BF3CDE" w:rsidRDefault="0061552B" w:rsidP="00A205B2">
            <w:pPr>
              <w:spacing w:after="0" w:line="240" w:lineRule="auto"/>
              <w:jc w:val="center"/>
              <w:rPr>
                <w:rFonts w:ascii="Verdana" w:eastAsia="Times New Roman" w:hAnsi="Verdana" w:cs="Calibri"/>
                <w:b/>
                <w:bCs/>
                <w:noProof/>
                <w:color w:val="000000"/>
                <w:sz w:val="20"/>
                <w:szCs w:val="20"/>
                <w:lang w:val="sr-Cyrl-CS" w:eastAsia="sr-Latn-RS"/>
              </w:rPr>
            </w:pPr>
            <w:r w:rsidRPr="00BF3CDE">
              <w:rPr>
                <w:rFonts w:ascii="Verdana" w:eastAsia="Times New Roman" w:hAnsi="Verdana" w:cs="Calibri"/>
                <w:b/>
                <w:bCs/>
                <w:noProof/>
                <w:color w:val="000000"/>
                <w:sz w:val="20"/>
                <w:szCs w:val="20"/>
                <w:lang w:val="sr-Cyrl-CS" w:eastAsia="sr-Latn-RS"/>
              </w:rPr>
              <w:t>201</w:t>
            </w:r>
            <w:r w:rsidR="00A205B2" w:rsidRPr="00BF3CDE">
              <w:rPr>
                <w:rFonts w:ascii="Verdana" w:eastAsia="Times New Roman" w:hAnsi="Verdana" w:cs="Calibri"/>
                <w:b/>
                <w:bCs/>
                <w:noProof/>
                <w:color w:val="000000"/>
                <w:sz w:val="20"/>
                <w:szCs w:val="20"/>
                <w:lang w:val="sr-Cyrl-CS" w:eastAsia="sr-Latn-RS"/>
              </w:rPr>
              <w:t>3</w:t>
            </w:r>
          </w:p>
        </w:tc>
        <w:tc>
          <w:tcPr>
            <w:tcW w:w="1360" w:type="dxa"/>
            <w:tcBorders>
              <w:top w:val="nil"/>
              <w:left w:val="nil"/>
              <w:bottom w:val="single" w:sz="8" w:space="0" w:color="629DD1"/>
              <w:right w:val="nil"/>
            </w:tcBorders>
            <w:shd w:val="clear" w:color="auto" w:fill="auto"/>
            <w:noWrap/>
            <w:vAlign w:val="center"/>
            <w:hideMark/>
          </w:tcPr>
          <w:p w14:paraId="2039507A" w14:textId="77777777" w:rsidR="0061552B" w:rsidRPr="00BF3CDE" w:rsidRDefault="0061552B" w:rsidP="00A205B2">
            <w:pPr>
              <w:spacing w:after="0" w:line="240" w:lineRule="auto"/>
              <w:jc w:val="center"/>
              <w:rPr>
                <w:rFonts w:ascii="Verdana" w:eastAsia="Times New Roman" w:hAnsi="Verdana" w:cs="Calibri"/>
                <w:b/>
                <w:bCs/>
                <w:noProof/>
                <w:color w:val="000000"/>
                <w:sz w:val="20"/>
                <w:szCs w:val="20"/>
                <w:lang w:val="sr-Cyrl-CS" w:eastAsia="sr-Latn-RS"/>
              </w:rPr>
            </w:pPr>
            <w:r w:rsidRPr="00BF3CDE">
              <w:rPr>
                <w:rFonts w:ascii="Verdana" w:eastAsia="Times New Roman" w:hAnsi="Verdana" w:cs="Calibri"/>
                <w:b/>
                <w:bCs/>
                <w:noProof/>
                <w:color w:val="000000"/>
                <w:sz w:val="20"/>
                <w:szCs w:val="20"/>
                <w:lang w:val="sr-Cyrl-CS" w:eastAsia="sr-Latn-RS"/>
              </w:rPr>
              <w:t>201</w:t>
            </w:r>
            <w:r w:rsidR="00A205B2" w:rsidRPr="00BF3CDE">
              <w:rPr>
                <w:rFonts w:ascii="Verdana" w:eastAsia="Times New Roman" w:hAnsi="Verdana" w:cs="Calibri"/>
                <w:b/>
                <w:bCs/>
                <w:noProof/>
                <w:color w:val="000000"/>
                <w:sz w:val="20"/>
                <w:szCs w:val="20"/>
                <w:lang w:val="sr-Cyrl-CS" w:eastAsia="sr-Latn-RS"/>
              </w:rPr>
              <w:t>4</w:t>
            </w:r>
          </w:p>
        </w:tc>
      </w:tr>
      <w:tr w:rsidR="00A205B2" w:rsidRPr="00BF3CDE" w14:paraId="7265B3B6" w14:textId="77777777" w:rsidTr="009A70FE">
        <w:trPr>
          <w:trHeight w:val="227"/>
        </w:trPr>
        <w:tc>
          <w:tcPr>
            <w:tcW w:w="6359" w:type="dxa"/>
            <w:gridSpan w:val="3"/>
            <w:tcBorders>
              <w:top w:val="single" w:sz="8" w:space="0" w:color="629DD1"/>
              <w:left w:val="nil"/>
              <w:bottom w:val="nil"/>
              <w:right w:val="nil"/>
            </w:tcBorders>
            <w:shd w:val="clear" w:color="000000" w:fill="DFEBF5"/>
            <w:noWrap/>
            <w:vAlign w:val="center"/>
            <w:hideMark/>
          </w:tcPr>
          <w:p w14:paraId="5C007FCE" w14:textId="77777777" w:rsidR="00A205B2" w:rsidRPr="00BF3CDE" w:rsidRDefault="00A205B2" w:rsidP="0061552B">
            <w:pPr>
              <w:spacing w:after="0" w:line="240" w:lineRule="auto"/>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Математичка резерва животног реосигурања</w:t>
            </w:r>
          </w:p>
        </w:tc>
        <w:tc>
          <w:tcPr>
            <w:tcW w:w="287" w:type="dxa"/>
            <w:tcBorders>
              <w:top w:val="nil"/>
              <w:left w:val="nil"/>
              <w:bottom w:val="nil"/>
              <w:right w:val="nil"/>
            </w:tcBorders>
            <w:shd w:val="clear" w:color="000000" w:fill="D8E6F3"/>
            <w:vAlign w:val="center"/>
            <w:hideMark/>
          </w:tcPr>
          <w:p w14:paraId="1A33EF89" w14:textId="77777777" w:rsidR="00A205B2" w:rsidRPr="00BF3CDE" w:rsidRDefault="00A205B2" w:rsidP="0061552B">
            <w:pPr>
              <w:spacing w:after="0" w:line="240" w:lineRule="auto"/>
              <w:jc w:val="right"/>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 </w:t>
            </w:r>
          </w:p>
        </w:tc>
        <w:tc>
          <w:tcPr>
            <w:tcW w:w="1142" w:type="dxa"/>
            <w:tcBorders>
              <w:top w:val="nil"/>
              <w:left w:val="nil"/>
              <w:bottom w:val="nil"/>
              <w:right w:val="nil"/>
            </w:tcBorders>
            <w:shd w:val="clear" w:color="000000" w:fill="D8E6F3"/>
            <w:vAlign w:val="center"/>
            <w:hideMark/>
          </w:tcPr>
          <w:p w14:paraId="55790B3F" w14:textId="77777777" w:rsidR="00A205B2" w:rsidRPr="00BF3CDE" w:rsidRDefault="00A205B2" w:rsidP="00C031DE">
            <w:pPr>
              <w:spacing w:after="0" w:line="240" w:lineRule="auto"/>
              <w:jc w:val="right"/>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20,183</w:t>
            </w:r>
          </w:p>
        </w:tc>
        <w:tc>
          <w:tcPr>
            <w:tcW w:w="1360" w:type="dxa"/>
            <w:tcBorders>
              <w:top w:val="nil"/>
              <w:left w:val="nil"/>
              <w:bottom w:val="nil"/>
              <w:right w:val="nil"/>
            </w:tcBorders>
            <w:shd w:val="clear" w:color="000000" w:fill="D8E6F3"/>
            <w:noWrap/>
            <w:vAlign w:val="center"/>
          </w:tcPr>
          <w:p w14:paraId="1FB15DBC" w14:textId="77777777" w:rsidR="00A205B2" w:rsidRPr="00BF3CDE" w:rsidRDefault="00A205B2" w:rsidP="00A205B2">
            <w:pPr>
              <w:spacing w:after="0" w:line="240" w:lineRule="auto"/>
              <w:jc w:val="right"/>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21,585</w:t>
            </w:r>
          </w:p>
        </w:tc>
      </w:tr>
      <w:tr w:rsidR="00A205B2" w:rsidRPr="00BF3CDE" w14:paraId="3450C4A7" w14:textId="77777777" w:rsidTr="009A70FE">
        <w:trPr>
          <w:trHeight w:val="227"/>
        </w:trPr>
        <w:tc>
          <w:tcPr>
            <w:tcW w:w="6359" w:type="dxa"/>
            <w:gridSpan w:val="3"/>
            <w:tcBorders>
              <w:top w:val="nil"/>
              <w:left w:val="nil"/>
              <w:bottom w:val="nil"/>
              <w:right w:val="nil"/>
            </w:tcBorders>
            <w:shd w:val="clear" w:color="auto" w:fill="auto"/>
            <w:noWrap/>
            <w:vAlign w:val="center"/>
            <w:hideMark/>
          </w:tcPr>
          <w:p w14:paraId="42AC32B8" w14:textId="77777777" w:rsidR="00A205B2" w:rsidRPr="00BF3CDE" w:rsidRDefault="00A205B2" w:rsidP="0061552B">
            <w:pPr>
              <w:spacing w:after="0" w:line="240" w:lineRule="auto"/>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Резерве за изравнање ризика</w:t>
            </w:r>
          </w:p>
        </w:tc>
        <w:tc>
          <w:tcPr>
            <w:tcW w:w="287" w:type="dxa"/>
            <w:tcBorders>
              <w:top w:val="nil"/>
              <w:left w:val="nil"/>
              <w:bottom w:val="nil"/>
              <w:right w:val="nil"/>
            </w:tcBorders>
            <w:shd w:val="clear" w:color="auto" w:fill="auto"/>
            <w:vAlign w:val="center"/>
            <w:hideMark/>
          </w:tcPr>
          <w:p w14:paraId="6322A25F" w14:textId="77777777" w:rsidR="00A205B2" w:rsidRPr="00BF3CDE" w:rsidRDefault="00A205B2" w:rsidP="0061552B">
            <w:pPr>
              <w:spacing w:after="0" w:line="240" w:lineRule="auto"/>
              <w:jc w:val="right"/>
              <w:rPr>
                <w:rFonts w:ascii="Verdana" w:eastAsia="Times New Roman" w:hAnsi="Verdana" w:cs="Calibri"/>
                <w:noProof/>
                <w:color w:val="000000"/>
                <w:sz w:val="20"/>
                <w:szCs w:val="20"/>
                <w:lang w:val="sr-Cyrl-CS" w:eastAsia="sr-Latn-RS"/>
              </w:rPr>
            </w:pPr>
          </w:p>
        </w:tc>
        <w:tc>
          <w:tcPr>
            <w:tcW w:w="1142" w:type="dxa"/>
            <w:tcBorders>
              <w:top w:val="nil"/>
              <w:left w:val="nil"/>
              <w:bottom w:val="nil"/>
              <w:right w:val="nil"/>
            </w:tcBorders>
            <w:shd w:val="clear" w:color="auto" w:fill="auto"/>
            <w:vAlign w:val="center"/>
            <w:hideMark/>
          </w:tcPr>
          <w:p w14:paraId="42BBF512" w14:textId="77777777" w:rsidR="00A205B2" w:rsidRPr="00BF3CDE" w:rsidRDefault="00A205B2" w:rsidP="00C031DE">
            <w:pPr>
              <w:spacing w:after="0" w:line="240" w:lineRule="auto"/>
              <w:jc w:val="right"/>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199,453</w:t>
            </w:r>
          </w:p>
        </w:tc>
        <w:tc>
          <w:tcPr>
            <w:tcW w:w="1360" w:type="dxa"/>
            <w:tcBorders>
              <w:top w:val="nil"/>
              <w:left w:val="nil"/>
              <w:bottom w:val="nil"/>
              <w:right w:val="nil"/>
            </w:tcBorders>
            <w:shd w:val="clear" w:color="auto" w:fill="auto"/>
            <w:noWrap/>
            <w:vAlign w:val="center"/>
          </w:tcPr>
          <w:p w14:paraId="3FB59638" w14:textId="77777777" w:rsidR="00A205B2" w:rsidRPr="00BF3CDE" w:rsidRDefault="00A205B2" w:rsidP="00A205B2">
            <w:pPr>
              <w:spacing w:after="0" w:line="240" w:lineRule="auto"/>
              <w:jc w:val="right"/>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220,696</w:t>
            </w:r>
          </w:p>
        </w:tc>
      </w:tr>
      <w:tr w:rsidR="00A205B2" w:rsidRPr="00BF3CDE" w14:paraId="62624FF2" w14:textId="77777777" w:rsidTr="009A70FE">
        <w:trPr>
          <w:trHeight w:val="227"/>
        </w:trPr>
        <w:tc>
          <w:tcPr>
            <w:tcW w:w="6359" w:type="dxa"/>
            <w:gridSpan w:val="3"/>
            <w:tcBorders>
              <w:top w:val="nil"/>
              <w:left w:val="nil"/>
              <w:bottom w:val="single" w:sz="8" w:space="0" w:color="629DD1"/>
              <w:right w:val="nil"/>
            </w:tcBorders>
            <w:shd w:val="clear" w:color="000000" w:fill="DFEBF5"/>
            <w:noWrap/>
            <w:vAlign w:val="center"/>
            <w:hideMark/>
          </w:tcPr>
          <w:p w14:paraId="1994FA23" w14:textId="77777777" w:rsidR="00A205B2" w:rsidRPr="00BF3CDE" w:rsidRDefault="00A205B2" w:rsidP="00895061">
            <w:pPr>
              <w:spacing w:after="0" w:line="240" w:lineRule="auto"/>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Рез. за отпремнине и јубиларне награде по МРС 19</w:t>
            </w:r>
          </w:p>
        </w:tc>
        <w:tc>
          <w:tcPr>
            <w:tcW w:w="287" w:type="dxa"/>
            <w:tcBorders>
              <w:top w:val="nil"/>
              <w:left w:val="nil"/>
              <w:bottom w:val="nil"/>
              <w:right w:val="nil"/>
            </w:tcBorders>
            <w:shd w:val="clear" w:color="000000" w:fill="D8E6F3"/>
            <w:vAlign w:val="center"/>
            <w:hideMark/>
          </w:tcPr>
          <w:p w14:paraId="034CBE6D" w14:textId="77777777" w:rsidR="00A205B2" w:rsidRPr="00BF3CDE" w:rsidRDefault="00A205B2" w:rsidP="0061552B">
            <w:pPr>
              <w:spacing w:after="0" w:line="240" w:lineRule="auto"/>
              <w:jc w:val="right"/>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 </w:t>
            </w:r>
          </w:p>
        </w:tc>
        <w:tc>
          <w:tcPr>
            <w:tcW w:w="1142" w:type="dxa"/>
            <w:tcBorders>
              <w:top w:val="nil"/>
              <w:left w:val="nil"/>
              <w:bottom w:val="nil"/>
              <w:right w:val="nil"/>
            </w:tcBorders>
            <w:shd w:val="clear" w:color="000000" w:fill="D8E6F3"/>
            <w:vAlign w:val="center"/>
            <w:hideMark/>
          </w:tcPr>
          <w:p w14:paraId="3232076F" w14:textId="77777777" w:rsidR="00A205B2" w:rsidRPr="00BF3CDE" w:rsidRDefault="00A205B2" w:rsidP="00C031DE">
            <w:pPr>
              <w:spacing w:after="0" w:line="240" w:lineRule="auto"/>
              <w:jc w:val="right"/>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6,742</w:t>
            </w:r>
          </w:p>
        </w:tc>
        <w:tc>
          <w:tcPr>
            <w:tcW w:w="1360" w:type="dxa"/>
            <w:tcBorders>
              <w:top w:val="nil"/>
              <w:left w:val="nil"/>
              <w:bottom w:val="nil"/>
              <w:right w:val="nil"/>
            </w:tcBorders>
            <w:shd w:val="clear" w:color="000000" w:fill="D8E6F3"/>
            <w:noWrap/>
            <w:vAlign w:val="center"/>
          </w:tcPr>
          <w:p w14:paraId="4453EAC5" w14:textId="77777777" w:rsidR="00A205B2" w:rsidRPr="00BF3CDE" w:rsidRDefault="00A205B2" w:rsidP="00A205B2">
            <w:pPr>
              <w:spacing w:after="0" w:line="240" w:lineRule="auto"/>
              <w:jc w:val="right"/>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7,262</w:t>
            </w:r>
          </w:p>
        </w:tc>
      </w:tr>
      <w:tr w:rsidR="00A205B2" w:rsidRPr="00BF3CDE" w14:paraId="69959D15" w14:textId="77777777" w:rsidTr="009A70FE">
        <w:trPr>
          <w:trHeight w:val="227"/>
        </w:trPr>
        <w:tc>
          <w:tcPr>
            <w:tcW w:w="6359" w:type="dxa"/>
            <w:gridSpan w:val="3"/>
            <w:tcBorders>
              <w:top w:val="single" w:sz="8" w:space="0" w:color="629DD1"/>
              <w:left w:val="nil"/>
              <w:bottom w:val="single" w:sz="8" w:space="0" w:color="629DD1"/>
              <w:right w:val="nil"/>
            </w:tcBorders>
            <w:shd w:val="clear" w:color="auto" w:fill="auto"/>
            <w:noWrap/>
            <w:vAlign w:val="center"/>
            <w:hideMark/>
          </w:tcPr>
          <w:p w14:paraId="70A1E295" w14:textId="77777777" w:rsidR="00A205B2" w:rsidRPr="00BF3CDE" w:rsidRDefault="00A205B2" w:rsidP="0061552B">
            <w:pPr>
              <w:spacing w:after="0" w:line="240" w:lineRule="auto"/>
              <w:rPr>
                <w:rFonts w:ascii="Verdana" w:eastAsia="Times New Roman" w:hAnsi="Verdana" w:cs="Calibri"/>
                <w:b/>
                <w:bCs/>
                <w:noProof/>
                <w:color w:val="242852"/>
                <w:sz w:val="20"/>
                <w:szCs w:val="20"/>
                <w:lang w:val="sr-Cyrl-CS" w:eastAsia="sr-Latn-RS"/>
              </w:rPr>
            </w:pPr>
            <w:r w:rsidRPr="00BF3CDE">
              <w:rPr>
                <w:rFonts w:ascii="Verdana" w:eastAsia="Times New Roman" w:hAnsi="Verdana" w:cs="Calibri"/>
                <w:b/>
                <w:bCs/>
                <w:noProof/>
                <w:color w:val="242852"/>
                <w:sz w:val="20"/>
                <w:szCs w:val="20"/>
                <w:lang w:val="sr-Cyrl-CS" w:eastAsia="sr-Latn-RS"/>
              </w:rPr>
              <w:t>УКУПНО</w:t>
            </w:r>
          </w:p>
        </w:tc>
        <w:tc>
          <w:tcPr>
            <w:tcW w:w="287" w:type="dxa"/>
            <w:tcBorders>
              <w:top w:val="single" w:sz="8" w:space="0" w:color="629DD1"/>
              <w:left w:val="nil"/>
              <w:bottom w:val="single" w:sz="8" w:space="0" w:color="629DD1"/>
              <w:right w:val="nil"/>
            </w:tcBorders>
            <w:shd w:val="clear" w:color="auto" w:fill="auto"/>
            <w:vAlign w:val="center"/>
            <w:hideMark/>
          </w:tcPr>
          <w:p w14:paraId="0D7E6F02" w14:textId="77777777" w:rsidR="00A205B2" w:rsidRPr="00BF3CDE" w:rsidRDefault="00A205B2" w:rsidP="0061552B">
            <w:pPr>
              <w:spacing w:after="0" w:line="240" w:lineRule="auto"/>
              <w:jc w:val="center"/>
              <w:rPr>
                <w:rFonts w:ascii="Verdana" w:eastAsia="Times New Roman" w:hAnsi="Verdana" w:cs="Calibri"/>
                <w:b/>
                <w:bCs/>
                <w:noProof/>
                <w:color w:val="242852"/>
                <w:sz w:val="20"/>
                <w:szCs w:val="20"/>
                <w:lang w:val="sr-Cyrl-CS" w:eastAsia="sr-Latn-RS"/>
              </w:rPr>
            </w:pPr>
            <w:r w:rsidRPr="00BF3CDE">
              <w:rPr>
                <w:rFonts w:ascii="Verdana" w:eastAsia="Times New Roman" w:hAnsi="Verdana" w:cs="Calibri"/>
                <w:b/>
                <w:bCs/>
                <w:noProof/>
                <w:color w:val="242852"/>
                <w:sz w:val="20"/>
                <w:szCs w:val="20"/>
                <w:lang w:val="sr-Cyrl-CS" w:eastAsia="sr-Latn-RS"/>
              </w:rPr>
              <w:t> </w:t>
            </w:r>
          </w:p>
        </w:tc>
        <w:tc>
          <w:tcPr>
            <w:tcW w:w="1142" w:type="dxa"/>
            <w:tcBorders>
              <w:top w:val="single" w:sz="8" w:space="0" w:color="629DD1"/>
              <w:left w:val="nil"/>
              <w:bottom w:val="single" w:sz="8" w:space="0" w:color="629DD1"/>
              <w:right w:val="nil"/>
            </w:tcBorders>
            <w:shd w:val="clear" w:color="auto" w:fill="auto"/>
            <w:vAlign w:val="center"/>
            <w:hideMark/>
          </w:tcPr>
          <w:p w14:paraId="46756363" w14:textId="77777777" w:rsidR="00A205B2" w:rsidRPr="00BF3CDE" w:rsidRDefault="00A205B2" w:rsidP="00C031DE">
            <w:pPr>
              <w:spacing w:after="0" w:line="240" w:lineRule="auto"/>
              <w:jc w:val="center"/>
              <w:rPr>
                <w:rFonts w:ascii="Verdana" w:eastAsia="Times New Roman" w:hAnsi="Verdana" w:cs="Calibri"/>
                <w:b/>
                <w:bCs/>
                <w:noProof/>
                <w:color w:val="242852"/>
                <w:sz w:val="20"/>
                <w:szCs w:val="20"/>
                <w:lang w:val="sr-Cyrl-CS" w:eastAsia="sr-Latn-RS"/>
              </w:rPr>
            </w:pPr>
            <w:r w:rsidRPr="00BF3CDE">
              <w:rPr>
                <w:rFonts w:ascii="Verdana" w:eastAsia="Times New Roman" w:hAnsi="Verdana" w:cs="Calibri"/>
                <w:b/>
                <w:bCs/>
                <w:noProof/>
                <w:color w:val="242852"/>
                <w:sz w:val="20"/>
                <w:szCs w:val="20"/>
                <w:lang w:val="sr-Cyrl-CS" w:eastAsia="sr-Latn-RS"/>
              </w:rPr>
              <w:t>226,378</w:t>
            </w:r>
          </w:p>
        </w:tc>
        <w:tc>
          <w:tcPr>
            <w:tcW w:w="1360" w:type="dxa"/>
            <w:tcBorders>
              <w:top w:val="single" w:sz="8" w:space="0" w:color="629DD1"/>
              <w:left w:val="nil"/>
              <w:bottom w:val="single" w:sz="8" w:space="0" w:color="629DD1"/>
              <w:right w:val="nil"/>
            </w:tcBorders>
            <w:shd w:val="clear" w:color="auto" w:fill="auto"/>
            <w:vAlign w:val="center"/>
          </w:tcPr>
          <w:p w14:paraId="2072A7A1" w14:textId="77777777" w:rsidR="00A205B2" w:rsidRPr="00BF3CDE" w:rsidRDefault="00A205B2" w:rsidP="00A205B2">
            <w:pPr>
              <w:spacing w:after="0" w:line="240" w:lineRule="auto"/>
              <w:jc w:val="right"/>
              <w:rPr>
                <w:rFonts w:ascii="Verdana" w:eastAsia="Times New Roman" w:hAnsi="Verdana" w:cs="Calibri"/>
                <w:b/>
                <w:bCs/>
                <w:noProof/>
                <w:color w:val="242852"/>
                <w:sz w:val="20"/>
                <w:szCs w:val="20"/>
                <w:lang w:val="sr-Cyrl-CS" w:eastAsia="sr-Latn-RS"/>
              </w:rPr>
            </w:pPr>
            <w:r w:rsidRPr="00BF3CDE">
              <w:rPr>
                <w:rFonts w:ascii="Verdana" w:eastAsia="Times New Roman" w:hAnsi="Verdana" w:cs="Calibri"/>
                <w:b/>
                <w:bCs/>
                <w:noProof/>
                <w:color w:val="242852"/>
                <w:sz w:val="20"/>
                <w:szCs w:val="20"/>
                <w:lang w:val="sr-Cyrl-CS" w:eastAsia="sr-Latn-RS"/>
              </w:rPr>
              <w:t>249,543</w:t>
            </w:r>
          </w:p>
        </w:tc>
      </w:tr>
    </w:tbl>
    <w:p w14:paraId="1C723533" w14:textId="77777777" w:rsidR="004E6E16" w:rsidRPr="00BF3CDE" w:rsidRDefault="004E6E16" w:rsidP="004E6E16">
      <w:pPr>
        <w:pStyle w:val="NoSpacing"/>
        <w:spacing w:before="80" w:after="80" w:line="276" w:lineRule="auto"/>
        <w:ind w:firstLine="567"/>
        <w:jc w:val="both"/>
        <w:rPr>
          <w:rFonts w:eastAsiaTheme="minorHAnsi"/>
          <w:noProof/>
          <w:sz w:val="20"/>
          <w:szCs w:val="20"/>
          <w:lang w:val="sr-Cyrl-CS" w:eastAsia="en-US"/>
        </w:rPr>
      </w:pPr>
      <w:r w:rsidRPr="00BF3CDE">
        <w:rPr>
          <w:rFonts w:eastAsiaTheme="minorHAnsi"/>
          <w:noProof/>
          <w:sz w:val="20"/>
          <w:szCs w:val="20"/>
          <w:lang w:val="sr-Cyrl-CS" w:eastAsia="en-US"/>
        </w:rPr>
        <w:t xml:space="preserve">У структури дугорочних резервисања преовлађују резервисања за изравнање ризика у износу </w:t>
      </w:r>
      <w:r>
        <w:rPr>
          <w:rFonts w:eastAsiaTheme="minorHAnsi"/>
          <w:noProof/>
          <w:sz w:val="20"/>
          <w:szCs w:val="20"/>
          <w:lang w:val="sr-Cyrl-CS" w:eastAsia="en-US"/>
        </w:rPr>
        <w:t>220.696</w:t>
      </w:r>
      <w:r w:rsidRPr="00BF3CDE">
        <w:rPr>
          <w:rFonts w:eastAsiaTheme="minorHAnsi"/>
          <w:noProof/>
          <w:sz w:val="20"/>
          <w:szCs w:val="20"/>
          <w:lang w:val="sr-Cyrl-CS" w:eastAsia="en-US"/>
        </w:rPr>
        <w:t>3хиљада динара или 8</w:t>
      </w:r>
      <w:r>
        <w:rPr>
          <w:rFonts w:eastAsiaTheme="minorHAnsi"/>
          <w:noProof/>
          <w:sz w:val="20"/>
          <w:szCs w:val="20"/>
          <w:lang w:val="sr-Cyrl-CS" w:eastAsia="en-US"/>
        </w:rPr>
        <w:t>8</w:t>
      </w:r>
      <w:r w:rsidRPr="00BF3CDE">
        <w:rPr>
          <w:rFonts w:eastAsiaTheme="minorHAnsi"/>
          <w:noProof/>
          <w:sz w:val="20"/>
          <w:szCs w:val="20"/>
          <w:lang w:val="sr-Cyrl-CS" w:eastAsia="en-US"/>
        </w:rPr>
        <w:t>,</w:t>
      </w:r>
      <w:r>
        <w:rPr>
          <w:rFonts w:eastAsiaTheme="minorHAnsi"/>
          <w:noProof/>
          <w:sz w:val="20"/>
          <w:szCs w:val="20"/>
          <w:lang w:val="sr-Cyrl-CS" w:eastAsia="en-US"/>
        </w:rPr>
        <w:t>44</w:t>
      </w:r>
      <w:r w:rsidRPr="00BF3CDE">
        <w:rPr>
          <w:rFonts w:eastAsiaTheme="minorHAnsi"/>
          <w:noProof/>
          <w:sz w:val="20"/>
          <w:szCs w:val="20"/>
          <w:lang w:val="sr-Cyrl-CS" w:eastAsia="en-US"/>
        </w:rPr>
        <w:t xml:space="preserve">%, резревисања по МРС 19 износе  </w:t>
      </w:r>
      <w:r>
        <w:rPr>
          <w:rFonts w:eastAsiaTheme="minorHAnsi"/>
          <w:noProof/>
          <w:sz w:val="20"/>
          <w:szCs w:val="20"/>
          <w:lang w:val="sr-Cyrl-CS" w:eastAsia="en-US"/>
        </w:rPr>
        <w:t>7</w:t>
      </w:r>
      <w:r w:rsidRPr="00BF3CDE">
        <w:rPr>
          <w:rFonts w:eastAsiaTheme="minorHAnsi"/>
          <w:noProof/>
          <w:sz w:val="20"/>
          <w:szCs w:val="20"/>
          <w:lang w:val="sr-Cyrl-CS" w:eastAsia="en-US"/>
        </w:rPr>
        <w:t>.</w:t>
      </w:r>
      <w:r>
        <w:rPr>
          <w:rFonts w:eastAsiaTheme="minorHAnsi"/>
          <w:noProof/>
          <w:sz w:val="20"/>
          <w:szCs w:val="20"/>
          <w:lang w:val="sr-Cyrl-CS" w:eastAsia="en-US"/>
        </w:rPr>
        <w:t>262</w:t>
      </w:r>
      <w:r w:rsidRPr="00BF3CDE">
        <w:rPr>
          <w:rFonts w:eastAsiaTheme="minorHAnsi"/>
          <w:noProof/>
          <w:sz w:val="20"/>
          <w:szCs w:val="20"/>
          <w:lang w:val="sr-Cyrl-CS" w:eastAsia="en-US"/>
        </w:rPr>
        <w:t xml:space="preserve"> хиљада динара или </w:t>
      </w:r>
      <w:r>
        <w:rPr>
          <w:rFonts w:eastAsiaTheme="minorHAnsi"/>
          <w:noProof/>
          <w:sz w:val="20"/>
          <w:szCs w:val="20"/>
          <w:lang w:val="sr-Cyrl-CS" w:eastAsia="en-US"/>
        </w:rPr>
        <w:t>2</w:t>
      </w:r>
      <w:r w:rsidRPr="00BF3CDE">
        <w:rPr>
          <w:rFonts w:eastAsiaTheme="minorHAnsi"/>
          <w:noProof/>
          <w:sz w:val="20"/>
          <w:szCs w:val="20"/>
          <w:lang w:val="sr-Cyrl-CS" w:eastAsia="en-US"/>
        </w:rPr>
        <w:t>,</w:t>
      </w:r>
      <w:r>
        <w:rPr>
          <w:rFonts w:eastAsiaTheme="minorHAnsi"/>
          <w:noProof/>
          <w:sz w:val="20"/>
          <w:szCs w:val="20"/>
          <w:lang w:val="sr-Cyrl-CS" w:eastAsia="en-US"/>
        </w:rPr>
        <w:t>91</w:t>
      </w:r>
      <w:r w:rsidRPr="00BF3CDE">
        <w:rPr>
          <w:rFonts w:eastAsiaTheme="minorHAnsi"/>
          <w:noProof/>
          <w:sz w:val="20"/>
          <w:szCs w:val="20"/>
          <w:lang w:val="sr-Cyrl-CS" w:eastAsia="en-US"/>
        </w:rPr>
        <w:t>% и математичка резерва осигурања живота износи 2</w:t>
      </w:r>
      <w:r>
        <w:rPr>
          <w:rFonts w:eastAsiaTheme="minorHAnsi"/>
          <w:noProof/>
          <w:sz w:val="20"/>
          <w:szCs w:val="20"/>
          <w:lang w:val="sr-Cyrl-CS" w:eastAsia="en-US"/>
        </w:rPr>
        <w:t>1</w:t>
      </w:r>
      <w:r w:rsidRPr="00BF3CDE">
        <w:rPr>
          <w:rFonts w:eastAsiaTheme="minorHAnsi"/>
          <w:noProof/>
          <w:sz w:val="20"/>
          <w:szCs w:val="20"/>
          <w:lang w:val="sr-Cyrl-CS" w:eastAsia="en-US"/>
        </w:rPr>
        <w:t>.</w:t>
      </w:r>
      <w:r>
        <w:rPr>
          <w:rFonts w:eastAsiaTheme="minorHAnsi"/>
          <w:noProof/>
          <w:sz w:val="20"/>
          <w:szCs w:val="20"/>
          <w:lang w:val="sr-Cyrl-CS" w:eastAsia="en-US"/>
        </w:rPr>
        <w:t>585</w:t>
      </w:r>
      <w:r w:rsidRPr="00BF3CDE">
        <w:rPr>
          <w:rFonts w:eastAsiaTheme="minorHAnsi"/>
          <w:noProof/>
          <w:sz w:val="20"/>
          <w:szCs w:val="20"/>
          <w:lang w:val="sr-Cyrl-CS" w:eastAsia="en-US"/>
        </w:rPr>
        <w:t xml:space="preserve"> хиљада динара или </w:t>
      </w:r>
      <w:r>
        <w:rPr>
          <w:rFonts w:eastAsiaTheme="minorHAnsi"/>
          <w:noProof/>
          <w:sz w:val="20"/>
          <w:szCs w:val="20"/>
          <w:lang w:val="sr-Cyrl-CS" w:eastAsia="en-US"/>
        </w:rPr>
        <w:t>8,64</w:t>
      </w:r>
      <w:r w:rsidRPr="00BF3CDE">
        <w:rPr>
          <w:rFonts w:eastAsiaTheme="minorHAnsi"/>
          <w:noProof/>
          <w:sz w:val="20"/>
          <w:szCs w:val="20"/>
          <w:lang w:val="sr-Cyrl-CS" w:eastAsia="en-US"/>
        </w:rPr>
        <w:t>%.</w:t>
      </w:r>
    </w:p>
    <w:p w14:paraId="52CCDFDA" w14:textId="77777777" w:rsidR="006963FE" w:rsidRPr="00BF3CDE" w:rsidRDefault="00CD69ED" w:rsidP="009A70FE">
      <w:pPr>
        <w:pStyle w:val="NoSpacing"/>
        <w:spacing w:before="80" w:after="80" w:line="276" w:lineRule="auto"/>
        <w:ind w:firstLine="567"/>
        <w:jc w:val="both"/>
        <w:rPr>
          <w:rFonts w:eastAsiaTheme="minorHAnsi"/>
          <w:noProof/>
          <w:sz w:val="20"/>
          <w:szCs w:val="20"/>
          <w:lang w:val="sr-Cyrl-CS" w:eastAsia="en-US"/>
        </w:rPr>
      </w:pPr>
      <w:r w:rsidRPr="00BF3CDE">
        <w:rPr>
          <w:rFonts w:eastAsiaTheme="minorHAnsi"/>
          <w:noProof/>
          <w:sz w:val="20"/>
          <w:szCs w:val="20"/>
          <w:lang w:val="sr-Cyrl-CS" w:eastAsia="en-US"/>
        </w:rPr>
        <w:t>Раст</w:t>
      </w:r>
      <w:r w:rsidR="00BB2651" w:rsidRPr="00BF3CDE">
        <w:rPr>
          <w:rFonts w:eastAsiaTheme="minorHAnsi"/>
          <w:noProof/>
          <w:sz w:val="20"/>
          <w:szCs w:val="20"/>
          <w:lang w:val="sr-Cyrl-CS" w:eastAsia="en-US"/>
        </w:rPr>
        <w:t xml:space="preserve"> дугорочних резервисања условљен је </w:t>
      </w:r>
      <w:r w:rsidRPr="00BF3CDE">
        <w:rPr>
          <w:rFonts w:eastAsiaTheme="minorHAnsi"/>
          <w:noProof/>
          <w:sz w:val="20"/>
          <w:szCs w:val="20"/>
          <w:lang w:val="sr-Cyrl-CS" w:eastAsia="en-US"/>
        </w:rPr>
        <w:t>повећањем</w:t>
      </w:r>
      <w:r w:rsidR="001C14AA" w:rsidRPr="00BF3CDE">
        <w:rPr>
          <w:rFonts w:eastAsiaTheme="minorHAnsi"/>
          <w:noProof/>
          <w:sz w:val="20"/>
          <w:szCs w:val="20"/>
          <w:lang w:val="sr-Cyrl-CS" w:eastAsia="en-US"/>
        </w:rPr>
        <w:t xml:space="preserve"> </w:t>
      </w:r>
      <w:r w:rsidR="00BB2651" w:rsidRPr="00BF3CDE">
        <w:rPr>
          <w:rFonts w:eastAsiaTheme="minorHAnsi"/>
          <w:noProof/>
          <w:sz w:val="20"/>
          <w:szCs w:val="20"/>
          <w:lang w:val="sr-Cyrl-CS" w:eastAsia="en-US"/>
        </w:rPr>
        <w:t>резерви за изравнање ризика</w:t>
      </w:r>
      <w:r w:rsidR="001C14AA" w:rsidRPr="00BF3CDE">
        <w:rPr>
          <w:rFonts w:eastAsiaTheme="minorHAnsi"/>
          <w:noProof/>
          <w:sz w:val="20"/>
          <w:szCs w:val="20"/>
          <w:lang w:val="sr-Cyrl-CS" w:eastAsia="en-US"/>
        </w:rPr>
        <w:t xml:space="preserve"> што је последица одступања меродавног техничког резултата у односу на просечни.</w:t>
      </w:r>
    </w:p>
    <w:p w14:paraId="18B49FF0" w14:textId="77777777" w:rsidR="00DC51FA" w:rsidRPr="00BF3CDE" w:rsidRDefault="00492321" w:rsidP="009A70FE">
      <w:pPr>
        <w:pStyle w:val="Heading1"/>
        <w:numPr>
          <w:ilvl w:val="2"/>
          <w:numId w:val="7"/>
        </w:numPr>
        <w:spacing w:before="120" w:after="120"/>
        <w:ind w:left="1077" w:hanging="1077"/>
        <w:jc w:val="left"/>
        <w:rPr>
          <w:rFonts w:asciiTheme="majorHAnsi" w:hAnsiTheme="majorHAnsi" w:cs="Tahoma"/>
          <w:i/>
          <w:noProof/>
          <w:color w:val="4F81BD"/>
          <w:sz w:val="22"/>
          <w:szCs w:val="18"/>
          <w:lang w:val="sr-Cyrl-CS"/>
        </w:rPr>
      </w:pPr>
      <w:bookmarkStart w:id="40" w:name="_Toc414356821"/>
      <w:r w:rsidRPr="00BF3CDE">
        <w:rPr>
          <w:rFonts w:asciiTheme="majorHAnsi" w:hAnsiTheme="majorHAnsi" w:cs="Tahoma"/>
          <w:i/>
          <w:noProof/>
          <w:color w:val="4F81BD"/>
          <w:sz w:val="22"/>
          <w:szCs w:val="18"/>
          <w:lang w:val="sr-Cyrl-CS"/>
        </w:rPr>
        <w:t>Краткорочне обавезе</w:t>
      </w:r>
      <w:bookmarkEnd w:id="40"/>
    </w:p>
    <w:p w14:paraId="646889AF" w14:textId="4F3E8284" w:rsidR="00D623A6" w:rsidRPr="00BF3CDE" w:rsidRDefault="00D623A6" w:rsidP="00412AD5">
      <w:pPr>
        <w:spacing w:before="240" w:after="120"/>
        <w:ind w:firstLine="567"/>
        <w:jc w:val="both"/>
        <w:rPr>
          <w:noProof/>
          <w:sz w:val="20"/>
          <w:szCs w:val="20"/>
          <w:lang w:val="sr-Cyrl-CS"/>
        </w:rPr>
      </w:pPr>
      <w:r w:rsidRPr="00BF3CDE">
        <w:rPr>
          <w:noProof/>
          <w:sz w:val="20"/>
          <w:szCs w:val="20"/>
          <w:lang w:val="sr-Cyrl-CS"/>
        </w:rPr>
        <w:t xml:space="preserve">Краткорочне обавезе Друштва износе </w:t>
      </w:r>
      <w:r w:rsidR="001D4002">
        <w:rPr>
          <w:noProof/>
          <w:sz w:val="20"/>
          <w:szCs w:val="20"/>
          <w:lang w:val="sr-Cyrl-CS"/>
        </w:rPr>
        <w:t>804.930</w:t>
      </w:r>
      <w:r w:rsidR="00CD69ED" w:rsidRPr="00BF3CDE">
        <w:rPr>
          <w:noProof/>
          <w:sz w:val="20"/>
          <w:szCs w:val="20"/>
          <w:lang w:val="sr-Cyrl-CS"/>
        </w:rPr>
        <w:t xml:space="preserve"> </w:t>
      </w:r>
      <w:r w:rsidRPr="00BF3CDE">
        <w:rPr>
          <w:noProof/>
          <w:sz w:val="20"/>
          <w:szCs w:val="20"/>
          <w:lang w:val="sr-Cyrl-CS"/>
        </w:rPr>
        <w:t>хиљада динара, а састоје се од:</w:t>
      </w:r>
    </w:p>
    <w:p w14:paraId="1976F411" w14:textId="77777777" w:rsidR="00D623A6" w:rsidRPr="00BF3CDE" w:rsidRDefault="00D623A6" w:rsidP="009A70FE">
      <w:pPr>
        <w:spacing w:after="0"/>
        <w:ind w:firstLine="567"/>
        <w:jc w:val="right"/>
        <w:rPr>
          <w:noProof/>
          <w:sz w:val="20"/>
          <w:szCs w:val="20"/>
          <w:lang w:val="sr-Cyrl-CS"/>
        </w:rPr>
      </w:pPr>
      <w:r w:rsidRPr="00BF3CDE">
        <w:rPr>
          <w:noProof/>
          <w:sz w:val="20"/>
          <w:szCs w:val="20"/>
          <w:lang w:val="sr-Cyrl-CS"/>
        </w:rPr>
        <w:t>у 000 РСД</w:t>
      </w:r>
    </w:p>
    <w:tbl>
      <w:tblPr>
        <w:tblW w:w="9519"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000" w:firstRow="0" w:lastRow="0" w:firstColumn="0" w:lastColumn="0" w:noHBand="0" w:noVBand="0"/>
      </w:tblPr>
      <w:tblGrid>
        <w:gridCol w:w="5838"/>
        <w:gridCol w:w="1980"/>
        <w:gridCol w:w="1701"/>
      </w:tblGrid>
      <w:tr w:rsidR="00236B98" w:rsidRPr="00BF3CDE" w14:paraId="7B841265" w14:textId="77777777" w:rsidTr="009A70FE">
        <w:trPr>
          <w:trHeight w:val="283"/>
          <w:tblCellSpacing w:w="20" w:type="dxa"/>
        </w:trPr>
        <w:tc>
          <w:tcPr>
            <w:tcW w:w="5778" w:type="dxa"/>
            <w:shd w:val="clear" w:color="auto" w:fill="auto"/>
            <w:noWrap/>
            <w:vAlign w:val="center"/>
          </w:tcPr>
          <w:p w14:paraId="037DDC76" w14:textId="77777777" w:rsidR="00236B98" w:rsidRPr="00BF3CDE" w:rsidRDefault="00236B98" w:rsidP="00A71AD8">
            <w:pPr>
              <w:spacing w:after="0" w:line="240" w:lineRule="auto"/>
              <w:jc w:val="center"/>
              <w:rPr>
                <w:rFonts w:ascii="Tahoma" w:eastAsia="Arial Unicode MS" w:hAnsi="Tahoma" w:cs="Tahoma"/>
                <w:b/>
                <w:noProof/>
                <w:lang w:val="sr-Cyrl-CS"/>
              </w:rPr>
            </w:pPr>
            <w:r w:rsidRPr="00BF3CDE">
              <w:rPr>
                <w:rFonts w:ascii="Tahoma" w:eastAsia="Arial Unicode MS" w:hAnsi="Tahoma" w:cs="Tahoma"/>
                <w:b/>
                <w:noProof/>
                <w:lang w:val="sr-Cyrl-CS"/>
              </w:rPr>
              <w:t>Краткорочне обавезе</w:t>
            </w:r>
          </w:p>
        </w:tc>
        <w:tc>
          <w:tcPr>
            <w:tcW w:w="1940" w:type="dxa"/>
            <w:shd w:val="clear" w:color="auto" w:fill="auto"/>
          </w:tcPr>
          <w:p w14:paraId="0E7F5BC2" w14:textId="77777777" w:rsidR="00236B98" w:rsidRPr="00BF3CDE" w:rsidRDefault="00236B98" w:rsidP="00A71AD8">
            <w:pPr>
              <w:spacing w:after="0" w:line="240" w:lineRule="auto"/>
              <w:jc w:val="both"/>
              <w:rPr>
                <w:rFonts w:ascii="Tahoma" w:eastAsia="Times New Roman" w:hAnsi="Tahoma" w:cs="Tahoma"/>
                <w:b/>
                <w:bCs/>
                <w:noProof/>
                <w:lang w:val="sr-Cyrl-CS"/>
              </w:rPr>
            </w:pPr>
            <w:r w:rsidRPr="00BF3CDE">
              <w:rPr>
                <w:rFonts w:ascii="Tahoma" w:eastAsia="Times New Roman" w:hAnsi="Tahoma" w:cs="Tahoma"/>
                <w:b/>
                <w:bCs/>
                <w:noProof/>
                <w:lang w:val="sr-Cyrl-CS"/>
              </w:rPr>
              <w:t>31.12.2014.</w:t>
            </w:r>
          </w:p>
        </w:tc>
        <w:tc>
          <w:tcPr>
            <w:tcW w:w="1641" w:type="dxa"/>
            <w:shd w:val="clear" w:color="auto" w:fill="auto"/>
            <w:noWrap/>
          </w:tcPr>
          <w:p w14:paraId="46EFE07E" w14:textId="77777777" w:rsidR="00236B98" w:rsidRPr="00BF3CDE" w:rsidRDefault="00236B98" w:rsidP="00A71AD8">
            <w:pPr>
              <w:spacing w:after="0" w:line="240" w:lineRule="auto"/>
              <w:jc w:val="both"/>
              <w:rPr>
                <w:rFonts w:ascii="Tahoma" w:eastAsia="Times New Roman" w:hAnsi="Tahoma" w:cs="Tahoma"/>
                <w:b/>
                <w:bCs/>
                <w:noProof/>
                <w:lang w:val="sr-Cyrl-CS"/>
              </w:rPr>
            </w:pPr>
            <w:r w:rsidRPr="00BF3CDE">
              <w:rPr>
                <w:rFonts w:ascii="Tahoma" w:eastAsia="Times New Roman" w:hAnsi="Tahoma" w:cs="Tahoma"/>
                <w:b/>
                <w:bCs/>
                <w:noProof/>
                <w:lang w:val="sr-Cyrl-CS"/>
              </w:rPr>
              <w:t>31.12.2013.</w:t>
            </w:r>
          </w:p>
        </w:tc>
      </w:tr>
      <w:tr w:rsidR="00236B98" w:rsidRPr="00BF3CDE" w14:paraId="5769F460" w14:textId="77777777" w:rsidTr="009A70FE">
        <w:trPr>
          <w:trHeight w:val="283"/>
          <w:tblCellSpacing w:w="20" w:type="dxa"/>
        </w:trPr>
        <w:tc>
          <w:tcPr>
            <w:tcW w:w="5778" w:type="dxa"/>
            <w:shd w:val="clear" w:color="auto" w:fill="auto"/>
            <w:noWrap/>
          </w:tcPr>
          <w:p w14:paraId="14C2979E" w14:textId="77777777" w:rsidR="00236B98" w:rsidRPr="00BF3CDE" w:rsidRDefault="00236B98" w:rsidP="00236B98">
            <w:pPr>
              <w:spacing w:after="0" w:line="240" w:lineRule="auto"/>
              <w:rPr>
                <w:rFonts w:ascii="Tahoma" w:eastAsia="Times New Roman" w:hAnsi="Tahoma" w:cs="Tahoma"/>
                <w:noProof/>
                <w:lang w:val="sr-Cyrl-CS"/>
              </w:rPr>
            </w:pPr>
            <w:r w:rsidRPr="00BF3CDE">
              <w:rPr>
                <w:rFonts w:ascii="Tahoma" w:eastAsia="Times New Roman" w:hAnsi="Tahoma" w:cs="Tahoma"/>
                <w:noProof/>
                <w:lang w:val="sr-Cyrl-CS"/>
              </w:rPr>
              <w:t>- Остале краткорочне финансијске обавезе</w:t>
            </w:r>
          </w:p>
        </w:tc>
        <w:tc>
          <w:tcPr>
            <w:tcW w:w="1940" w:type="dxa"/>
            <w:shd w:val="clear" w:color="auto" w:fill="auto"/>
          </w:tcPr>
          <w:p w14:paraId="083F43AC" w14:textId="77777777" w:rsidR="00236B98" w:rsidRPr="00BF3CDE" w:rsidRDefault="00236B98" w:rsidP="00236B98">
            <w:pPr>
              <w:spacing w:after="0" w:line="240" w:lineRule="auto"/>
              <w:jc w:val="right"/>
              <w:rPr>
                <w:rFonts w:ascii="Tahoma" w:eastAsia="Arial Unicode MS" w:hAnsi="Tahoma" w:cs="Tahoma"/>
                <w:noProof/>
                <w:lang w:val="sr-Cyrl-CS"/>
              </w:rPr>
            </w:pPr>
            <w:r w:rsidRPr="00BF3CDE">
              <w:rPr>
                <w:rFonts w:ascii="Tahoma" w:eastAsia="Arial Unicode MS" w:hAnsi="Tahoma" w:cs="Tahoma"/>
                <w:noProof/>
                <w:lang w:val="sr-Cyrl-CS"/>
              </w:rPr>
              <w:t xml:space="preserve">1.457      </w:t>
            </w:r>
          </w:p>
        </w:tc>
        <w:tc>
          <w:tcPr>
            <w:tcW w:w="1641" w:type="dxa"/>
            <w:shd w:val="clear" w:color="auto" w:fill="auto"/>
            <w:noWrap/>
          </w:tcPr>
          <w:p w14:paraId="7E13C498" w14:textId="77777777" w:rsidR="00236B98" w:rsidRPr="00BF3CDE" w:rsidRDefault="00236B98" w:rsidP="00236B98">
            <w:pPr>
              <w:spacing w:after="0" w:line="240" w:lineRule="auto"/>
              <w:jc w:val="right"/>
              <w:rPr>
                <w:rFonts w:ascii="Tahoma" w:eastAsia="Arial Unicode MS" w:hAnsi="Tahoma" w:cs="Tahoma"/>
                <w:noProof/>
                <w:lang w:val="sr-Cyrl-CS"/>
              </w:rPr>
            </w:pPr>
            <w:r w:rsidRPr="00BF3CDE">
              <w:rPr>
                <w:rFonts w:ascii="Tahoma" w:eastAsia="Arial Unicode MS" w:hAnsi="Tahoma" w:cs="Tahoma"/>
                <w:noProof/>
                <w:lang w:val="sr-Cyrl-CS"/>
              </w:rPr>
              <w:t xml:space="preserve">-        </w:t>
            </w:r>
          </w:p>
        </w:tc>
      </w:tr>
      <w:tr w:rsidR="00236B98" w:rsidRPr="00BF3CDE" w14:paraId="79C04162" w14:textId="77777777" w:rsidTr="009A70FE">
        <w:trPr>
          <w:trHeight w:val="283"/>
          <w:tblCellSpacing w:w="20" w:type="dxa"/>
        </w:trPr>
        <w:tc>
          <w:tcPr>
            <w:tcW w:w="5778" w:type="dxa"/>
            <w:shd w:val="clear" w:color="auto" w:fill="auto"/>
            <w:noWrap/>
          </w:tcPr>
          <w:p w14:paraId="16D0FC24" w14:textId="77777777" w:rsidR="00236B98" w:rsidRPr="00BF3CDE" w:rsidRDefault="00236B98" w:rsidP="00236B98">
            <w:pPr>
              <w:spacing w:after="0" w:line="240" w:lineRule="auto"/>
              <w:rPr>
                <w:rFonts w:ascii="Tahoma" w:eastAsia="Times New Roman" w:hAnsi="Tahoma" w:cs="Tahoma"/>
                <w:noProof/>
                <w:lang w:val="sr-Cyrl-CS"/>
              </w:rPr>
            </w:pPr>
            <w:r w:rsidRPr="00BF3CDE">
              <w:rPr>
                <w:rFonts w:ascii="Tahoma" w:eastAsia="Times New Roman" w:hAnsi="Tahoma" w:cs="Tahoma"/>
                <w:noProof/>
                <w:lang w:val="sr-Cyrl-CS"/>
              </w:rPr>
              <w:t>- Обавезе по основу штета и уг. износа</w:t>
            </w:r>
          </w:p>
        </w:tc>
        <w:tc>
          <w:tcPr>
            <w:tcW w:w="1940" w:type="dxa"/>
            <w:shd w:val="clear" w:color="auto" w:fill="auto"/>
          </w:tcPr>
          <w:p w14:paraId="6A65AED1" w14:textId="77777777" w:rsidR="00236B98" w:rsidRPr="00BF3CDE" w:rsidRDefault="00236B98" w:rsidP="00236B98">
            <w:pPr>
              <w:spacing w:after="0" w:line="240" w:lineRule="auto"/>
              <w:jc w:val="right"/>
              <w:rPr>
                <w:rFonts w:ascii="Tahoma" w:eastAsia="Arial Unicode MS" w:hAnsi="Tahoma" w:cs="Tahoma"/>
                <w:noProof/>
                <w:lang w:val="sr-Cyrl-CS"/>
              </w:rPr>
            </w:pPr>
            <w:r w:rsidRPr="00BF3CDE">
              <w:rPr>
                <w:rFonts w:ascii="Tahoma" w:eastAsia="Arial Unicode MS" w:hAnsi="Tahoma" w:cs="Tahoma"/>
                <w:noProof/>
                <w:lang w:val="sr-Cyrl-CS"/>
              </w:rPr>
              <w:t xml:space="preserve">407.230      </w:t>
            </w:r>
          </w:p>
        </w:tc>
        <w:tc>
          <w:tcPr>
            <w:tcW w:w="1641" w:type="dxa"/>
            <w:shd w:val="clear" w:color="auto" w:fill="auto"/>
            <w:noWrap/>
          </w:tcPr>
          <w:p w14:paraId="59F07B8A" w14:textId="77777777" w:rsidR="00236B98" w:rsidRPr="00BF3CDE" w:rsidRDefault="00236B98" w:rsidP="00236B98">
            <w:pPr>
              <w:spacing w:after="0" w:line="240" w:lineRule="auto"/>
              <w:jc w:val="right"/>
              <w:rPr>
                <w:rFonts w:ascii="Tahoma" w:eastAsia="Arial Unicode MS" w:hAnsi="Tahoma" w:cs="Tahoma"/>
                <w:noProof/>
                <w:lang w:val="sr-Cyrl-CS"/>
              </w:rPr>
            </w:pPr>
            <w:r w:rsidRPr="00BF3CDE">
              <w:rPr>
                <w:rFonts w:ascii="Tahoma" w:eastAsia="Arial Unicode MS" w:hAnsi="Tahoma" w:cs="Tahoma"/>
                <w:noProof/>
                <w:lang w:val="sr-Cyrl-CS"/>
              </w:rPr>
              <w:t xml:space="preserve">317.106      </w:t>
            </w:r>
          </w:p>
        </w:tc>
      </w:tr>
      <w:tr w:rsidR="00236B98" w:rsidRPr="00BF3CDE" w14:paraId="179AB92B" w14:textId="77777777" w:rsidTr="009A70FE">
        <w:trPr>
          <w:trHeight w:val="283"/>
          <w:tblCellSpacing w:w="20" w:type="dxa"/>
        </w:trPr>
        <w:tc>
          <w:tcPr>
            <w:tcW w:w="5778" w:type="dxa"/>
            <w:shd w:val="clear" w:color="auto" w:fill="auto"/>
            <w:noWrap/>
          </w:tcPr>
          <w:p w14:paraId="5F994E27" w14:textId="77777777" w:rsidR="00236B98" w:rsidRPr="00BF3CDE" w:rsidRDefault="00236B98" w:rsidP="00236B98">
            <w:pPr>
              <w:spacing w:after="0" w:line="240" w:lineRule="auto"/>
              <w:rPr>
                <w:rFonts w:ascii="Tahoma" w:eastAsia="Times New Roman" w:hAnsi="Tahoma" w:cs="Tahoma"/>
                <w:noProof/>
                <w:lang w:val="sr-Cyrl-CS"/>
              </w:rPr>
            </w:pPr>
            <w:r w:rsidRPr="00BF3CDE">
              <w:rPr>
                <w:rFonts w:ascii="Tahoma" w:eastAsia="Times New Roman" w:hAnsi="Tahoma" w:cs="Tahoma"/>
                <w:noProof/>
                <w:lang w:val="sr-Cyrl-CS"/>
              </w:rPr>
              <w:t>- Обавезе за премију</w:t>
            </w:r>
            <w:r w:rsidR="00110634">
              <w:rPr>
                <w:rFonts w:ascii="Tahoma" w:eastAsia="Times New Roman" w:hAnsi="Tahoma" w:cs="Tahoma"/>
                <w:noProof/>
                <w:lang w:val="sr-Cyrl-CS"/>
              </w:rPr>
              <w:t>,</w:t>
            </w:r>
            <w:r w:rsidR="00110634" w:rsidRPr="00BF3CDE">
              <w:rPr>
                <w:rFonts w:ascii="Tahoma" w:eastAsia="Times New Roman" w:hAnsi="Tahoma" w:cs="Tahoma"/>
                <w:noProof/>
                <w:lang w:val="sr-Cyrl-CS"/>
              </w:rPr>
              <w:t xml:space="preserve"> зараде и др.</w:t>
            </w:r>
          </w:p>
        </w:tc>
        <w:tc>
          <w:tcPr>
            <w:tcW w:w="1940" w:type="dxa"/>
            <w:shd w:val="clear" w:color="auto" w:fill="auto"/>
          </w:tcPr>
          <w:p w14:paraId="17580A42" w14:textId="77777777" w:rsidR="00236B98" w:rsidRPr="00BF3CDE" w:rsidRDefault="00236B98" w:rsidP="00236B98">
            <w:pPr>
              <w:spacing w:after="0" w:line="240" w:lineRule="auto"/>
              <w:jc w:val="right"/>
              <w:rPr>
                <w:rFonts w:ascii="Tahoma" w:eastAsia="Arial Unicode MS" w:hAnsi="Tahoma" w:cs="Tahoma"/>
                <w:noProof/>
                <w:lang w:val="sr-Cyrl-CS"/>
              </w:rPr>
            </w:pPr>
            <w:r w:rsidRPr="00BF3CDE">
              <w:rPr>
                <w:rFonts w:ascii="Tahoma" w:eastAsia="Arial Unicode MS" w:hAnsi="Tahoma" w:cs="Tahoma"/>
                <w:noProof/>
                <w:lang w:val="sr-Cyrl-CS"/>
              </w:rPr>
              <w:t xml:space="preserve">396.243      </w:t>
            </w:r>
          </w:p>
        </w:tc>
        <w:tc>
          <w:tcPr>
            <w:tcW w:w="1641" w:type="dxa"/>
            <w:shd w:val="clear" w:color="auto" w:fill="auto"/>
            <w:noWrap/>
          </w:tcPr>
          <w:p w14:paraId="278E4285" w14:textId="2C21EAC8" w:rsidR="00236B98" w:rsidRPr="00BF3CDE" w:rsidRDefault="00110634" w:rsidP="00110634">
            <w:pPr>
              <w:spacing w:after="0" w:line="240" w:lineRule="auto"/>
              <w:jc w:val="right"/>
              <w:rPr>
                <w:rFonts w:ascii="Tahoma" w:eastAsia="Arial Unicode MS" w:hAnsi="Tahoma" w:cs="Tahoma"/>
                <w:noProof/>
                <w:lang w:val="sr-Cyrl-CS"/>
              </w:rPr>
            </w:pPr>
            <w:r>
              <w:rPr>
                <w:rFonts w:ascii="Tahoma" w:eastAsia="Arial Unicode MS" w:hAnsi="Tahoma" w:cs="Tahoma"/>
                <w:noProof/>
                <w:lang w:val="sr-Cyrl-CS"/>
              </w:rPr>
              <w:t>721.797</w:t>
            </w:r>
            <w:r w:rsidR="00236B98" w:rsidRPr="00BF3CDE">
              <w:rPr>
                <w:rFonts w:ascii="Tahoma" w:eastAsia="Arial Unicode MS" w:hAnsi="Tahoma" w:cs="Tahoma"/>
                <w:noProof/>
                <w:lang w:val="sr-Cyrl-CS"/>
              </w:rPr>
              <w:t xml:space="preserve">      </w:t>
            </w:r>
          </w:p>
        </w:tc>
      </w:tr>
      <w:tr w:rsidR="00236B98" w:rsidRPr="00BF3CDE" w14:paraId="7A1A4D60" w14:textId="77777777" w:rsidTr="009A70FE">
        <w:trPr>
          <w:trHeight w:val="283"/>
          <w:tblCellSpacing w:w="20" w:type="dxa"/>
        </w:trPr>
        <w:tc>
          <w:tcPr>
            <w:tcW w:w="5778" w:type="dxa"/>
            <w:shd w:val="clear" w:color="auto" w:fill="auto"/>
            <w:noWrap/>
          </w:tcPr>
          <w:p w14:paraId="26A70929" w14:textId="77777777" w:rsidR="00236B98" w:rsidRPr="00BF3CDE" w:rsidRDefault="00236B98" w:rsidP="00236B98">
            <w:pPr>
              <w:spacing w:after="0" w:line="240" w:lineRule="auto"/>
              <w:rPr>
                <w:rFonts w:ascii="Tahoma" w:eastAsia="Times New Roman" w:hAnsi="Tahoma" w:cs="Tahoma"/>
                <w:b/>
                <w:noProof/>
                <w:lang w:val="sr-Cyrl-CS"/>
              </w:rPr>
            </w:pPr>
            <w:r w:rsidRPr="00BF3CDE">
              <w:rPr>
                <w:rFonts w:ascii="Tahoma" w:eastAsia="Times New Roman" w:hAnsi="Tahoma" w:cs="Tahoma"/>
                <w:b/>
                <w:noProof/>
                <w:lang w:val="sr-Cyrl-CS"/>
              </w:rPr>
              <w:t>УКУПНЕ КРАТКОРОЧНЕ ОБАВЕЗЕ</w:t>
            </w:r>
          </w:p>
        </w:tc>
        <w:tc>
          <w:tcPr>
            <w:tcW w:w="1940" w:type="dxa"/>
            <w:shd w:val="clear" w:color="auto" w:fill="auto"/>
          </w:tcPr>
          <w:p w14:paraId="71172C81" w14:textId="7849F2AD" w:rsidR="00236B98" w:rsidRPr="00BF3CDE" w:rsidRDefault="00110634" w:rsidP="00236B98">
            <w:pPr>
              <w:spacing w:after="0" w:line="240" w:lineRule="auto"/>
              <w:jc w:val="right"/>
              <w:rPr>
                <w:rFonts w:ascii="Tahoma" w:eastAsia="Arial Unicode MS" w:hAnsi="Tahoma" w:cs="Tahoma"/>
                <w:b/>
                <w:noProof/>
                <w:lang w:val="sr-Cyrl-CS"/>
              </w:rPr>
            </w:pPr>
            <w:r>
              <w:rPr>
                <w:rFonts w:ascii="Tahoma" w:eastAsia="Arial Unicode MS" w:hAnsi="Tahoma" w:cs="Tahoma"/>
                <w:b/>
                <w:noProof/>
                <w:lang w:val="sr-Cyrl-CS"/>
              </w:rPr>
              <w:t>804.930</w:t>
            </w:r>
            <w:r w:rsidR="00236B98" w:rsidRPr="00BF3CDE">
              <w:rPr>
                <w:rFonts w:ascii="Tahoma" w:eastAsia="Arial Unicode MS" w:hAnsi="Tahoma" w:cs="Tahoma"/>
                <w:b/>
                <w:noProof/>
                <w:lang w:val="sr-Cyrl-CS"/>
              </w:rPr>
              <w:t xml:space="preserve">      </w:t>
            </w:r>
          </w:p>
        </w:tc>
        <w:tc>
          <w:tcPr>
            <w:tcW w:w="1641" w:type="dxa"/>
            <w:shd w:val="clear" w:color="auto" w:fill="auto"/>
            <w:noWrap/>
          </w:tcPr>
          <w:p w14:paraId="21133D10" w14:textId="77777777" w:rsidR="00236B98" w:rsidRPr="00BF3CDE" w:rsidRDefault="00236B98" w:rsidP="00236B98">
            <w:pPr>
              <w:spacing w:after="0" w:line="240" w:lineRule="auto"/>
              <w:jc w:val="right"/>
              <w:rPr>
                <w:rFonts w:ascii="Tahoma" w:eastAsia="Arial Unicode MS" w:hAnsi="Tahoma" w:cs="Tahoma"/>
                <w:b/>
                <w:noProof/>
                <w:lang w:val="sr-Cyrl-CS"/>
              </w:rPr>
            </w:pPr>
            <w:r w:rsidRPr="00BF3CDE">
              <w:rPr>
                <w:rFonts w:ascii="Tahoma" w:eastAsia="Arial Unicode MS" w:hAnsi="Tahoma" w:cs="Tahoma"/>
                <w:b/>
                <w:noProof/>
                <w:lang w:val="sr-Cyrl-CS"/>
              </w:rPr>
              <w:t xml:space="preserve">1.038.903      </w:t>
            </w:r>
          </w:p>
        </w:tc>
      </w:tr>
    </w:tbl>
    <w:p w14:paraId="5E174F6A" w14:textId="77777777" w:rsidR="00236B98" w:rsidRPr="00BF3CDE" w:rsidRDefault="00236B98" w:rsidP="00236B98">
      <w:pPr>
        <w:spacing w:before="120" w:after="120"/>
        <w:ind w:right="-428" w:hanging="567"/>
        <w:jc w:val="right"/>
        <w:rPr>
          <w:noProof/>
          <w:color w:val="FF0000"/>
          <w:sz w:val="20"/>
          <w:szCs w:val="20"/>
          <w:lang w:val="sr-Cyrl-CS"/>
        </w:rPr>
      </w:pPr>
      <w:r w:rsidRPr="00BF3CDE">
        <w:rPr>
          <w:noProof/>
          <w:lang w:val="sr-Latn-RS" w:eastAsia="sr-Latn-RS"/>
        </w:rPr>
        <w:lastRenderedPageBreak/>
        <w:drawing>
          <wp:inline distT="0" distB="0" distL="0" distR="0" wp14:anchorId="57D04B1F" wp14:editId="6CDECF2F">
            <wp:extent cx="6519553" cy="2980707"/>
            <wp:effectExtent l="0" t="1905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3F4E72F2" w14:textId="77777777" w:rsidR="004F2EE0" w:rsidRPr="00BF3CDE" w:rsidRDefault="004F2EE0" w:rsidP="004F2EE0">
      <w:pPr>
        <w:spacing w:before="240" w:after="240"/>
        <w:jc w:val="both"/>
        <w:rPr>
          <w:b/>
          <w:i/>
          <w:noProof/>
          <w:color w:val="365F91" w:themeColor="accent1" w:themeShade="BF"/>
          <w:sz w:val="20"/>
          <w:lang w:val="sr-Cyrl-CS"/>
        </w:rPr>
      </w:pPr>
      <w:r w:rsidRPr="00BF3CDE">
        <w:rPr>
          <w:b/>
          <w:i/>
          <w:noProof/>
          <w:color w:val="365F91" w:themeColor="accent1" w:themeShade="BF"/>
          <w:sz w:val="20"/>
          <w:lang w:val="sr-Cyrl-CS"/>
        </w:rPr>
        <w:t xml:space="preserve">Преглед дуговања по највећим по највећим повериоцима </w:t>
      </w:r>
    </w:p>
    <w:p w14:paraId="4B38DC73" w14:textId="77777777" w:rsidR="004E6E16" w:rsidRPr="00BF3CDE" w:rsidRDefault="004E6E16" w:rsidP="004E6E16">
      <w:pPr>
        <w:spacing w:before="120" w:after="0"/>
        <w:ind w:firstLine="284"/>
        <w:jc w:val="both"/>
        <w:rPr>
          <w:rStyle w:val="Hyperlink"/>
          <w:noProof/>
          <w:color w:val="auto"/>
          <w:sz w:val="20"/>
          <w:lang w:val="sr-Cyrl-CS"/>
        </w:rPr>
      </w:pPr>
      <w:r w:rsidRPr="00BF3CDE">
        <w:rPr>
          <w:rStyle w:val="Hyperlink"/>
          <w:noProof/>
          <w:color w:val="auto"/>
          <w:sz w:val="20"/>
          <w:lang w:val="sr-Cyrl-CS"/>
        </w:rPr>
        <w:t xml:space="preserve">Највеће укупно дуговање у земљи на дан 31.12.2014. године Друштво има према </w:t>
      </w:r>
      <w:r>
        <w:rPr>
          <w:rStyle w:val="Hyperlink"/>
          <w:noProof/>
          <w:color w:val="auto"/>
          <w:sz w:val="20"/>
          <w:lang w:val="sr-Cyrl-CS"/>
        </w:rPr>
        <w:t>Компанији Дунав осигурање а.д.о Београд у износу од 129.452 хиљада динара</w:t>
      </w:r>
      <w:r w:rsidRPr="00BF3CDE">
        <w:rPr>
          <w:rStyle w:val="Hyperlink"/>
          <w:noProof/>
          <w:color w:val="auto"/>
          <w:sz w:val="20"/>
          <w:lang w:val="sr-Cyrl-CS"/>
        </w:rPr>
        <w:t xml:space="preserve">, </w:t>
      </w:r>
      <w:r>
        <w:rPr>
          <w:rStyle w:val="Hyperlink"/>
          <w:noProof/>
          <w:color w:val="auto"/>
          <w:sz w:val="20"/>
          <w:lang w:val="sr-Cyrl-CS"/>
        </w:rPr>
        <w:t>а</w:t>
      </w:r>
      <w:r w:rsidRPr="00BF3CDE">
        <w:rPr>
          <w:rStyle w:val="Hyperlink"/>
          <w:noProof/>
          <w:color w:val="auto"/>
          <w:sz w:val="20"/>
          <w:lang w:val="sr-Cyrl-CS"/>
        </w:rPr>
        <w:t xml:space="preserve"> највећ</w:t>
      </w:r>
      <w:r>
        <w:rPr>
          <w:rStyle w:val="Hyperlink"/>
          <w:noProof/>
          <w:color w:val="auto"/>
          <w:sz w:val="20"/>
          <w:lang w:val="sr-Cyrl-CS"/>
        </w:rPr>
        <w:t>а</w:t>
      </w:r>
      <w:r w:rsidRPr="00BF3CDE">
        <w:rPr>
          <w:rStyle w:val="Hyperlink"/>
          <w:noProof/>
          <w:color w:val="auto"/>
          <w:sz w:val="20"/>
          <w:lang w:val="sr-Cyrl-CS"/>
        </w:rPr>
        <w:t xml:space="preserve"> укупн</w:t>
      </w:r>
      <w:r>
        <w:rPr>
          <w:rStyle w:val="Hyperlink"/>
          <w:noProof/>
          <w:color w:val="auto"/>
          <w:sz w:val="20"/>
          <w:lang w:val="sr-Cyrl-CS"/>
        </w:rPr>
        <w:t>а</w:t>
      </w:r>
      <w:r w:rsidRPr="00BF3CDE">
        <w:rPr>
          <w:rStyle w:val="Hyperlink"/>
          <w:noProof/>
          <w:color w:val="auto"/>
          <w:sz w:val="20"/>
          <w:lang w:val="sr-Cyrl-CS"/>
        </w:rPr>
        <w:t xml:space="preserve"> </w:t>
      </w:r>
      <w:r>
        <w:rPr>
          <w:rStyle w:val="Hyperlink"/>
          <w:noProof/>
          <w:color w:val="auto"/>
          <w:sz w:val="20"/>
          <w:lang w:val="sr-Cyrl-CS"/>
        </w:rPr>
        <w:t>обавеза</w:t>
      </w:r>
      <w:r w:rsidRPr="00BF3CDE">
        <w:rPr>
          <w:rStyle w:val="Hyperlink"/>
          <w:noProof/>
          <w:color w:val="auto"/>
          <w:sz w:val="20"/>
          <w:lang w:val="sr-Cyrl-CS"/>
        </w:rPr>
        <w:t xml:space="preserve"> </w:t>
      </w:r>
      <w:r>
        <w:rPr>
          <w:rStyle w:val="Hyperlink"/>
          <w:noProof/>
          <w:color w:val="auto"/>
          <w:sz w:val="20"/>
          <w:lang w:val="sr-Cyrl-CS"/>
        </w:rPr>
        <w:t xml:space="preserve">према </w:t>
      </w:r>
      <w:r w:rsidRPr="00BF3CDE">
        <w:rPr>
          <w:rStyle w:val="Hyperlink"/>
          <w:noProof/>
          <w:color w:val="auto"/>
          <w:sz w:val="20"/>
          <w:lang w:val="sr-Cyrl-CS"/>
        </w:rPr>
        <w:t xml:space="preserve"> иностранств</w:t>
      </w:r>
      <w:r>
        <w:rPr>
          <w:rStyle w:val="Hyperlink"/>
          <w:noProof/>
          <w:color w:val="auto"/>
          <w:sz w:val="20"/>
          <w:lang w:val="sr-Cyrl-CS"/>
        </w:rPr>
        <w:t>у износи</w:t>
      </w:r>
      <w:r w:rsidRPr="00BF3CDE">
        <w:rPr>
          <w:rStyle w:val="Hyperlink"/>
          <w:noProof/>
          <w:color w:val="auto"/>
          <w:sz w:val="20"/>
          <w:lang w:val="sr-Cyrl-CS"/>
        </w:rPr>
        <w:t xml:space="preserve"> </w:t>
      </w:r>
      <w:r>
        <w:rPr>
          <w:rStyle w:val="Hyperlink"/>
          <w:noProof/>
          <w:color w:val="auto"/>
          <w:sz w:val="20"/>
          <w:lang w:val="sr-Cyrl-CS"/>
        </w:rPr>
        <w:t xml:space="preserve">152.298 хиљада динара и односи се на </w:t>
      </w:r>
      <w:r w:rsidRPr="00BF3CDE">
        <w:rPr>
          <w:rFonts w:eastAsia="Times New Roman" w:cs="Calibri"/>
          <w:noProof/>
          <w:sz w:val="20"/>
          <w:szCs w:val="20"/>
          <w:lang w:val="sr-Cyrl-CS" w:eastAsia="sr-Latn-RS"/>
        </w:rPr>
        <w:t>Liquidation Bureau New York, USA</w:t>
      </w:r>
      <w:r>
        <w:rPr>
          <w:rStyle w:val="Hyperlink"/>
          <w:noProof/>
          <w:color w:val="auto"/>
          <w:sz w:val="20"/>
          <w:lang w:val="sr-Cyrl-CS"/>
        </w:rPr>
        <w:t xml:space="preserve"> .</w:t>
      </w:r>
      <w:r w:rsidRPr="00BF3CDE">
        <w:rPr>
          <w:rStyle w:val="Hyperlink"/>
          <w:i/>
          <w:noProof/>
          <w:color w:val="auto"/>
          <w:sz w:val="20"/>
          <w:lang w:val="sr-Cyrl-CS"/>
        </w:rPr>
        <w:t xml:space="preserve"> </w:t>
      </w:r>
    </w:p>
    <w:p w14:paraId="70398980" w14:textId="77777777" w:rsidR="004F2EE0" w:rsidRPr="00BF3CDE" w:rsidRDefault="004F2EE0" w:rsidP="004F2EE0">
      <w:pPr>
        <w:spacing w:after="0"/>
        <w:jc w:val="center"/>
        <w:rPr>
          <w:b/>
          <w:i/>
          <w:noProof/>
          <w:color w:val="4F81BD" w:themeColor="accent1"/>
          <w:sz w:val="20"/>
          <w:lang w:val="sr-Cyrl-CS"/>
        </w:rPr>
      </w:pPr>
      <w:r w:rsidRPr="00BF3CDE">
        <w:rPr>
          <w:b/>
          <w:i/>
          <w:noProof/>
          <w:color w:val="4F81BD" w:themeColor="accent1"/>
          <w:sz w:val="20"/>
          <w:lang w:val="sr-Cyrl-CS"/>
        </w:rPr>
        <w:t>5 највећих поверилаца у земљи</w:t>
      </w:r>
    </w:p>
    <w:p w14:paraId="6A5CFA12" w14:textId="77777777" w:rsidR="004F2EE0" w:rsidRPr="00BF3CDE" w:rsidRDefault="004F2EE0" w:rsidP="004F2EE0">
      <w:pPr>
        <w:pStyle w:val="NoSpacing"/>
        <w:jc w:val="right"/>
        <w:rPr>
          <w:rFonts w:ascii="Tahoma" w:hAnsi="Tahoma" w:cs="Tahoma"/>
          <w:noProof/>
          <w:sz w:val="20"/>
          <w:szCs w:val="18"/>
          <w:lang w:val="sr-Cyrl-CS"/>
        </w:rPr>
      </w:pPr>
      <w:r w:rsidRPr="00BF3CDE">
        <w:rPr>
          <w:rFonts w:ascii="Tahoma" w:hAnsi="Tahoma" w:cs="Tahoma"/>
          <w:noProof/>
          <w:sz w:val="20"/>
          <w:szCs w:val="18"/>
          <w:lang w:val="sr-Cyrl-CS"/>
        </w:rPr>
        <w:t>У 000 РСД</w:t>
      </w:r>
    </w:p>
    <w:p w14:paraId="0BF26713" w14:textId="77777777" w:rsidR="004F2EE0" w:rsidRPr="00BF3CDE" w:rsidRDefault="004F2EE0" w:rsidP="004F2EE0">
      <w:pPr>
        <w:pStyle w:val="NoSpacing"/>
        <w:jc w:val="right"/>
        <w:rPr>
          <w:rFonts w:ascii="Tahoma" w:hAnsi="Tahoma" w:cs="Tahoma"/>
          <w:noProof/>
          <w:sz w:val="2"/>
          <w:szCs w:val="2"/>
          <w:lang w:val="sr-Cyrl-CS"/>
        </w:rPr>
      </w:pPr>
    </w:p>
    <w:tbl>
      <w:tblPr>
        <w:tblStyle w:val="LightShading-Accent11"/>
        <w:tblW w:w="9700" w:type="dxa"/>
        <w:tblLook w:val="04A0" w:firstRow="1" w:lastRow="0" w:firstColumn="1" w:lastColumn="0" w:noHBand="0" w:noVBand="1"/>
      </w:tblPr>
      <w:tblGrid>
        <w:gridCol w:w="4120"/>
        <w:gridCol w:w="1860"/>
        <w:gridCol w:w="1860"/>
        <w:gridCol w:w="1860"/>
      </w:tblGrid>
      <w:tr w:rsidR="004F2EE0" w:rsidRPr="00BF3CDE" w14:paraId="6D9A2BB6" w14:textId="77777777" w:rsidTr="004F2EE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120" w:type="dxa"/>
            <w:noWrap/>
            <w:vAlign w:val="center"/>
            <w:hideMark/>
          </w:tcPr>
          <w:p w14:paraId="6D68F1E8" w14:textId="77777777" w:rsidR="004F2EE0" w:rsidRPr="00BF3CDE" w:rsidRDefault="004F2EE0" w:rsidP="00A71AD8">
            <w:pPr>
              <w:jc w:val="center"/>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Назив Цедента</w:t>
            </w:r>
          </w:p>
        </w:tc>
        <w:tc>
          <w:tcPr>
            <w:tcW w:w="1860" w:type="dxa"/>
            <w:noWrap/>
            <w:vAlign w:val="center"/>
            <w:hideMark/>
          </w:tcPr>
          <w:p w14:paraId="6E153F59" w14:textId="77777777" w:rsidR="004F2EE0" w:rsidRPr="00BF3CDE" w:rsidRDefault="004F2EE0" w:rsidP="00A71AD8">
            <w:pPr>
              <w:jc w:val="center"/>
              <w:cnfStyle w:val="100000000000" w:firstRow="1"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Укупно потраживање</w:t>
            </w:r>
          </w:p>
        </w:tc>
        <w:tc>
          <w:tcPr>
            <w:tcW w:w="1860" w:type="dxa"/>
            <w:noWrap/>
            <w:vAlign w:val="center"/>
            <w:hideMark/>
          </w:tcPr>
          <w:p w14:paraId="402C3317" w14:textId="77777777" w:rsidR="004F2EE0" w:rsidRPr="00BF3CDE" w:rsidRDefault="004F2EE0" w:rsidP="00A71AD8">
            <w:pPr>
              <w:jc w:val="center"/>
              <w:cnfStyle w:val="100000000000" w:firstRow="1"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Доспело потраживање</w:t>
            </w:r>
          </w:p>
        </w:tc>
        <w:tc>
          <w:tcPr>
            <w:tcW w:w="1860" w:type="dxa"/>
            <w:noWrap/>
            <w:vAlign w:val="center"/>
            <w:hideMark/>
          </w:tcPr>
          <w:p w14:paraId="7AB0D9A3" w14:textId="77777777" w:rsidR="004F2EE0" w:rsidRPr="00BF3CDE" w:rsidRDefault="004F2EE0" w:rsidP="00A71AD8">
            <w:pPr>
              <w:jc w:val="center"/>
              <w:cnfStyle w:val="100000000000" w:firstRow="1"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Недоспело потраживање</w:t>
            </w:r>
          </w:p>
        </w:tc>
      </w:tr>
      <w:tr w:rsidR="009A70FE" w:rsidRPr="00BF3CDE" w14:paraId="3FEF259D" w14:textId="77777777" w:rsidTr="00BD735A">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4120" w:type="dxa"/>
            <w:noWrap/>
            <w:vAlign w:val="center"/>
            <w:hideMark/>
          </w:tcPr>
          <w:p w14:paraId="4E8BDBBA" w14:textId="77777777" w:rsidR="009A70FE" w:rsidRPr="00BF3CDE" w:rsidRDefault="009A70FE" w:rsidP="00BD735A">
            <w:pPr>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Компанија Дунав осигурање</w:t>
            </w:r>
          </w:p>
        </w:tc>
        <w:tc>
          <w:tcPr>
            <w:tcW w:w="1860" w:type="dxa"/>
            <w:noWrap/>
            <w:vAlign w:val="center"/>
            <w:hideMark/>
          </w:tcPr>
          <w:p w14:paraId="66795D16" w14:textId="77777777" w:rsidR="009A70FE" w:rsidRPr="00BF3CDE" w:rsidRDefault="009A70FE" w:rsidP="00BD735A">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 129,452      </w:t>
            </w:r>
          </w:p>
        </w:tc>
        <w:tc>
          <w:tcPr>
            <w:tcW w:w="1860" w:type="dxa"/>
            <w:noWrap/>
            <w:vAlign w:val="center"/>
            <w:hideMark/>
          </w:tcPr>
          <w:p w14:paraId="58F5121F" w14:textId="77777777" w:rsidR="009A70FE" w:rsidRPr="00BF3CDE" w:rsidRDefault="009A70FE" w:rsidP="00BD735A">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 2,781      </w:t>
            </w:r>
          </w:p>
        </w:tc>
        <w:tc>
          <w:tcPr>
            <w:tcW w:w="1860" w:type="dxa"/>
            <w:noWrap/>
            <w:vAlign w:val="center"/>
            <w:hideMark/>
          </w:tcPr>
          <w:p w14:paraId="4CC51623" w14:textId="77777777" w:rsidR="009A70FE" w:rsidRPr="00BF3CDE" w:rsidRDefault="009A70FE" w:rsidP="00BD735A">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 126,671      </w:t>
            </w:r>
          </w:p>
        </w:tc>
      </w:tr>
      <w:tr w:rsidR="009A70FE" w:rsidRPr="00BF3CDE" w14:paraId="5D12A6A9" w14:textId="77777777" w:rsidTr="00BD735A">
        <w:trPr>
          <w:trHeight w:val="227"/>
        </w:trPr>
        <w:tc>
          <w:tcPr>
            <w:cnfStyle w:val="001000000000" w:firstRow="0" w:lastRow="0" w:firstColumn="1" w:lastColumn="0" w:oddVBand="0" w:evenVBand="0" w:oddHBand="0" w:evenHBand="0" w:firstRowFirstColumn="0" w:firstRowLastColumn="0" w:lastRowFirstColumn="0" w:lastRowLastColumn="0"/>
            <w:tcW w:w="4120" w:type="dxa"/>
            <w:noWrap/>
            <w:vAlign w:val="center"/>
            <w:hideMark/>
          </w:tcPr>
          <w:p w14:paraId="5482DD43" w14:textId="77777777" w:rsidR="009A70FE" w:rsidRPr="00BF3CDE" w:rsidRDefault="009A70FE" w:rsidP="00BD735A">
            <w:pPr>
              <w:rPr>
                <w:rFonts w:eastAsia="Times New Roman" w:cs="Calibri"/>
                <w:i/>
                <w:noProof/>
                <w:color w:val="auto"/>
                <w:sz w:val="20"/>
                <w:szCs w:val="20"/>
                <w:lang w:val="sr-Cyrl-CS" w:eastAsia="sr-Latn-RS"/>
              </w:rPr>
            </w:pPr>
            <w:r w:rsidRPr="00BF3CDE">
              <w:rPr>
                <w:rFonts w:eastAsia="Times New Roman" w:cs="Calibri"/>
                <w:i/>
                <w:noProof/>
                <w:color w:val="auto"/>
                <w:sz w:val="20"/>
                <w:szCs w:val="20"/>
                <w:lang w:val="sr-Cyrl-CS" w:eastAsia="sr-Latn-RS"/>
              </w:rPr>
              <w:t>Триглав осигурање</w:t>
            </w:r>
          </w:p>
        </w:tc>
        <w:tc>
          <w:tcPr>
            <w:tcW w:w="1860" w:type="dxa"/>
            <w:noWrap/>
            <w:vAlign w:val="center"/>
            <w:hideMark/>
          </w:tcPr>
          <w:p w14:paraId="3B6F3C64" w14:textId="77777777" w:rsidR="009A70FE" w:rsidRPr="00BF3CDE" w:rsidRDefault="009A70FE" w:rsidP="00BD735A">
            <w:pPr>
              <w:jc w:val="right"/>
              <w:cnfStyle w:val="000000000000" w:firstRow="0"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 35,587      </w:t>
            </w:r>
          </w:p>
        </w:tc>
        <w:tc>
          <w:tcPr>
            <w:tcW w:w="1860" w:type="dxa"/>
            <w:noWrap/>
            <w:vAlign w:val="center"/>
            <w:hideMark/>
          </w:tcPr>
          <w:p w14:paraId="356C9521" w14:textId="77777777" w:rsidR="009A70FE" w:rsidRPr="00BF3CDE" w:rsidRDefault="009A70FE" w:rsidP="00BD735A">
            <w:pPr>
              <w:jc w:val="right"/>
              <w:cnfStyle w:val="000000000000" w:firstRow="0"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p>
        </w:tc>
        <w:tc>
          <w:tcPr>
            <w:tcW w:w="1860" w:type="dxa"/>
            <w:noWrap/>
            <w:vAlign w:val="center"/>
            <w:hideMark/>
          </w:tcPr>
          <w:p w14:paraId="21A1F3CC" w14:textId="77777777" w:rsidR="009A70FE" w:rsidRPr="00BF3CDE" w:rsidRDefault="009A70FE" w:rsidP="00BD735A">
            <w:pPr>
              <w:jc w:val="right"/>
              <w:cnfStyle w:val="000000000000" w:firstRow="0"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 35,587      </w:t>
            </w:r>
          </w:p>
        </w:tc>
      </w:tr>
      <w:tr w:rsidR="009A70FE" w:rsidRPr="00BF3CDE" w14:paraId="35BD3750" w14:textId="77777777" w:rsidTr="00BD735A">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120" w:type="dxa"/>
            <w:noWrap/>
            <w:vAlign w:val="center"/>
            <w:hideMark/>
          </w:tcPr>
          <w:p w14:paraId="2F907B29" w14:textId="77777777" w:rsidR="009A70FE" w:rsidRPr="00BF3CDE" w:rsidRDefault="009A70FE" w:rsidP="00BD735A">
            <w:pPr>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Меркур осигурање</w:t>
            </w:r>
          </w:p>
        </w:tc>
        <w:tc>
          <w:tcPr>
            <w:tcW w:w="1860" w:type="dxa"/>
            <w:noWrap/>
            <w:vAlign w:val="center"/>
            <w:hideMark/>
          </w:tcPr>
          <w:p w14:paraId="54D19E99" w14:textId="77777777" w:rsidR="009A70FE" w:rsidRPr="00BF3CDE" w:rsidRDefault="009A70FE" w:rsidP="00BD735A">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 29,046      </w:t>
            </w:r>
          </w:p>
        </w:tc>
        <w:tc>
          <w:tcPr>
            <w:tcW w:w="1860" w:type="dxa"/>
            <w:noWrap/>
            <w:vAlign w:val="center"/>
            <w:hideMark/>
          </w:tcPr>
          <w:p w14:paraId="08BE3119" w14:textId="77777777" w:rsidR="009A70FE" w:rsidRPr="00BF3CDE" w:rsidRDefault="009A70FE" w:rsidP="00BD735A">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p>
        </w:tc>
        <w:tc>
          <w:tcPr>
            <w:tcW w:w="1860" w:type="dxa"/>
            <w:noWrap/>
            <w:vAlign w:val="center"/>
            <w:hideMark/>
          </w:tcPr>
          <w:p w14:paraId="036E3393" w14:textId="77777777" w:rsidR="009A70FE" w:rsidRPr="00BF3CDE" w:rsidRDefault="009A70FE" w:rsidP="00BD735A">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 29,046      </w:t>
            </w:r>
          </w:p>
        </w:tc>
      </w:tr>
      <w:tr w:rsidR="009A70FE" w:rsidRPr="00BF3CDE" w14:paraId="218E5480" w14:textId="77777777" w:rsidTr="00BD735A">
        <w:trPr>
          <w:trHeight w:val="227"/>
        </w:trPr>
        <w:tc>
          <w:tcPr>
            <w:cnfStyle w:val="001000000000" w:firstRow="0" w:lastRow="0" w:firstColumn="1" w:lastColumn="0" w:oddVBand="0" w:evenVBand="0" w:oddHBand="0" w:evenHBand="0" w:firstRowFirstColumn="0" w:firstRowLastColumn="0" w:lastRowFirstColumn="0" w:lastRowLastColumn="0"/>
            <w:tcW w:w="4120" w:type="dxa"/>
            <w:noWrap/>
            <w:vAlign w:val="center"/>
            <w:hideMark/>
          </w:tcPr>
          <w:p w14:paraId="36FFD8A5" w14:textId="77777777" w:rsidR="009A70FE" w:rsidRPr="00BF3CDE" w:rsidRDefault="009A70FE" w:rsidP="00BD735A">
            <w:pPr>
              <w:rPr>
                <w:rFonts w:eastAsia="Times New Roman" w:cs="Calibri"/>
                <w:i/>
                <w:noProof/>
                <w:color w:val="auto"/>
                <w:sz w:val="20"/>
                <w:szCs w:val="20"/>
                <w:lang w:val="sr-Cyrl-CS" w:eastAsia="sr-Latn-RS"/>
              </w:rPr>
            </w:pPr>
            <w:r w:rsidRPr="00BF3CDE">
              <w:rPr>
                <w:rFonts w:eastAsia="Times New Roman" w:cs="Calibri"/>
                <w:i/>
                <w:noProof/>
                <w:color w:val="auto"/>
                <w:sz w:val="20"/>
                <w:szCs w:val="20"/>
                <w:lang w:val="sr-Cyrl-CS" w:eastAsia="sr-Latn-RS"/>
              </w:rPr>
              <w:t>Сава неживотно осигурање</w:t>
            </w:r>
          </w:p>
        </w:tc>
        <w:tc>
          <w:tcPr>
            <w:tcW w:w="1860" w:type="dxa"/>
            <w:noWrap/>
            <w:vAlign w:val="center"/>
            <w:hideMark/>
          </w:tcPr>
          <w:p w14:paraId="102710F4" w14:textId="77777777" w:rsidR="009A70FE" w:rsidRPr="00BF3CDE" w:rsidRDefault="009A70FE" w:rsidP="00BD735A">
            <w:pPr>
              <w:jc w:val="right"/>
              <w:cnfStyle w:val="000000000000" w:firstRow="0"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 21,166      </w:t>
            </w:r>
          </w:p>
        </w:tc>
        <w:tc>
          <w:tcPr>
            <w:tcW w:w="1860" w:type="dxa"/>
            <w:noWrap/>
            <w:vAlign w:val="center"/>
            <w:hideMark/>
          </w:tcPr>
          <w:p w14:paraId="45C22068" w14:textId="77777777" w:rsidR="009A70FE" w:rsidRPr="00BF3CDE" w:rsidRDefault="009A70FE" w:rsidP="00BD735A">
            <w:pPr>
              <w:jc w:val="right"/>
              <w:cnfStyle w:val="000000000000" w:firstRow="0"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p>
        </w:tc>
        <w:tc>
          <w:tcPr>
            <w:tcW w:w="1860" w:type="dxa"/>
            <w:noWrap/>
            <w:vAlign w:val="center"/>
            <w:hideMark/>
          </w:tcPr>
          <w:p w14:paraId="4361FF5C" w14:textId="77777777" w:rsidR="009A70FE" w:rsidRPr="00BF3CDE" w:rsidRDefault="009A70FE" w:rsidP="00BD735A">
            <w:pPr>
              <w:jc w:val="right"/>
              <w:cnfStyle w:val="000000000000" w:firstRow="0"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 21,166      </w:t>
            </w:r>
          </w:p>
        </w:tc>
      </w:tr>
      <w:tr w:rsidR="004F2EE0" w:rsidRPr="00BF3CDE" w14:paraId="58624725" w14:textId="77777777" w:rsidTr="004F2EE0">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4120" w:type="dxa"/>
            <w:noWrap/>
            <w:vAlign w:val="center"/>
            <w:hideMark/>
          </w:tcPr>
          <w:p w14:paraId="6C4C7170" w14:textId="77777777" w:rsidR="004F2EE0" w:rsidRPr="00BF3CDE" w:rsidRDefault="004F2EE0" w:rsidP="004F2EE0">
            <w:pPr>
              <w:rPr>
                <w:rFonts w:eastAsia="Times New Roman" w:cs="Calibri"/>
                <w:i/>
                <w:noProof/>
                <w:color w:val="auto"/>
                <w:sz w:val="20"/>
                <w:szCs w:val="20"/>
                <w:lang w:val="sr-Cyrl-CS" w:eastAsia="sr-Latn-RS"/>
              </w:rPr>
            </w:pPr>
            <w:r w:rsidRPr="00BF3CDE">
              <w:rPr>
                <w:rFonts w:eastAsia="Times New Roman" w:cs="Calibri"/>
                <w:i/>
                <w:noProof/>
                <w:color w:val="auto"/>
                <w:sz w:val="20"/>
                <w:szCs w:val="20"/>
                <w:lang w:val="sr-Cyrl-CS" w:eastAsia="sr-Latn-RS"/>
              </w:rPr>
              <w:t>Grawe</w:t>
            </w:r>
            <w:r w:rsidRPr="00BF3CDE">
              <w:rPr>
                <w:rFonts w:eastAsia="Times New Roman" w:cs="Calibri"/>
                <w:noProof/>
                <w:color w:val="auto"/>
                <w:sz w:val="20"/>
                <w:szCs w:val="20"/>
                <w:lang w:val="sr-Cyrl-CS" w:eastAsia="sr-Latn-RS"/>
              </w:rPr>
              <w:t xml:space="preserve"> осигурање</w:t>
            </w:r>
          </w:p>
        </w:tc>
        <w:tc>
          <w:tcPr>
            <w:tcW w:w="1860" w:type="dxa"/>
            <w:noWrap/>
            <w:vAlign w:val="center"/>
            <w:hideMark/>
          </w:tcPr>
          <w:p w14:paraId="4BA8C5B4" w14:textId="77777777" w:rsidR="004F2EE0" w:rsidRPr="00BF3CDE" w:rsidRDefault="004F2EE0" w:rsidP="004F2EE0">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 20,569      </w:t>
            </w:r>
          </w:p>
        </w:tc>
        <w:tc>
          <w:tcPr>
            <w:tcW w:w="1860" w:type="dxa"/>
            <w:noWrap/>
            <w:vAlign w:val="center"/>
            <w:hideMark/>
          </w:tcPr>
          <w:p w14:paraId="24B57983" w14:textId="77777777" w:rsidR="004F2EE0" w:rsidRPr="00BF3CDE" w:rsidRDefault="004F2EE0" w:rsidP="004F2EE0">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p>
        </w:tc>
        <w:tc>
          <w:tcPr>
            <w:tcW w:w="1860" w:type="dxa"/>
            <w:noWrap/>
            <w:vAlign w:val="center"/>
            <w:hideMark/>
          </w:tcPr>
          <w:p w14:paraId="61035860" w14:textId="77777777" w:rsidR="004F2EE0" w:rsidRPr="00BF3CDE" w:rsidRDefault="004F2EE0" w:rsidP="004F2EE0">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 20,569      </w:t>
            </w:r>
          </w:p>
        </w:tc>
      </w:tr>
    </w:tbl>
    <w:p w14:paraId="4D504256" w14:textId="77777777" w:rsidR="004F2EE0" w:rsidRPr="00BF3CDE" w:rsidRDefault="004F2EE0" w:rsidP="004F2EE0">
      <w:pPr>
        <w:spacing w:before="120" w:after="0"/>
        <w:jc w:val="center"/>
        <w:rPr>
          <w:b/>
          <w:i/>
          <w:noProof/>
          <w:color w:val="4F81BD" w:themeColor="accent1"/>
          <w:sz w:val="20"/>
          <w:lang w:val="sr-Cyrl-CS"/>
        </w:rPr>
      </w:pPr>
      <w:r w:rsidRPr="00BF3CDE">
        <w:rPr>
          <w:b/>
          <w:i/>
          <w:noProof/>
          <w:color w:val="4F81BD" w:themeColor="accent1"/>
          <w:sz w:val="20"/>
          <w:lang w:val="sr-Cyrl-CS"/>
        </w:rPr>
        <w:t>5 највећих поверилаца у иностранству</w:t>
      </w:r>
    </w:p>
    <w:p w14:paraId="1B0DCCAA" w14:textId="77777777" w:rsidR="004F2EE0" w:rsidRPr="00BF3CDE" w:rsidRDefault="004F2EE0" w:rsidP="004F2EE0">
      <w:pPr>
        <w:pStyle w:val="NoSpacing"/>
        <w:jc w:val="right"/>
        <w:rPr>
          <w:rFonts w:ascii="Tahoma" w:hAnsi="Tahoma" w:cs="Tahoma"/>
          <w:noProof/>
          <w:sz w:val="20"/>
          <w:szCs w:val="18"/>
          <w:lang w:val="sr-Cyrl-CS"/>
        </w:rPr>
      </w:pPr>
      <w:r w:rsidRPr="00BF3CDE">
        <w:rPr>
          <w:rFonts w:ascii="Tahoma" w:hAnsi="Tahoma" w:cs="Tahoma"/>
          <w:noProof/>
          <w:sz w:val="20"/>
          <w:szCs w:val="18"/>
          <w:lang w:val="sr-Cyrl-CS"/>
        </w:rPr>
        <w:t>У 000 РСД</w:t>
      </w:r>
    </w:p>
    <w:p w14:paraId="7B714D0D" w14:textId="77777777" w:rsidR="004F2EE0" w:rsidRPr="00BF3CDE" w:rsidRDefault="004F2EE0" w:rsidP="004F2EE0">
      <w:pPr>
        <w:pStyle w:val="NoSpacing"/>
        <w:jc w:val="right"/>
        <w:rPr>
          <w:rFonts w:ascii="Tahoma" w:hAnsi="Tahoma" w:cs="Tahoma"/>
          <w:noProof/>
          <w:sz w:val="2"/>
          <w:szCs w:val="2"/>
          <w:lang w:val="sr-Cyrl-CS"/>
        </w:rPr>
      </w:pPr>
    </w:p>
    <w:tbl>
      <w:tblPr>
        <w:tblStyle w:val="LightShading-Accent11"/>
        <w:tblW w:w="10181" w:type="dxa"/>
        <w:tblInd w:w="-318" w:type="dxa"/>
        <w:tblLook w:val="04A0" w:firstRow="1" w:lastRow="0" w:firstColumn="1" w:lastColumn="0" w:noHBand="0" w:noVBand="1"/>
      </w:tblPr>
      <w:tblGrid>
        <w:gridCol w:w="4962"/>
        <w:gridCol w:w="1667"/>
        <w:gridCol w:w="1853"/>
        <w:gridCol w:w="1699"/>
      </w:tblGrid>
      <w:tr w:rsidR="004F2EE0" w:rsidRPr="00BF3CDE" w14:paraId="497875FC" w14:textId="77777777" w:rsidTr="004F2EE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962" w:type="dxa"/>
            <w:noWrap/>
            <w:vAlign w:val="center"/>
            <w:hideMark/>
          </w:tcPr>
          <w:p w14:paraId="44A5EDE0" w14:textId="77777777" w:rsidR="004F2EE0" w:rsidRPr="00BF3CDE" w:rsidRDefault="004F2EE0" w:rsidP="00A71AD8">
            <w:pPr>
              <w:jc w:val="center"/>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Назив Цедента</w:t>
            </w:r>
          </w:p>
        </w:tc>
        <w:tc>
          <w:tcPr>
            <w:tcW w:w="1667" w:type="dxa"/>
            <w:noWrap/>
            <w:vAlign w:val="center"/>
            <w:hideMark/>
          </w:tcPr>
          <w:p w14:paraId="2CA3717C" w14:textId="77777777" w:rsidR="004F2EE0" w:rsidRPr="00BF3CDE" w:rsidRDefault="004F2EE0" w:rsidP="00A71AD8">
            <w:pPr>
              <w:jc w:val="center"/>
              <w:cnfStyle w:val="100000000000" w:firstRow="1"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Укупно </w:t>
            </w:r>
            <w:r w:rsidRPr="00BF3CDE">
              <w:rPr>
                <w:rFonts w:eastAsia="Times New Roman" w:cs="Calibri"/>
                <w:noProof/>
                <w:color w:val="auto"/>
                <w:sz w:val="18"/>
                <w:szCs w:val="20"/>
                <w:lang w:val="sr-Cyrl-CS" w:eastAsia="sr-Latn-RS"/>
              </w:rPr>
              <w:t>потраживање</w:t>
            </w:r>
          </w:p>
        </w:tc>
        <w:tc>
          <w:tcPr>
            <w:tcW w:w="1853" w:type="dxa"/>
            <w:noWrap/>
            <w:vAlign w:val="center"/>
            <w:hideMark/>
          </w:tcPr>
          <w:p w14:paraId="154563FD" w14:textId="77777777" w:rsidR="004F2EE0" w:rsidRPr="00BF3CDE" w:rsidRDefault="004F2EE0" w:rsidP="00A71AD8">
            <w:pPr>
              <w:jc w:val="center"/>
              <w:cnfStyle w:val="100000000000" w:firstRow="1"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Доспело </w:t>
            </w:r>
            <w:r w:rsidRPr="00BF3CDE">
              <w:rPr>
                <w:rFonts w:eastAsia="Times New Roman" w:cs="Calibri"/>
                <w:noProof/>
                <w:color w:val="auto"/>
                <w:sz w:val="18"/>
                <w:szCs w:val="20"/>
                <w:lang w:val="sr-Cyrl-CS" w:eastAsia="sr-Latn-RS"/>
              </w:rPr>
              <w:t>потраживање</w:t>
            </w:r>
          </w:p>
        </w:tc>
        <w:tc>
          <w:tcPr>
            <w:tcW w:w="1699" w:type="dxa"/>
            <w:noWrap/>
            <w:vAlign w:val="center"/>
            <w:hideMark/>
          </w:tcPr>
          <w:p w14:paraId="22198E65" w14:textId="77777777" w:rsidR="004F2EE0" w:rsidRPr="00BF3CDE" w:rsidRDefault="004F2EE0" w:rsidP="00A71AD8">
            <w:pPr>
              <w:jc w:val="center"/>
              <w:cnfStyle w:val="100000000000" w:firstRow="1"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Недоспело </w:t>
            </w:r>
            <w:r w:rsidRPr="00BF3CDE">
              <w:rPr>
                <w:rFonts w:eastAsia="Times New Roman" w:cs="Calibri"/>
                <w:noProof/>
                <w:color w:val="auto"/>
                <w:sz w:val="18"/>
                <w:szCs w:val="20"/>
                <w:lang w:val="sr-Cyrl-CS" w:eastAsia="sr-Latn-RS"/>
              </w:rPr>
              <w:t>потраживање</w:t>
            </w:r>
          </w:p>
        </w:tc>
      </w:tr>
      <w:tr w:rsidR="009A70FE" w:rsidRPr="00BF3CDE" w14:paraId="4DD5E98E" w14:textId="77777777" w:rsidTr="00BD735A">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962" w:type="dxa"/>
            <w:noWrap/>
            <w:vAlign w:val="center"/>
            <w:hideMark/>
          </w:tcPr>
          <w:p w14:paraId="2D530E5A" w14:textId="77777777" w:rsidR="009A70FE" w:rsidRPr="00BF3CDE" w:rsidRDefault="009A70FE" w:rsidP="00BD735A">
            <w:pPr>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Liquidation Bureau New York, USA</w:t>
            </w:r>
          </w:p>
        </w:tc>
        <w:tc>
          <w:tcPr>
            <w:tcW w:w="1667" w:type="dxa"/>
            <w:noWrap/>
            <w:vAlign w:val="center"/>
            <w:hideMark/>
          </w:tcPr>
          <w:p w14:paraId="665A694F" w14:textId="77777777" w:rsidR="009A70FE" w:rsidRPr="00BF3CDE" w:rsidRDefault="009A70FE" w:rsidP="00BD735A">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 152,298      </w:t>
            </w:r>
          </w:p>
        </w:tc>
        <w:tc>
          <w:tcPr>
            <w:tcW w:w="1853" w:type="dxa"/>
            <w:noWrap/>
            <w:vAlign w:val="center"/>
            <w:hideMark/>
          </w:tcPr>
          <w:p w14:paraId="3586FB01" w14:textId="77777777" w:rsidR="009A70FE" w:rsidRPr="00BF3CDE" w:rsidRDefault="009A70FE" w:rsidP="00BD735A">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 152,298      </w:t>
            </w:r>
          </w:p>
        </w:tc>
        <w:tc>
          <w:tcPr>
            <w:tcW w:w="1699" w:type="dxa"/>
            <w:noWrap/>
            <w:vAlign w:val="center"/>
            <w:hideMark/>
          </w:tcPr>
          <w:p w14:paraId="16582025" w14:textId="77777777" w:rsidR="009A70FE" w:rsidRPr="00BF3CDE" w:rsidRDefault="009A70FE" w:rsidP="00BD735A">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 -        </w:t>
            </w:r>
          </w:p>
        </w:tc>
      </w:tr>
      <w:tr w:rsidR="009A70FE" w:rsidRPr="00BF3CDE" w14:paraId="5388C505" w14:textId="77777777" w:rsidTr="00BD735A">
        <w:trPr>
          <w:trHeight w:val="170"/>
        </w:trPr>
        <w:tc>
          <w:tcPr>
            <w:cnfStyle w:val="001000000000" w:firstRow="0" w:lastRow="0" w:firstColumn="1" w:lastColumn="0" w:oddVBand="0" w:evenVBand="0" w:oddHBand="0" w:evenHBand="0" w:firstRowFirstColumn="0" w:firstRowLastColumn="0" w:lastRowFirstColumn="0" w:lastRowLastColumn="0"/>
            <w:tcW w:w="4962" w:type="dxa"/>
            <w:noWrap/>
            <w:vAlign w:val="center"/>
            <w:hideMark/>
          </w:tcPr>
          <w:p w14:paraId="226DDCAE" w14:textId="77777777" w:rsidR="009A70FE" w:rsidRPr="00BF3CDE" w:rsidRDefault="009A70FE" w:rsidP="00BD735A">
            <w:pPr>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Willis Limited, Engleska</w:t>
            </w:r>
          </w:p>
        </w:tc>
        <w:tc>
          <w:tcPr>
            <w:tcW w:w="1667" w:type="dxa"/>
            <w:noWrap/>
            <w:vAlign w:val="center"/>
            <w:hideMark/>
          </w:tcPr>
          <w:p w14:paraId="6BB7CEDB" w14:textId="77777777" w:rsidR="009A70FE" w:rsidRPr="00BF3CDE" w:rsidRDefault="009A70FE" w:rsidP="00BD735A">
            <w:pPr>
              <w:jc w:val="right"/>
              <w:cnfStyle w:val="000000000000" w:firstRow="0"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 134,821      </w:t>
            </w:r>
          </w:p>
        </w:tc>
        <w:tc>
          <w:tcPr>
            <w:tcW w:w="1853" w:type="dxa"/>
            <w:noWrap/>
            <w:vAlign w:val="center"/>
          </w:tcPr>
          <w:p w14:paraId="0587AAFD" w14:textId="77777777" w:rsidR="009A70FE" w:rsidRPr="00BF3CDE" w:rsidRDefault="009A70FE" w:rsidP="00BD735A">
            <w:pPr>
              <w:jc w:val="right"/>
              <w:cnfStyle w:val="000000000000" w:firstRow="0"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 57,780      </w:t>
            </w:r>
          </w:p>
        </w:tc>
        <w:tc>
          <w:tcPr>
            <w:tcW w:w="1699" w:type="dxa"/>
            <w:noWrap/>
            <w:vAlign w:val="center"/>
            <w:hideMark/>
          </w:tcPr>
          <w:p w14:paraId="40B7501A" w14:textId="77777777" w:rsidR="009A70FE" w:rsidRPr="00BF3CDE" w:rsidRDefault="009A70FE" w:rsidP="00BD735A">
            <w:pPr>
              <w:jc w:val="right"/>
              <w:cnfStyle w:val="000000000000" w:firstRow="0"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 77,041      </w:t>
            </w:r>
          </w:p>
        </w:tc>
      </w:tr>
      <w:tr w:rsidR="004F2EE0" w:rsidRPr="00BF3CDE" w14:paraId="59248946" w14:textId="77777777" w:rsidTr="004F2EE0">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962" w:type="dxa"/>
            <w:noWrap/>
            <w:vAlign w:val="center"/>
            <w:hideMark/>
          </w:tcPr>
          <w:p w14:paraId="40FB26E9" w14:textId="77777777" w:rsidR="004F2EE0" w:rsidRPr="00BF3CDE" w:rsidRDefault="004F2EE0" w:rsidP="004F2EE0">
            <w:pPr>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Gen Re-General Reinsurance ag, Austria</w:t>
            </w:r>
          </w:p>
        </w:tc>
        <w:tc>
          <w:tcPr>
            <w:tcW w:w="1667" w:type="dxa"/>
            <w:noWrap/>
            <w:vAlign w:val="center"/>
            <w:hideMark/>
          </w:tcPr>
          <w:p w14:paraId="7E10872A" w14:textId="77777777" w:rsidR="004F2EE0" w:rsidRPr="00BF3CDE" w:rsidRDefault="004F2EE0" w:rsidP="004F2EE0">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 35,379      </w:t>
            </w:r>
          </w:p>
        </w:tc>
        <w:tc>
          <w:tcPr>
            <w:tcW w:w="1853" w:type="dxa"/>
            <w:noWrap/>
            <w:vAlign w:val="center"/>
            <w:hideMark/>
          </w:tcPr>
          <w:p w14:paraId="5B1E643F" w14:textId="77777777" w:rsidR="004F2EE0" w:rsidRPr="00BF3CDE" w:rsidRDefault="004F2EE0" w:rsidP="004F2EE0">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p>
        </w:tc>
        <w:tc>
          <w:tcPr>
            <w:tcW w:w="1699" w:type="dxa"/>
            <w:noWrap/>
            <w:vAlign w:val="center"/>
            <w:hideMark/>
          </w:tcPr>
          <w:p w14:paraId="37F8A6D2" w14:textId="77777777" w:rsidR="004F2EE0" w:rsidRPr="00BF3CDE" w:rsidRDefault="004F2EE0" w:rsidP="004F2EE0">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 35,379      </w:t>
            </w:r>
          </w:p>
        </w:tc>
      </w:tr>
      <w:tr w:rsidR="004F2EE0" w:rsidRPr="00BF3CDE" w14:paraId="3F74B917" w14:textId="77777777" w:rsidTr="004F2EE0">
        <w:trPr>
          <w:trHeight w:val="227"/>
        </w:trPr>
        <w:tc>
          <w:tcPr>
            <w:cnfStyle w:val="001000000000" w:firstRow="0" w:lastRow="0" w:firstColumn="1" w:lastColumn="0" w:oddVBand="0" w:evenVBand="0" w:oddHBand="0" w:evenHBand="0" w:firstRowFirstColumn="0" w:firstRowLastColumn="0" w:lastRowFirstColumn="0" w:lastRowLastColumn="0"/>
            <w:tcW w:w="4962" w:type="dxa"/>
            <w:noWrap/>
            <w:vAlign w:val="center"/>
            <w:hideMark/>
          </w:tcPr>
          <w:p w14:paraId="69B32B1A" w14:textId="77777777" w:rsidR="004F2EE0" w:rsidRPr="00BF3CDE" w:rsidRDefault="004F2EE0" w:rsidP="004F2EE0">
            <w:pPr>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Grazer Wechselseitige Versicherung AG, Austria</w:t>
            </w:r>
          </w:p>
        </w:tc>
        <w:tc>
          <w:tcPr>
            <w:tcW w:w="1667" w:type="dxa"/>
            <w:noWrap/>
            <w:vAlign w:val="center"/>
            <w:hideMark/>
          </w:tcPr>
          <w:p w14:paraId="19897B22" w14:textId="77777777" w:rsidR="004F2EE0" w:rsidRPr="00BF3CDE" w:rsidRDefault="004F2EE0" w:rsidP="004F2EE0">
            <w:pPr>
              <w:jc w:val="right"/>
              <w:cnfStyle w:val="000000000000" w:firstRow="0"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 26,526      </w:t>
            </w:r>
          </w:p>
        </w:tc>
        <w:tc>
          <w:tcPr>
            <w:tcW w:w="1853" w:type="dxa"/>
            <w:noWrap/>
            <w:vAlign w:val="center"/>
            <w:hideMark/>
          </w:tcPr>
          <w:p w14:paraId="4A459667" w14:textId="77777777" w:rsidR="004F2EE0" w:rsidRPr="00BF3CDE" w:rsidRDefault="004F2EE0" w:rsidP="004F2EE0">
            <w:pPr>
              <w:jc w:val="right"/>
              <w:cnfStyle w:val="000000000000" w:firstRow="0"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p>
        </w:tc>
        <w:tc>
          <w:tcPr>
            <w:tcW w:w="1699" w:type="dxa"/>
            <w:noWrap/>
            <w:vAlign w:val="center"/>
            <w:hideMark/>
          </w:tcPr>
          <w:p w14:paraId="6AA7B918" w14:textId="77777777" w:rsidR="004F2EE0" w:rsidRPr="00BF3CDE" w:rsidRDefault="004F2EE0" w:rsidP="004F2EE0">
            <w:pPr>
              <w:jc w:val="right"/>
              <w:cnfStyle w:val="000000000000" w:firstRow="0" w:lastRow="0" w:firstColumn="0" w:lastColumn="0" w:oddVBand="0" w:evenVBand="0" w:oddHBand="0"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 26,526      </w:t>
            </w:r>
          </w:p>
        </w:tc>
      </w:tr>
      <w:tr w:rsidR="004F2EE0" w:rsidRPr="00BF3CDE" w14:paraId="1559AA64" w14:textId="77777777" w:rsidTr="004F2EE0">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4962" w:type="dxa"/>
            <w:noWrap/>
            <w:vAlign w:val="center"/>
            <w:hideMark/>
          </w:tcPr>
          <w:p w14:paraId="7BED8C5B" w14:textId="77777777" w:rsidR="004F2EE0" w:rsidRPr="00BF3CDE" w:rsidRDefault="004F2EE0" w:rsidP="004F2EE0">
            <w:pPr>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Triglav Zavarovalnica dd, Slovenija</w:t>
            </w:r>
          </w:p>
        </w:tc>
        <w:tc>
          <w:tcPr>
            <w:tcW w:w="1667" w:type="dxa"/>
            <w:noWrap/>
            <w:vAlign w:val="center"/>
            <w:hideMark/>
          </w:tcPr>
          <w:p w14:paraId="632E7991" w14:textId="77777777" w:rsidR="004F2EE0" w:rsidRPr="00BF3CDE" w:rsidRDefault="004F2EE0" w:rsidP="004F2EE0">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 21,128      </w:t>
            </w:r>
          </w:p>
        </w:tc>
        <w:tc>
          <w:tcPr>
            <w:tcW w:w="1853" w:type="dxa"/>
            <w:noWrap/>
            <w:vAlign w:val="center"/>
            <w:hideMark/>
          </w:tcPr>
          <w:p w14:paraId="08FA88EB" w14:textId="77777777" w:rsidR="004F2EE0" w:rsidRPr="00BF3CDE" w:rsidRDefault="004F2EE0" w:rsidP="004F2EE0">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 17,529      </w:t>
            </w:r>
          </w:p>
        </w:tc>
        <w:tc>
          <w:tcPr>
            <w:tcW w:w="1699" w:type="dxa"/>
            <w:noWrap/>
            <w:vAlign w:val="center"/>
            <w:hideMark/>
          </w:tcPr>
          <w:p w14:paraId="0E635FAA" w14:textId="77777777" w:rsidR="004F2EE0" w:rsidRPr="00BF3CDE" w:rsidRDefault="004F2EE0" w:rsidP="004F2EE0">
            <w:pPr>
              <w:jc w:val="right"/>
              <w:cnfStyle w:val="000000100000" w:firstRow="0" w:lastRow="0" w:firstColumn="0" w:lastColumn="0" w:oddVBand="0" w:evenVBand="0" w:oddHBand="1" w:evenHBand="0" w:firstRowFirstColumn="0" w:firstRowLastColumn="0" w:lastRowFirstColumn="0" w:lastRowLastColumn="0"/>
              <w:rPr>
                <w:rFonts w:eastAsia="Times New Roman" w:cs="Calibri"/>
                <w:noProof/>
                <w:color w:val="auto"/>
                <w:sz w:val="20"/>
                <w:szCs w:val="20"/>
                <w:lang w:val="sr-Cyrl-CS" w:eastAsia="sr-Latn-RS"/>
              </w:rPr>
            </w:pPr>
            <w:r w:rsidRPr="00BF3CDE">
              <w:rPr>
                <w:rFonts w:eastAsia="Times New Roman" w:cs="Calibri"/>
                <w:noProof/>
                <w:color w:val="auto"/>
                <w:sz w:val="20"/>
                <w:szCs w:val="20"/>
                <w:lang w:val="sr-Cyrl-CS" w:eastAsia="sr-Latn-RS"/>
              </w:rPr>
              <w:t xml:space="preserve"> 3,599      </w:t>
            </w:r>
          </w:p>
        </w:tc>
      </w:tr>
    </w:tbl>
    <w:p w14:paraId="2BEA898F" w14:textId="77777777" w:rsidR="00B74825" w:rsidRPr="00BF3CDE" w:rsidRDefault="00B74825" w:rsidP="00975486">
      <w:pPr>
        <w:spacing w:after="0"/>
        <w:jc w:val="right"/>
        <w:rPr>
          <w:noProof/>
          <w:sz w:val="20"/>
          <w:szCs w:val="20"/>
          <w:lang w:val="sr-Cyrl-CS"/>
        </w:rPr>
      </w:pPr>
    </w:p>
    <w:p w14:paraId="5FABF483" w14:textId="77777777" w:rsidR="00DC51FA" w:rsidRPr="00BF3CDE" w:rsidRDefault="00492321" w:rsidP="00655CD0">
      <w:pPr>
        <w:pStyle w:val="Heading1"/>
        <w:numPr>
          <w:ilvl w:val="2"/>
          <w:numId w:val="7"/>
        </w:numPr>
        <w:jc w:val="left"/>
        <w:rPr>
          <w:rFonts w:asciiTheme="majorHAnsi" w:hAnsiTheme="majorHAnsi" w:cs="Tahoma"/>
          <w:i/>
          <w:noProof/>
          <w:color w:val="4F81BD"/>
          <w:sz w:val="22"/>
          <w:szCs w:val="18"/>
          <w:lang w:val="sr-Cyrl-CS"/>
        </w:rPr>
      </w:pPr>
      <w:bookmarkStart w:id="41" w:name="_Toc414356822"/>
      <w:r w:rsidRPr="00BF3CDE">
        <w:rPr>
          <w:rFonts w:asciiTheme="majorHAnsi" w:hAnsiTheme="majorHAnsi" w:cs="Tahoma"/>
          <w:i/>
          <w:noProof/>
          <w:color w:val="4F81BD"/>
          <w:sz w:val="22"/>
          <w:szCs w:val="18"/>
          <w:lang w:val="sr-Cyrl-CS"/>
        </w:rPr>
        <w:t>Преносна премија и резервисане штете</w:t>
      </w:r>
      <w:bookmarkEnd w:id="41"/>
    </w:p>
    <w:p w14:paraId="62D01CF4" w14:textId="77777777" w:rsidR="00DC51FA" w:rsidRPr="00BF3CDE" w:rsidRDefault="00DC51FA" w:rsidP="00DC51FA">
      <w:pPr>
        <w:rPr>
          <w:noProof/>
          <w:sz w:val="2"/>
          <w:szCs w:val="2"/>
          <w:highlight w:val="yellow"/>
          <w:lang w:val="sr-Cyrl-CS" w:eastAsia="ar-SA"/>
        </w:rPr>
      </w:pPr>
    </w:p>
    <w:p w14:paraId="64F3B4E6" w14:textId="77777777" w:rsidR="00855153" w:rsidRPr="00BF3CDE" w:rsidRDefault="00855153" w:rsidP="004F2EE0">
      <w:pPr>
        <w:spacing w:after="120"/>
        <w:rPr>
          <w:noProof/>
          <w:lang w:val="sr-Cyrl-CS"/>
        </w:rPr>
      </w:pPr>
      <w:r w:rsidRPr="00BF3CDE">
        <w:rPr>
          <w:rFonts w:asciiTheme="majorHAnsi" w:eastAsia="Times New Roman" w:hAnsiTheme="majorHAnsi" w:cs="Tahoma"/>
          <w:b/>
          <w:bCs/>
          <w:i/>
          <w:noProof/>
          <w:color w:val="4F81BD"/>
          <w:sz w:val="20"/>
          <w:szCs w:val="18"/>
          <w:lang w:val="sr-Cyrl-CS" w:eastAsia="ar-SA"/>
        </w:rPr>
        <w:t>Преносна премија</w:t>
      </w:r>
    </w:p>
    <w:p w14:paraId="746FC9D9" w14:textId="77777777" w:rsidR="00460ED3" w:rsidRPr="00BF3CDE" w:rsidRDefault="00460ED3" w:rsidP="0071269C">
      <w:pPr>
        <w:spacing w:after="0"/>
        <w:ind w:firstLine="567"/>
        <w:jc w:val="both"/>
        <w:rPr>
          <w:noProof/>
          <w:sz w:val="20"/>
          <w:szCs w:val="20"/>
          <w:lang w:val="sr-Cyrl-CS"/>
        </w:rPr>
      </w:pPr>
      <w:r w:rsidRPr="00BF3CDE">
        <w:rPr>
          <w:noProof/>
          <w:sz w:val="20"/>
          <w:szCs w:val="20"/>
          <w:lang w:val="sr-Cyrl-CS"/>
        </w:rPr>
        <w:t>Укупна преносна премија</w:t>
      </w:r>
      <w:r w:rsidR="00820179" w:rsidRPr="00BF3CDE">
        <w:rPr>
          <w:noProof/>
          <w:sz w:val="20"/>
          <w:szCs w:val="20"/>
          <w:lang w:val="sr-Cyrl-CS"/>
        </w:rPr>
        <w:t xml:space="preserve"> у самопридржају</w:t>
      </w:r>
      <w:r w:rsidRPr="00BF3CDE">
        <w:rPr>
          <w:noProof/>
          <w:sz w:val="20"/>
          <w:szCs w:val="20"/>
          <w:lang w:val="sr-Cyrl-CS"/>
        </w:rPr>
        <w:t xml:space="preserve"> на дан 31.12.201</w:t>
      </w:r>
      <w:r w:rsidR="000A6024" w:rsidRPr="00BF3CDE">
        <w:rPr>
          <w:noProof/>
          <w:sz w:val="20"/>
          <w:szCs w:val="20"/>
          <w:lang w:val="sr-Cyrl-CS"/>
        </w:rPr>
        <w:t>4</w:t>
      </w:r>
      <w:r w:rsidRPr="00BF3CDE">
        <w:rPr>
          <w:noProof/>
          <w:sz w:val="20"/>
          <w:szCs w:val="20"/>
          <w:lang w:val="sr-Cyrl-CS"/>
        </w:rPr>
        <w:t xml:space="preserve">. године износи </w:t>
      </w:r>
      <w:r w:rsidR="000A6024" w:rsidRPr="00BF3CDE">
        <w:rPr>
          <w:noProof/>
          <w:sz w:val="20"/>
          <w:szCs w:val="20"/>
          <w:lang w:val="sr-Cyrl-CS"/>
        </w:rPr>
        <w:t>13,664</w:t>
      </w:r>
      <w:r w:rsidR="00820179" w:rsidRPr="00BF3CDE">
        <w:rPr>
          <w:noProof/>
          <w:sz w:val="20"/>
          <w:szCs w:val="20"/>
          <w:lang w:val="sr-Cyrl-CS"/>
        </w:rPr>
        <w:t xml:space="preserve"> </w:t>
      </w:r>
      <w:r w:rsidRPr="00BF3CDE">
        <w:rPr>
          <w:noProof/>
          <w:sz w:val="20"/>
          <w:szCs w:val="20"/>
          <w:lang w:val="sr-Cyrl-CS"/>
        </w:rPr>
        <w:t>хиљада динара и</w:t>
      </w:r>
      <w:r w:rsidR="009079A8" w:rsidRPr="00BF3CDE">
        <w:rPr>
          <w:noProof/>
          <w:sz w:val="20"/>
          <w:szCs w:val="20"/>
          <w:lang w:val="sr-Cyrl-CS"/>
        </w:rPr>
        <w:t xml:space="preserve"> </w:t>
      </w:r>
      <w:r w:rsidR="00055ECF" w:rsidRPr="00BF3CDE">
        <w:rPr>
          <w:noProof/>
          <w:sz w:val="20"/>
          <w:szCs w:val="20"/>
          <w:lang w:val="sr-Cyrl-CS"/>
        </w:rPr>
        <w:t>мања</w:t>
      </w:r>
      <w:r w:rsidRPr="00BF3CDE">
        <w:rPr>
          <w:noProof/>
          <w:sz w:val="20"/>
          <w:szCs w:val="20"/>
          <w:lang w:val="sr-Cyrl-CS"/>
        </w:rPr>
        <w:t xml:space="preserve"> је од обрачунате преносне премије </w:t>
      </w:r>
      <w:r w:rsidR="00037B93" w:rsidRPr="00BF3CDE">
        <w:rPr>
          <w:noProof/>
          <w:sz w:val="20"/>
          <w:szCs w:val="20"/>
          <w:lang w:val="sr-Cyrl-CS"/>
        </w:rPr>
        <w:t xml:space="preserve">из претходне </w:t>
      </w:r>
      <w:r w:rsidRPr="00BF3CDE">
        <w:rPr>
          <w:noProof/>
          <w:sz w:val="20"/>
          <w:szCs w:val="20"/>
          <w:lang w:val="sr-Cyrl-CS"/>
        </w:rPr>
        <w:t xml:space="preserve">године за </w:t>
      </w:r>
      <w:r w:rsidR="00055ECF" w:rsidRPr="00BF3CDE">
        <w:rPr>
          <w:noProof/>
          <w:sz w:val="20"/>
          <w:szCs w:val="20"/>
          <w:lang w:val="sr-Cyrl-CS"/>
        </w:rPr>
        <w:t>1,</w:t>
      </w:r>
      <w:r w:rsidR="000A6024" w:rsidRPr="00BF3CDE">
        <w:rPr>
          <w:noProof/>
          <w:sz w:val="20"/>
          <w:szCs w:val="20"/>
          <w:lang w:val="sr-Cyrl-CS"/>
        </w:rPr>
        <w:t>02</w:t>
      </w:r>
      <w:r w:rsidRPr="00BF3CDE">
        <w:rPr>
          <w:noProof/>
          <w:sz w:val="20"/>
          <w:szCs w:val="20"/>
          <w:lang w:val="sr-Cyrl-CS"/>
        </w:rPr>
        <w:t>%.</w:t>
      </w:r>
    </w:p>
    <w:p w14:paraId="7F9F720E" w14:textId="77777777" w:rsidR="00FD3A30" w:rsidRPr="00BF3CDE" w:rsidRDefault="00FD3A30" w:rsidP="0071269C">
      <w:pPr>
        <w:spacing w:after="0"/>
        <w:ind w:firstLine="567"/>
        <w:jc w:val="both"/>
        <w:rPr>
          <w:noProof/>
          <w:sz w:val="20"/>
          <w:szCs w:val="20"/>
          <w:lang w:val="sr-Cyrl-CS"/>
        </w:rPr>
      </w:pPr>
    </w:p>
    <w:p w14:paraId="22E77667" w14:textId="77777777" w:rsidR="00460ED3" w:rsidRPr="00BF3CDE" w:rsidRDefault="00460ED3" w:rsidP="004F2EE0">
      <w:pPr>
        <w:spacing w:after="0"/>
        <w:ind w:right="-286" w:hanging="284"/>
        <w:jc w:val="center"/>
        <w:rPr>
          <w:rFonts w:eastAsiaTheme="minorEastAsia"/>
          <w:b/>
          <w:i/>
          <w:noProof/>
          <w:color w:val="365F91" w:themeColor="accent1" w:themeShade="BF"/>
          <w:sz w:val="20"/>
          <w:lang w:val="sr-Cyrl-CS" w:eastAsia="ja-JP"/>
        </w:rPr>
      </w:pPr>
      <w:r w:rsidRPr="00BF3CDE">
        <w:rPr>
          <w:rFonts w:eastAsiaTheme="minorEastAsia"/>
          <w:b/>
          <w:i/>
          <w:noProof/>
          <w:color w:val="365F91" w:themeColor="accent1" w:themeShade="BF"/>
          <w:sz w:val="20"/>
          <w:lang w:val="sr-Cyrl-CS" w:eastAsia="ja-JP"/>
        </w:rPr>
        <w:lastRenderedPageBreak/>
        <w:t>Преносна премија</w:t>
      </w:r>
      <w:r w:rsidR="00820179" w:rsidRPr="00BF3CDE">
        <w:rPr>
          <w:rFonts w:eastAsiaTheme="minorEastAsia"/>
          <w:b/>
          <w:i/>
          <w:noProof/>
          <w:color w:val="365F91" w:themeColor="accent1" w:themeShade="BF"/>
          <w:sz w:val="20"/>
          <w:lang w:val="sr-Cyrl-CS" w:eastAsia="ja-JP"/>
        </w:rPr>
        <w:t xml:space="preserve"> у самопридржају</w:t>
      </w:r>
      <w:r w:rsidRPr="00BF3CDE">
        <w:rPr>
          <w:rFonts w:eastAsiaTheme="minorEastAsia"/>
          <w:b/>
          <w:i/>
          <w:noProof/>
          <w:color w:val="365F91" w:themeColor="accent1" w:themeShade="BF"/>
          <w:sz w:val="20"/>
          <w:lang w:val="sr-Cyrl-CS" w:eastAsia="ja-JP"/>
        </w:rPr>
        <w:t xml:space="preserve"> на дан 31.12.201</w:t>
      </w:r>
      <w:r w:rsidR="00E938F9" w:rsidRPr="00BF3CDE">
        <w:rPr>
          <w:rFonts w:eastAsiaTheme="minorEastAsia"/>
          <w:b/>
          <w:i/>
          <w:noProof/>
          <w:color w:val="365F91" w:themeColor="accent1" w:themeShade="BF"/>
          <w:sz w:val="20"/>
          <w:lang w:val="sr-Cyrl-CS" w:eastAsia="ja-JP"/>
        </w:rPr>
        <w:t>4</w:t>
      </w:r>
      <w:r w:rsidRPr="00BF3CDE">
        <w:rPr>
          <w:rFonts w:eastAsiaTheme="minorEastAsia"/>
          <w:b/>
          <w:i/>
          <w:noProof/>
          <w:color w:val="365F91" w:themeColor="accent1" w:themeShade="BF"/>
          <w:sz w:val="20"/>
          <w:lang w:val="sr-Cyrl-CS" w:eastAsia="ja-JP"/>
        </w:rPr>
        <w:t xml:space="preserve">. по врстама </w:t>
      </w:r>
      <w:r w:rsidR="004F2EE0" w:rsidRPr="00BF3CDE">
        <w:rPr>
          <w:rFonts w:eastAsiaTheme="minorEastAsia"/>
          <w:b/>
          <w:i/>
          <w:noProof/>
          <w:color w:val="365F91" w:themeColor="accent1" w:themeShade="BF"/>
          <w:sz w:val="20"/>
          <w:lang w:val="sr-Cyrl-CS" w:eastAsia="ja-JP"/>
        </w:rPr>
        <w:t>р</w:t>
      </w:r>
      <w:r w:rsidRPr="00BF3CDE">
        <w:rPr>
          <w:rFonts w:eastAsiaTheme="minorEastAsia"/>
          <w:b/>
          <w:i/>
          <w:noProof/>
          <w:color w:val="365F91" w:themeColor="accent1" w:themeShade="BF"/>
          <w:sz w:val="20"/>
          <w:lang w:val="sr-Cyrl-CS" w:eastAsia="ja-JP"/>
        </w:rPr>
        <w:t>еосигурања</w:t>
      </w:r>
    </w:p>
    <w:p w14:paraId="24B615E0" w14:textId="77777777" w:rsidR="00975486" w:rsidRPr="00BF3CDE" w:rsidRDefault="00975486" w:rsidP="002E60C4">
      <w:pPr>
        <w:spacing w:after="0"/>
        <w:jc w:val="right"/>
        <w:rPr>
          <w:noProof/>
          <w:sz w:val="20"/>
          <w:szCs w:val="20"/>
          <w:lang w:val="sr-Cyrl-CS"/>
        </w:rPr>
      </w:pPr>
      <w:r w:rsidRPr="00BF3CDE">
        <w:rPr>
          <w:noProof/>
          <w:sz w:val="20"/>
          <w:szCs w:val="20"/>
          <w:lang w:val="sr-Cyrl-CS"/>
        </w:rPr>
        <w:t>У 000 РСД</w:t>
      </w:r>
    </w:p>
    <w:tbl>
      <w:tblPr>
        <w:tblW w:w="8980" w:type="dxa"/>
        <w:tblInd w:w="93" w:type="dxa"/>
        <w:tblLook w:val="04A0" w:firstRow="1" w:lastRow="0" w:firstColumn="1" w:lastColumn="0" w:noHBand="0" w:noVBand="1"/>
      </w:tblPr>
      <w:tblGrid>
        <w:gridCol w:w="1340"/>
        <w:gridCol w:w="5720"/>
        <w:gridCol w:w="960"/>
        <w:gridCol w:w="960"/>
      </w:tblGrid>
      <w:tr w:rsidR="00E938F9" w:rsidRPr="00BF3CDE" w14:paraId="61488CB3" w14:textId="77777777" w:rsidTr="004F2EE0">
        <w:trPr>
          <w:trHeight w:val="113"/>
        </w:trPr>
        <w:tc>
          <w:tcPr>
            <w:tcW w:w="1340" w:type="dxa"/>
            <w:tcBorders>
              <w:top w:val="nil"/>
              <w:left w:val="nil"/>
              <w:bottom w:val="single" w:sz="8" w:space="0" w:color="4F81BD"/>
              <w:right w:val="nil"/>
            </w:tcBorders>
            <w:shd w:val="clear" w:color="auto" w:fill="auto"/>
            <w:vAlign w:val="center"/>
            <w:hideMark/>
          </w:tcPr>
          <w:p w14:paraId="7871FEA6" w14:textId="77777777" w:rsidR="00E938F9" w:rsidRPr="00BF3CDE" w:rsidRDefault="003D22A0" w:rsidP="00B74825">
            <w:pPr>
              <w:spacing w:after="0" w:line="240" w:lineRule="auto"/>
              <w:jc w:val="center"/>
              <w:rPr>
                <w:rFonts w:eastAsia="Times New Roman" w:cs="Calibri"/>
                <w:b/>
                <w:bCs/>
                <w:noProof/>
                <w:color w:val="000000"/>
                <w:sz w:val="18"/>
                <w:szCs w:val="18"/>
                <w:lang w:val="sr-Cyrl-CS" w:eastAsia="sr-Latn-RS"/>
              </w:rPr>
            </w:pPr>
            <w:r w:rsidRPr="00BF3CDE">
              <w:rPr>
                <w:rFonts w:eastAsia="Times New Roman" w:cs="Calibri"/>
                <w:b/>
                <w:bCs/>
                <w:noProof/>
                <w:color w:val="000000"/>
                <w:sz w:val="18"/>
                <w:szCs w:val="18"/>
                <w:lang w:val="sr-Cyrl-CS" w:eastAsia="sr-Latn-RS"/>
              </w:rPr>
              <w:t>Врста</w:t>
            </w:r>
            <w:r w:rsidR="00E938F9" w:rsidRPr="00BF3CDE">
              <w:rPr>
                <w:rFonts w:eastAsia="Times New Roman" w:cs="Calibri"/>
                <w:b/>
                <w:bCs/>
                <w:noProof/>
                <w:color w:val="000000"/>
                <w:sz w:val="18"/>
                <w:szCs w:val="18"/>
                <w:lang w:val="sr-Cyrl-CS" w:eastAsia="sr-Latn-RS"/>
              </w:rPr>
              <w:t xml:space="preserve"> осигурања</w:t>
            </w:r>
          </w:p>
        </w:tc>
        <w:tc>
          <w:tcPr>
            <w:tcW w:w="5720" w:type="dxa"/>
            <w:tcBorders>
              <w:top w:val="nil"/>
              <w:left w:val="nil"/>
              <w:bottom w:val="single" w:sz="8" w:space="0" w:color="4F81BD"/>
              <w:right w:val="nil"/>
            </w:tcBorders>
            <w:shd w:val="clear" w:color="auto" w:fill="auto"/>
            <w:vAlign w:val="center"/>
            <w:hideMark/>
          </w:tcPr>
          <w:p w14:paraId="4843230F" w14:textId="77777777" w:rsidR="00E938F9" w:rsidRPr="00BF3CDE" w:rsidRDefault="00E938F9" w:rsidP="00B74825">
            <w:pPr>
              <w:spacing w:after="0" w:line="240" w:lineRule="auto"/>
              <w:jc w:val="center"/>
              <w:rPr>
                <w:rFonts w:eastAsia="Times New Roman" w:cs="Calibri"/>
                <w:b/>
                <w:bCs/>
                <w:noProof/>
                <w:color w:val="000000"/>
                <w:sz w:val="18"/>
                <w:szCs w:val="18"/>
                <w:lang w:val="sr-Cyrl-CS" w:eastAsia="sr-Latn-RS"/>
              </w:rPr>
            </w:pPr>
            <w:r w:rsidRPr="00BF3CDE">
              <w:rPr>
                <w:rFonts w:eastAsia="Times New Roman" w:cs="Calibri"/>
                <w:b/>
                <w:bCs/>
                <w:noProof/>
                <w:color w:val="000000"/>
                <w:sz w:val="18"/>
                <w:szCs w:val="18"/>
                <w:lang w:val="sr-Cyrl-CS" w:eastAsia="sr-Latn-RS"/>
              </w:rPr>
              <w:t>Врста осигурања</w:t>
            </w:r>
          </w:p>
        </w:tc>
        <w:tc>
          <w:tcPr>
            <w:tcW w:w="960" w:type="dxa"/>
            <w:tcBorders>
              <w:top w:val="nil"/>
              <w:left w:val="nil"/>
              <w:bottom w:val="single" w:sz="8" w:space="0" w:color="4F81BD"/>
              <w:right w:val="nil"/>
            </w:tcBorders>
            <w:vAlign w:val="center"/>
          </w:tcPr>
          <w:p w14:paraId="52A4E0EC" w14:textId="77777777" w:rsidR="00E938F9" w:rsidRPr="00BF3CDE" w:rsidRDefault="00E938F9" w:rsidP="00C031DE">
            <w:pPr>
              <w:spacing w:after="0" w:line="240" w:lineRule="auto"/>
              <w:jc w:val="center"/>
              <w:rPr>
                <w:rFonts w:eastAsia="Times New Roman" w:cs="Calibri"/>
                <w:b/>
                <w:bCs/>
                <w:noProof/>
                <w:color w:val="000000"/>
                <w:sz w:val="18"/>
                <w:szCs w:val="18"/>
                <w:lang w:val="sr-Cyrl-CS" w:eastAsia="sr-Latn-RS"/>
              </w:rPr>
            </w:pPr>
            <w:r w:rsidRPr="00BF3CDE">
              <w:rPr>
                <w:rFonts w:eastAsia="Times New Roman" w:cs="Calibri"/>
                <w:b/>
                <w:bCs/>
                <w:noProof/>
                <w:color w:val="000000"/>
                <w:sz w:val="18"/>
                <w:szCs w:val="18"/>
                <w:lang w:val="sr-Cyrl-CS" w:eastAsia="sr-Latn-RS"/>
              </w:rPr>
              <w:t>2013</w:t>
            </w:r>
          </w:p>
        </w:tc>
        <w:tc>
          <w:tcPr>
            <w:tcW w:w="960" w:type="dxa"/>
            <w:tcBorders>
              <w:top w:val="nil"/>
              <w:left w:val="nil"/>
              <w:bottom w:val="single" w:sz="8" w:space="0" w:color="4F81BD"/>
              <w:right w:val="nil"/>
            </w:tcBorders>
            <w:shd w:val="clear" w:color="auto" w:fill="auto"/>
            <w:vAlign w:val="center"/>
            <w:hideMark/>
          </w:tcPr>
          <w:p w14:paraId="1A559BD9" w14:textId="77777777" w:rsidR="00E938F9" w:rsidRPr="00BF3CDE" w:rsidRDefault="00E938F9" w:rsidP="00E938F9">
            <w:pPr>
              <w:spacing w:after="0" w:line="240" w:lineRule="auto"/>
              <w:jc w:val="center"/>
              <w:rPr>
                <w:rFonts w:eastAsia="Times New Roman" w:cs="Calibri"/>
                <w:b/>
                <w:bCs/>
                <w:noProof/>
                <w:color w:val="000000"/>
                <w:sz w:val="18"/>
                <w:szCs w:val="18"/>
                <w:lang w:val="sr-Cyrl-CS" w:eastAsia="sr-Latn-RS"/>
              </w:rPr>
            </w:pPr>
            <w:r w:rsidRPr="00BF3CDE">
              <w:rPr>
                <w:rFonts w:eastAsia="Times New Roman" w:cs="Calibri"/>
                <w:b/>
                <w:bCs/>
                <w:noProof/>
                <w:color w:val="000000"/>
                <w:sz w:val="18"/>
                <w:szCs w:val="18"/>
                <w:lang w:val="sr-Cyrl-CS" w:eastAsia="sr-Latn-RS"/>
              </w:rPr>
              <w:t>2014</w:t>
            </w:r>
          </w:p>
        </w:tc>
      </w:tr>
      <w:tr w:rsidR="00E938F9" w:rsidRPr="00BF3CDE" w14:paraId="14540E68" w14:textId="77777777" w:rsidTr="004F2EE0">
        <w:trPr>
          <w:trHeight w:val="227"/>
        </w:trPr>
        <w:tc>
          <w:tcPr>
            <w:tcW w:w="1340" w:type="dxa"/>
            <w:tcBorders>
              <w:top w:val="nil"/>
              <w:left w:val="nil"/>
              <w:bottom w:val="nil"/>
              <w:right w:val="nil"/>
            </w:tcBorders>
            <w:shd w:val="clear" w:color="000000" w:fill="D3DFEE"/>
            <w:noWrap/>
            <w:vAlign w:val="center"/>
            <w:hideMark/>
          </w:tcPr>
          <w:p w14:paraId="374AAA0F" w14:textId="77777777" w:rsidR="00E938F9" w:rsidRPr="00BF3CDE" w:rsidRDefault="00E938F9" w:rsidP="00B74825">
            <w:pPr>
              <w:spacing w:after="0" w:line="240" w:lineRule="auto"/>
              <w:jc w:val="center"/>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1</w:t>
            </w:r>
          </w:p>
        </w:tc>
        <w:tc>
          <w:tcPr>
            <w:tcW w:w="5720" w:type="dxa"/>
            <w:tcBorders>
              <w:top w:val="nil"/>
              <w:left w:val="nil"/>
              <w:bottom w:val="nil"/>
              <w:right w:val="nil"/>
            </w:tcBorders>
            <w:shd w:val="clear" w:color="000000" w:fill="D3DFEE"/>
            <w:vAlign w:val="center"/>
            <w:hideMark/>
          </w:tcPr>
          <w:p w14:paraId="466AE507" w14:textId="77777777" w:rsidR="00E938F9" w:rsidRPr="00BF3CDE" w:rsidRDefault="00E938F9" w:rsidP="00B74825">
            <w:pPr>
              <w:spacing w:after="0" w:line="240" w:lineRule="auto"/>
              <w:jc w:val="both"/>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Осигурање од последица незгоде</w:t>
            </w:r>
          </w:p>
        </w:tc>
        <w:tc>
          <w:tcPr>
            <w:tcW w:w="960" w:type="dxa"/>
            <w:tcBorders>
              <w:top w:val="nil"/>
              <w:left w:val="nil"/>
              <w:bottom w:val="nil"/>
              <w:right w:val="nil"/>
            </w:tcBorders>
            <w:shd w:val="clear" w:color="000000" w:fill="D3DFEE"/>
            <w:vAlign w:val="center"/>
          </w:tcPr>
          <w:p w14:paraId="0DE126BF" w14:textId="77777777" w:rsidR="00E938F9" w:rsidRPr="00BF3CDE" w:rsidRDefault="00E938F9" w:rsidP="00C031DE">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 0</w:t>
            </w:r>
          </w:p>
        </w:tc>
        <w:tc>
          <w:tcPr>
            <w:tcW w:w="960" w:type="dxa"/>
            <w:tcBorders>
              <w:top w:val="nil"/>
              <w:left w:val="nil"/>
              <w:bottom w:val="nil"/>
              <w:right w:val="nil"/>
            </w:tcBorders>
            <w:shd w:val="clear" w:color="000000" w:fill="D3DFEE"/>
            <w:vAlign w:val="center"/>
          </w:tcPr>
          <w:p w14:paraId="119821C4" w14:textId="77777777" w:rsidR="00E938F9" w:rsidRPr="00BF3CDE" w:rsidRDefault="00E938F9" w:rsidP="00B74825">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0</w:t>
            </w:r>
          </w:p>
        </w:tc>
      </w:tr>
      <w:tr w:rsidR="00E938F9" w:rsidRPr="00BF3CDE" w14:paraId="722BCFAE" w14:textId="77777777" w:rsidTr="004F2EE0">
        <w:trPr>
          <w:trHeight w:val="227"/>
        </w:trPr>
        <w:tc>
          <w:tcPr>
            <w:tcW w:w="1340" w:type="dxa"/>
            <w:tcBorders>
              <w:top w:val="nil"/>
              <w:left w:val="nil"/>
              <w:bottom w:val="nil"/>
              <w:right w:val="nil"/>
            </w:tcBorders>
            <w:shd w:val="clear" w:color="auto" w:fill="auto"/>
            <w:noWrap/>
            <w:vAlign w:val="center"/>
            <w:hideMark/>
          </w:tcPr>
          <w:p w14:paraId="77B97A14" w14:textId="77777777" w:rsidR="00E938F9" w:rsidRPr="00BF3CDE" w:rsidRDefault="00E938F9" w:rsidP="00B74825">
            <w:pPr>
              <w:spacing w:after="0" w:line="240" w:lineRule="auto"/>
              <w:jc w:val="center"/>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3</w:t>
            </w:r>
          </w:p>
        </w:tc>
        <w:tc>
          <w:tcPr>
            <w:tcW w:w="5720" w:type="dxa"/>
            <w:tcBorders>
              <w:top w:val="nil"/>
              <w:left w:val="nil"/>
              <w:bottom w:val="nil"/>
              <w:right w:val="nil"/>
            </w:tcBorders>
            <w:shd w:val="clear" w:color="auto" w:fill="auto"/>
            <w:vAlign w:val="center"/>
            <w:hideMark/>
          </w:tcPr>
          <w:p w14:paraId="218D4A5A" w14:textId="77777777" w:rsidR="00E938F9" w:rsidRPr="00BF3CDE" w:rsidRDefault="00E938F9" w:rsidP="00B74825">
            <w:pPr>
              <w:spacing w:after="0" w:line="240" w:lineRule="auto"/>
              <w:jc w:val="both"/>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Oсигурање моторних возила</w:t>
            </w:r>
          </w:p>
        </w:tc>
        <w:tc>
          <w:tcPr>
            <w:tcW w:w="960" w:type="dxa"/>
            <w:tcBorders>
              <w:top w:val="nil"/>
              <w:left w:val="nil"/>
              <w:bottom w:val="nil"/>
              <w:right w:val="nil"/>
            </w:tcBorders>
            <w:vAlign w:val="center"/>
          </w:tcPr>
          <w:p w14:paraId="446A268D" w14:textId="77777777" w:rsidR="00E938F9" w:rsidRPr="00BF3CDE" w:rsidRDefault="00E938F9" w:rsidP="00C031DE">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7,322</w:t>
            </w:r>
          </w:p>
        </w:tc>
        <w:tc>
          <w:tcPr>
            <w:tcW w:w="960" w:type="dxa"/>
            <w:tcBorders>
              <w:top w:val="nil"/>
              <w:left w:val="nil"/>
              <w:bottom w:val="nil"/>
              <w:right w:val="nil"/>
            </w:tcBorders>
            <w:shd w:val="clear" w:color="auto" w:fill="auto"/>
            <w:vAlign w:val="center"/>
          </w:tcPr>
          <w:p w14:paraId="3755D07B" w14:textId="77777777" w:rsidR="00E938F9" w:rsidRPr="00BF3CDE" w:rsidRDefault="00E938F9" w:rsidP="00E938F9">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7,491</w:t>
            </w:r>
          </w:p>
        </w:tc>
      </w:tr>
      <w:tr w:rsidR="00E938F9" w:rsidRPr="00BF3CDE" w14:paraId="14E6FA1A" w14:textId="77777777" w:rsidTr="004F2EE0">
        <w:trPr>
          <w:trHeight w:val="227"/>
        </w:trPr>
        <w:tc>
          <w:tcPr>
            <w:tcW w:w="1340" w:type="dxa"/>
            <w:tcBorders>
              <w:top w:val="nil"/>
              <w:left w:val="nil"/>
              <w:bottom w:val="nil"/>
              <w:right w:val="nil"/>
            </w:tcBorders>
            <w:shd w:val="clear" w:color="000000" w:fill="D3DFEE"/>
            <w:noWrap/>
            <w:vAlign w:val="center"/>
            <w:hideMark/>
          </w:tcPr>
          <w:p w14:paraId="15CB2D9D" w14:textId="77777777" w:rsidR="00E938F9" w:rsidRPr="00BF3CDE" w:rsidRDefault="00E938F9" w:rsidP="00B74825">
            <w:pPr>
              <w:spacing w:after="0" w:line="240" w:lineRule="auto"/>
              <w:jc w:val="center"/>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5</w:t>
            </w:r>
          </w:p>
        </w:tc>
        <w:tc>
          <w:tcPr>
            <w:tcW w:w="5720" w:type="dxa"/>
            <w:tcBorders>
              <w:top w:val="nil"/>
              <w:left w:val="nil"/>
              <w:bottom w:val="nil"/>
              <w:right w:val="nil"/>
            </w:tcBorders>
            <w:shd w:val="clear" w:color="000000" w:fill="D3DFEE"/>
            <w:vAlign w:val="center"/>
            <w:hideMark/>
          </w:tcPr>
          <w:p w14:paraId="2EA1ACFD" w14:textId="77777777" w:rsidR="00E938F9" w:rsidRPr="00BF3CDE" w:rsidRDefault="00E938F9" w:rsidP="00B74825">
            <w:pPr>
              <w:spacing w:after="0" w:line="240" w:lineRule="auto"/>
              <w:jc w:val="both"/>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Oсигурање ваздухоплова</w:t>
            </w:r>
          </w:p>
        </w:tc>
        <w:tc>
          <w:tcPr>
            <w:tcW w:w="960" w:type="dxa"/>
            <w:tcBorders>
              <w:top w:val="nil"/>
              <w:left w:val="nil"/>
              <w:bottom w:val="nil"/>
              <w:right w:val="nil"/>
            </w:tcBorders>
            <w:shd w:val="clear" w:color="000000" w:fill="D3DFEE"/>
            <w:vAlign w:val="center"/>
          </w:tcPr>
          <w:p w14:paraId="0B762E4B" w14:textId="77777777" w:rsidR="00E938F9" w:rsidRPr="00BF3CDE" w:rsidRDefault="00E938F9" w:rsidP="00C031DE">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601</w:t>
            </w:r>
          </w:p>
        </w:tc>
        <w:tc>
          <w:tcPr>
            <w:tcW w:w="960" w:type="dxa"/>
            <w:tcBorders>
              <w:top w:val="nil"/>
              <w:left w:val="nil"/>
              <w:bottom w:val="nil"/>
              <w:right w:val="nil"/>
            </w:tcBorders>
            <w:shd w:val="clear" w:color="000000" w:fill="D3DFEE"/>
            <w:vAlign w:val="center"/>
          </w:tcPr>
          <w:p w14:paraId="4FDAB88E" w14:textId="77777777" w:rsidR="00E938F9" w:rsidRPr="00BF3CDE" w:rsidRDefault="00E938F9" w:rsidP="00E938F9">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1,554</w:t>
            </w:r>
          </w:p>
        </w:tc>
      </w:tr>
      <w:tr w:rsidR="00E938F9" w:rsidRPr="00BF3CDE" w14:paraId="739818DA" w14:textId="77777777" w:rsidTr="004F2EE0">
        <w:trPr>
          <w:trHeight w:val="227"/>
        </w:trPr>
        <w:tc>
          <w:tcPr>
            <w:tcW w:w="1340" w:type="dxa"/>
            <w:tcBorders>
              <w:top w:val="nil"/>
              <w:left w:val="nil"/>
              <w:bottom w:val="nil"/>
              <w:right w:val="nil"/>
            </w:tcBorders>
            <w:shd w:val="clear" w:color="auto" w:fill="auto"/>
            <w:noWrap/>
            <w:vAlign w:val="center"/>
            <w:hideMark/>
          </w:tcPr>
          <w:p w14:paraId="7C157B1A" w14:textId="77777777" w:rsidR="00E938F9" w:rsidRPr="00BF3CDE" w:rsidRDefault="00E938F9" w:rsidP="00B74825">
            <w:pPr>
              <w:spacing w:after="0" w:line="240" w:lineRule="auto"/>
              <w:jc w:val="center"/>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6</w:t>
            </w:r>
          </w:p>
        </w:tc>
        <w:tc>
          <w:tcPr>
            <w:tcW w:w="5720" w:type="dxa"/>
            <w:tcBorders>
              <w:top w:val="nil"/>
              <w:left w:val="nil"/>
              <w:bottom w:val="nil"/>
              <w:right w:val="nil"/>
            </w:tcBorders>
            <w:shd w:val="clear" w:color="auto" w:fill="auto"/>
            <w:vAlign w:val="center"/>
            <w:hideMark/>
          </w:tcPr>
          <w:p w14:paraId="5F209578" w14:textId="77777777" w:rsidR="00E938F9" w:rsidRPr="00BF3CDE" w:rsidRDefault="00E938F9" w:rsidP="00B74825">
            <w:pPr>
              <w:spacing w:after="0" w:line="240" w:lineRule="auto"/>
              <w:jc w:val="both"/>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Осигурање пловних објеката</w:t>
            </w:r>
          </w:p>
        </w:tc>
        <w:tc>
          <w:tcPr>
            <w:tcW w:w="960" w:type="dxa"/>
            <w:tcBorders>
              <w:top w:val="nil"/>
              <w:left w:val="nil"/>
              <w:bottom w:val="nil"/>
              <w:right w:val="nil"/>
            </w:tcBorders>
            <w:vAlign w:val="center"/>
          </w:tcPr>
          <w:p w14:paraId="001314B5" w14:textId="77777777" w:rsidR="00E938F9" w:rsidRPr="00BF3CDE" w:rsidRDefault="00E938F9" w:rsidP="00C031DE">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701</w:t>
            </w:r>
          </w:p>
        </w:tc>
        <w:tc>
          <w:tcPr>
            <w:tcW w:w="960" w:type="dxa"/>
            <w:tcBorders>
              <w:top w:val="nil"/>
              <w:left w:val="nil"/>
              <w:bottom w:val="nil"/>
              <w:right w:val="nil"/>
            </w:tcBorders>
            <w:shd w:val="clear" w:color="auto" w:fill="auto"/>
            <w:vAlign w:val="center"/>
          </w:tcPr>
          <w:p w14:paraId="770E1DBF" w14:textId="77777777" w:rsidR="00E938F9" w:rsidRPr="00BF3CDE" w:rsidRDefault="00E938F9" w:rsidP="00B74825">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342</w:t>
            </w:r>
          </w:p>
        </w:tc>
      </w:tr>
      <w:tr w:rsidR="00E938F9" w:rsidRPr="00BF3CDE" w14:paraId="690DCF2C" w14:textId="77777777" w:rsidTr="004F2EE0">
        <w:trPr>
          <w:trHeight w:val="227"/>
        </w:trPr>
        <w:tc>
          <w:tcPr>
            <w:tcW w:w="1340" w:type="dxa"/>
            <w:tcBorders>
              <w:top w:val="nil"/>
              <w:left w:val="nil"/>
              <w:bottom w:val="nil"/>
              <w:right w:val="nil"/>
            </w:tcBorders>
            <w:shd w:val="clear" w:color="000000" w:fill="D3DFEE"/>
            <w:noWrap/>
            <w:vAlign w:val="center"/>
            <w:hideMark/>
          </w:tcPr>
          <w:p w14:paraId="2CFE6366" w14:textId="77777777" w:rsidR="00E938F9" w:rsidRPr="00BF3CDE" w:rsidRDefault="00E938F9" w:rsidP="00B74825">
            <w:pPr>
              <w:spacing w:after="0" w:line="240" w:lineRule="auto"/>
              <w:jc w:val="center"/>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7</w:t>
            </w:r>
          </w:p>
        </w:tc>
        <w:tc>
          <w:tcPr>
            <w:tcW w:w="5720" w:type="dxa"/>
            <w:tcBorders>
              <w:top w:val="nil"/>
              <w:left w:val="nil"/>
              <w:bottom w:val="nil"/>
              <w:right w:val="nil"/>
            </w:tcBorders>
            <w:shd w:val="clear" w:color="000000" w:fill="D3DFEE"/>
            <w:vAlign w:val="center"/>
            <w:hideMark/>
          </w:tcPr>
          <w:p w14:paraId="363811CD" w14:textId="77777777" w:rsidR="00E938F9" w:rsidRPr="00BF3CDE" w:rsidRDefault="00E938F9" w:rsidP="00B74825">
            <w:pPr>
              <w:spacing w:after="0" w:line="240" w:lineRule="auto"/>
              <w:jc w:val="both"/>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Oсигурање робе у превозу</w:t>
            </w:r>
          </w:p>
        </w:tc>
        <w:tc>
          <w:tcPr>
            <w:tcW w:w="960" w:type="dxa"/>
            <w:tcBorders>
              <w:top w:val="nil"/>
              <w:left w:val="nil"/>
              <w:bottom w:val="nil"/>
              <w:right w:val="nil"/>
            </w:tcBorders>
            <w:shd w:val="clear" w:color="000000" w:fill="D3DFEE"/>
            <w:vAlign w:val="center"/>
          </w:tcPr>
          <w:p w14:paraId="200FC5D5" w14:textId="77777777" w:rsidR="00E938F9" w:rsidRPr="00BF3CDE" w:rsidRDefault="00E938F9" w:rsidP="00C031DE">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688</w:t>
            </w:r>
          </w:p>
        </w:tc>
        <w:tc>
          <w:tcPr>
            <w:tcW w:w="960" w:type="dxa"/>
            <w:tcBorders>
              <w:top w:val="nil"/>
              <w:left w:val="nil"/>
              <w:bottom w:val="nil"/>
              <w:right w:val="nil"/>
            </w:tcBorders>
            <w:shd w:val="clear" w:color="000000" w:fill="D3DFEE"/>
            <w:vAlign w:val="center"/>
          </w:tcPr>
          <w:p w14:paraId="1825467C" w14:textId="77777777" w:rsidR="00E938F9" w:rsidRPr="00BF3CDE" w:rsidRDefault="00E938F9" w:rsidP="00B74825">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723</w:t>
            </w:r>
          </w:p>
        </w:tc>
      </w:tr>
      <w:tr w:rsidR="00E938F9" w:rsidRPr="00BF3CDE" w14:paraId="519B3326" w14:textId="77777777" w:rsidTr="004F2EE0">
        <w:trPr>
          <w:trHeight w:val="227"/>
        </w:trPr>
        <w:tc>
          <w:tcPr>
            <w:tcW w:w="1340" w:type="dxa"/>
            <w:tcBorders>
              <w:top w:val="nil"/>
              <w:left w:val="nil"/>
              <w:bottom w:val="nil"/>
              <w:right w:val="nil"/>
            </w:tcBorders>
            <w:shd w:val="clear" w:color="auto" w:fill="auto"/>
            <w:noWrap/>
            <w:vAlign w:val="center"/>
            <w:hideMark/>
          </w:tcPr>
          <w:p w14:paraId="51D1B9CD" w14:textId="77777777" w:rsidR="00E938F9" w:rsidRPr="00BF3CDE" w:rsidRDefault="00E938F9" w:rsidP="00B74825">
            <w:pPr>
              <w:spacing w:after="0" w:line="240" w:lineRule="auto"/>
              <w:jc w:val="center"/>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8</w:t>
            </w:r>
          </w:p>
        </w:tc>
        <w:tc>
          <w:tcPr>
            <w:tcW w:w="5720" w:type="dxa"/>
            <w:tcBorders>
              <w:top w:val="nil"/>
              <w:left w:val="nil"/>
              <w:bottom w:val="nil"/>
              <w:right w:val="nil"/>
            </w:tcBorders>
            <w:shd w:val="clear" w:color="auto" w:fill="auto"/>
            <w:vAlign w:val="center"/>
            <w:hideMark/>
          </w:tcPr>
          <w:p w14:paraId="75D1E01C" w14:textId="77777777" w:rsidR="00E938F9" w:rsidRPr="00BF3CDE" w:rsidRDefault="00E938F9" w:rsidP="00B74825">
            <w:pPr>
              <w:spacing w:after="0" w:line="240" w:lineRule="auto"/>
              <w:jc w:val="both"/>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Осигурање имовине од пожара и других опасности</w:t>
            </w:r>
          </w:p>
        </w:tc>
        <w:tc>
          <w:tcPr>
            <w:tcW w:w="960" w:type="dxa"/>
            <w:tcBorders>
              <w:top w:val="nil"/>
              <w:left w:val="nil"/>
              <w:bottom w:val="nil"/>
              <w:right w:val="nil"/>
            </w:tcBorders>
            <w:vAlign w:val="center"/>
          </w:tcPr>
          <w:p w14:paraId="0F8F8EEE" w14:textId="77777777" w:rsidR="00E938F9" w:rsidRPr="00BF3CDE" w:rsidRDefault="00E938F9" w:rsidP="00C031DE">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326</w:t>
            </w:r>
          </w:p>
        </w:tc>
        <w:tc>
          <w:tcPr>
            <w:tcW w:w="960" w:type="dxa"/>
            <w:tcBorders>
              <w:top w:val="nil"/>
              <w:left w:val="nil"/>
              <w:bottom w:val="nil"/>
              <w:right w:val="nil"/>
            </w:tcBorders>
            <w:shd w:val="clear" w:color="auto" w:fill="auto"/>
            <w:vAlign w:val="center"/>
          </w:tcPr>
          <w:p w14:paraId="116B0493" w14:textId="77777777" w:rsidR="00E938F9" w:rsidRPr="00BF3CDE" w:rsidRDefault="00E938F9" w:rsidP="00B74825">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380</w:t>
            </w:r>
          </w:p>
        </w:tc>
      </w:tr>
      <w:tr w:rsidR="00E938F9" w:rsidRPr="00BF3CDE" w14:paraId="7D267CF8" w14:textId="77777777" w:rsidTr="004F2EE0">
        <w:trPr>
          <w:trHeight w:val="227"/>
        </w:trPr>
        <w:tc>
          <w:tcPr>
            <w:tcW w:w="1340" w:type="dxa"/>
            <w:tcBorders>
              <w:top w:val="nil"/>
              <w:left w:val="nil"/>
              <w:bottom w:val="nil"/>
              <w:right w:val="nil"/>
            </w:tcBorders>
            <w:shd w:val="clear" w:color="000000" w:fill="D3DFEE"/>
            <w:noWrap/>
            <w:vAlign w:val="center"/>
            <w:hideMark/>
          </w:tcPr>
          <w:p w14:paraId="4A06180A" w14:textId="77777777" w:rsidR="00E938F9" w:rsidRPr="00BF3CDE" w:rsidRDefault="00E938F9" w:rsidP="00B74825">
            <w:pPr>
              <w:spacing w:after="0" w:line="240" w:lineRule="auto"/>
              <w:jc w:val="center"/>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9</w:t>
            </w:r>
          </w:p>
        </w:tc>
        <w:tc>
          <w:tcPr>
            <w:tcW w:w="5720" w:type="dxa"/>
            <w:tcBorders>
              <w:top w:val="nil"/>
              <w:left w:val="nil"/>
              <w:bottom w:val="nil"/>
              <w:right w:val="nil"/>
            </w:tcBorders>
            <w:shd w:val="clear" w:color="000000" w:fill="D3DFEE"/>
            <w:vAlign w:val="center"/>
            <w:hideMark/>
          </w:tcPr>
          <w:p w14:paraId="66D50C4D" w14:textId="77777777" w:rsidR="00E938F9" w:rsidRPr="00BF3CDE" w:rsidRDefault="00E938F9" w:rsidP="00B74825">
            <w:pPr>
              <w:spacing w:after="0" w:line="240" w:lineRule="auto"/>
              <w:jc w:val="both"/>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Oстала осигурања имовине</w:t>
            </w:r>
          </w:p>
        </w:tc>
        <w:tc>
          <w:tcPr>
            <w:tcW w:w="960" w:type="dxa"/>
            <w:tcBorders>
              <w:top w:val="nil"/>
              <w:left w:val="nil"/>
              <w:bottom w:val="nil"/>
              <w:right w:val="nil"/>
            </w:tcBorders>
            <w:shd w:val="clear" w:color="000000" w:fill="D3DFEE"/>
            <w:vAlign w:val="center"/>
          </w:tcPr>
          <w:p w14:paraId="1645C98E" w14:textId="77777777" w:rsidR="00E938F9" w:rsidRPr="00BF3CDE" w:rsidRDefault="00E938F9" w:rsidP="00C031DE">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2,278</w:t>
            </w:r>
          </w:p>
        </w:tc>
        <w:tc>
          <w:tcPr>
            <w:tcW w:w="960" w:type="dxa"/>
            <w:tcBorders>
              <w:top w:val="nil"/>
              <w:left w:val="nil"/>
              <w:bottom w:val="nil"/>
              <w:right w:val="nil"/>
            </w:tcBorders>
            <w:shd w:val="clear" w:color="000000" w:fill="D3DFEE"/>
            <w:vAlign w:val="center"/>
          </w:tcPr>
          <w:p w14:paraId="0E520F6D" w14:textId="77777777" w:rsidR="00E938F9" w:rsidRPr="00BF3CDE" w:rsidRDefault="00E938F9" w:rsidP="00B74825">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682</w:t>
            </w:r>
          </w:p>
        </w:tc>
      </w:tr>
      <w:tr w:rsidR="00E938F9" w:rsidRPr="00BF3CDE" w14:paraId="106889E1" w14:textId="77777777" w:rsidTr="004F2EE0">
        <w:trPr>
          <w:trHeight w:val="227"/>
        </w:trPr>
        <w:tc>
          <w:tcPr>
            <w:tcW w:w="1340" w:type="dxa"/>
            <w:tcBorders>
              <w:top w:val="nil"/>
              <w:left w:val="nil"/>
              <w:bottom w:val="nil"/>
              <w:right w:val="nil"/>
            </w:tcBorders>
            <w:shd w:val="clear" w:color="auto" w:fill="auto"/>
            <w:noWrap/>
            <w:vAlign w:val="center"/>
            <w:hideMark/>
          </w:tcPr>
          <w:p w14:paraId="48953506" w14:textId="77777777" w:rsidR="00E938F9" w:rsidRPr="00BF3CDE" w:rsidRDefault="00E938F9" w:rsidP="00B74825">
            <w:pPr>
              <w:spacing w:after="0" w:line="240" w:lineRule="auto"/>
              <w:jc w:val="center"/>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10</w:t>
            </w:r>
          </w:p>
        </w:tc>
        <w:tc>
          <w:tcPr>
            <w:tcW w:w="5720" w:type="dxa"/>
            <w:tcBorders>
              <w:top w:val="nil"/>
              <w:left w:val="nil"/>
              <w:bottom w:val="nil"/>
              <w:right w:val="nil"/>
            </w:tcBorders>
            <w:shd w:val="clear" w:color="auto" w:fill="auto"/>
            <w:vAlign w:val="center"/>
            <w:hideMark/>
          </w:tcPr>
          <w:p w14:paraId="1F1FF5A2" w14:textId="77777777" w:rsidR="00E938F9" w:rsidRPr="00BF3CDE" w:rsidRDefault="00E938F9" w:rsidP="00B74825">
            <w:pPr>
              <w:spacing w:after="0" w:line="240" w:lineRule="auto"/>
              <w:jc w:val="both"/>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Oсигурање од одговорности због употребе м.в</w:t>
            </w:r>
          </w:p>
        </w:tc>
        <w:tc>
          <w:tcPr>
            <w:tcW w:w="960" w:type="dxa"/>
            <w:tcBorders>
              <w:top w:val="nil"/>
              <w:left w:val="nil"/>
              <w:bottom w:val="nil"/>
              <w:right w:val="nil"/>
            </w:tcBorders>
            <w:vAlign w:val="center"/>
          </w:tcPr>
          <w:p w14:paraId="281F0226" w14:textId="77777777" w:rsidR="00E938F9" w:rsidRPr="00BF3CDE" w:rsidRDefault="00E938F9" w:rsidP="00C031DE">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446</w:t>
            </w:r>
          </w:p>
        </w:tc>
        <w:tc>
          <w:tcPr>
            <w:tcW w:w="960" w:type="dxa"/>
            <w:tcBorders>
              <w:top w:val="nil"/>
              <w:left w:val="nil"/>
              <w:bottom w:val="nil"/>
              <w:right w:val="nil"/>
            </w:tcBorders>
            <w:shd w:val="clear" w:color="auto" w:fill="auto"/>
            <w:vAlign w:val="center"/>
          </w:tcPr>
          <w:p w14:paraId="48A22B6B" w14:textId="77777777" w:rsidR="00E938F9" w:rsidRPr="00BF3CDE" w:rsidRDefault="00E938F9" w:rsidP="00B74825">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828</w:t>
            </w:r>
          </w:p>
        </w:tc>
      </w:tr>
      <w:tr w:rsidR="00E938F9" w:rsidRPr="00BF3CDE" w14:paraId="009C2F4E" w14:textId="77777777" w:rsidTr="004F2EE0">
        <w:trPr>
          <w:trHeight w:val="227"/>
        </w:trPr>
        <w:tc>
          <w:tcPr>
            <w:tcW w:w="1340" w:type="dxa"/>
            <w:tcBorders>
              <w:top w:val="nil"/>
              <w:left w:val="nil"/>
              <w:bottom w:val="nil"/>
              <w:right w:val="nil"/>
            </w:tcBorders>
            <w:shd w:val="clear" w:color="000000" w:fill="D3DFEE"/>
            <w:noWrap/>
            <w:vAlign w:val="center"/>
            <w:hideMark/>
          </w:tcPr>
          <w:p w14:paraId="157E46B2" w14:textId="77777777" w:rsidR="00E938F9" w:rsidRPr="00BF3CDE" w:rsidRDefault="00E938F9" w:rsidP="00B74825">
            <w:pPr>
              <w:spacing w:after="0" w:line="240" w:lineRule="auto"/>
              <w:jc w:val="center"/>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11</w:t>
            </w:r>
          </w:p>
        </w:tc>
        <w:tc>
          <w:tcPr>
            <w:tcW w:w="5720" w:type="dxa"/>
            <w:tcBorders>
              <w:top w:val="nil"/>
              <w:left w:val="nil"/>
              <w:bottom w:val="nil"/>
              <w:right w:val="nil"/>
            </w:tcBorders>
            <w:shd w:val="clear" w:color="000000" w:fill="D3DFEE"/>
            <w:vAlign w:val="center"/>
            <w:hideMark/>
          </w:tcPr>
          <w:p w14:paraId="286AD8DB" w14:textId="77777777" w:rsidR="00E938F9" w:rsidRPr="00BF3CDE" w:rsidRDefault="00E938F9" w:rsidP="00B74825">
            <w:pPr>
              <w:spacing w:after="0" w:line="240" w:lineRule="auto"/>
              <w:jc w:val="both"/>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Oсигурање од одговорности због употребе ваздухоплова</w:t>
            </w:r>
          </w:p>
        </w:tc>
        <w:tc>
          <w:tcPr>
            <w:tcW w:w="960" w:type="dxa"/>
            <w:tcBorders>
              <w:top w:val="nil"/>
              <w:left w:val="nil"/>
              <w:bottom w:val="nil"/>
              <w:right w:val="nil"/>
            </w:tcBorders>
            <w:shd w:val="clear" w:color="000000" w:fill="D3DFEE"/>
            <w:vAlign w:val="center"/>
          </w:tcPr>
          <w:p w14:paraId="260E1A42" w14:textId="77777777" w:rsidR="00E938F9" w:rsidRPr="00BF3CDE" w:rsidRDefault="00E938F9" w:rsidP="00C031DE">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106</w:t>
            </w:r>
          </w:p>
        </w:tc>
        <w:tc>
          <w:tcPr>
            <w:tcW w:w="960" w:type="dxa"/>
            <w:tcBorders>
              <w:top w:val="nil"/>
              <w:left w:val="nil"/>
              <w:bottom w:val="nil"/>
              <w:right w:val="nil"/>
            </w:tcBorders>
            <w:shd w:val="clear" w:color="000000" w:fill="D3DFEE"/>
            <w:vAlign w:val="center"/>
          </w:tcPr>
          <w:p w14:paraId="06122182" w14:textId="77777777" w:rsidR="00E938F9" w:rsidRPr="00BF3CDE" w:rsidRDefault="00E938F9" w:rsidP="00B74825">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35</w:t>
            </w:r>
          </w:p>
        </w:tc>
      </w:tr>
      <w:tr w:rsidR="00E938F9" w:rsidRPr="00BF3CDE" w14:paraId="35549C03" w14:textId="77777777" w:rsidTr="004F2EE0">
        <w:trPr>
          <w:trHeight w:val="227"/>
        </w:trPr>
        <w:tc>
          <w:tcPr>
            <w:tcW w:w="1340" w:type="dxa"/>
            <w:tcBorders>
              <w:top w:val="nil"/>
              <w:left w:val="nil"/>
              <w:bottom w:val="nil"/>
              <w:right w:val="nil"/>
            </w:tcBorders>
            <w:shd w:val="clear" w:color="auto" w:fill="auto"/>
            <w:noWrap/>
            <w:vAlign w:val="center"/>
            <w:hideMark/>
          </w:tcPr>
          <w:p w14:paraId="02CF63DC" w14:textId="77777777" w:rsidR="00E938F9" w:rsidRPr="00BF3CDE" w:rsidRDefault="00E938F9" w:rsidP="00B74825">
            <w:pPr>
              <w:spacing w:after="0" w:line="240" w:lineRule="auto"/>
              <w:jc w:val="center"/>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12</w:t>
            </w:r>
          </w:p>
        </w:tc>
        <w:tc>
          <w:tcPr>
            <w:tcW w:w="5720" w:type="dxa"/>
            <w:tcBorders>
              <w:top w:val="nil"/>
              <w:left w:val="nil"/>
              <w:bottom w:val="nil"/>
              <w:right w:val="nil"/>
            </w:tcBorders>
            <w:shd w:val="clear" w:color="auto" w:fill="auto"/>
            <w:vAlign w:val="center"/>
            <w:hideMark/>
          </w:tcPr>
          <w:p w14:paraId="69369BF4" w14:textId="77777777" w:rsidR="00E938F9" w:rsidRPr="00BF3CDE" w:rsidRDefault="00E938F9" w:rsidP="00B74825">
            <w:pPr>
              <w:spacing w:after="0" w:line="240" w:lineRule="auto"/>
              <w:jc w:val="both"/>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Oсигурање од одгов. због употребе пловних објеката</w:t>
            </w:r>
          </w:p>
        </w:tc>
        <w:tc>
          <w:tcPr>
            <w:tcW w:w="960" w:type="dxa"/>
            <w:tcBorders>
              <w:top w:val="nil"/>
              <w:left w:val="nil"/>
              <w:bottom w:val="nil"/>
              <w:right w:val="nil"/>
            </w:tcBorders>
            <w:vAlign w:val="center"/>
          </w:tcPr>
          <w:p w14:paraId="6F09CB58" w14:textId="77777777" w:rsidR="00E938F9" w:rsidRPr="00BF3CDE" w:rsidRDefault="00E938F9" w:rsidP="00C031DE">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47</w:t>
            </w:r>
          </w:p>
        </w:tc>
        <w:tc>
          <w:tcPr>
            <w:tcW w:w="960" w:type="dxa"/>
            <w:tcBorders>
              <w:top w:val="nil"/>
              <w:left w:val="nil"/>
              <w:bottom w:val="nil"/>
              <w:right w:val="nil"/>
            </w:tcBorders>
            <w:shd w:val="clear" w:color="auto" w:fill="auto"/>
            <w:vAlign w:val="center"/>
          </w:tcPr>
          <w:p w14:paraId="65CAEF8B" w14:textId="77777777" w:rsidR="00E938F9" w:rsidRPr="00BF3CDE" w:rsidRDefault="00E938F9" w:rsidP="00B74825">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47</w:t>
            </w:r>
          </w:p>
        </w:tc>
      </w:tr>
      <w:tr w:rsidR="00E938F9" w:rsidRPr="00BF3CDE" w14:paraId="383BE451" w14:textId="77777777" w:rsidTr="004F2EE0">
        <w:trPr>
          <w:trHeight w:val="227"/>
        </w:trPr>
        <w:tc>
          <w:tcPr>
            <w:tcW w:w="1340" w:type="dxa"/>
            <w:tcBorders>
              <w:top w:val="nil"/>
              <w:left w:val="nil"/>
              <w:bottom w:val="nil"/>
              <w:right w:val="nil"/>
            </w:tcBorders>
            <w:shd w:val="clear" w:color="000000" w:fill="D3DFEE"/>
            <w:noWrap/>
            <w:vAlign w:val="center"/>
            <w:hideMark/>
          </w:tcPr>
          <w:p w14:paraId="09F1E3E1" w14:textId="77777777" w:rsidR="00E938F9" w:rsidRPr="00BF3CDE" w:rsidRDefault="00E938F9" w:rsidP="00B74825">
            <w:pPr>
              <w:spacing w:after="0" w:line="240" w:lineRule="auto"/>
              <w:jc w:val="center"/>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13</w:t>
            </w:r>
          </w:p>
        </w:tc>
        <w:tc>
          <w:tcPr>
            <w:tcW w:w="5720" w:type="dxa"/>
            <w:tcBorders>
              <w:top w:val="nil"/>
              <w:left w:val="nil"/>
              <w:bottom w:val="nil"/>
              <w:right w:val="nil"/>
            </w:tcBorders>
            <w:shd w:val="clear" w:color="000000" w:fill="D3DFEE"/>
            <w:vAlign w:val="center"/>
            <w:hideMark/>
          </w:tcPr>
          <w:p w14:paraId="1FBFD87A" w14:textId="77777777" w:rsidR="00E938F9" w:rsidRPr="00BF3CDE" w:rsidRDefault="00E938F9" w:rsidP="00B74825">
            <w:pPr>
              <w:spacing w:after="0" w:line="240" w:lineRule="auto"/>
              <w:jc w:val="both"/>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Oсигурање од опште одговорности</w:t>
            </w:r>
          </w:p>
        </w:tc>
        <w:tc>
          <w:tcPr>
            <w:tcW w:w="960" w:type="dxa"/>
            <w:tcBorders>
              <w:top w:val="nil"/>
              <w:left w:val="nil"/>
              <w:bottom w:val="nil"/>
              <w:right w:val="nil"/>
            </w:tcBorders>
            <w:shd w:val="clear" w:color="000000" w:fill="D3DFEE"/>
            <w:vAlign w:val="center"/>
          </w:tcPr>
          <w:p w14:paraId="1DE07A78" w14:textId="77777777" w:rsidR="00E938F9" w:rsidRPr="00BF3CDE" w:rsidRDefault="00E938F9" w:rsidP="00C031DE">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1,108</w:t>
            </w:r>
          </w:p>
        </w:tc>
        <w:tc>
          <w:tcPr>
            <w:tcW w:w="960" w:type="dxa"/>
            <w:tcBorders>
              <w:top w:val="nil"/>
              <w:left w:val="nil"/>
              <w:bottom w:val="nil"/>
              <w:right w:val="nil"/>
            </w:tcBorders>
            <w:shd w:val="clear" w:color="000000" w:fill="D3DFEE"/>
            <w:vAlign w:val="center"/>
          </w:tcPr>
          <w:p w14:paraId="47C6FF45" w14:textId="77777777" w:rsidR="00E938F9" w:rsidRPr="00BF3CDE" w:rsidRDefault="00E938F9" w:rsidP="00B74825">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1,516</w:t>
            </w:r>
          </w:p>
        </w:tc>
      </w:tr>
      <w:tr w:rsidR="00E938F9" w:rsidRPr="00BF3CDE" w14:paraId="3B88BF4C" w14:textId="77777777" w:rsidTr="004F2EE0">
        <w:trPr>
          <w:trHeight w:val="227"/>
        </w:trPr>
        <w:tc>
          <w:tcPr>
            <w:tcW w:w="1340" w:type="dxa"/>
            <w:tcBorders>
              <w:top w:val="nil"/>
              <w:left w:val="nil"/>
              <w:bottom w:val="nil"/>
              <w:right w:val="nil"/>
            </w:tcBorders>
            <w:shd w:val="clear" w:color="000000" w:fill="FFFFFF"/>
            <w:noWrap/>
            <w:vAlign w:val="center"/>
            <w:hideMark/>
          </w:tcPr>
          <w:p w14:paraId="6CB2C0A1" w14:textId="77777777" w:rsidR="00E938F9" w:rsidRPr="00BF3CDE" w:rsidRDefault="00E938F9" w:rsidP="00B74825">
            <w:pPr>
              <w:spacing w:after="0" w:line="240" w:lineRule="auto"/>
              <w:jc w:val="center"/>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14</w:t>
            </w:r>
          </w:p>
        </w:tc>
        <w:tc>
          <w:tcPr>
            <w:tcW w:w="5720" w:type="dxa"/>
            <w:tcBorders>
              <w:top w:val="nil"/>
              <w:left w:val="nil"/>
              <w:bottom w:val="nil"/>
              <w:right w:val="nil"/>
            </w:tcBorders>
            <w:shd w:val="clear" w:color="000000" w:fill="FFFFFF"/>
            <w:vAlign w:val="center"/>
            <w:hideMark/>
          </w:tcPr>
          <w:p w14:paraId="2094CC16" w14:textId="77777777" w:rsidR="00E938F9" w:rsidRPr="00BF3CDE" w:rsidRDefault="00973851" w:rsidP="00B74825">
            <w:pPr>
              <w:spacing w:after="0" w:line="240" w:lineRule="auto"/>
              <w:jc w:val="both"/>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О</w:t>
            </w:r>
            <w:r w:rsidR="00E938F9" w:rsidRPr="00BF3CDE">
              <w:rPr>
                <w:rFonts w:eastAsia="Times New Roman" w:cs="Calibri"/>
                <w:noProof/>
                <w:color w:val="000000"/>
                <w:sz w:val="18"/>
                <w:szCs w:val="18"/>
                <w:lang w:val="sr-Cyrl-CS" w:eastAsia="sr-Latn-RS"/>
              </w:rPr>
              <w:t>сигурање кредита</w:t>
            </w:r>
          </w:p>
        </w:tc>
        <w:tc>
          <w:tcPr>
            <w:tcW w:w="960" w:type="dxa"/>
            <w:tcBorders>
              <w:top w:val="nil"/>
              <w:left w:val="nil"/>
              <w:bottom w:val="nil"/>
              <w:right w:val="nil"/>
            </w:tcBorders>
            <w:shd w:val="clear" w:color="000000" w:fill="FFFFFF"/>
            <w:vAlign w:val="center"/>
          </w:tcPr>
          <w:p w14:paraId="07663B8A" w14:textId="77777777" w:rsidR="00E938F9" w:rsidRPr="00BF3CDE" w:rsidRDefault="00E938F9" w:rsidP="00C031DE">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0</w:t>
            </w:r>
          </w:p>
        </w:tc>
        <w:tc>
          <w:tcPr>
            <w:tcW w:w="960" w:type="dxa"/>
            <w:tcBorders>
              <w:top w:val="nil"/>
              <w:left w:val="nil"/>
              <w:bottom w:val="nil"/>
              <w:right w:val="nil"/>
            </w:tcBorders>
            <w:shd w:val="clear" w:color="000000" w:fill="FFFFFF"/>
            <w:vAlign w:val="center"/>
          </w:tcPr>
          <w:p w14:paraId="7806E4E9" w14:textId="77777777" w:rsidR="00E938F9" w:rsidRPr="00BF3CDE" w:rsidRDefault="00E938F9" w:rsidP="00B74825">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0</w:t>
            </w:r>
          </w:p>
        </w:tc>
      </w:tr>
      <w:tr w:rsidR="00E938F9" w:rsidRPr="00BF3CDE" w14:paraId="70A068B4" w14:textId="77777777" w:rsidTr="004F2EE0">
        <w:trPr>
          <w:trHeight w:val="227"/>
        </w:trPr>
        <w:tc>
          <w:tcPr>
            <w:tcW w:w="1340" w:type="dxa"/>
            <w:tcBorders>
              <w:top w:val="nil"/>
              <w:left w:val="nil"/>
              <w:bottom w:val="nil"/>
              <w:right w:val="nil"/>
            </w:tcBorders>
            <w:shd w:val="clear" w:color="auto" w:fill="DBE5F1" w:themeFill="accent1" w:themeFillTint="33"/>
            <w:noWrap/>
            <w:vAlign w:val="center"/>
            <w:hideMark/>
          </w:tcPr>
          <w:p w14:paraId="081F9BCE" w14:textId="77777777" w:rsidR="00E938F9" w:rsidRPr="00BF3CDE" w:rsidRDefault="00E938F9" w:rsidP="00B74825">
            <w:pPr>
              <w:spacing w:after="0" w:line="240" w:lineRule="auto"/>
              <w:jc w:val="center"/>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15</w:t>
            </w:r>
          </w:p>
        </w:tc>
        <w:tc>
          <w:tcPr>
            <w:tcW w:w="5720" w:type="dxa"/>
            <w:tcBorders>
              <w:top w:val="nil"/>
              <w:left w:val="nil"/>
              <w:bottom w:val="nil"/>
              <w:right w:val="nil"/>
            </w:tcBorders>
            <w:shd w:val="clear" w:color="auto" w:fill="DBE5F1" w:themeFill="accent1" w:themeFillTint="33"/>
            <w:vAlign w:val="center"/>
            <w:hideMark/>
          </w:tcPr>
          <w:p w14:paraId="3FA8F578" w14:textId="77777777" w:rsidR="00E938F9" w:rsidRPr="00BF3CDE" w:rsidRDefault="00E938F9" w:rsidP="00B74825">
            <w:pPr>
              <w:spacing w:after="0" w:line="240" w:lineRule="auto"/>
              <w:jc w:val="both"/>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Oсигурање јемства</w:t>
            </w:r>
          </w:p>
        </w:tc>
        <w:tc>
          <w:tcPr>
            <w:tcW w:w="960" w:type="dxa"/>
            <w:tcBorders>
              <w:top w:val="nil"/>
              <w:left w:val="nil"/>
              <w:bottom w:val="nil"/>
              <w:right w:val="nil"/>
            </w:tcBorders>
            <w:shd w:val="clear" w:color="auto" w:fill="DBE5F1" w:themeFill="accent1" w:themeFillTint="33"/>
            <w:vAlign w:val="center"/>
          </w:tcPr>
          <w:p w14:paraId="4FDDC8F2" w14:textId="77777777" w:rsidR="00E938F9" w:rsidRPr="00BF3CDE" w:rsidRDefault="00E938F9" w:rsidP="00C031DE">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26</w:t>
            </w:r>
          </w:p>
        </w:tc>
        <w:tc>
          <w:tcPr>
            <w:tcW w:w="960" w:type="dxa"/>
            <w:tcBorders>
              <w:top w:val="nil"/>
              <w:left w:val="nil"/>
              <w:bottom w:val="nil"/>
              <w:right w:val="nil"/>
            </w:tcBorders>
            <w:shd w:val="clear" w:color="auto" w:fill="DBE5F1" w:themeFill="accent1" w:themeFillTint="33"/>
            <w:vAlign w:val="center"/>
          </w:tcPr>
          <w:p w14:paraId="0A72C947" w14:textId="77777777" w:rsidR="00E938F9" w:rsidRPr="00BF3CDE" w:rsidRDefault="00E938F9" w:rsidP="00B74825">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0</w:t>
            </w:r>
          </w:p>
        </w:tc>
      </w:tr>
      <w:tr w:rsidR="00E938F9" w:rsidRPr="00BF3CDE" w14:paraId="13C96F5B" w14:textId="77777777" w:rsidTr="004F2EE0">
        <w:trPr>
          <w:trHeight w:val="227"/>
        </w:trPr>
        <w:tc>
          <w:tcPr>
            <w:tcW w:w="1340" w:type="dxa"/>
            <w:tcBorders>
              <w:top w:val="nil"/>
              <w:left w:val="nil"/>
              <w:bottom w:val="nil"/>
              <w:right w:val="nil"/>
            </w:tcBorders>
            <w:shd w:val="clear" w:color="auto" w:fill="auto"/>
            <w:noWrap/>
            <w:vAlign w:val="center"/>
            <w:hideMark/>
          </w:tcPr>
          <w:p w14:paraId="54DDBF45" w14:textId="77777777" w:rsidR="00E938F9" w:rsidRPr="00BF3CDE" w:rsidRDefault="00E938F9" w:rsidP="00B74825">
            <w:pPr>
              <w:spacing w:after="0" w:line="240" w:lineRule="auto"/>
              <w:jc w:val="center"/>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16</w:t>
            </w:r>
          </w:p>
        </w:tc>
        <w:tc>
          <w:tcPr>
            <w:tcW w:w="5720" w:type="dxa"/>
            <w:tcBorders>
              <w:top w:val="nil"/>
              <w:left w:val="nil"/>
              <w:bottom w:val="nil"/>
              <w:right w:val="nil"/>
            </w:tcBorders>
            <w:shd w:val="clear" w:color="auto" w:fill="auto"/>
            <w:vAlign w:val="center"/>
            <w:hideMark/>
          </w:tcPr>
          <w:p w14:paraId="59FF99E6" w14:textId="77777777" w:rsidR="00E938F9" w:rsidRPr="00BF3CDE" w:rsidRDefault="00E938F9" w:rsidP="00B74825">
            <w:pPr>
              <w:spacing w:after="0" w:line="240" w:lineRule="auto"/>
              <w:jc w:val="both"/>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Oсигурање финансијских губитака</w:t>
            </w:r>
          </w:p>
        </w:tc>
        <w:tc>
          <w:tcPr>
            <w:tcW w:w="960" w:type="dxa"/>
            <w:tcBorders>
              <w:top w:val="nil"/>
              <w:left w:val="nil"/>
              <w:bottom w:val="nil"/>
              <w:right w:val="nil"/>
            </w:tcBorders>
            <w:shd w:val="clear" w:color="auto" w:fill="auto"/>
            <w:vAlign w:val="center"/>
          </w:tcPr>
          <w:p w14:paraId="3DBFF29C" w14:textId="77777777" w:rsidR="00E938F9" w:rsidRPr="00BF3CDE" w:rsidRDefault="00E938F9" w:rsidP="00C031DE">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156</w:t>
            </w:r>
          </w:p>
        </w:tc>
        <w:tc>
          <w:tcPr>
            <w:tcW w:w="960" w:type="dxa"/>
            <w:tcBorders>
              <w:top w:val="nil"/>
              <w:left w:val="nil"/>
              <w:bottom w:val="nil"/>
              <w:right w:val="nil"/>
            </w:tcBorders>
            <w:shd w:val="clear" w:color="auto" w:fill="auto"/>
            <w:vAlign w:val="center"/>
          </w:tcPr>
          <w:p w14:paraId="07CB0D49" w14:textId="77777777" w:rsidR="00E938F9" w:rsidRPr="00BF3CDE" w:rsidRDefault="00E938F9" w:rsidP="00B74825">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66</w:t>
            </w:r>
          </w:p>
        </w:tc>
      </w:tr>
      <w:tr w:rsidR="00E938F9" w:rsidRPr="00BF3CDE" w14:paraId="4D453907" w14:textId="77777777" w:rsidTr="004F2EE0">
        <w:trPr>
          <w:trHeight w:val="227"/>
        </w:trPr>
        <w:tc>
          <w:tcPr>
            <w:tcW w:w="1340" w:type="dxa"/>
            <w:tcBorders>
              <w:top w:val="nil"/>
              <w:left w:val="nil"/>
              <w:bottom w:val="nil"/>
              <w:right w:val="nil"/>
            </w:tcBorders>
            <w:shd w:val="clear" w:color="auto" w:fill="DBE5F1" w:themeFill="accent1" w:themeFillTint="33"/>
            <w:noWrap/>
            <w:vAlign w:val="center"/>
            <w:hideMark/>
          </w:tcPr>
          <w:p w14:paraId="31C1B4A0" w14:textId="77777777" w:rsidR="00E938F9" w:rsidRPr="00BF3CDE" w:rsidRDefault="00E938F9" w:rsidP="00B74825">
            <w:pPr>
              <w:spacing w:after="0" w:line="240" w:lineRule="auto"/>
              <w:jc w:val="center"/>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20</w:t>
            </w:r>
          </w:p>
        </w:tc>
        <w:tc>
          <w:tcPr>
            <w:tcW w:w="5720" w:type="dxa"/>
            <w:tcBorders>
              <w:top w:val="nil"/>
              <w:left w:val="nil"/>
              <w:bottom w:val="nil"/>
              <w:right w:val="nil"/>
            </w:tcBorders>
            <w:shd w:val="clear" w:color="auto" w:fill="DBE5F1" w:themeFill="accent1" w:themeFillTint="33"/>
            <w:vAlign w:val="center"/>
            <w:hideMark/>
          </w:tcPr>
          <w:p w14:paraId="6F3B2B4C" w14:textId="77777777" w:rsidR="00E938F9" w:rsidRPr="00BF3CDE" w:rsidRDefault="00E938F9" w:rsidP="00B74825">
            <w:pPr>
              <w:spacing w:after="0" w:line="240" w:lineRule="auto"/>
              <w:jc w:val="both"/>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Oсигурање живота</w:t>
            </w:r>
          </w:p>
        </w:tc>
        <w:tc>
          <w:tcPr>
            <w:tcW w:w="960" w:type="dxa"/>
            <w:tcBorders>
              <w:top w:val="nil"/>
              <w:left w:val="nil"/>
              <w:bottom w:val="nil"/>
              <w:right w:val="nil"/>
            </w:tcBorders>
            <w:shd w:val="clear" w:color="auto" w:fill="DBE5F1" w:themeFill="accent1" w:themeFillTint="33"/>
            <w:vAlign w:val="center"/>
          </w:tcPr>
          <w:p w14:paraId="4BF90642" w14:textId="77777777" w:rsidR="00E938F9" w:rsidRPr="00BF3CDE" w:rsidRDefault="00E938F9" w:rsidP="00C031DE">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0</w:t>
            </w:r>
          </w:p>
        </w:tc>
        <w:tc>
          <w:tcPr>
            <w:tcW w:w="960" w:type="dxa"/>
            <w:tcBorders>
              <w:top w:val="nil"/>
              <w:left w:val="nil"/>
              <w:bottom w:val="nil"/>
              <w:right w:val="nil"/>
            </w:tcBorders>
            <w:shd w:val="clear" w:color="auto" w:fill="DBE5F1" w:themeFill="accent1" w:themeFillTint="33"/>
            <w:vAlign w:val="center"/>
          </w:tcPr>
          <w:p w14:paraId="2B71F15D" w14:textId="77777777" w:rsidR="00E938F9" w:rsidRPr="00BF3CDE" w:rsidRDefault="00E938F9" w:rsidP="00B74825">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0</w:t>
            </w:r>
          </w:p>
        </w:tc>
      </w:tr>
      <w:tr w:rsidR="00E938F9" w:rsidRPr="00BF3CDE" w14:paraId="79AE3EDD" w14:textId="77777777" w:rsidTr="002E60C4">
        <w:trPr>
          <w:trHeight w:val="283"/>
        </w:trPr>
        <w:tc>
          <w:tcPr>
            <w:tcW w:w="1340" w:type="dxa"/>
            <w:tcBorders>
              <w:top w:val="single" w:sz="8" w:space="0" w:color="4F81BD"/>
              <w:left w:val="nil"/>
              <w:bottom w:val="single" w:sz="8" w:space="0" w:color="4F81BD"/>
              <w:right w:val="nil"/>
            </w:tcBorders>
            <w:shd w:val="clear" w:color="auto" w:fill="auto"/>
            <w:noWrap/>
            <w:vAlign w:val="center"/>
            <w:hideMark/>
          </w:tcPr>
          <w:p w14:paraId="73A99CE1" w14:textId="77777777" w:rsidR="00E938F9" w:rsidRPr="00BF3CDE" w:rsidRDefault="00E938F9" w:rsidP="00B74825">
            <w:pPr>
              <w:spacing w:after="0" w:line="240" w:lineRule="auto"/>
              <w:jc w:val="both"/>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 </w:t>
            </w:r>
          </w:p>
        </w:tc>
        <w:tc>
          <w:tcPr>
            <w:tcW w:w="5720" w:type="dxa"/>
            <w:tcBorders>
              <w:top w:val="single" w:sz="8" w:space="0" w:color="4F81BD"/>
              <w:left w:val="nil"/>
              <w:bottom w:val="single" w:sz="8" w:space="0" w:color="4F81BD"/>
              <w:right w:val="nil"/>
            </w:tcBorders>
            <w:shd w:val="clear" w:color="auto" w:fill="auto"/>
            <w:vAlign w:val="center"/>
            <w:hideMark/>
          </w:tcPr>
          <w:p w14:paraId="4CF44DB0" w14:textId="77777777" w:rsidR="00E938F9" w:rsidRPr="00BF3CDE" w:rsidRDefault="00E938F9" w:rsidP="00B74825">
            <w:pPr>
              <w:spacing w:after="0" w:line="240" w:lineRule="auto"/>
              <w:jc w:val="both"/>
              <w:rPr>
                <w:rFonts w:eastAsia="Times New Roman" w:cs="Calibri"/>
                <w:b/>
                <w:bCs/>
                <w:noProof/>
                <w:color w:val="000000"/>
                <w:sz w:val="18"/>
                <w:szCs w:val="18"/>
                <w:lang w:val="sr-Cyrl-CS" w:eastAsia="sr-Latn-RS"/>
              </w:rPr>
            </w:pPr>
            <w:r w:rsidRPr="00BF3CDE">
              <w:rPr>
                <w:rFonts w:eastAsia="Times New Roman" w:cs="Calibri"/>
                <w:b/>
                <w:bCs/>
                <w:noProof/>
                <w:color w:val="000000"/>
                <w:sz w:val="18"/>
                <w:szCs w:val="18"/>
                <w:lang w:val="sr-Cyrl-CS" w:eastAsia="sr-Latn-RS"/>
              </w:rPr>
              <w:t>Свега:</w:t>
            </w:r>
          </w:p>
        </w:tc>
        <w:tc>
          <w:tcPr>
            <w:tcW w:w="960" w:type="dxa"/>
            <w:tcBorders>
              <w:top w:val="single" w:sz="8" w:space="0" w:color="4F81BD"/>
              <w:left w:val="nil"/>
              <w:bottom w:val="single" w:sz="8" w:space="0" w:color="4F81BD"/>
              <w:right w:val="nil"/>
            </w:tcBorders>
            <w:vAlign w:val="center"/>
          </w:tcPr>
          <w:p w14:paraId="53552CC8" w14:textId="77777777" w:rsidR="00E938F9" w:rsidRPr="00BF3CDE" w:rsidRDefault="00E938F9" w:rsidP="00C031DE">
            <w:pPr>
              <w:spacing w:after="0" w:line="240" w:lineRule="auto"/>
              <w:jc w:val="right"/>
              <w:rPr>
                <w:rFonts w:eastAsia="Times New Roman" w:cs="Calibri"/>
                <w:b/>
                <w:bCs/>
                <w:noProof/>
                <w:color w:val="000000"/>
                <w:sz w:val="18"/>
                <w:szCs w:val="18"/>
                <w:lang w:val="sr-Cyrl-CS" w:eastAsia="sr-Latn-RS"/>
              </w:rPr>
            </w:pPr>
            <w:r w:rsidRPr="00BF3CDE">
              <w:rPr>
                <w:rFonts w:eastAsia="Times New Roman" w:cs="Calibri"/>
                <w:b/>
                <w:bCs/>
                <w:noProof/>
                <w:color w:val="000000"/>
                <w:sz w:val="18"/>
                <w:szCs w:val="18"/>
                <w:lang w:val="sr-Cyrl-CS" w:eastAsia="sr-Latn-RS"/>
              </w:rPr>
              <w:t>13,805</w:t>
            </w:r>
          </w:p>
        </w:tc>
        <w:tc>
          <w:tcPr>
            <w:tcW w:w="960" w:type="dxa"/>
            <w:tcBorders>
              <w:top w:val="single" w:sz="8" w:space="0" w:color="4F81BD"/>
              <w:left w:val="nil"/>
              <w:bottom w:val="single" w:sz="8" w:space="0" w:color="4F81BD"/>
              <w:right w:val="nil"/>
            </w:tcBorders>
            <w:shd w:val="clear" w:color="auto" w:fill="auto"/>
            <w:noWrap/>
            <w:vAlign w:val="center"/>
          </w:tcPr>
          <w:p w14:paraId="05A3D851" w14:textId="77777777" w:rsidR="00E938F9" w:rsidRPr="00BF3CDE" w:rsidRDefault="00E938F9" w:rsidP="00B74825">
            <w:pPr>
              <w:spacing w:after="0" w:line="240" w:lineRule="auto"/>
              <w:jc w:val="right"/>
              <w:rPr>
                <w:rFonts w:eastAsia="Times New Roman" w:cs="Calibri"/>
                <w:b/>
                <w:bCs/>
                <w:noProof/>
                <w:color w:val="000000"/>
                <w:sz w:val="18"/>
                <w:szCs w:val="18"/>
                <w:lang w:val="sr-Cyrl-CS" w:eastAsia="sr-Latn-RS"/>
              </w:rPr>
            </w:pPr>
            <w:r w:rsidRPr="00BF3CDE">
              <w:rPr>
                <w:rFonts w:eastAsia="Times New Roman" w:cs="Calibri"/>
                <w:b/>
                <w:bCs/>
                <w:noProof/>
                <w:color w:val="000000"/>
                <w:sz w:val="18"/>
                <w:szCs w:val="18"/>
                <w:lang w:val="sr-Cyrl-CS" w:eastAsia="sr-Latn-RS"/>
              </w:rPr>
              <w:t>13,664</w:t>
            </w:r>
          </w:p>
        </w:tc>
      </w:tr>
    </w:tbl>
    <w:p w14:paraId="2CAEA144" w14:textId="77777777" w:rsidR="00B74825" w:rsidRPr="00BF3CDE" w:rsidRDefault="00B74825" w:rsidP="00975486">
      <w:pPr>
        <w:spacing w:after="0"/>
        <w:jc w:val="right"/>
        <w:rPr>
          <w:noProof/>
          <w:sz w:val="10"/>
          <w:szCs w:val="10"/>
          <w:lang w:val="sr-Cyrl-CS"/>
        </w:rPr>
      </w:pPr>
    </w:p>
    <w:p w14:paraId="426D86A5" w14:textId="77777777" w:rsidR="004F2EE0" w:rsidRPr="00BF3CDE" w:rsidRDefault="004F2EE0" w:rsidP="003D22A0">
      <w:pPr>
        <w:spacing w:after="120"/>
        <w:rPr>
          <w:rFonts w:asciiTheme="majorHAnsi" w:eastAsia="Times New Roman" w:hAnsiTheme="majorHAnsi" w:cs="Tahoma"/>
          <w:b/>
          <w:bCs/>
          <w:i/>
          <w:noProof/>
          <w:color w:val="4F81BD"/>
          <w:sz w:val="20"/>
          <w:szCs w:val="18"/>
          <w:lang w:val="sr-Cyrl-CS" w:eastAsia="ar-SA"/>
        </w:rPr>
      </w:pPr>
    </w:p>
    <w:p w14:paraId="7ED332B7" w14:textId="77777777" w:rsidR="00855153" w:rsidRPr="00BF3CDE" w:rsidRDefault="00855153" w:rsidP="003D22A0">
      <w:pPr>
        <w:spacing w:after="120"/>
        <w:rPr>
          <w:rFonts w:asciiTheme="majorHAnsi" w:eastAsia="Times New Roman" w:hAnsiTheme="majorHAnsi" w:cs="Tahoma"/>
          <w:b/>
          <w:bCs/>
          <w:i/>
          <w:noProof/>
          <w:color w:val="4F81BD"/>
          <w:sz w:val="20"/>
          <w:szCs w:val="18"/>
          <w:lang w:val="sr-Cyrl-CS" w:eastAsia="ar-SA"/>
        </w:rPr>
      </w:pPr>
      <w:r w:rsidRPr="00BF3CDE">
        <w:rPr>
          <w:rFonts w:asciiTheme="majorHAnsi" w:eastAsia="Times New Roman" w:hAnsiTheme="majorHAnsi" w:cs="Tahoma"/>
          <w:b/>
          <w:bCs/>
          <w:i/>
          <w:noProof/>
          <w:color w:val="4F81BD"/>
          <w:sz w:val="20"/>
          <w:szCs w:val="18"/>
          <w:lang w:val="sr-Cyrl-CS" w:eastAsia="ar-SA"/>
        </w:rPr>
        <w:t>Резервисане штете</w:t>
      </w:r>
    </w:p>
    <w:p w14:paraId="074DA154" w14:textId="77777777" w:rsidR="00855153" w:rsidRPr="00BF3CDE" w:rsidRDefault="009466F8" w:rsidP="002E60C4">
      <w:pPr>
        <w:spacing w:after="0"/>
        <w:ind w:firstLine="567"/>
        <w:jc w:val="both"/>
        <w:rPr>
          <w:noProof/>
          <w:sz w:val="20"/>
          <w:szCs w:val="20"/>
          <w:lang w:val="sr-Cyrl-CS"/>
        </w:rPr>
      </w:pPr>
      <w:r w:rsidRPr="00BF3CDE">
        <w:rPr>
          <w:noProof/>
          <w:sz w:val="20"/>
          <w:szCs w:val="20"/>
          <w:lang w:val="sr-Cyrl-CS"/>
        </w:rPr>
        <w:t>Р</w:t>
      </w:r>
      <w:r w:rsidR="00855153" w:rsidRPr="00BF3CDE">
        <w:rPr>
          <w:noProof/>
          <w:sz w:val="20"/>
          <w:szCs w:val="20"/>
          <w:lang w:val="sr-Cyrl-CS"/>
        </w:rPr>
        <w:t>езервисане штете у самопридржају Друштва на дан 31.12.201</w:t>
      </w:r>
      <w:r w:rsidR="000A6024" w:rsidRPr="00BF3CDE">
        <w:rPr>
          <w:noProof/>
          <w:sz w:val="20"/>
          <w:szCs w:val="20"/>
          <w:lang w:val="sr-Cyrl-CS"/>
        </w:rPr>
        <w:t>4</w:t>
      </w:r>
      <w:r w:rsidR="00855153" w:rsidRPr="00BF3CDE">
        <w:rPr>
          <w:noProof/>
          <w:sz w:val="20"/>
          <w:szCs w:val="20"/>
          <w:lang w:val="sr-Cyrl-CS"/>
        </w:rPr>
        <w:t xml:space="preserve">. године износе </w:t>
      </w:r>
      <w:r w:rsidR="002E60C4" w:rsidRPr="00BF3CDE">
        <w:rPr>
          <w:noProof/>
          <w:sz w:val="20"/>
          <w:szCs w:val="20"/>
          <w:lang w:val="sr-Cyrl-CS"/>
        </w:rPr>
        <w:t xml:space="preserve">568.126 </w:t>
      </w:r>
      <w:r w:rsidR="00855153" w:rsidRPr="00BF3CDE">
        <w:rPr>
          <w:noProof/>
          <w:sz w:val="20"/>
          <w:szCs w:val="20"/>
          <w:lang w:val="sr-Cyrl-CS"/>
        </w:rPr>
        <w:t xml:space="preserve">хиљада динара и </w:t>
      </w:r>
      <w:r w:rsidR="002E60C4" w:rsidRPr="00BF3CDE">
        <w:rPr>
          <w:noProof/>
          <w:sz w:val="20"/>
          <w:szCs w:val="20"/>
          <w:lang w:val="sr-Cyrl-CS"/>
        </w:rPr>
        <w:t>веће</w:t>
      </w:r>
      <w:r w:rsidR="00855153" w:rsidRPr="00BF3CDE">
        <w:rPr>
          <w:noProof/>
          <w:sz w:val="20"/>
          <w:szCs w:val="20"/>
          <w:lang w:val="sr-Cyrl-CS"/>
        </w:rPr>
        <w:t xml:space="preserve"> су од износа резервисаних штета у самопридржају </w:t>
      </w:r>
      <w:r w:rsidR="00037B93" w:rsidRPr="00BF3CDE">
        <w:rPr>
          <w:noProof/>
          <w:sz w:val="20"/>
          <w:szCs w:val="20"/>
          <w:lang w:val="sr-Cyrl-CS"/>
        </w:rPr>
        <w:t>претходне године</w:t>
      </w:r>
      <w:r w:rsidR="00855153" w:rsidRPr="00BF3CDE">
        <w:rPr>
          <w:noProof/>
          <w:sz w:val="20"/>
          <w:szCs w:val="20"/>
          <w:lang w:val="sr-Cyrl-CS"/>
        </w:rPr>
        <w:t xml:space="preserve"> за </w:t>
      </w:r>
      <w:r w:rsidR="002E60C4" w:rsidRPr="00BF3CDE">
        <w:rPr>
          <w:noProof/>
          <w:sz w:val="20"/>
          <w:szCs w:val="20"/>
          <w:lang w:val="sr-Cyrl-CS"/>
        </w:rPr>
        <w:t>11</w:t>
      </w:r>
      <w:r w:rsidR="00055ECF" w:rsidRPr="00BF3CDE">
        <w:rPr>
          <w:noProof/>
          <w:sz w:val="20"/>
          <w:szCs w:val="20"/>
          <w:lang w:val="sr-Cyrl-CS"/>
        </w:rPr>
        <w:t>,</w:t>
      </w:r>
      <w:r w:rsidR="002E60C4" w:rsidRPr="00BF3CDE">
        <w:rPr>
          <w:noProof/>
          <w:sz w:val="20"/>
          <w:szCs w:val="20"/>
          <w:lang w:val="sr-Cyrl-CS"/>
        </w:rPr>
        <w:t>08</w:t>
      </w:r>
      <w:r w:rsidR="00855153" w:rsidRPr="00BF3CDE">
        <w:rPr>
          <w:noProof/>
          <w:sz w:val="20"/>
          <w:szCs w:val="20"/>
          <w:lang w:val="sr-Cyrl-CS"/>
        </w:rPr>
        <w:t>%</w:t>
      </w:r>
      <w:r w:rsidR="00B74825" w:rsidRPr="00BF3CDE">
        <w:rPr>
          <w:noProof/>
          <w:sz w:val="20"/>
          <w:szCs w:val="20"/>
          <w:lang w:val="sr-Cyrl-CS"/>
        </w:rPr>
        <w:t>.</w:t>
      </w:r>
    </w:p>
    <w:p w14:paraId="4832B6F5" w14:textId="77777777" w:rsidR="00975486" w:rsidRPr="00BF3CDE" w:rsidRDefault="00975486" w:rsidP="00460ED3">
      <w:pPr>
        <w:spacing w:after="0"/>
        <w:jc w:val="center"/>
        <w:rPr>
          <w:rFonts w:asciiTheme="majorHAnsi" w:eastAsiaTheme="majorEastAsia" w:hAnsiTheme="majorHAnsi" w:cstheme="majorBidi"/>
          <w:b/>
          <w:i/>
          <w:iCs/>
          <w:caps/>
          <w:noProof/>
          <w:color w:val="9BBB59" w:themeColor="accent3"/>
          <w:sz w:val="6"/>
          <w:szCs w:val="6"/>
          <w:highlight w:val="yellow"/>
          <w:lang w:val="sr-Cyrl-CS"/>
        </w:rPr>
      </w:pPr>
    </w:p>
    <w:p w14:paraId="5CA1AB9F" w14:textId="77777777" w:rsidR="00460ED3" w:rsidRPr="00BF3CDE" w:rsidRDefault="00855153" w:rsidP="00460ED3">
      <w:pPr>
        <w:spacing w:after="0"/>
        <w:jc w:val="center"/>
        <w:rPr>
          <w:rFonts w:eastAsiaTheme="minorEastAsia"/>
          <w:b/>
          <w:i/>
          <w:noProof/>
          <w:color w:val="365F91" w:themeColor="accent1" w:themeShade="BF"/>
          <w:sz w:val="20"/>
          <w:lang w:val="sr-Cyrl-CS" w:eastAsia="ja-JP"/>
        </w:rPr>
      </w:pPr>
      <w:r w:rsidRPr="00BF3CDE">
        <w:rPr>
          <w:rFonts w:eastAsiaTheme="minorEastAsia"/>
          <w:b/>
          <w:i/>
          <w:noProof/>
          <w:color w:val="365F91" w:themeColor="accent1" w:themeShade="BF"/>
          <w:sz w:val="20"/>
          <w:lang w:val="sr-Cyrl-CS" w:eastAsia="ja-JP"/>
        </w:rPr>
        <w:t>Структура резервисаних штета на дан 31.12.201</w:t>
      </w:r>
      <w:r w:rsidR="00E938F9" w:rsidRPr="00BF3CDE">
        <w:rPr>
          <w:rFonts w:eastAsiaTheme="minorEastAsia"/>
          <w:b/>
          <w:i/>
          <w:noProof/>
          <w:color w:val="365F91" w:themeColor="accent1" w:themeShade="BF"/>
          <w:sz w:val="20"/>
          <w:lang w:val="sr-Cyrl-CS" w:eastAsia="ja-JP"/>
        </w:rPr>
        <w:t>4</w:t>
      </w:r>
      <w:r w:rsidRPr="00BF3CDE">
        <w:rPr>
          <w:rFonts w:eastAsiaTheme="minorEastAsia"/>
          <w:b/>
          <w:i/>
          <w:noProof/>
          <w:color w:val="365F91" w:themeColor="accent1" w:themeShade="BF"/>
          <w:sz w:val="20"/>
          <w:lang w:val="sr-Cyrl-CS" w:eastAsia="ja-JP"/>
        </w:rPr>
        <w:t>. године</w:t>
      </w:r>
    </w:p>
    <w:p w14:paraId="4141CBB4" w14:textId="77777777" w:rsidR="00975486" w:rsidRPr="00BF3CDE" w:rsidRDefault="00975486" w:rsidP="00975486">
      <w:pPr>
        <w:spacing w:after="0"/>
        <w:jc w:val="right"/>
        <w:rPr>
          <w:noProof/>
          <w:sz w:val="20"/>
          <w:szCs w:val="20"/>
          <w:lang w:val="sr-Cyrl-CS"/>
        </w:rPr>
      </w:pPr>
      <w:r w:rsidRPr="00BF3CDE">
        <w:rPr>
          <w:noProof/>
          <w:sz w:val="20"/>
          <w:szCs w:val="20"/>
          <w:lang w:val="sr-Cyrl-CS"/>
        </w:rPr>
        <w:t>У 000 РСД</w:t>
      </w:r>
    </w:p>
    <w:tbl>
      <w:tblPr>
        <w:tblW w:w="8969" w:type="dxa"/>
        <w:tblInd w:w="93" w:type="dxa"/>
        <w:tblLook w:val="04A0" w:firstRow="1" w:lastRow="0" w:firstColumn="1" w:lastColumn="0" w:noHBand="0" w:noVBand="1"/>
      </w:tblPr>
      <w:tblGrid>
        <w:gridCol w:w="5118"/>
        <w:gridCol w:w="162"/>
        <w:gridCol w:w="1685"/>
        <w:gridCol w:w="157"/>
        <w:gridCol w:w="1847"/>
      </w:tblGrid>
      <w:tr w:rsidR="002E60C4" w:rsidRPr="00BF3CDE" w14:paraId="37A8C82D" w14:textId="77777777" w:rsidTr="002E60C4">
        <w:trPr>
          <w:trHeight w:val="170"/>
        </w:trPr>
        <w:tc>
          <w:tcPr>
            <w:tcW w:w="5280" w:type="dxa"/>
            <w:gridSpan w:val="2"/>
            <w:vMerge w:val="restart"/>
            <w:tcBorders>
              <w:top w:val="nil"/>
              <w:left w:val="nil"/>
              <w:right w:val="nil"/>
            </w:tcBorders>
            <w:shd w:val="clear" w:color="auto" w:fill="auto"/>
            <w:noWrap/>
            <w:vAlign w:val="center"/>
          </w:tcPr>
          <w:p w14:paraId="1430832C" w14:textId="77777777" w:rsidR="002E60C4" w:rsidRPr="00BF3CDE" w:rsidRDefault="002E60C4" w:rsidP="00973851">
            <w:pPr>
              <w:spacing w:after="0" w:line="240" w:lineRule="auto"/>
              <w:jc w:val="center"/>
              <w:rPr>
                <w:rFonts w:eastAsia="Times New Roman" w:cs="Calibri"/>
                <w:b/>
                <w:noProof/>
                <w:color w:val="000000"/>
                <w:sz w:val="18"/>
                <w:szCs w:val="18"/>
                <w:lang w:val="sr-Cyrl-CS" w:eastAsia="sr-Latn-RS"/>
              </w:rPr>
            </w:pPr>
            <w:r w:rsidRPr="00BF3CDE">
              <w:rPr>
                <w:rFonts w:eastAsia="Times New Roman" w:cs="Calibri"/>
                <w:b/>
                <w:noProof/>
                <w:color w:val="000000"/>
                <w:sz w:val="18"/>
                <w:szCs w:val="18"/>
                <w:lang w:val="sr-Cyrl-CS" w:eastAsia="sr-Latn-RS"/>
              </w:rPr>
              <w:t>Врста осигурања</w:t>
            </w:r>
          </w:p>
        </w:tc>
        <w:tc>
          <w:tcPr>
            <w:tcW w:w="3689" w:type="dxa"/>
            <w:gridSpan w:val="3"/>
            <w:tcBorders>
              <w:top w:val="nil"/>
              <w:left w:val="nil"/>
              <w:right w:val="nil"/>
            </w:tcBorders>
            <w:vAlign w:val="center"/>
          </w:tcPr>
          <w:p w14:paraId="2424ED1A" w14:textId="77777777" w:rsidR="002E60C4" w:rsidRPr="00BF3CDE" w:rsidRDefault="002E60C4" w:rsidP="00973851">
            <w:pPr>
              <w:spacing w:after="0" w:line="240" w:lineRule="auto"/>
              <w:jc w:val="center"/>
              <w:rPr>
                <w:rFonts w:eastAsia="Times New Roman" w:cs="Calibri"/>
                <w:b/>
                <w:noProof/>
                <w:color w:val="000000"/>
                <w:sz w:val="18"/>
                <w:szCs w:val="18"/>
                <w:lang w:val="sr-Cyrl-CS" w:eastAsia="sr-Latn-RS"/>
              </w:rPr>
            </w:pPr>
            <w:r w:rsidRPr="00BF3CDE">
              <w:rPr>
                <w:rFonts w:eastAsia="Times New Roman" w:cs="Calibri"/>
                <w:b/>
                <w:noProof/>
                <w:color w:val="000000"/>
                <w:sz w:val="18"/>
                <w:szCs w:val="18"/>
                <w:lang w:val="sr-Cyrl-CS" w:eastAsia="sr-Latn-RS"/>
              </w:rPr>
              <w:t>Рез. штете у самопридржају</w:t>
            </w:r>
          </w:p>
        </w:tc>
      </w:tr>
      <w:tr w:rsidR="002E60C4" w:rsidRPr="00BF3CDE" w14:paraId="74BD60F5" w14:textId="77777777" w:rsidTr="002E60C4">
        <w:trPr>
          <w:trHeight w:val="170"/>
        </w:trPr>
        <w:tc>
          <w:tcPr>
            <w:tcW w:w="5280" w:type="dxa"/>
            <w:gridSpan w:val="2"/>
            <w:vMerge/>
            <w:tcBorders>
              <w:left w:val="nil"/>
              <w:bottom w:val="single" w:sz="8" w:space="0" w:color="4F81BD"/>
              <w:right w:val="nil"/>
            </w:tcBorders>
            <w:shd w:val="clear" w:color="auto" w:fill="auto"/>
            <w:noWrap/>
            <w:vAlign w:val="center"/>
            <w:hideMark/>
          </w:tcPr>
          <w:p w14:paraId="611435FF" w14:textId="77777777" w:rsidR="002E60C4" w:rsidRPr="00BF3CDE" w:rsidRDefault="002E60C4" w:rsidP="00973851">
            <w:pPr>
              <w:spacing w:after="0" w:line="240" w:lineRule="auto"/>
              <w:jc w:val="center"/>
              <w:rPr>
                <w:rFonts w:eastAsia="Times New Roman" w:cs="Calibri"/>
                <w:b/>
                <w:noProof/>
                <w:color w:val="000000"/>
                <w:sz w:val="18"/>
                <w:szCs w:val="18"/>
                <w:lang w:val="sr-Cyrl-CS" w:eastAsia="sr-Latn-RS"/>
              </w:rPr>
            </w:pPr>
          </w:p>
        </w:tc>
        <w:tc>
          <w:tcPr>
            <w:tcW w:w="1842" w:type="dxa"/>
            <w:gridSpan w:val="2"/>
            <w:tcBorders>
              <w:top w:val="nil"/>
              <w:left w:val="nil"/>
              <w:bottom w:val="single" w:sz="8" w:space="0" w:color="4F81BD"/>
              <w:right w:val="nil"/>
            </w:tcBorders>
            <w:shd w:val="clear" w:color="auto" w:fill="auto"/>
            <w:noWrap/>
            <w:vAlign w:val="center"/>
            <w:hideMark/>
          </w:tcPr>
          <w:p w14:paraId="5F6854B2" w14:textId="77777777" w:rsidR="002E60C4" w:rsidRPr="00BF3CDE" w:rsidRDefault="002E60C4" w:rsidP="002E60C4">
            <w:pPr>
              <w:spacing w:after="0" w:line="240" w:lineRule="auto"/>
              <w:jc w:val="center"/>
              <w:rPr>
                <w:rFonts w:eastAsia="Times New Roman" w:cs="Calibri"/>
                <w:b/>
                <w:noProof/>
                <w:color w:val="000000"/>
                <w:sz w:val="18"/>
                <w:szCs w:val="18"/>
                <w:lang w:val="sr-Cyrl-CS" w:eastAsia="sr-Latn-RS"/>
              </w:rPr>
            </w:pPr>
            <w:r w:rsidRPr="00BF3CDE">
              <w:rPr>
                <w:rFonts w:eastAsia="Times New Roman" w:cs="Calibri"/>
                <w:b/>
                <w:noProof/>
                <w:color w:val="000000"/>
                <w:sz w:val="18"/>
                <w:szCs w:val="18"/>
                <w:lang w:val="sr-Cyrl-CS" w:eastAsia="sr-Latn-RS"/>
              </w:rPr>
              <w:t>2013</w:t>
            </w:r>
          </w:p>
        </w:tc>
        <w:tc>
          <w:tcPr>
            <w:tcW w:w="1847" w:type="dxa"/>
            <w:tcBorders>
              <w:top w:val="nil"/>
              <w:left w:val="nil"/>
              <w:bottom w:val="single" w:sz="8" w:space="0" w:color="4F81BD"/>
              <w:right w:val="nil"/>
            </w:tcBorders>
            <w:shd w:val="clear" w:color="auto" w:fill="auto"/>
            <w:vAlign w:val="center"/>
            <w:hideMark/>
          </w:tcPr>
          <w:p w14:paraId="4086216E" w14:textId="77777777" w:rsidR="002E60C4" w:rsidRPr="00BF3CDE" w:rsidRDefault="002E60C4" w:rsidP="00973851">
            <w:pPr>
              <w:spacing w:after="0" w:line="240" w:lineRule="auto"/>
              <w:jc w:val="center"/>
              <w:rPr>
                <w:rFonts w:eastAsia="Times New Roman" w:cs="Calibri"/>
                <w:b/>
                <w:noProof/>
                <w:color w:val="000000"/>
                <w:sz w:val="18"/>
                <w:szCs w:val="18"/>
                <w:lang w:val="sr-Cyrl-CS" w:eastAsia="sr-Latn-RS"/>
              </w:rPr>
            </w:pPr>
            <w:r w:rsidRPr="00BF3CDE">
              <w:rPr>
                <w:rFonts w:eastAsia="Times New Roman" w:cs="Calibri"/>
                <w:b/>
                <w:noProof/>
                <w:color w:val="000000"/>
                <w:sz w:val="18"/>
                <w:szCs w:val="18"/>
                <w:lang w:val="sr-Cyrl-CS" w:eastAsia="sr-Latn-RS"/>
              </w:rPr>
              <w:t>2014</w:t>
            </w:r>
          </w:p>
        </w:tc>
      </w:tr>
      <w:tr w:rsidR="002E60C4" w:rsidRPr="00BF3CDE" w14:paraId="665ACDD7" w14:textId="77777777" w:rsidTr="002E60C4">
        <w:trPr>
          <w:trHeight w:val="283"/>
        </w:trPr>
        <w:tc>
          <w:tcPr>
            <w:tcW w:w="5118" w:type="dxa"/>
            <w:tcBorders>
              <w:top w:val="single" w:sz="8" w:space="0" w:color="4F81BD"/>
              <w:left w:val="nil"/>
              <w:bottom w:val="nil"/>
              <w:right w:val="nil"/>
            </w:tcBorders>
            <w:shd w:val="clear" w:color="auto" w:fill="DBE5F1" w:themeFill="accent1" w:themeFillTint="33"/>
            <w:noWrap/>
            <w:vAlign w:val="center"/>
            <w:hideMark/>
          </w:tcPr>
          <w:p w14:paraId="203D9BB4" w14:textId="77777777" w:rsidR="002E60C4" w:rsidRPr="00BF3CDE" w:rsidRDefault="002E60C4" w:rsidP="002E60C4">
            <w:pPr>
              <w:spacing w:after="0" w:line="240" w:lineRule="auto"/>
              <w:jc w:val="both"/>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01 Осигурање од последица незгоде</w:t>
            </w:r>
          </w:p>
        </w:tc>
        <w:tc>
          <w:tcPr>
            <w:tcW w:w="1847" w:type="dxa"/>
            <w:gridSpan w:val="2"/>
            <w:tcBorders>
              <w:top w:val="single" w:sz="8" w:space="0" w:color="4F81BD"/>
              <w:left w:val="nil"/>
              <w:bottom w:val="nil"/>
              <w:right w:val="nil"/>
            </w:tcBorders>
            <w:shd w:val="clear" w:color="auto" w:fill="DBE5F1" w:themeFill="accent1" w:themeFillTint="33"/>
            <w:vAlign w:val="center"/>
          </w:tcPr>
          <w:p w14:paraId="768B163D" w14:textId="77777777" w:rsidR="002E60C4" w:rsidRPr="00BF3CDE" w:rsidRDefault="002E60C4" w:rsidP="002E60C4">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93,176</w:t>
            </w:r>
          </w:p>
        </w:tc>
        <w:tc>
          <w:tcPr>
            <w:tcW w:w="2004" w:type="dxa"/>
            <w:gridSpan w:val="2"/>
            <w:tcBorders>
              <w:top w:val="single" w:sz="8" w:space="0" w:color="4F81BD"/>
              <w:left w:val="nil"/>
              <w:bottom w:val="nil"/>
              <w:right w:val="nil"/>
            </w:tcBorders>
            <w:shd w:val="clear" w:color="auto" w:fill="DBE5F1" w:themeFill="accent1" w:themeFillTint="33"/>
            <w:noWrap/>
            <w:vAlign w:val="center"/>
            <w:hideMark/>
          </w:tcPr>
          <w:p w14:paraId="50E117CC" w14:textId="77777777" w:rsidR="002E60C4" w:rsidRPr="00BF3CDE" w:rsidRDefault="002E60C4" w:rsidP="002E60C4">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33,495</w:t>
            </w:r>
          </w:p>
        </w:tc>
      </w:tr>
      <w:tr w:rsidR="002E60C4" w:rsidRPr="00BF3CDE" w14:paraId="3829E608" w14:textId="77777777" w:rsidTr="002E60C4">
        <w:trPr>
          <w:trHeight w:val="283"/>
        </w:trPr>
        <w:tc>
          <w:tcPr>
            <w:tcW w:w="5118" w:type="dxa"/>
            <w:tcBorders>
              <w:left w:val="nil"/>
              <w:bottom w:val="nil"/>
              <w:right w:val="nil"/>
            </w:tcBorders>
            <w:shd w:val="clear" w:color="auto" w:fill="auto"/>
            <w:noWrap/>
            <w:vAlign w:val="center"/>
          </w:tcPr>
          <w:p w14:paraId="44979E0D" w14:textId="77777777" w:rsidR="002E60C4" w:rsidRPr="00BF3CDE" w:rsidRDefault="002E60C4" w:rsidP="002E60C4">
            <w:pPr>
              <w:spacing w:after="0" w:line="240" w:lineRule="auto"/>
              <w:jc w:val="both"/>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02 Добровољно здравствено осигурање</w:t>
            </w:r>
          </w:p>
        </w:tc>
        <w:tc>
          <w:tcPr>
            <w:tcW w:w="1847" w:type="dxa"/>
            <w:gridSpan w:val="2"/>
            <w:tcBorders>
              <w:left w:val="nil"/>
              <w:bottom w:val="nil"/>
              <w:right w:val="nil"/>
            </w:tcBorders>
            <w:vAlign w:val="center"/>
          </w:tcPr>
          <w:p w14:paraId="0797369D" w14:textId="77777777" w:rsidR="002E60C4" w:rsidRPr="00BF3CDE" w:rsidRDefault="002E60C4" w:rsidP="002E60C4">
            <w:pPr>
              <w:spacing w:after="0" w:line="240" w:lineRule="auto"/>
              <w:jc w:val="right"/>
              <w:rPr>
                <w:rFonts w:eastAsia="Times New Roman" w:cs="Calibri"/>
                <w:noProof/>
                <w:color w:val="000000"/>
                <w:sz w:val="18"/>
                <w:szCs w:val="18"/>
                <w:lang w:val="sr-Cyrl-CS" w:eastAsia="sr-Latn-RS"/>
              </w:rPr>
            </w:pPr>
          </w:p>
        </w:tc>
        <w:tc>
          <w:tcPr>
            <w:tcW w:w="2004" w:type="dxa"/>
            <w:gridSpan w:val="2"/>
            <w:tcBorders>
              <w:left w:val="nil"/>
              <w:bottom w:val="nil"/>
              <w:right w:val="nil"/>
            </w:tcBorders>
            <w:shd w:val="clear" w:color="auto" w:fill="auto"/>
            <w:noWrap/>
            <w:vAlign w:val="center"/>
          </w:tcPr>
          <w:p w14:paraId="4F16C900" w14:textId="77777777" w:rsidR="002E60C4" w:rsidRPr="00BF3CDE" w:rsidRDefault="002E60C4" w:rsidP="002E60C4">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70</w:t>
            </w:r>
          </w:p>
        </w:tc>
      </w:tr>
      <w:tr w:rsidR="002E60C4" w:rsidRPr="00BF3CDE" w14:paraId="3DDC80A6" w14:textId="77777777" w:rsidTr="002E60C4">
        <w:trPr>
          <w:trHeight w:val="283"/>
        </w:trPr>
        <w:tc>
          <w:tcPr>
            <w:tcW w:w="5118" w:type="dxa"/>
            <w:tcBorders>
              <w:top w:val="nil"/>
              <w:left w:val="nil"/>
              <w:bottom w:val="nil"/>
              <w:right w:val="nil"/>
            </w:tcBorders>
            <w:shd w:val="clear" w:color="auto" w:fill="DBE5F1" w:themeFill="accent1" w:themeFillTint="33"/>
            <w:noWrap/>
            <w:vAlign w:val="center"/>
            <w:hideMark/>
          </w:tcPr>
          <w:p w14:paraId="3A6AA35D" w14:textId="77777777" w:rsidR="002E60C4" w:rsidRPr="00BF3CDE" w:rsidRDefault="002E60C4" w:rsidP="002E60C4">
            <w:pPr>
              <w:spacing w:after="0" w:line="240" w:lineRule="auto"/>
              <w:jc w:val="both"/>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03 Осигурање моторних возила</w:t>
            </w:r>
          </w:p>
        </w:tc>
        <w:tc>
          <w:tcPr>
            <w:tcW w:w="1847" w:type="dxa"/>
            <w:gridSpan w:val="2"/>
            <w:tcBorders>
              <w:top w:val="nil"/>
              <w:left w:val="nil"/>
              <w:bottom w:val="nil"/>
              <w:right w:val="nil"/>
            </w:tcBorders>
            <w:shd w:val="clear" w:color="auto" w:fill="DBE5F1" w:themeFill="accent1" w:themeFillTint="33"/>
            <w:vAlign w:val="center"/>
          </w:tcPr>
          <w:p w14:paraId="2809F430" w14:textId="77777777" w:rsidR="002E60C4" w:rsidRPr="00BF3CDE" w:rsidRDefault="002E60C4" w:rsidP="002E60C4">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72,862</w:t>
            </w:r>
          </w:p>
        </w:tc>
        <w:tc>
          <w:tcPr>
            <w:tcW w:w="2004" w:type="dxa"/>
            <w:gridSpan w:val="2"/>
            <w:tcBorders>
              <w:top w:val="nil"/>
              <w:left w:val="nil"/>
              <w:bottom w:val="nil"/>
              <w:right w:val="nil"/>
            </w:tcBorders>
            <w:shd w:val="clear" w:color="auto" w:fill="DBE5F1" w:themeFill="accent1" w:themeFillTint="33"/>
            <w:noWrap/>
            <w:vAlign w:val="center"/>
            <w:hideMark/>
          </w:tcPr>
          <w:p w14:paraId="20E9A144" w14:textId="77777777" w:rsidR="002E60C4" w:rsidRPr="00BF3CDE" w:rsidRDefault="002E60C4" w:rsidP="002E60C4">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45,645</w:t>
            </w:r>
          </w:p>
        </w:tc>
      </w:tr>
      <w:tr w:rsidR="002E60C4" w:rsidRPr="00BF3CDE" w14:paraId="38FA7E3B" w14:textId="77777777" w:rsidTr="002E60C4">
        <w:trPr>
          <w:trHeight w:val="283"/>
        </w:trPr>
        <w:tc>
          <w:tcPr>
            <w:tcW w:w="5118" w:type="dxa"/>
            <w:tcBorders>
              <w:top w:val="nil"/>
              <w:left w:val="nil"/>
              <w:bottom w:val="nil"/>
              <w:right w:val="nil"/>
            </w:tcBorders>
            <w:shd w:val="clear" w:color="auto" w:fill="auto"/>
            <w:noWrap/>
            <w:vAlign w:val="center"/>
            <w:hideMark/>
          </w:tcPr>
          <w:p w14:paraId="4F403D11" w14:textId="77777777" w:rsidR="002E60C4" w:rsidRPr="00BF3CDE" w:rsidRDefault="002E60C4" w:rsidP="002E60C4">
            <w:pPr>
              <w:spacing w:after="0" w:line="240" w:lineRule="auto"/>
              <w:jc w:val="both"/>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05 Осигурање ваздухоплова</w:t>
            </w:r>
          </w:p>
        </w:tc>
        <w:tc>
          <w:tcPr>
            <w:tcW w:w="1847" w:type="dxa"/>
            <w:gridSpan w:val="2"/>
            <w:tcBorders>
              <w:top w:val="nil"/>
              <w:left w:val="nil"/>
              <w:bottom w:val="nil"/>
              <w:right w:val="nil"/>
            </w:tcBorders>
            <w:vAlign w:val="center"/>
          </w:tcPr>
          <w:p w14:paraId="6E738A11" w14:textId="77777777" w:rsidR="002E60C4" w:rsidRPr="00BF3CDE" w:rsidRDefault="002E60C4" w:rsidP="002E60C4">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22,353</w:t>
            </w:r>
          </w:p>
        </w:tc>
        <w:tc>
          <w:tcPr>
            <w:tcW w:w="2004" w:type="dxa"/>
            <w:gridSpan w:val="2"/>
            <w:tcBorders>
              <w:top w:val="nil"/>
              <w:left w:val="nil"/>
              <w:bottom w:val="nil"/>
              <w:right w:val="nil"/>
            </w:tcBorders>
            <w:shd w:val="clear" w:color="auto" w:fill="auto"/>
            <w:noWrap/>
            <w:vAlign w:val="center"/>
            <w:hideMark/>
          </w:tcPr>
          <w:p w14:paraId="6184A6A9" w14:textId="77777777" w:rsidR="002E60C4" w:rsidRPr="00BF3CDE" w:rsidRDefault="002E60C4" w:rsidP="002E60C4">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4,158</w:t>
            </w:r>
          </w:p>
        </w:tc>
      </w:tr>
      <w:tr w:rsidR="002E60C4" w:rsidRPr="00BF3CDE" w14:paraId="1B0C9551" w14:textId="77777777" w:rsidTr="002E60C4">
        <w:trPr>
          <w:trHeight w:val="283"/>
        </w:trPr>
        <w:tc>
          <w:tcPr>
            <w:tcW w:w="5118" w:type="dxa"/>
            <w:tcBorders>
              <w:top w:val="nil"/>
              <w:left w:val="nil"/>
              <w:bottom w:val="nil"/>
              <w:right w:val="nil"/>
            </w:tcBorders>
            <w:shd w:val="clear" w:color="auto" w:fill="DBE5F1" w:themeFill="accent1" w:themeFillTint="33"/>
            <w:noWrap/>
            <w:vAlign w:val="center"/>
          </w:tcPr>
          <w:p w14:paraId="7CC9794B" w14:textId="77777777" w:rsidR="002E60C4" w:rsidRPr="00BF3CDE" w:rsidRDefault="002E60C4" w:rsidP="002E60C4">
            <w:pPr>
              <w:spacing w:after="0" w:line="240" w:lineRule="auto"/>
              <w:jc w:val="both"/>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06 Осигурање пловних објеката</w:t>
            </w:r>
          </w:p>
        </w:tc>
        <w:tc>
          <w:tcPr>
            <w:tcW w:w="1847" w:type="dxa"/>
            <w:gridSpan w:val="2"/>
            <w:tcBorders>
              <w:top w:val="nil"/>
              <w:left w:val="nil"/>
              <w:bottom w:val="nil"/>
              <w:right w:val="nil"/>
            </w:tcBorders>
            <w:shd w:val="clear" w:color="auto" w:fill="DBE5F1" w:themeFill="accent1" w:themeFillTint="33"/>
            <w:vAlign w:val="center"/>
          </w:tcPr>
          <w:p w14:paraId="583F269C" w14:textId="77777777" w:rsidR="002E60C4" w:rsidRPr="00BF3CDE" w:rsidRDefault="002E60C4" w:rsidP="002E60C4">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23</w:t>
            </w:r>
          </w:p>
        </w:tc>
        <w:tc>
          <w:tcPr>
            <w:tcW w:w="2004" w:type="dxa"/>
            <w:gridSpan w:val="2"/>
            <w:tcBorders>
              <w:top w:val="nil"/>
              <w:left w:val="nil"/>
              <w:bottom w:val="nil"/>
              <w:right w:val="nil"/>
            </w:tcBorders>
            <w:shd w:val="clear" w:color="auto" w:fill="DBE5F1" w:themeFill="accent1" w:themeFillTint="33"/>
            <w:noWrap/>
            <w:vAlign w:val="center"/>
          </w:tcPr>
          <w:p w14:paraId="09B90BF6" w14:textId="77777777" w:rsidR="002E60C4" w:rsidRPr="00BF3CDE" w:rsidRDefault="002E60C4" w:rsidP="002E60C4">
            <w:pPr>
              <w:spacing w:after="0" w:line="240" w:lineRule="auto"/>
              <w:jc w:val="right"/>
              <w:rPr>
                <w:rFonts w:eastAsia="Times New Roman" w:cs="Calibri"/>
                <w:noProof/>
                <w:color w:val="000000"/>
                <w:sz w:val="18"/>
                <w:szCs w:val="18"/>
                <w:lang w:val="sr-Cyrl-CS" w:eastAsia="sr-Latn-RS"/>
              </w:rPr>
            </w:pPr>
          </w:p>
        </w:tc>
      </w:tr>
      <w:tr w:rsidR="002E60C4" w:rsidRPr="00BF3CDE" w14:paraId="4E530FFA" w14:textId="77777777" w:rsidTr="002E60C4">
        <w:trPr>
          <w:trHeight w:val="283"/>
        </w:trPr>
        <w:tc>
          <w:tcPr>
            <w:tcW w:w="5118" w:type="dxa"/>
            <w:tcBorders>
              <w:top w:val="nil"/>
              <w:left w:val="nil"/>
              <w:bottom w:val="nil"/>
              <w:right w:val="nil"/>
            </w:tcBorders>
            <w:shd w:val="clear" w:color="auto" w:fill="auto"/>
            <w:noWrap/>
            <w:vAlign w:val="center"/>
            <w:hideMark/>
          </w:tcPr>
          <w:p w14:paraId="4CC8F9B3" w14:textId="77777777" w:rsidR="002E60C4" w:rsidRPr="00BF3CDE" w:rsidRDefault="002E60C4" w:rsidP="002E60C4">
            <w:pPr>
              <w:spacing w:after="0" w:line="240" w:lineRule="auto"/>
              <w:jc w:val="both"/>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07 Осигурање робе у превозу</w:t>
            </w:r>
          </w:p>
        </w:tc>
        <w:tc>
          <w:tcPr>
            <w:tcW w:w="1847" w:type="dxa"/>
            <w:gridSpan w:val="2"/>
            <w:tcBorders>
              <w:top w:val="nil"/>
              <w:left w:val="nil"/>
              <w:bottom w:val="nil"/>
              <w:right w:val="nil"/>
            </w:tcBorders>
            <w:shd w:val="clear" w:color="auto" w:fill="auto"/>
            <w:vAlign w:val="center"/>
          </w:tcPr>
          <w:p w14:paraId="5520277C" w14:textId="77777777" w:rsidR="002E60C4" w:rsidRPr="00BF3CDE" w:rsidRDefault="002E60C4" w:rsidP="002E60C4">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19,433</w:t>
            </w:r>
          </w:p>
        </w:tc>
        <w:tc>
          <w:tcPr>
            <w:tcW w:w="2004" w:type="dxa"/>
            <w:gridSpan w:val="2"/>
            <w:tcBorders>
              <w:top w:val="nil"/>
              <w:left w:val="nil"/>
              <w:bottom w:val="nil"/>
              <w:right w:val="nil"/>
            </w:tcBorders>
            <w:shd w:val="clear" w:color="auto" w:fill="auto"/>
            <w:noWrap/>
            <w:vAlign w:val="center"/>
            <w:hideMark/>
          </w:tcPr>
          <w:p w14:paraId="4D97A99F" w14:textId="77777777" w:rsidR="002E60C4" w:rsidRPr="00BF3CDE" w:rsidRDefault="002E60C4" w:rsidP="002E60C4">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2,448</w:t>
            </w:r>
          </w:p>
        </w:tc>
      </w:tr>
      <w:tr w:rsidR="002E60C4" w:rsidRPr="00BF3CDE" w14:paraId="26E50296" w14:textId="77777777" w:rsidTr="002E60C4">
        <w:trPr>
          <w:trHeight w:val="283"/>
        </w:trPr>
        <w:tc>
          <w:tcPr>
            <w:tcW w:w="5118" w:type="dxa"/>
            <w:tcBorders>
              <w:top w:val="nil"/>
              <w:left w:val="nil"/>
              <w:bottom w:val="nil"/>
              <w:right w:val="nil"/>
            </w:tcBorders>
            <w:shd w:val="clear" w:color="auto" w:fill="DBE5F1" w:themeFill="accent1" w:themeFillTint="33"/>
            <w:noWrap/>
            <w:vAlign w:val="center"/>
            <w:hideMark/>
          </w:tcPr>
          <w:p w14:paraId="6398D424" w14:textId="77777777" w:rsidR="002E60C4" w:rsidRPr="00BF3CDE" w:rsidRDefault="002E60C4" w:rsidP="002E60C4">
            <w:pPr>
              <w:spacing w:after="0" w:line="240" w:lineRule="auto"/>
              <w:jc w:val="both"/>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08 О. имовине од пожара и др. опасности</w:t>
            </w:r>
          </w:p>
        </w:tc>
        <w:tc>
          <w:tcPr>
            <w:tcW w:w="1847" w:type="dxa"/>
            <w:gridSpan w:val="2"/>
            <w:tcBorders>
              <w:top w:val="nil"/>
              <w:left w:val="nil"/>
              <w:bottom w:val="nil"/>
              <w:right w:val="nil"/>
            </w:tcBorders>
            <w:shd w:val="clear" w:color="auto" w:fill="DBE5F1" w:themeFill="accent1" w:themeFillTint="33"/>
            <w:vAlign w:val="center"/>
          </w:tcPr>
          <w:p w14:paraId="790F5F9D" w14:textId="77777777" w:rsidR="002E60C4" w:rsidRPr="00BF3CDE" w:rsidRDefault="002E60C4" w:rsidP="002E60C4">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84,111</w:t>
            </w:r>
          </w:p>
        </w:tc>
        <w:tc>
          <w:tcPr>
            <w:tcW w:w="2004" w:type="dxa"/>
            <w:gridSpan w:val="2"/>
            <w:tcBorders>
              <w:top w:val="nil"/>
              <w:left w:val="nil"/>
              <w:bottom w:val="nil"/>
              <w:right w:val="nil"/>
            </w:tcBorders>
            <w:shd w:val="clear" w:color="auto" w:fill="DBE5F1" w:themeFill="accent1" w:themeFillTint="33"/>
            <w:noWrap/>
            <w:vAlign w:val="center"/>
          </w:tcPr>
          <w:p w14:paraId="5DD3F182" w14:textId="77777777" w:rsidR="002E60C4" w:rsidRPr="00BF3CDE" w:rsidRDefault="002E60C4" w:rsidP="002E60C4">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291,620</w:t>
            </w:r>
          </w:p>
        </w:tc>
      </w:tr>
      <w:tr w:rsidR="002E60C4" w:rsidRPr="00BF3CDE" w14:paraId="1772D3B9" w14:textId="77777777" w:rsidTr="002E60C4">
        <w:trPr>
          <w:trHeight w:val="283"/>
        </w:trPr>
        <w:tc>
          <w:tcPr>
            <w:tcW w:w="5118" w:type="dxa"/>
            <w:tcBorders>
              <w:top w:val="nil"/>
              <w:left w:val="nil"/>
              <w:bottom w:val="nil"/>
              <w:right w:val="nil"/>
            </w:tcBorders>
            <w:shd w:val="clear" w:color="auto" w:fill="auto"/>
            <w:noWrap/>
            <w:vAlign w:val="center"/>
            <w:hideMark/>
          </w:tcPr>
          <w:p w14:paraId="3AA0FFB9" w14:textId="77777777" w:rsidR="002E60C4" w:rsidRPr="00BF3CDE" w:rsidRDefault="002E60C4" w:rsidP="002E60C4">
            <w:pPr>
              <w:spacing w:after="0" w:line="240" w:lineRule="auto"/>
              <w:jc w:val="both"/>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09 Остала осигурања имовине</w:t>
            </w:r>
          </w:p>
        </w:tc>
        <w:tc>
          <w:tcPr>
            <w:tcW w:w="1847" w:type="dxa"/>
            <w:gridSpan w:val="2"/>
            <w:tcBorders>
              <w:top w:val="nil"/>
              <w:left w:val="nil"/>
              <w:bottom w:val="nil"/>
              <w:right w:val="nil"/>
            </w:tcBorders>
            <w:shd w:val="clear" w:color="auto" w:fill="auto"/>
            <w:vAlign w:val="center"/>
          </w:tcPr>
          <w:p w14:paraId="4D7F1DC5" w14:textId="77777777" w:rsidR="002E60C4" w:rsidRPr="00BF3CDE" w:rsidRDefault="002E60C4" w:rsidP="002E60C4">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137,559</w:t>
            </w:r>
          </w:p>
        </w:tc>
        <w:tc>
          <w:tcPr>
            <w:tcW w:w="2004" w:type="dxa"/>
            <w:gridSpan w:val="2"/>
            <w:tcBorders>
              <w:top w:val="nil"/>
              <w:left w:val="nil"/>
              <w:bottom w:val="nil"/>
              <w:right w:val="nil"/>
            </w:tcBorders>
            <w:shd w:val="clear" w:color="auto" w:fill="auto"/>
            <w:noWrap/>
            <w:vAlign w:val="center"/>
          </w:tcPr>
          <w:p w14:paraId="20A5E5EF" w14:textId="77777777" w:rsidR="002E60C4" w:rsidRPr="00BF3CDE" w:rsidRDefault="002E60C4" w:rsidP="002E60C4">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102,488</w:t>
            </w:r>
          </w:p>
        </w:tc>
      </w:tr>
      <w:tr w:rsidR="002E60C4" w:rsidRPr="00BF3CDE" w14:paraId="7721DD5F" w14:textId="77777777" w:rsidTr="002E60C4">
        <w:trPr>
          <w:trHeight w:val="283"/>
        </w:trPr>
        <w:tc>
          <w:tcPr>
            <w:tcW w:w="5118" w:type="dxa"/>
            <w:tcBorders>
              <w:top w:val="nil"/>
              <w:left w:val="nil"/>
              <w:bottom w:val="nil"/>
              <w:right w:val="nil"/>
            </w:tcBorders>
            <w:shd w:val="clear" w:color="auto" w:fill="DBE5F1" w:themeFill="accent1" w:themeFillTint="33"/>
            <w:noWrap/>
            <w:vAlign w:val="center"/>
            <w:hideMark/>
          </w:tcPr>
          <w:p w14:paraId="2B312824" w14:textId="77777777" w:rsidR="002E60C4" w:rsidRPr="00BF3CDE" w:rsidRDefault="002E60C4" w:rsidP="002E60C4">
            <w:pPr>
              <w:spacing w:after="0" w:line="240" w:lineRule="auto"/>
              <w:jc w:val="both"/>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10 О. од одгов. од употребе моторног возила</w:t>
            </w:r>
          </w:p>
        </w:tc>
        <w:tc>
          <w:tcPr>
            <w:tcW w:w="1847" w:type="dxa"/>
            <w:gridSpan w:val="2"/>
            <w:tcBorders>
              <w:top w:val="nil"/>
              <w:left w:val="nil"/>
              <w:bottom w:val="nil"/>
              <w:right w:val="nil"/>
            </w:tcBorders>
            <w:shd w:val="clear" w:color="auto" w:fill="DBE5F1" w:themeFill="accent1" w:themeFillTint="33"/>
            <w:vAlign w:val="center"/>
          </w:tcPr>
          <w:p w14:paraId="17DDAEF1" w14:textId="77777777" w:rsidR="002E60C4" w:rsidRPr="00BF3CDE" w:rsidRDefault="002E60C4" w:rsidP="002E60C4">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79,513</w:t>
            </w:r>
          </w:p>
        </w:tc>
        <w:tc>
          <w:tcPr>
            <w:tcW w:w="2004" w:type="dxa"/>
            <w:gridSpan w:val="2"/>
            <w:tcBorders>
              <w:top w:val="nil"/>
              <w:left w:val="nil"/>
              <w:bottom w:val="nil"/>
              <w:right w:val="nil"/>
            </w:tcBorders>
            <w:shd w:val="clear" w:color="auto" w:fill="DBE5F1" w:themeFill="accent1" w:themeFillTint="33"/>
            <w:noWrap/>
            <w:vAlign w:val="center"/>
          </w:tcPr>
          <w:p w14:paraId="2E8D206E" w14:textId="77777777" w:rsidR="002E60C4" w:rsidRPr="00BF3CDE" w:rsidRDefault="002E60C4" w:rsidP="002E60C4">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81,508</w:t>
            </w:r>
          </w:p>
        </w:tc>
      </w:tr>
      <w:tr w:rsidR="002E60C4" w:rsidRPr="00BF3CDE" w14:paraId="744133C4" w14:textId="77777777" w:rsidTr="002E60C4">
        <w:trPr>
          <w:trHeight w:val="283"/>
        </w:trPr>
        <w:tc>
          <w:tcPr>
            <w:tcW w:w="5118" w:type="dxa"/>
            <w:tcBorders>
              <w:top w:val="nil"/>
              <w:left w:val="nil"/>
              <w:bottom w:val="nil"/>
              <w:right w:val="nil"/>
            </w:tcBorders>
            <w:shd w:val="clear" w:color="auto" w:fill="auto"/>
            <w:noWrap/>
            <w:vAlign w:val="center"/>
            <w:hideMark/>
          </w:tcPr>
          <w:p w14:paraId="6936754D" w14:textId="77777777" w:rsidR="002E60C4" w:rsidRPr="00BF3CDE" w:rsidRDefault="002E60C4" w:rsidP="002E60C4">
            <w:pPr>
              <w:spacing w:after="0" w:line="240" w:lineRule="auto"/>
              <w:jc w:val="both"/>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13 Осигурање од опште одговорности</w:t>
            </w:r>
          </w:p>
        </w:tc>
        <w:tc>
          <w:tcPr>
            <w:tcW w:w="1847" w:type="dxa"/>
            <w:gridSpan w:val="2"/>
            <w:tcBorders>
              <w:top w:val="nil"/>
              <w:left w:val="nil"/>
              <w:bottom w:val="nil"/>
              <w:right w:val="nil"/>
            </w:tcBorders>
            <w:shd w:val="clear" w:color="auto" w:fill="auto"/>
            <w:vAlign w:val="center"/>
          </w:tcPr>
          <w:p w14:paraId="693F0B79" w14:textId="77777777" w:rsidR="002E60C4" w:rsidRPr="00BF3CDE" w:rsidRDefault="002E60C4" w:rsidP="002E60C4">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185</w:t>
            </w:r>
          </w:p>
        </w:tc>
        <w:tc>
          <w:tcPr>
            <w:tcW w:w="2004" w:type="dxa"/>
            <w:gridSpan w:val="2"/>
            <w:tcBorders>
              <w:top w:val="nil"/>
              <w:left w:val="nil"/>
              <w:bottom w:val="nil"/>
              <w:right w:val="nil"/>
            </w:tcBorders>
            <w:shd w:val="clear" w:color="auto" w:fill="auto"/>
            <w:noWrap/>
            <w:vAlign w:val="center"/>
          </w:tcPr>
          <w:p w14:paraId="32A80E81" w14:textId="77777777" w:rsidR="002E60C4" w:rsidRPr="00BF3CDE" w:rsidRDefault="002E60C4" w:rsidP="002E60C4">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256</w:t>
            </w:r>
          </w:p>
        </w:tc>
      </w:tr>
      <w:tr w:rsidR="002E60C4" w:rsidRPr="00BF3CDE" w14:paraId="42C3B042" w14:textId="77777777" w:rsidTr="002E60C4">
        <w:trPr>
          <w:trHeight w:val="283"/>
        </w:trPr>
        <w:tc>
          <w:tcPr>
            <w:tcW w:w="5118" w:type="dxa"/>
            <w:tcBorders>
              <w:top w:val="nil"/>
              <w:left w:val="nil"/>
              <w:bottom w:val="nil"/>
              <w:right w:val="nil"/>
            </w:tcBorders>
            <w:shd w:val="clear" w:color="auto" w:fill="DBE5F1" w:themeFill="accent1" w:themeFillTint="33"/>
            <w:noWrap/>
            <w:vAlign w:val="center"/>
          </w:tcPr>
          <w:p w14:paraId="046BDC4B" w14:textId="77777777" w:rsidR="002E60C4" w:rsidRPr="00BF3CDE" w:rsidRDefault="002E60C4" w:rsidP="002E60C4">
            <w:pPr>
              <w:spacing w:after="0" w:line="240" w:lineRule="auto"/>
              <w:jc w:val="both"/>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14 Осигуранје кредита</w:t>
            </w:r>
          </w:p>
        </w:tc>
        <w:tc>
          <w:tcPr>
            <w:tcW w:w="1847" w:type="dxa"/>
            <w:gridSpan w:val="2"/>
            <w:tcBorders>
              <w:top w:val="nil"/>
              <w:left w:val="nil"/>
              <w:bottom w:val="nil"/>
              <w:right w:val="nil"/>
            </w:tcBorders>
            <w:shd w:val="clear" w:color="auto" w:fill="DBE5F1" w:themeFill="accent1" w:themeFillTint="33"/>
            <w:vAlign w:val="center"/>
          </w:tcPr>
          <w:p w14:paraId="38EEE6EA" w14:textId="77777777" w:rsidR="002E60C4" w:rsidRPr="00BF3CDE" w:rsidRDefault="002E60C4" w:rsidP="002E60C4">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24</w:t>
            </w:r>
          </w:p>
        </w:tc>
        <w:tc>
          <w:tcPr>
            <w:tcW w:w="2004" w:type="dxa"/>
            <w:gridSpan w:val="2"/>
            <w:tcBorders>
              <w:top w:val="nil"/>
              <w:left w:val="nil"/>
              <w:bottom w:val="nil"/>
              <w:right w:val="nil"/>
            </w:tcBorders>
            <w:shd w:val="clear" w:color="auto" w:fill="DBE5F1" w:themeFill="accent1" w:themeFillTint="33"/>
            <w:noWrap/>
            <w:vAlign w:val="center"/>
          </w:tcPr>
          <w:p w14:paraId="401D654A" w14:textId="77777777" w:rsidR="002E60C4" w:rsidRPr="00BF3CDE" w:rsidRDefault="002E60C4" w:rsidP="002E60C4">
            <w:pPr>
              <w:spacing w:after="0" w:line="240" w:lineRule="auto"/>
              <w:jc w:val="right"/>
              <w:rPr>
                <w:rFonts w:eastAsia="Times New Roman" w:cs="Calibri"/>
                <w:noProof/>
                <w:color w:val="000000"/>
                <w:sz w:val="18"/>
                <w:szCs w:val="18"/>
                <w:lang w:val="sr-Cyrl-CS" w:eastAsia="sr-Latn-RS"/>
              </w:rPr>
            </w:pPr>
          </w:p>
        </w:tc>
      </w:tr>
      <w:tr w:rsidR="002E60C4" w:rsidRPr="00BF3CDE" w14:paraId="499FFB51" w14:textId="77777777" w:rsidTr="002E60C4">
        <w:trPr>
          <w:trHeight w:val="283"/>
        </w:trPr>
        <w:tc>
          <w:tcPr>
            <w:tcW w:w="5118" w:type="dxa"/>
            <w:tcBorders>
              <w:top w:val="nil"/>
              <w:left w:val="nil"/>
              <w:bottom w:val="nil"/>
              <w:right w:val="nil"/>
            </w:tcBorders>
            <w:shd w:val="clear" w:color="auto" w:fill="auto"/>
            <w:noWrap/>
            <w:vAlign w:val="center"/>
          </w:tcPr>
          <w:p w14:paraId="684DAECA" w14:textId="77777777" w:rsidR="002E60C4" w:rsidRPr="00BF3CDE" w:rsidRDefault="002E60C4" w:rsidP="002E60C4">
            <w:pPr>
              <w:spacing w:after="0" w:line="240" w:lineRule="auto"/>
              <w:jc w:val="both"/>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15 Осигурање јемства</w:t>
            </w:r>
          </w:p>
        </w:tc>
        <w:tc>
          <w:tcPr>
            <w:tcW w:w="1847" w:type="dxa"/>
            <w:gridSpan w:val="2"/>
            <w:tcBorders>
              <w:top w:val="nil"/>
              <w:left w:val="nil"/>
              <w:bottom w:val="nil"/>
              <w:right w:val="nil"/>
            </w:tcBorders>
            <w:shd w:val="clear" w:color="auto" w:fill="auto"/>
            <w:vAlign w:val="center"/>
          </w:tcPr>
          <w:p w14:paraId="07375AEC" w14:textId="77777777" w:rsidR="002E60C4" w:rsidRPr="00BF3CDE" w:rsidRDefault="002E60C4" w:rsidP="002E60C4">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26</w:t>
            </w:r>
          </w:p>
        </w:tc>
        <w:tc>
          <w:tcPr>
            <w:tcW w:w="2004" w:type="dxa"/>
            <w:gridSpan w:val="2"/>
            <w:tcBorders>
              <w:top w:val="nil"/>
              <w:left w:val="nil"/>
              <w:bottom w:val="nil"/>
              <w:right w:val="nil"/>
            </w:tcBorders>
            <w:shd w:val="clear" w:color="auto" w:fill="auto"/>
            <w:noWrap/>
            <w:vAlign w:val="center"/>
          </w:tcPr>
          <w:p w14:paraId="71A7B38C" w14:textId="77777777" w:rsidR="002E60C4" w:rsidRPr="00BF3CDE" w:rsidRDefault="002E60C4" w:rsidP="002E60C4">
            <w:pPr>
              <w:spacing w:after="0" w:line="240" w:lineRule="auto"/>
              <w:jc w:val="right"/>
              <w:rPr>
                <w:rFonts w:eastAsia="Times New Roman" w:cs="Calibri"/>
                <w:noProof/>
                <w:color w:val="000000"/>
                <w:sz w:val="18"/>
                <w:szCs w:val="18"/>
                <w:lang w:val="sr-Cyrl-CS" w:eastAsia="sr-Latn-RS"/>
              </w:rPr>
            </w:pPr>
          </w:p>
        </w:tc>
      </w:tr>
      <w:tr w:rsidR="002E60C4" w:rsidRPr="00BF3CDE" w14:paraId="158B06C2" w14:textId="77777777" w:rsidTr="002E60C4">
        <w:trPr>
          <w:trHeight w:val="283"/>
        </w:trPr>
        <w:tc>
          <w:tcPr>
            <w:tcW w:w="5118" w:type="dxa"/>
            <w:tcBorders>
              <w:top w:val="nil"/>
              <w:left w:val="nil"/>
              <w:bottom w:val="nil"/>
              <w:right w:val="nil"/>
            </w:tcBorders>
            <w:shd w:val="clear" w:color="auto" w:fill="DBE5F1" w:themeFill="accent1" w:themeFillTint="33"/>
            <w:noWrap/>
            <w:vAlign w:val="center"/>
            <w:hideMark/>
          </w:tcPr>
          <w:p w14:paraId="19793D34" w14:textId="77777777" w:rsidR="002E60C4" w:rsidRPr="00BF3CDE" w:rsidRDefault="002E60C4" w:rsidP="002E60C4">
            <w:pPr>
              <w:spacing w:after="0" w:line="240" w:lineRule="auto"/>
              <w:jc w:val="both"/>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16 Осигурање финансијских губитака</w:t>
            </w:r>
          </w:p>
        </w:tc>
        <w:tc>
          <w:tcPr>
            <w:tcW w:w="1847" w:type="dxa"/>
            <w:gridSpan w:val="2"/>
            <w:tcBorders>
              <w:top w:val="nil"/>
              <w:left w:val="nil"/>
              <w:bottom w:val="nil"/>
              <w:right w:val="nil"/>
            </w:tcBorders>
            <w:shd w:val="clear" w:color="auto" w:fill="DBE5F1" w:themeFill="accent1" w:themeFillTint="33"/>
            <w:vAlign w:val="center"/>
          </w:tcPr>
          <w:p w14:paraId="5B2DA125" w14:textId="77777777" w:rsidR="002E60C4" w:rsidRPr="00BF3CDE" w:rsidRDefault="002E60C4" w:rsidP="002E60C4">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259</w:t>
            </w:r>
          </w:p>
        </w:tc>
        <w:tc>
          <w:tcPr>
            <w:tcW w:w="2004" w:type="dxa"/>
            <w:gridSpan w:val="2"/>
            <w:tcBorders>
              <w:top w:val="nil"/>
              <w:left w:val="nil"/>
              <w:bottom w:val="nil"/>
              <w:right w:val="nil"/>
            </w:tcBorders>
            <w:shd w:val="clear" w:color="auto" w:fill="DBE5F1" w:themeFill="accent1" w:themeFillTint="33"/>
            <w:noWrap/>
            <w:vAlign w:val="center"/>
          </w:tcPr>
          <w:p w14:paraId="008BFD8F" w14:textId="77777777" w:rsidR="002E60C4" w:rsidRPr="00BF3CDE" w:rsidRDefault="002E60C4" w:rsidP="002E60C4">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3,307</w:t>
            </w:r>
          </w:p>
        </w:tc>
      </w:tr>
      <w:tr w:rsidR="002E60C4" w:rsidRPr="00BF3CDE" w14:paraId="3E98F1D3" w14:textId="77777777" w:rsidTr="002E60C4">
        <w:trPr>
          <w:trHeight w:val="283"/>
        </w:trPr>
        <w:tc>
          <w:tcPr>
            <w:tcW w:w="5118" w:type="dxa"/>
            <w:tcBorders>
              <w:top w:val="nil"/>
              <w:left w:val="nil"/>
              <w:right w:val="nil"/>
            </w:tcBorders>
            <w:shd w:val="clear" w:color="auto" w:fill="auto"/>
            <w:noWrap/>
            <w:vAlign w:val="center"/>
            <w:hideMark/>
          </w:tcPr>
          <w:p w14:paraId="118EEF9C" w14:textId="77777777" w:rsidR="002E60C4" w:rsidRPr="00BF3CDE" w:rsidRDefault="002E60C4" w:rsidP="002E60C4">
            <w:pPr>
              <w:spacing w:after="0" w:line="240" w:lineRule="auto"/>
              <w:jc w:val="both"/>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17 Осигурање правне заштите</w:t>
            </w:r>
          </w:p>
        </w:tc>
        <w:tc>
          <w:tcPr>
            <w:tcW w:w="1847" w:type="dxa"/>
            <w:gridSpan w:val="2"/>
            <w:tcBorders>
              <w:top w:val="nil"/>
              <w:left w:val="nil"/>
              <w:right w:val="nil"/>
            </w:tcBorders>
            <w:shd w:val="clear" w:color="auto" w:fill="auto"/>
            <w:vAlign w:val="center"/>
          </w:tcPr>
          <w:p w14:paraId="338AFC51" w14:textId="77777777" w:rsidR="002E60C4" w:rsidRPr="00BF3CDE" w:rsidRDefault="002E60C4" w:rsidP="002E60C4">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86</w:t>
            </w:r>
          </w:p>
        </w:tc>
        <w:tc>
          <w:tcPr>
            <w:tcW w:w="2004" w:type="dxa"/>
            <w:gridSpan w:val="2"/>
            <w:tcBorders>
              <w:top w:val="nil"/>
              <w:left w:val="nil"/>
              <w:right w:val="nil"/>
            </w:tcBorders>
            <w:shd w:val="clear" w:color="auto" w:fill="auto"/>
            <w:noWrap/>
            <w:vAlign w:val="center"/>
          </w:tcPr>
          <w:p w14:paraId="75FE79F0" w14:textId="77777777" w:rsidR="002E60C4" w:rsidRPr="00BF3CDE" w:rsidRDefault="002E60C4" w:rsidP="002E60C4">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57</w:t>
            </w:r>
          </w:p>
        </w:tc>
      </w:tr>
      <w:tr w:rsidR="002E60C4" w:rsidRPr="00BF3CDE" w14:paraId="02FCAEC5" w14:textId="77777777" w:rsidTr="002E60C4">
        <w:trPr>
          <w:trHeight w:val="283"/>
        </w:trPr>
        <w:tc>
          <w:tcPr>
            <w:tcW w:w="5118" w:type="dxa"/>
            <w:tcBorders>
              <w:top w:val="nil"/>
              <w:left w:val="nil"/>
              <w:right w:val="nil"/>
            </w:tcBorders>
            <w:shd w:val="clear" w:color="auto" w:fill="DBE5F1" w:themeFill="accent1" w:themeFillTint="33"/>
            <w:noWrap/>
            <w:vAlign w:val="center"/>
          </w:tcPr>
          <w:p w14:paraId="0C81F0AA" w14:textId="77777777" w:rsidR="002E60C4" w:rsidRPr="00BF3CDE" w:rsidRDefault="002E60C4" w:rsidP="002E60C4">
            <w:pPr>
              <w:spacing w:after="0" w:line="240" w:lineRule="auto"/>
              <w:jc w:val="both"/>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20 Oсигурање живота</w:t>
            </w:r>
          </w:p>
        </w:tc>
        <w:tc>
          <w:tcPr>
            <w:tcW w:w="1847" w:type="dxa"/>
            <w:gridSpan w:val="2"/>
            <w:tcBorders>
              <w:top w:val="nil"/>
              <w:left w:val="nil"/>
              <w:right w:val="nil"/>
            </w:tcBorders>
            <w:shd w:val="clear" w:color="auto" w:fill="DBE5F1" w:themeFill="accent1" w:themeFillTint="33"/>
            <w:vAlign w:val="center"/>
          </w:tcPr>
          <w:p w14:paraId="6FFA6865" w14:textId="77777777" w:rsidR="002E60C4" w:rsidRPr="00BF3CDE" w:rsidRDefault="002E60C4" w:rsidP="002E60C4">
            <w:pPr>
              <w:spacing w:after="0" w:line="240" w:lineRule="auto"/>
              <w:jc w:val="right"/>
              <w:rPr>
                <w:rFonts w:eastAsia="Times New Roman" w:cs="Calibri"/>
                <w:noProof/>
                <w:color w:val="000000"/>
                <w:sz w:val="18"/>
                <w:szCs w:val="18"/>
                <w:lang w:val="sr-Cyrl-CS" w:eastAsia="sr-Latn-RS"/>
              </w:rPr>
            </w:pPr>
          </w:p>
        </w:tc>
        <w:tc>
          <w:tcPr>
            <w:tcW w:w="2004" w:type="dxa"/>
            <w:gridSpan w:val="2"/>
            <w:tcBorders>
              <w:top w:val="nil"/>
              <w:left w:val="nil"/>
              <w:right w:val="nil"/>
            </w:tcBorders>
            <w:shd w:val="clear" w:color="auto" w:fill="DBE5F1" w:themeFill="accent1" w:themeFillTint="33"/>
            <w:noWrap/>
            <w:vAlign w:val="center"/>
          </w:tcPr>
          <w:p w14:paraId="7483E532" w14:textId="77777777" w:rsidR="002E60C4" w:rsidRPr="00BF3CDE" w:rsidRDefault="002E60C4" w:rsidP="002E60C4">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1,067</w:t>
            </w:r>
          </w:p>
        </w:tc>
      </w:tr>
      <w:tr w:rsidR="002E60C4" w:rsidRPr="00BF3CDE" w14:paraId="77A659FC" w14:textId="77777777" w:rsidTr="002E60C4">
        <w:trPr>
          <w:trHeight w:val="283"/>
        </w:trPr>
        <w:tc>
          <w:tcPr>
            <w:tcW w:w="5118" w:type="dxa"/>
            <w:tcBorders>
              <w:top w:val="nil"/>
              <w:left w:val="nil"/>
              <w:bottom w:val="single" w:sz="8" w:space="0" w:color="4F81BD"/>
              <w:right w:val="nil"/>
            </w:tcBorders>
            <w:shd w:val="clear" w:color="auto" w:fill="auto"/>
            <w:noWrap/>
            <w:vAlign w:val="center"/>
          </w:tcPr>
          <w:p w14:paraId="32C97BEE" w14:textId="77777777" w:rsidR="002E60C4" w:rsidRPr="00BF3CDE" w:rsidRDefault="002E60C4" w:rsidP="002E60C4">
            <w:pPr>
              <w:spacing w:after="0" w:line="240" w:lineRule="auto"/>
              <w:jc w:val="both"/>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22 Допунско осигурање уз осигурање живота</w:t>
            </w:r>
          </w:p>
        </w:tc>
        <w:tc>
          <w:tcPr>
            <w:tcW w:w="1847" w:type="dxa"/>
            <w:gridSpan w:val="2"/>
            <w:tcBorders>
              <w:top w:val="nil"/>
              <w:left w:val="nil"/>
              <w:bottom w:val="single" w:sz="8" w:space="0" w:color="4F81BD"/>
              <w:right w:val="nil"/>
            </w:tcBorders>
            <w:shd w:val="clear" w:color="auto" w:fill="auto"/>
            <w:vAlign w:val="center"/>
          </w:tcPr>
          <w:p w14:paraId="76A4346C" w14:textId="77777777" w:rsidR="002E60C4" w:rsidRPr="00BF3CDE" w:rsidRDefault="002E60C4" w:rsidP="002E60C4">
            <w:pPr>
              <w:spacing w:after="0" w:line="240" w:lineRule="auto"/>
              <w:jc w:val="right"/>
              <w:rPr>
                <w:rFonts w:eastAsia="Times New Roman" w:cs="Calibri"/>
                <w:noProof/>
                <w:color w:val="000000"/>
                <w:sz w:val="18"/>
                <w:szCs w:val="18"/>
                <w:lang w:val="sr-Cyrl-CS" w:eastAsia="sr-Latn-RS"/>
              </w:rPr>
            </w:pPr>
          </w:p>
        </w:tc>
        <w:tc>
          <w:tcPr>
            <w:tcW w:w="2004" w:type="dxa"/>
            <w:gridSpan w:val="2"/>
            <w:tcBorders>
              <w:top w:val="nil"/>
              <w:left w:val="nil"/>
              <w:bottom w:val="single" w:sz="8" w:space="0" w:color="4F81BD"/>
              <w:right w:val="nil"/>
            </w:tcBorders>
            <w:shd w:val="clear" w:color="auto" w:fill="auto"/>
            <w:noWrap/>
            <w:vAlign w:val="center"/>
          </w:tcPr>
          <w:p w14:paraId="147C17B6" w14:textId="77777777" w:rsidR="002E60C4" w:rsidRPr="00BF3CDE" w:rsidRDefault="002E60C4" w:rsidP="002E60C4">
            <w:pPr>
              <w:spacing w:after="0" w:line="240" w:lineRule="auto"/>
              <w:jc w:val="right"/>
              <w:rPr>
                <w:rFonts w:eastAsia="Times New Roman" w:cs="Calibri"/>
                <w:noProof/>
                <w:color w:val="000000"/>
                <w:sz w:val="18"/>
                <w:szCs w:val="18"/>
                <w:lang w:val="sr-Cyrl-CS" w:eastAsia="sr-Latn-RS"/>
              </w:rPr>
            </w:pPr>
            <w:r w:rsidRPr="00BF3CDE">
              <w:rPr>
                <w:rFonts w:eastAsia="Times New Roman" w:cs="Calibri"/>
                <w:noProof/>
                <w:color w:val="000000"/>
                <w:sz w:val="18"/>
                <w:szCs w:val="18"/>
                <w:lang w:val="sr-Cyrl-CS" w:eastAsia="sr-Latn-RS"/>
              </w:rPr>
              <w:t>2,008</w:t>
            </w:r>
          </w:p>
        </w:tc>
      </w:tr>
      <w:tr w:rsidR="002E60C4" w:rsidRPr="00BF3CDE" w14:paraId="13F1ED25" w14:textId="77777777" w:rsidTr="002E60C4">
        <w:trPr>
          <w:trHeight w:val="283"/>
        </w:trPr>
        <w:tc>
          <w:tcPr>
            <w:tcW w:w="5118" w:type="dxa"/>
            <w:tcBorders>
              <w:top w:val="single" w:sz="8" w:space="0" w:color="4F81BD"/>
              <w:left w:val="nil"/>
              <w:bottom w:val="single" w:sz="8" w:space="0" w:color="4F81BD"/>
              <w:right w:val="nil"/>
            </w:tcBorders>
            <w:shd w:val="clear" w:color="auto" w:fill="auto"/>
            <w:noWrap/>
            <w:vAlign w:val="center"/>
            <w:hideMark/>
          </w:tcPr>
          <w:p w14:paraId="43D71394" w14:textId="77777777" w:rsidR="002E60C4" w:rsidRPr="00BF3CDE" w:rsidRDefault="002E60C4" w:rsidP="00B74825">
            <w:pPr>
              <w:spacing w:after="0" w:line="240" w:lineRule="auto"/>
              <w:rPr>
                <w:rFonts w:eastAsia="Times New Roman" w:cs="Calibri"/>
                <w:b/>
                <w:noProof/>
                <w:color w:val="000000"/>
                <w:sz w:val="18"/>
                <w:szCs w:val="18"/>
                <w:lang w:val="sr-Cyrl-CS" w:eastAsia="sr-Latn-RS"/>
              </w:rPr>
            </w:pPr>
            <w:r w:rsidRPr="00BF3CDE">
              <w:rPr>
                <w:rFonts w:eastAsia="Times New Roman" w:cs="Calibri"/>
                <w:b/>
                <w:noProof/>
                <w:color w:val="000000"/>
                <w:sz w:val="18"/>
                <w:szCs w:val="18"/>
                <w:lang w:val="sr-Cyrl-CS" w:eastAsia="sr-Latn-RS"/>
              </w:rPr>
              <w:t>УКУПНО неживотна осигурања</w:t>
            </w:r>
          </w:p>
        </w:tc>
        <w:tc>
          <w:tcPr>
            <w:tcW w:w="1847" w:type="dxa"/>
            <w:gridSpan w:val="2"/>
            <w:tcBorders>
              <w:top w:val="single" w:sz="8" w:space="0" w:color="4F81BD"/>
              <w:left w:val="nil"/>
              <w:bottom w:val="single" w:sz="8" w:space="0" w:color="4F81BD"/>
              <w:right w:val="nil"/>
            </w:tcBorders>
            <w:vAlign w:val="center"/>
          </w:tcPr>
          <w:p w14:paraId="2D16F87F" w14:textId="77777777" w:rsidR="002E60C4" w:rsidRPr="00BF3CDE" w:rsidRDefault="002E60C4" w:rsidP="002E60C4">
            <w:pPr>
              <w:spacing w:after="0" w:line="240" w:lineRule="auto"/>
              <w:jc w:val="right"/>
              <w:rPr>
                <w:rFonts w:eastAsia="Times New Roman" w:cs="Calibri"/>
                <w:b/>
                <w:noProof/>
                <w:color w:val="000000"/>
                <w:sz w:val="18"/>
                <w:szCs w:val="18"/>
                <w:lang w:val="sr-Cyrl-CS" w:eastAsia="sr-Latn-RS"/>
              </w:rPr>
            </w:pPr>
            <w:r w:rsidRPr="00BF3CDE">
              <w:rPr>
                <w:rFonts w:eastAsia="Times New Roman" w:cs="Calibri"/>
                <w:b/>
                <w:noProof/>
                <w:color w:val="000000"/>
                <w:sz w:val="18"/>
                <w:szCs w:val="18"/>
                <w:lang w:val="sr-Cyrl-CS" w:eastAsia="sr-Latn-RS"/>
              </w:rPr>
              <w:t>509,610</w:t>
            </w:r>
          </w:p>
        </w:tc>
        <w:tc>
          <w:tcPr>
            <w:tcW w:w="2004" w:type="dxa"/>
            <w:gridSpan w:val="2"/>
            <w:tcBorders>
              <w:top w:val="single" w:sz="8" w:space="0" w:color="4F81BD"/>
              <w:left w:val="nil"/>
              <w:bottom w:val="single" w:sz="8" w:space="0" w:color="4F81BD"/>
              <w:right w:val="nil"/>
            </w:tcBorders>
            <w:shd w:val="clear" w:color="auto" w:fill="auto"/>
            <w:noWrap/>
            <w:vAlign w:val="center"/>
          </w:tcPr>
          <w:p w14:paraId="6547F0E8" w14:textId="77777777" w:rsidR="002E60C4" w:rsidRPr="00BF3CDE" w:rsidRDefault="002E60C4" w:rsidP="00B74825">
            <w:pPr>
              <w:spacing w:after="0" w:line="240" w:lineRule="auto"/>
              <w:jc w:val="right"/>
              <w:rPr>
                <w:rFonts w:eastAsia="Times New Roman" w:cs="Calibri"/>
                <w:b/>
                <w:noProof/>
                <w:color w:val="000000"/>
                <w:sz w:val="18"/>
                <w:szCs w:val="18"/>
                <w:lang w:val="sr-Cyrl-CS" w:eastAsia="sr-Latn-RS"/>
              </w:rPr>
            </w:pPr>
            <w:r w:rsidRPr="00BF3CDE">
              <w:rPr>
                <w:rFonts w:eastAsia="Times New Roman" w:cs="Calibri"/>
                <w:b/>
                <w:noProof/>
                <w:color w:val="000000"/>
                <w:sz w:val="18"/>
                <w:szCs w:val="18"/>
                <w:lang w:val="sr-Cyrl-CS" w:eastAsia="sr-Latn-RS"/>
              </w:rPr>
              <w:t>565,051</w:t>
            </w:r>
          </w:p>
        </w:tc>
      </w:tr>
      <w:tr w:rsidR="002E60C4" w:rsidRPr="00BF3CDE" w14:paraId="262859C6" w14:textId="77777777" w:rsidTr="002E60C4">
        <w:trPr>
          <w:trHeight w:val="283"/>
        </w:trPr>
        <w:tc>
          <w:tcPr>
            <w:tcW w:w="5118" w:type="dxa"/>
            <w:tcBorders>
              <w:top w:val="single" w:sz="8" w:space="0" w:color="4F81BD"/>
              <w:left w:val="nil"/>
              <w:bottom w:val="single" w:sz="8" w:space="0" w:color="4F81BD"/>
              <w:right w:val="nil"/>
            </w:tcBorders>
            <w:shd w:val="clear" w:color="auto" w:fill="auto"/>
            <w:noWrap/>
            <w:vAlign w:val="center"/>
            <w:hideMark/>
          </w:tcPr>
          <w:p w14:paraId="43235765" w14:textId="77777777" w:rsidR="002E60C4" w:rsidRPr="00BF3CDE" w:rsidRDefault="002E60C4" w:rsidP="00B74825">
            <w:pPr>
              <w:spacing w:after="0" w:line="240" w:lineRule="auto"/>
              <w:rPr>
                <w:rFonts w:eastAsia="Times New Roman" w:cs="Calibri"/>
                <w:b/>
                <w:noProof/>
                <w:color w:val="000000"/>
                <w:sz w:val="18"/>
                <w:szCs w:val="18"/>
                <w:lang w:val="sr-Cyrl-CS" w:eastAsia="sr-Latn-RS"/>
              </w:rPr>
            </w:pPr>
            <w:r w:rsidRPr="00BF3CDE">
              <w:rPr>
                <w:rFonts w:eastAsia="Times New Roman" w:cs="Calibri"/>
                <w:b/>
                <w:noProof/>
                <w:color w:val="000000"/>
                <w:sz w:val="18"/>
                <w:szCs w:val="18"/>
                <w:lang w:val="sr-Cyrl-CS" w:eastAsia="sr-Latn-RS"/>
              </w:rPr>
              <w:t>УКУПНО животна осигурања</w:t>
            </w:r>
          </w:p>
        </w:tc>
        <w:tc>
          <w:tcPr>
            <w:tcW w:w="1847" w:type="dxa"/>
            <w:gridSpan w:val="2"/>
            <w:tcBorders>
              <w:top w:val="single" w:sz="8" w:space="0" w:color="4F81BD"/>
              <w:left w:val="nil"/>
              <w:bottom w:val="single" w:sz="8" w:space="0" w:color="4F81BD"/>
              <w:right w:val="nil"/>
            </w:tcBorders>
            <w:vAlign w:val="center"/>
          </w:tcPr>
          <w:p w14:paraId="3DDC84F3" w14:textId="77777777" w:rsidR="002E60C4" w:rsidRPr="00BF3CDE" w:rsidRDefault="002E60C4" w:rsidP="002E60C4">
            <w:pPr>
              <w:spacing w:after="0" w:line="240" w:lineRule="auto"/>
              <w:jc w:val="right"/>
              <w:rPr>
                <w:rFonts w:eastAsia="Times New Roman" w:cs="Calibri"/>
                <w:b/>
                <w:noProof/>
                <w:color w:val="000000"/>
                <w:sz w:val="18"/>
                <w:szCs w:val="18"/>
                <w:lang w:val="sr-Cyrl-CS" w:eastAsia="sr-Latn-RS"/>
              </w:rPr>
            </w:pPr>
            <w:r w:rsidRPr="00BF3CDE">
              <w:rPr>
                <w:rFonts w:eastAsia="Times New Roman" w:cs="Calibri"/>
                <w:b/>
                <w:noProof/>
                <w:color w:val="000000"/>
                <w:sz w:val="18"/>
                <w:szCs w:val="18"/>
                <w:lang w:val="sr-Cyrl-CS" w:eastAsia="sr-Latn-RS"/>
              </w:rPr>
              <w:t>1,835</w:t>
            </w:r>
          </w:p>
        </w:tc>
        <w:tc>
          <w:tcPr>
            <w:tcW w:w="2004" w:type="dxa"/>
            <w:gridSpan w:val="2"/>
            <w:tcBorders>
              <w:top w:val="single" w:sz="8" w:space="0" w:color="4F81BD"/>
              <w:left w:val="nil"/>
              <w:bottom w:val="single" w:sz="8" w:space="0" w:color="4F81BD"/>
              <w:right w:val="nil"/>
            </w:tcBorders>
            <w:shd w:val="clear" w:color="auto" w:fill="auto"/>
            <w:noWrap/>
            <w:vAlign w:val="center"/>
          </w:tcPr>
          <w:p w14:paraId="4FE52E26" w14:textId="77777777" w:rsidR="002E60C4" w:rsidRPr="00BF3CDE" w:rsidRDefault="002E60C4" w:rsidP="00973851">
            <w:pPr>
              <w:spacing w:after="0" w:line="240" w:lineRule="auto"/>
              <w:jc w:val="right"/>
              <w:rPr>
                <w:rFonts w:eastAsia="Times New Roman" w:cs="Calibri"/>
                <w:b/>
                <w:noProof/>
                <w:color w:val="000000"/>
                <w:sz w:val="18"/>
                <w:szCs w:val="18"/>
                <w:lang w:val="sr-Cyrl-CS" w:eastAsia="sr-Latn-RS"/>
              </w:rPr>
            </w:pPr>
            <w:r w:rsidRPr="00BF3CDE">
              <w:rPr>
                <w:rFonts w:eastAsia="Times New Roman" w:cs="Calibri"/>
                <w:b/>
                <w:noProof/>
                <w:color w:val="000000"/>
                <w:sz w:val="18"/>
                <w:szCs w:val="18"/>
                <w:lang w:val="sr-Cyrl-CS" w:eastAsia="sr-Latn-RS"/>
              </w:rPr>
              <w:t>3,075</w:t>
            </w:r>
          </w:p>
        </w:tc>
      </w:tr>
      <w:tr w:rsidR="002E60C4" w:rsidRPr="00BF3CDE" w14:paraId="4F0D0E2B" w14:textId="77777777" w:rsidTr="002E60C4">
        <w:trPr>
          <w:trHeight w:val="283"/>
        </w:trPr>
        <w:tc>
          <w:tcPr>
            <w:tcW w:w="5118" w:type="dxa"/>
            <w:tcBorders>
              <w:top w:val="single" w:sz="8" w:space="0" w:color="4F81BD"/>
              <w:left w:val="nil"/>
              <w:right w:val="nil"/>
            </w:tcBorders>
            <w:shd w:val="clear" w:color="auto" w:fill="auto"/>
            <w:noWrap/>
            <w:vAlign w:val="center"/>
            <w:hideMark/>
          </w:tcPr>
          <w:p w14:paraId="7508BEF8" w14:textId="77777777" w:rsidR="002E60C4" w:rsidRPr="00BF3CDE" w:rsidRDefault="002E60C4" w:rsidP="00B74825">
            <w:pPr>
              <w:spacing w:after="0" w:line="240" w:lineRule="auto"/>
              <w:rPr>
                <w:rFonts w:eastAsia="Times New Roman" w:cs="Calibri"/>
                <w:b/>
                <w:noProof/>
                <w:color w:val="000000"/>
                <w:sz w:val="18"/>
                <w:szCs w:val="18"/>
                <w:lang w:val="sr-Cyrl-CS" w:eastAsia="sr-Latn-RS"/>
              </w:rPr>
            </w:pPr>
            <w:r w:rsidRPr="00BF3CDE">
              <w:rPr>
                <w:rFonts w:eastAsia="Times New Roman" w:cs="Calibri"/>
                <w:b/>
                <w:noProof/>
                <w:color w:val="000000"/>
                <w:sz w:val="18"/>
                <w:szCs w:val="18"/>
                <w:lang w:val="sr-Cyrl-CS" w:eastAsia="sr-Latn-RS"/>
              </w:rPr>
              <w:t>УКУПНО</w:t>
            </w:r>
          </w:p>
        </w:tc>
        <w:tc>
          <w:tcPr>
            <w:tcW w:w="1847" w:type="dxa"/>
            <w:gridSpan w:val="2"/>
            <w:tcBorders>
              <w:top w:val="single" w:sz="8" w:space="0" w:color="4F81BD"/>
              <w:left w:val="nil"/>
              <w:right w:val="nil"/>
            </w:tcBorders>
            <w:vAlign w:val="center"/>
          </w:tcPr>
          <w:p w14:paraId="6B931937" w14:textId="77777777" w:rsidR="002E60C4" w:rsidRPr="00BF3CDE" w:rsidRDefault="002E60C4" w:rsidP="002E60C4">
            <w:pPr>
              <w:spacing w:after="0" w:line="240" w:lineRule="auto"/>
              <w:jc w:val="right"/>
              <w:rPr>
                <w:rFonts w:eastAsia="Times New Roman" w:cs="Calibri"/>
                <w:b/>
                <w:noProof/>
                <w:color w:val="000000"/>
                <w:sz w:val="18"/>
                <w:szCs w:val="18"/>
                <w:lang w:val="sr-Cyrl-CS" w:eastAsia="sr-Latn-RS"/>
              </w:rPr>
            </w:pPr>
            <w:r w:rsidRPr="00BF3CDE">
              <w:rPr>
                <w:rFonts w:eastAsia="Times New Roman" w:cs="Calibri"/>
                <w:b/>
                <w:noProof/>
                <w:color w:val="000000"/>
                <w:sz w:val="18"/>
                <w:szCs w:val="18"/>
                <w:lang w:val="sr-Cyrl-CS" w:eastAsia="sr-Latn-RS"/>
              </w:rPr>
              <w:t>511,445</w:t>
            </w:r>
          </w:p>
        </w:tc>
        <w:tc>
          <w:tcPr>
            <w:tcW w:w="2004" w:type="dxa"/>
            <w:gridSpan w:val="2"/>
            <w:tcBorders>
              <w:top w:val="single" w:sz="8" w:space="0" w:color="4F81BD"/>
              <w:left w:val="nil"/>
              <w:right w:val="nil"/>
            </w:tcBorders>
            <w:shd w:val="clear" w:color="auto" w:fill="auto"/>
            <w:noWrap/>
            <w:vAlign w:val="center"/>
          </w:tcPr>
          <w:p w14:paraId="053B4D31" w14:textId="77777777" w:rsidR="002E60C4" w:rsidRPr="00BF3CDE" w:rsidRDefault="002E60C4" w:rsidP="00973851">
            <w:pPr>
              <w:spacing w:after="0" w:line="240" w:lineRule="auto"/>
              <w:jc w:val="right"/>
              <w:rPr>
                <w:rFonts w:eastAsia="Times New Roman" w:cs="Calibri"/>
                <w:b/>
                <w:noProof/>
                <w:color w:val="000000"/>
                <w:sz w:val="18"/>
                <w:szCs w:val="18"/>
                <w:lang w:val="sr-Cyrl-CS" w:eastAsia="sr-Latn-RS"/>
              </w:rPr>
            </w:pPr>
            <w:r w:rsidRPr="00BF3CDE">
              <w:rPr>
                <w:rFonts w:eastAsia="Times New Roman" w:cs="Calibri"/>
                <w:b/>
                <w:noProof/>
                <w:color w:val="000000"/>
                <w:sz w:val="18"/>
                <w:szCs w:val="18"/>
                <w:lang w:val="sr-Cyrl-CS" w:eastAsia="sr-Latn-RS"/>
              </w:rPr>
              <w:t>568,126</w:t>
            </w:r>
          </w:p>
        </w:tc>
      </w:tr>
    </w:tbl>
    <w:p w14:paraId="42E55865" w14:textId="77777777" w:rsidR="0071269C" w:rsidRPr="00BF3CDE" w:rsidRDefault="00492321" w:rsidP="0071269C">
      <w:pPr>
        <w:pStyle w:val="Heading1"/>
        <w:numPr>
          <w:ilvl w:val="1"/>
          <w:numId w:val="7"/>
        </w:numPr>
        <w:jc w:val="left"/>
        <w:rPr>
          <w:noProof/>
          <w:sz w:val="2"/>
          <w:szCs w:val="2"/>
          <w:lang w:val="sr-Cyrl-CS"/>
        </w:rPr>
      </w:pPr>
      <w:bookmarkStart w:id="42" w:name="_Toc414356823"/>
      <w:r w:rsidRPr="00BF3CDE">
        <w:rPr>
          <w:rFonts w:asciiTheme="majorHAnsi" w:hAnsiTheme="majorHAnsi" w:cs="Tahoma"/>
          <w:i/>
          <w:noProof/>
          <w:color w:val="4F81BD"/>
          <w:sz w:val="22"/>
          <w:szCs w:val="18"/>
          <w:lang w:val="sr-Cyrl-CS"/>
        </w:rPr>
        <w:lastRenderedPageBreak/>
        <w:t>ГАРАНТНЕ И ТЕХНИЧКЕ РЕЗЕРВЕ</w:t>
      </w:r>
      <w:bookmarkEnd w:id="42"/>
      <w:r w:rsidR="0046210A" w:rsidRPr="00BF3CDE">
        <w:rPr>
          <w:rFonts w:asciiTheme="majorHAnsi" w:hAnsiTheme="majorHAnsi" w:cs="Tahoma"/>
          <w:i/>
          <w:noProof/>
          <w:color w:val="4F81BD"/>
          <w:sz w:val="22"/>
          <w:szCs w:val="18"/>
          <w:lang w:val="sr-Cyrl-CS"/>
        </w:rPr>
        <w:t xml:space="preserve"> </w:t>
      </w:r>
    </w:p>
    <w:p w14:paraId="737CED2F" w14:textId="77777777" w:rsidR="00492321" w:rsidRPr="00BF3CDE" w:rsidRDefault="00492321" w:rsidP="00F37ECF">
      <w:pPr>
        <w:pStyle w:val="Heading1"/>
        <w:numPr>
          <w:ilvl w:val="2"/>
          <w:numId w:val="7"/>
        </w:numPr>
        <w:spacing w:before="240" w:after="240"/>
        <w:ind w:left="1077" w:hanging="1077"/>
        <w:jc w:val="left"/>
        <w:rPr>
          <w:rFonts w:asciiTheme="majorHAnsi" w:hAnsiTheme="majorHAnsi" w:cs="Tahoma"/>
          <w:i/>
          <w:noProof/>
          <w:color w:val="4F81BD"/>
          <w:sz w:val="22"/>
          <w:szCs w:val="18"/>
          <w:lang w:val="sr-Cyrl-CS"/>
        </w:rPr>
      </w:pPr>
      <w:bookmarkStart w:id="43" w:name="_Toc414356824"/>
      <w:r w:rsidRPr="00BF3CDE">
        <w:rPr>
          <w:rFonts w:asciiTheme="majorHAnsi" w:hAnsiTheme="majorHAnsi" w:cs="Tahoma"/>
          <w:i/>
          <w:noProof/>
          <w:color w:val="4F81BD"/>
          <w:sz w:val="22"/>
          <w:szCs w:val="18"/>
          <w:lang w:val="sr-Cyrl-CS"/>
        </w:rPr>
        <w:t>Гарантне резерве</w:t>
      </w:r>
      <w:bookmarkEnd w:id="43"/>
    </w:p>
    <w:p w14:paraId="1AA423C1" w14:textId="77777777" w:rsidR="00317A88" w:rsidRPr="009A70FE" w:rsidRDefault="00BF4B4E" w:rsidP="0071269C">
      <w:pPr>
        <w:spacing w:after="0"/>
        <w:ind w:firstLine="567"/>
        <w:jc w:val="both"/>
        <w:rPr>
          <w:rStyle w:val="NoSpacingChar"/>
          <w:sz w:val="2"/>
          <w:szCs w:val="2"/>
          <w:lang w:val="sr-Cyrl-CS"/>
        </w:rPr>
      </w:pPr>
      <w:r w:rsidRPr="00BF3CDE">
        <w:rPr>
          <w:noProof/>
          <w:sz w:val="20"/>
          <w:szCs w:val="20"/>
          <w:lang w:val="sr-Cyrl-CS"/>
        </w:rPr>
        <w:t>Средства гарантних резерви утврђују се у складу са чланом 116</w:t>
      </w:r>
      <w:r w:rsidR="00437D90" w:rsidRPr="00BF3CDE">
        <w:rPr>
          <w:noProof/>
          <w:sz w:val="20"/>
          <w:szCs w:val="20"/>
          <w:lang w:val="sr-Cyrl-CS"/>
        </w:rPr>
        <w:t>.</w:t>
      </w:r>
      <w:r w:rsidRPr="00BF3CDE">
        <w:rPr>
          <w:noProof/>
          <w:sz w:val="20"/>
          <w:szCs w:val="20"/>
          <w:lang w:val="sr-Cyrl-CS"/>
        </w:rPr>
        <w:t xml:space="preserve"> Закона о ос</w:t>
      </w:r>
      <w:r w:rsidR="00317A88" w:rsidRPr="00BF3CDE">
        <w:rPr>
          <w:noProof/>
          <w:sz w:val="20"/>
          <w:szCs w:val="20"/>
          <w:lang w:val="sr-Cyrl-CS"/>
        </w:rPr>
        <w:t>игурању и имају следећу структуру</w:t>
      </w:r>
      <w:r w:rsidR="00011135" w:rsidRPr="00BF3CDE">
        <w:rPr>
          <w:noProof/>
          <w:sz w:val="20"/>
          <w:szCs w:val="20"/>
          <w:lang w:val="sr-Cyrl-CS"/>
        </w:rPr>
        <w:t xml:space="preserve"> у 000 РСД</w:t>
      </w:r>
      <w:r w:rsidR="00317A88" w:rsidRPr="00BF3CDE">
        <w:rPr>
          <w:noProof/>
          <w:sz w:val="20"/>
          <w:szCs w:val="20"/>
          <w:lang w:val="sr-Cyrl-CS"/>
        </w:rPr>
        <w:t>:</w:t>
      </w:r>
      <w:r w:rsidR="00317A88" w:rsidRPr="00BF3CDE">
        <w:rPr>
          <w:noProof/>
          <w:sz w:val="20"/>
          <w:szCs w:val="20"/>
          <w:lang w:val="sr-Cyrl-CS"/>
        </w:rPr>
        <w:tab/>
      </w:r>
      <w:r w:rsidR="00317A88" w:rsidRPr="00BF3CDE">
        <w:rPr>
          <w:noProof/>
          <w:sz w:val="20"/>
          <w:szCs w:val="20"/>
          <w:lang w:val="sr-Cyrl-CS"/>
        </w:rPr>
        <w:tab/>
      </w:r>
      <w:r w:rsidR="00317A88" w:rsidRPr="00BF3CDE">
        <w:rPr>
          <w:noProof/>
          <w:sz w:val="20"/>
          <w:szCs w:val="20"/>
          <w:lang w:val="sr-Cyrl-CS"/>
        </w:rPr>
        <w:tab/>
      </w:r>
      <w:r w:rsidR="00317A88" w:rsidRPr="00BF3CDE">
        <w:rPr>
          <w:noProof/>
          <w:sz w:val="20"/>
          <w:szCs w:val="20"/>
          <w:lang w:val="sr-Cyrl-CS"/>
        </w:rPr>
        <w:tab/>
      </w:r>
      <w:r w:rsidR="00317A88" w:rsidRPr="00BF3CDE">
        <w:rPr>
          <w:noProof/>
          <w:sz w:val="20"/>
          <w:szCs w:val="20"/>
          <w:lang w:val="sr-Cyrl-CS"/>
        </w:rPr>
        <w:tab/>
      </w:r>
      <w:r w:rsidR="00317A88" w:rsidRPr="00BF3CDE">
        <w:rPr>
          <w:noProof/>
          <w:sz w:val="20"/>
          <w:szCs w:val="20"/>
          <w:lang w:val="sr-Cyrl-CS"/>
        </w:rPr>
        <w:tab/>
      </w:r>
    </w:p>
    <w:tbl>
      <w:tblPr>
        <w:tblW w:w="9720" w:type="dxa"/>
        <w:tblInd w:w="-176" w:type="dxa"/>
        <w:tblLook w:val="04A0" w:firstRow="1" w:lastRow="0" w:firstColumn="1" w:lastColumn="0" w:noHBand="0" w:noVBand="1"/>
      </w:tblPr>
      <w:tblGrid>
        <w:gridCol w:w="6400"/>
        <w:gridCol w:w="1660"/>
        <w:gridCol w:w="1660"/>
      </w:tblGrid>
      <w:tr w:rsidR="00A678A2" w:rsidRPr="00BF3CDE" w14:paraId="10E89A15" w14:textId="77777777" w:rsidTr="002D6A53">
        <w:trPr>
          <w:trHeight w:val="283"/>
        </w:trPr>
        <w:tc>
          <w:tcPr>
            <w:tcW w:w="6400" w:type="dxa"/>
            <w:tcBorders>
              <w:top w:val="nil"/>
              <w:left w:val="nil"/>
              <w:bottom w:val="single" w:sz="8" w:space="0" w:color="629DD1"/>
              <w:right w:val="nil"/>
            </w:tcBorders>
            <w:shd w:val="clear" w:color="auto" w:fill="auto"/>
            <w:vAlign w:val="center"/>
            <w:hideMark/>
          </w:tcPr>
          <w:p w14:paraId="25FC6A5F" w14:textId="77777777" w:rsidR="00A678A2" w:rsidRPr="00BF3CDE" w:rsidRDefault="00A678A2" w:rsidP="00A678A2">
            <w:pPr>
              <w:spacing w:after="0" w:line="240" w:lineRule="auto"/>
              <w:jc w:val="center"/>
              <w:rPr>
                <w:rFonts w:ascii="Verdana" w:eastAsia="Times New Roman" w:hAnsi="Verdana" w:cs="Calibri"/>
                <w:b/>
                <w:bCs/>
                <w:noProof/>
                <w:color w:val="000000"/>
                <w:sz w:val="20"/>
                <w:szCs w:val="20"/>
                <w:lang w:val="sr-Cyrl-CS" w:eastAsia="sr-Latn-RS"/>
              </w:rPr>
            </w:pPr>
            <w:r w:rsidRPr="00BF3CDE">
              <w:rPr>
                <w:rFonts w:ascii="Verdana" w:eastAsia="Times New Roman" w:hAnsi="Verdana" w:cs="Calibri"/>
                <w:b/>
                <w:bCs/>
                <w:noProof/>
                <w:color w:val="000000"/>
                <w:sz w:val="20"/>
                <w:szCs w:val="20"/>
                <w:lang w:val="sr-Cyrl-CS" w:eastAsia="sr-Latn-RS"/>
              </w:rPr>
              <w:t> </w:t>
            </w:r>
          </w:p>
        </w:tc>
        <w:tc>
          <w:tcPr>
            <w:tcW w:w="1660" w:type="dxa"/>
            <w:tcBorders>
              <w:top w:val="nil"/>
              <w:left w:val="nil"/>
              <w:bottom w:val="single" w:sz="8" w:space="0" w:color="629DD1"/>
              <w:right w:val="nil"/>
            </w:tcBorders>
            <w:shd w:val="clear" w:color="auto" w:fill="auto"/>
            <w:vAlign w:val="center"/>
            <w:hideMark/>
          </w:tcPr>
          <w:p w14:paraId="5F898E62" w14:textId="77777777" w:rsidR="00A678A2" w:rsidRPr="00BF3CDE" w:rsidRDefault="00A678A2" w:rsidP="002D6A53">
            <w:pPr>
              <w:spacing w:after="0" w:line="240" w:lineRule="auto"/>
              <w:jc w:val="center"/>
              <w:rPr>
                <w:rFonts w:ascii="Verdana" w:eastAsia="Times New Roman" w:hAnsi="Verdana" w:cs="Calibri"/>
                <w:b/>
                <w:bCs/>
                <w:noProof/>
                <w:color w:val="000000"/>
                <w:sz w:val="20"/>
                <w:szCs w:val="20"/>
                <w:lang w:val="sr-Cyrl-CS" w:eastAsia="sr-Latn-RS"/>
              </w:rPr>
            </w:pPr>
            <w:r w:rsidRPr="00BF3CDE">
              <w:rPr>
                <w:rFonts w:ascii="Verdana" w:eastAsia="Times New Roman" w:hAnsi="Verdana" w:cs="Calibri"/>
                <w:b/>
                <w:bCs/>
                <w:noProof/>
                <w:color w:val="000000"/>
                <w:sz w:val="20"/>
                <w:szCs w:val="20"/>
                <w:lang w:val="sr-Cyrl-CS" w:eastAsia="sr-Latn-RS"/>
              </w:rPr>
              <w:t>201</w:t>
            </w:r>
            <w:r w:rsidR="002D6A53" w:rsidRPr="00BF3CDE">
              <w:rPr>
                <w:rFonts w:ascii="Verdana" w:eastAsia="Times New Roman" w:hAnsi="Verdana" w:cs="Calibri"/>
                <w:b/>
                <w:bCs/>
                <w:noProof/>
                <w:color w:val="000000"/>
                <w:sz w:val="20"/>
                <w:szCs w:val="20"/>
                <w:lang w:val="sr-Cyrl-CS" w:eastAsia="sr-Latn-RS"/>
              </w:rPr>
              <w:t>3</w:t>
            </w:r>
          </w:p>
        </w:tc>
        <w:tc>
          <w:tcPr>
            <w:tcW w:w="1660" w:type="dxa"/>
            <w:tcBorders>
              <w:top w:val="nil"/>
              <w:left w:val="nil"/>
              <w:bottom w:val="single" w:sz="8" w:space="0" w:color="629DD1"/>
              <w:right w:val="nil"/>
            </w:tcBorders>
            <w:shd w:val="clear" w:color="auto" w:fill="auto"/>
            <w:vAlign w:val="center"/>
            <w:hideMark/>
          </w:tcPr>
          <w:p w14:paraId="3B283791" w14:textId="77777777" w:rsidR="00A678A2" w:rsidRPr="00BF3CDE" w:rsidRDefault="00A678A2" w:rsidP="002D6A53">
            <w:pPr>
              <w:spacing w:after="0" w:line="240" w:lineRule="auto"/>
              <w:jc w:val="center"/>
              <w:rPr>
                <w:rFonts w:ascii="Verdana" w:eastAsia="Times New Roman" w:hAnsi="Verdana" w:cs="Calibri"/>
                <w:b/>
                <w:bCs/>
                <w:noProof/>
                <w:color w:val="000000"/>
                <w:sz w:val="20"/>
                <w:szCs w:val="20"/>
                <w:lang w:val="sr-Cyrl-CS" w:eastAsia="sr-Latn-RS"/>
              </w:rPr>
            </w:pPr>
            <w:r w:rsidRPr="00BF3CDE">
              <w:rPr>
                <w:rFonts w:ascii="Verdana" w:eastAsia="Times New Roman" w:hAnsi="Verdana" w:cs="Calibri"/>
                <w:b/>
                <w:bCs/>
                <w:noProof/>
                <w:color w:val="000000"/>
                <w:sz w:val="20"/>
                <w:szCs w:val="20"/>
                <w:lang w:val="sr-Cyrl-CS" w:eastAsia="sr-Latn-RS"/>
              </w:rPr>
              <w:t>201</w:t>
            </w:r>
            <w:r w:rsidR="002D6A53" w:rsidRPr="00BF3CDE">
              <w:rPr>
                <w:rFonts w:ascii="Verdana" w:eastAsia="Times New Roman" w:hAnsi="Verdana" w:cs="Calibri"/>
                <w:b/>
                <w:bCs/>
                <w:noProof/>
                <w:color w:val="000000"/>
                <w:sz w:val="20"/>
                <w:szCs w:val="20"/>
                <w:lang w:val="sr-Cyrl-CS" w:eastAsia="sr-Latn-RS"/>
              </w:rPr>
              <w:t>4</w:t>
            </w:r>
          </w:p>
        </w:tc>
      </w:tr>
      <w:tr w:rsidR="002D6A53" w:rsidRPr="00BF3CDE" w14:paraId="3906347E" w14:textId="77777777" w:rsidTr="00C031DE">
        <w:trPr>
          <w:trHeight w:val="283"/>
        </w:trPr>
        <w:tc>
          <w:tcPr>
            <w:tcW w:w="6400" w:type="dxa"/>
            <w:tcBorders>
              <w:top w:val="nil"/>
              <w:left w:val="nil"/>
              <w:bottom w:val="nil"/>
              <w:right w:val="nil"/>
            </w:tcBorders>
            <w:shd w:val="clear" w:color="000000" w:fill="D8E6F3"/>
            <w:vAlign w:val="center"/>
            <w:hideMark/>
          </w:tcPr>
          <w:p w14:paraId="466BDA64" w14:textId="77777777" w:rsidR="002D6A53" w:rsidRPr="00BF3CDE" w:rsidRDefault="002D6A53" w:rsidP="00A678A2">
            <w:pPr>
              <w:spacing w:after="0" w:line="240" w:lineRule="auto"/>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1. Основни капитал</w:t>
            </w:r>
          </w:p>
        </w:tc>
        <w:tc>
          <w:tcPr>
            <w:tcW w:w="1660" w:type="dxa"/>
            <w:tcBorders>
              <w:top w:val="nil"/>
              <w:left w:val="nil"/>
              <w:bottom w:val="nil"/>
              <w:right w:val="nil"/>
            </w:tcBorders>
            <w:shd w:val="clear" w:color="000000" w:fill="D8E6F3"/>
            <w:vAlign w:val="center"/>
            <w:hideMark/>
          </w:tcPr>
          <w:p w14:paraId="32A60219" w14:textId="77777777" w:rsidR="002D6A53" w:rsidRPr="00BF3CDE" w:rsidRDefault="002D6A53" w:rsidP="00C031DE">
            <w:pPr>
              <w:spacing w:after="0" w:line="240" w:lineRule="auto"/>
              <w:jc w:val="right"/>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764,802</w:t>
            </w:r>
          </w:p>
        </w:tc>
        <w:tc>
          <w:tcPr>
            <w:tcW w:w="1660" w:type="dxa"/>
            <w:tcBorders>
              <w:top w:val="nil"/>
              <w:left w:val="nil"/>
              <w:bottom w:val="nil"/>
              <w:right w:val="nil"/>
            </w:tcBorders>
            <w:shd w:val="clear" w:color="000000" w:fill="D8E6F3"/>
            <w:hideMark/>
          </w:tcPr>
          <w:p w14:paraId="25AB55C5" w14:textId="77777777" w:rsidR="002D6A53" w:rsidRPr="00BF3CDE" w:rsidRDefault="002D6A53" w:rsidP="002D6A53">
            <w:pPr>
              <w:spacing w:after="0" w:line="240" w:lineRule="auto"/>
              <w:jc w:val="right"/>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764,802</w:t>
            </w:r>
          </w:p>
        </w:tc>
      </w:tr>
      <w:tr w:rsidR="002D6A53" w:rsidRPr="00BF3CDE" w14:paraId="1572F7F0" w14:textId="77777777" w:rsidTr="00C031DE">
        <w:trPr>
          <w:trHeight w:val="283"/>
        </w:trPr>
        <w:tc>
          <w:tcPr>
            <w:tcW w:w="6400" w:type="dxa"/>
            <w:tcBorders>
              <w:top w:val="nil"/>
              <w:left w:val="nil"/>
              <w:bottom w:val="nil"/>
              <w:right w:val="nil"/>
            </w:tcBorders>
            <w:shd w:val="clear" w:color="auto" w:fill="auto"/>
            <w:vAlign w:val="center"/>
            <w:hideMark/>
          </w:tcPr>
          <w:p w14:paraId="3E189C04" w14:textId="77777777" w:rsidR="002D6A53" w:rsidRPr="00BF3CDE" w:rsidRDefault="002D6A53" w:rsidP="00A678A2">
            <w:pPr>
              <w:spacing w:after="0" w:line="240" w:lineRule="auto"/>
              <w:jc w:val="right"/>
              <w:rPr>
                <w:rFonts w:ascii="Verdana" w:eastAsia="Times New Roman" w:hAnsi="Verdana" w:cs="Calibri"/>
                <w:i/>
                <w:iCs/>
                <w:noProof/>
                <w:color w:val="000000"/>
                <w:sz w:val="20"/>
                <w:szCs w:val="20"/>
                <w:lang w:val="sr-Cyrl-CS" w:eastAsia="sr-Latn-RS"/>
              </w:rPr>
            </w:pPr>
            <w:r w:rsidRPr="00BF3CDE">
              <w:rPr>
                <w:rFonts w:ascii="Verdana" w:eastAsia="Times New Roman" w:hAnsi="Verdana" w:cs="Calibri"/>
                <w:i/>
                <w:iCs/>
                <w:noProof/>
                <w:color w:val="000000"/>
                <w:sz w:val="20"/>
                <w:szCs w:val="20"/>
                <w:lang w:val="sr-Cyrl-CS" w:eastAsia="sr-Latn-RS"/>
              </w:rPr>
              <w:t>1.1.Друштвени капитал</w:t>
            </w:r>
          </w:p>
        </w:tc>
        <w:tc>
          <w:tcPr>
            <w:tcW w:w="1660" w:type="dxa"/>
            <w:tcBorders>
              <w:top w:val="nil"/>
              <w:left w:val="nil"/>
              <w:bottom w:val="nil"/>
              <w:right w:val="nil"/>
            </w:tcBorders>
            <w:shd w:val="clear" w:color="auto" w:fill="auto"/>
            <w:vAlign w:val="center"/>
            <w:hideMark/>
          </w:tcPr>
          <w:p w14:paraId="512621EA" w14:textId="77777777" w:rsidR="002D6A53" w:rsidRPr="00BF3CDE" w:rsidRDefault="002D6A53" w:rsidP="00C031DE">
            <w:pPr>
              <w:spacing w:after="0" w:line="240" w:lineRule="auto"/>
              <w:jc w:val="right"/>
              <w:rPr>
                <w:rFonts w:ascii="Verdana" w:eastAsia="Times New Roman" w:hAnsi="Verdana" w:cs="Calibri"/>
                <w:i/>
                <w:noProof/>
                <w:color w:val="000000"/>
                <w:sz w:val="20"/>
                <w:szCs w:val="20"/>
                <w:lang w:val="sr-Cyrl-CS" w:eastAsia="sr-Latn-RS"/>
              </w:rPr>
            </w:pPr>
            <w:r w:rsidRPr="00BF3CDE">
              <w:rPr>
                <w:rFonts w:ascii="Verdana" w:eastAsia="Times New Roman" w:hAnsi="Verdana" w:cs="Calibri"/>
                <w:i/>
                <w:noProof/>
                <w:color w:val="000000"/>
                <w:sz w:val="20"/>
                <w:szCs w:val="20"/>
                <w:lang w:val="sr-Cyrl-CS" w:eastAsia="sr-Latn-RS"/>
              </w:rPr>
              <w:t>35,055</w:t>
            </w:r>
          </w:p>
        </w:tc>
        <w:tc>
          <w:tcPr>
            <w:tcW w:w="1660" w:type="dxa"/>
            <w:tcBorders>
              <w:top w:val="nil"/>
              <w:left w:val="nil"/>
              <w:bottom w:val="nil"/>
              <w:right w:val="nil"/>
            </w:tcBorders>
            <w:shd w:val="clear" w:color="auto" w:fill="auto"/>
            <w:hideMark/>
          </w:tcPr>
          <w:p w14:paraId="3EEFED64" w14:textId="77777777" w:rsidR="002D6A53" w:rsidRPr="00BF3CDE" w:rsidRDefault="002D6A53" w:rsidP="002D6A53">
            <w:pPr>
              <w:spacing w:after="0" w:line="240" w:lineRule="auto"/>
              <w:jc w:val="right"/>
              <w:rPr>
                <w:rFonts w:ascii="Verdana" w:eastAsia="Times New Roman" w:hAnsi="Verdana" w:cs="Calibri"/>
                <w:i/>
                <w:noProof/>
                <w:color w:val="000000"/>
                <w:sz w:val="20"/>
                <w:szCs w:val="20"/>
                <w:lang w:val="sr-Cyrl-CS" w:eastAsia="sr-Latn-RS"/>
              </w:rPr>
            </w:pPr>
            <w:r w:rsidRPr="00BF3CDE">
              <w:rPr>
                <w:rFonts w:ascii="Verdana" w:eastAsia="Times New Roman" w:hAnsi="Verdana" w:cs="Calibri"/>
                <w:i/>
                <w:noProof/>
                <w:color w:val="000000"/>
                <w:sz w:val="20"/>
                <w:szCs w:val="20"/>
                <w:lang w:val="sr-Cyrl-CS" w:eastAsia="sr-Latn-RS"/>
              </w:rPr>
              <w:t>35,055</w:t>
            </w:r>
          </w:p>
        </w:tc>
      </w:tr>
      <w:tr w:rsidR="002D6A53" w:rsidRPr="00BF3CDE" w14:paraId="6BCC0BB7" w14:textId="77777777" w:rsidTr="00C031DE">
        <w:trPr>
          <w:trHeight w:val="283"/>
        </w:trPr>
        <w:tc>
          <w:tcPr>
            <w:tcW w:w="6400" w:type="dxa"/>
            <w:tcBorders>
              <w:top w:val="nil"/>
              <w:left w:val="nil"/>
              <w:bottom w:val="nil"/>
              <w:right w:val="nil"/>
            </w:tcBorders>
            <w:shd w:val="clear" w:color="000000" w:fill="D8E6F3"/>
            <w:vAlign w:val="center"/>
            <w:hideMark/>
          </w:tcPr>
          <w:p w14:paraId="769E6729" w14:textId="77777777" w:rsidR="002D6A53" w:rsidRPr="00BF3CDE" w:rsidRDefault="002D6A53" w:rsidP="00A678A2">
            <w:pPr>
              <w:spacing w:after="0" w:line="240" w:lineRule="auto"/>
              <w:jc w:val="right"/>
              <w:rPr>
                <w:rFonts w:ascii="Verdana" w:eastAsia="Times New Roman" w:hAnsi="Verdana" w:cs="Calibri"/>
                <w:i/>
                <w:iCs/>
                <w:noProof/>
                <w:color w:val="000000"/>
                <w:sz w:val="20"/>
                <w:szCs w:val="20"/>
                <w:lang w:val="sr-Cyrl-CS" w:eastAsia="sr-Latn-RS"/>
              </w:rPr>
            </w:pPr>
            <w:r w:rsidRPr="00BF3CDE">
              <w:rPr>
                <w:rFonts w:ascii="Verdana" w:eastAsia="Times New Roman" w:hAnsi="Verdana" w:cs="Calibri"/>
                <w:i/>
                <w:iCs/>
                <w:noProof/>
                <w:color w:val="000000"/>
                <w:sz w:val="20"/>
                <w:szCs w:val="20"/>
                <w:lang w:val="sr-Cyrl-CS" w:eastAsia="sr-Latn-RS"/>
              </w:rPr>
              <w:t>1.2.Акцијски капитал</w:t>
            </w:r>
          </w:p>
        </w:tc>
        <w:tc>
          <w:tcPr>
            <w:tcW w:w="1660" w:type="dxa"/>
            <w:tcBorders>
              <w:top w:val="nil"/>
              <w:left w:val="nil"/>
              <w:bottom w:val="nil"/>
              <w:right w:val="nil"/>
            </w:tcBorders>
            <w:shd w:val="clear" w:color="000000" w:fill="D8E6F3"/>
            <w:vAlign w:val="center"/>
            <w:hideMark/>
          </w:tcPr>
          <w:p w14:paraId="35E879D8" w14:textId="77777777" w:rsidR="002D6A53" w:rsidRPr="00BF3CDE" w:rsidRDefault="002D6A53" w:rsidP="00C031DE">
            <w:pPr>
              <w:spacing w:after="0" w:line="240" w:lineRule="auto"/>
              <w:jc w:val="right"/>
              <w:rPr>
                <w:rFonts w:ascii="Verdana" w:eastAsia="Times New Roman" w:hAnsi="Verdana" w:cs="Calibri"/>
                <w:i/>
                <w:noProof/>
                <w:color w:val="000000"/>
                <w:sz w:val="20"/>
                <w:szCs w:val="20"/>
                <w:lang w:val="sr-Cyrl-CS" w:eastAsia="sr-Latn-RS"/>
              </w:rPr>
            </w:pPr>
            <w:r w:rsidRPr="00BF3CDE">
              <w:rPr>
                <w:rFonts w:ascii="Verdana" w:eastAsia="Times New Roman" w:hAnsi="Verdana" w:cs="Calibri"/>
                <w:i/>
                <w:noProof/>
                <w:color w:val="000000"/>
                <w:sz w:val="20"/>
                <w:szCs w:val="20"/>
                <w:lang w:val="sr-Cyrl-CS" w:eastAsia="sr-Latn-RS"/>
              </w:rPr>
              <w:t>729,747</w:t>
            </w:r>
          </w:p>
        </w:tc>
        <w:tc>
          <w:tcPr>
            <w:tcW w:w="1660" w:type="dxa"/>
            <w:tcBorders>
              <w:top w:val="nil"/>
              <w:left w:val="nil"/>
              <w:bottom w:val="nil"/>
              <w:right w:val="nil"/>
            </w:tcBorders>
            <w:shd w:val="clear" w:color="000000" w:fill="D8E6F3"/>
            <w:hideMark/>
          </w:tcPr>
          <w:p w14:paraId="32972751" w14:textId="77777777" w:rsidR="002D6A53" w:rsidRPr="00BF3CDE" w:rsidRDefault="002D6A53" w:rsidP="002D6A53">
            <w:pPr>
              <w:spacing w:after="0" w:line="240" w:lineRule="auto"/>
              <w:jc w:val="right"/>
              <w:rPr>
                <w:rFonts w:ascii="Verdana" w:eastAsia="Times New Roman" w:hAnsi="Verdana" w:cs="Calibri"/>
                <w:i/>
                <w:noProof/>
                <w:color w:val="000000"/>
                <w:sz w:val="20"/>
                <w:szCs w:val="20"/>
                <w:lang w:val="sr-Cyrl-CS" w:eastAsia="sr-Latn-RS"/>
              </w:rPr>
            </w:pPr>
            <w:r w:rsidRPr="00BF3CDE">
              <w:rPr>
                <w:rFonts w:ascii="Verdana" w:eastAsia="Times New Roman" w:hAnsi="Verdana" w:cs="Calibri"/>
                <w:i/>
                <w:noProof/>
                <w:color w:val="000000"/>
                <w:sz w:val="20"/>
                <w:szCs w:val="20"/>
                <w:lang w:val="sr-Cyrl-CS" w:eastAsia="sr-Latn-RS"/>
              </w:rPr>
              <w:t>729,747</w:t>
            </w:r>
          </w:p>
        </w:tc>
      </w:tr>
      <w:tr w:rsidR="002D6A53" w:rsidRPr="00BF3CDE" w14:paraId="619A6C84" w14:textId="77777777" w:rsidTr="00C031DE">
        <w:trPr>
          <w:trHeight w:val="283"/>
        </w:trPr>
        <w:tc>
          <w:tcPr>
            <w:tcW w:w="6400" w:type="dxa"/>
            <w:tcBorders>
              <w:top w:val="nil"/>
              <w:left w:val="nil"/>
              <w:bottom w:val="nil"/>
              <w:right w:val="nil"/>
            </w:tcBorders>
            <w:shd w:val="clear" w:color="auto" w:fill="auto"/>
            <w:vAlign w:val="center"/>
            <w:hideMark/>
          </w:tcPr>
          <w:p w14:paraId="0DEA5BA7" w14:textId="77777777" w:rsidR="002D6A53" w:rsidRPr="00BF3CDE" w:rsidRDefault="002D6A53" w:rsidP="00A678A2">
            <w:pPr>
              <w:spacing w:after="0" w:line="240" w:lineRule="auto"/>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2. Рез. сигурности и резерве утврђене актима Друштва</w:t>
            </w:r>
          </w:p>
        </w:tc>
        <w:tc>
          <w:tcPr>
            <w:tcW w:w="1660" w:type="dxa"/>
            <w:tcBorders>
              <w:top w:val="nil"/>
              <w:left w:val="nil"/>
              <w:bottom w:val="nil"/>
              <w:right w:val="nil"/>
            </w:tcBorders>
            <w:shd w:val="clear" w:color="auto" w:fill="auto"/>
            <w:vAlign w:val="center"/>
            <w:hideMark/>
          </w:tcPr>
          <w:p w14:paraId="72CAC5FE" w14:textId="77777777" w:rsidR="002D6A53" w:rsidRPr="00BF3CDE" w:rsidRDefault="002D6A53" w:rsidP="00C031DE">
            <w:pPr>
              <w:spacing w:after="0" w:line="240" w:lineRule="auto"/>
              <w:jc w:val="right"/>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153,760</w:t>
            </w:r>
          </w:p>
        </w:tc>
        <w:tc>
          <w:tcPr>
            <w:tcW w:w="1660" w:type="dxa"/>
            <w:tcBorders>
              <w:top w:val="nil"/>
              <w:left w:val="nil"/>
              <w:bottom w:val="nil"/>
              <w:right w:val="nil"/>
            </w:tcBorders>
            <w:shd w:val="clear" w:color="auto" w:fill="auto"/>
            <w:hideMark/>
          </w:tcPr>
          <w:p w14:paraId="681AA78B" w14:textId="77777777" w:rsidR="002D6A53" w:rsidRPr="00BF3CDE" w:rsidRDefault="002D6A53" w:rsidP="002D6A53">
            <w:pPr>
              <w:spacing w:after="0" w:line="240" w:lineRule="auto"/>
              <w:jc w:val="right"/>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153,760</w:t>
            </w:r>
          </w:p>
        </w:tc>
      </w:tr>
      <w:tr w:rsidR="002D6A53" w:rsidRPr="00BF3CDE" w14:paraId="6FE3163D" w14:textId="77777777" w:rsidTr="00C031DE">
        <w:trPr>
          <w:trHeight w:val="283"/>
        </w:trPr>
        <w:tc>
          <w:tcPr>
            <w:tcW w:w="6400" w:type="dxa"/>
            <w:tcBorders>
              <w:top w:val="nil"/>
              <w:left w:val="nil"/>
              <w:bottom w:val="nil"/>
              <w:right w:val="nil"/>
            </w:tcBorders>
            <w:shd w:val="clear" w:color="000000" w:fill="D8E6F3"/>
            <w:vAlign w:val="center"/>
            <w:hideMark/>
          </w:tcPr>
          <w:p w14:paraId="7C41E8CE" w14:textId="77777777" w:rsidR="002D6A53" w:rsidRPr="00BF3CDE" w:rsidRDefault="002D6A53" w:rsidP="00A678A2">
            <w:pPr>
              <w:spacing w:after="0" w:line="240" w:lineRule="auto"/>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3. Ревалоризационе резерве, нереализ. губици и добици</w:t>
            </w:r>
          </w:p>
        </w:tc>
        <w:tc>
          <w:tcPr>
            <w:tcW w:w="1660" w:type="dxa"/>
            <w:tcBorders>
              <w:top w:val="nil"/>
              <w:left w:val="nil"/>
              <w:bottom w:val="nil"/>
              <w:right w:val="nil"/>
            </w:tcBorders>
            <w:shd w:val="clear" w:color="000000" w:fill="D8E6F3"/>
            <w:vAlign w:val="center"/>
            <w:hideMark/>
          </w:tcPr>
          <w:p w14:paraId="078D1369" w14:textId="77777777" w:rsidR="002D6A53" w:rsidRPr="00BF3CDE" w:rsidRDefault="002D6A53" w:rsidP="00C031DE">
            <w:pPr>
              <w:spacing w:after="0" w:line="240" w:lineRule="auto"/>
              <w:jc w:val="right"/>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12,965</w:t>
            </w:r>
          </w:p>
        </w:tc>
        <w:tc>
          <w:tcPr>
            <w:tcW w:w="1660" w:type="dxa"/>
            <w:tcBorders>
              <w:top w:val="nil"/>
              <w:left w:val="nil"/>
              <w:bottom w:val="nil"/>
              <w:right w:val="nil"/>
            </w:tcBorders>
            <w:shd w:val="clear" w:color="000000" w:fill="D8E6F3"/>
            <w:hideMark/>
          </w:tcPr>
          <w:p w14:paraId="4A2E5E43" w14:textId="77777777" w:rsidR="002D6A53" w:rsidRPr="00BF3CDE" w:rsidRDefault="00FD3A30" w:rsidP="002D6A53">
            <w:pPr>
              <w:spacing w:after="0" w:line="240" w:lineRule="auto"/>
              <w:jc w:val="right"/>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38,612</w:t>
            </w:r>
          </w:p>
        </w:tc>
      </w:tr>
      <w:tr w:rsidR="002D6A53" w:rsidRPr="00BF3CDE" w14:paraId="17F8DC6D" w14:textId="77777777" w:rsidTr="00C031DE">
        <w:trPr>
          <w:trHeight w:val="283"/>
        </w:trPr>
        <w:tc>
          <w:tcPr>
            <w:tcW w:w="6400" w:type="dxa"/>
            <w:tcBorders>
              <w:top w:val="nil"/>
              <w:left w:val="nil"/>
              <w:bottom w:val="nil"/>
              <w:right w:val="nil"/>
            </w:tcBorders>
            <w:shd w:val="clear" w:color="auto" w:fill="auto"/>
            <w:vAlign w:val="center"/>
            <w:hideMark/>
          </w:tcPr>
          <w:p w14:paraId="75D9238F" w14:textId="77777777" w:rsidR="002D6A53" w:rsidRPr="00BF3CDE" w:rsidRDefault="002D6A53" w:rsidP="00A678A2">
            <w:pPr>
              <w:spacing w:after="0" w:line="240" w:lineRule="auto"/>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4. Нераспоређена добит из ранијих година</w:t>
            </w:r>
          </w:p>
        </w:tc>
        <w:tc>
          <w:tcPr>
            <w:tcW w:w="1660" w:type="dxa"/>
            <w:tcBorders>
              <w:top w:val="nil"/>
              <w:left w:val="nil"/>
              <w:bottom w:val="nil"/>
              <w:right w:val="nil"/>
            </w:tcBorders>
            <w:shd w:val="clear" w:color="auto" w:fill="auto"/>
            <w:vAlign w:val="center"/>
            <w:hideMark/>
          </w:tcPr>
          <w:p w14:paraId="26361977" w14:textId="77777777" w:rsidR="002D6A53" w:rsidRPr="00BF3CDE" w:rsidRDefault="002D6A53" w:rsidP="00C031DE">
            <w:pPr>
              <w:spacing w:after="0" w:line="240" w:lineRule="auto"/>
              <w:jc w:val="right"/>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181,731</w:t>
            </w:r>
          </w:p>
        </w:tc>
        <w:tc>
          <w:tcPr>
            <w:tcW w:w="1660" w:type="dxa"/>
            <w:tcBorders>
              <w:top w:val="nil"/>
              <w:left w:val="nil"/>
              <w:bottom w:val="nil"/>
              <w:right w:val="nil"/>
            </w:tcBorders>
            <w:shd w:val="clear" w:color="auto" w:fill="auto"/>
            <w:hideMark/>
          </w:tcPr>
          <w:p w14:paraId="047BAF18" w14:textId="77777777" w:rsidR="002D6A53" w:rsidRPr="00BF3CDE" w:rsidRDefault="00FD3A30" w:rsidP="002D6A53">
            <w:pPr>
              <w:spacing w:after="0" w:line="240" w:lineRule="auto"/>
              <w:jc w:val="right"/>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120,037</w:t>
            </w:r>
          </w:p>
        </w:tc>
      </w:tr>
      <w:tr w:rsidR="002D6A53" w:rsidRPr="00BF3CDE" w14:paraId="0E5083F2" w14:textId="77777777" w:rsidTr="00C031DE">
        <w:trPr>
          <w:trHeight w:val="283"/>
        </w:trPr>
        <w:tc>
          <w:tcPr>
            <w:tcW w:w="6400" w:type="dxa"/>
            <w:tcBorders>
              <w:top w:val="nil"/>
              <w:left w:val="nil"/>
              <w:bottom w:val="nil"/>
              <w:right w:val="nil"/>
            </w:tcBorders>
            <w:shd w:val="clear" w:color="000000" w:fill="D8E6F3"/>
            <w:vAlign w:val="center"/>
            <w:hideMark/>
          </w:tcPr>
          <w:p w14:paraId="412CF79F" w14:textId="77777777" w:rsidR="002D6A53" w:rsidRPr="00BF3CDE" w:rsidRDefault="002D6A53" w:rsidP="00A678A2">
            <w:pPr>
              <w:spacing w:after="0" w:line="240" w:lineRule="auto"/>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5. Остали капитал – стамбени</w:t>
            </w:r>
          </w:p>
        </w:tc>
        <w:tc>
          <w:tcPr>
            <w:tcW w:w="1660" w:type="dxa"/>
            <w:tcBorders>
              <w:top w:val="nil"/>
              <w:left w:val="nil"/>
              <w:bottom w:val="nil"/>
              <w:right w:val="nil"/>
            </w:tcBorders>
            <w:shd w:val="clear" w:color="000000" w:fill="D8E6F3"/>
            <w:vAlign w:val="center"/>
            <w:hideMark/>
          </w:tcPr>
          <w:p w14:paraId="7524672D" w14:textId="77777777" w:rsidR="002D6A53" w:rsidRPr="00BF3CDE" w:rsidRDefault="002D6A53" w:rsidP="00C031DE">
            <w:pPr>
              <w:spacing w:after="0" w:line="240" w:lineRule="auto"/>
              <w:jc w:val="right"/>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 </w:t>
            </w:r>
          </w:p>
        </w:tc>
        <w:tc>
          <w:tcPr>
            <w:tcW w:w="1660" w:type="dxa"/>
            <w:tcBorders>
              <w:top w:val="nil"/>
              <w:left w:val="nil"/>
              <w:bottom w:val="nil"/>
              <w:right w:val="nil"/>
            </w:tcBorders>
            <w:shd w:val="clear" w:color="000000" w:fill="D8E6F3"/>
            <w:hideMark/>
          </w:tcPr>
          <w:p w14:paraId="10971014" w14:textId="77777777" w:rsidR="002D6A53" w:rsidRPr="00BF3CDE" w:rsidRDefault="002D6A53" w:rsidP="002D6A53">
            <w:pPr>
              <w:spacing w:after="0" w:line="240" w:lineRule="auto"/>
              <w:jc w:val="right"/>
              <w:rPr>
                <w:rFonts w:ascii="Verdana" w:eastAsia="Times New Roman" w:hAnsi="Verdana" w:cs="Calibri"/>
                <w:noProof/>
                <w:color w:val="000000"/>
                <w:sz w:val="20"/>
                <w:szCs w:val="20"/>
                <w:lang w:val="sr-Cyrl-CS" w:eastAsia="sr-Latn-RS"/>
              </w:rPr>
            </w:pPr>
          </w:p>
        </w:tc>
      </w:tr>
      <w:tr w:rsidR="002D6A53" w:rsidRPr="00BF3CDE" w14:paraId="2576F3B9" w14:textId="77777777" w:rsidTr="00C031DE">
        <w:trPr>
          <w:trHeight w:val="283"/>
        </w:trPr>
        <w:tc>
          <w:tcPr>
            <w:tcW w:w="6400" w:type="dxa"/>
            <w:tcBorders>
              <w:top w:val="nil"/>
              <w:left w:val="nil"/>
              <w:bottom w:val="nil"/>
              <w:right w:val="nil"/>
            </w:tcBorders>
            <w:shd w:val="clear" w:color="auto" w:fill="auto"/>
            <w:vAlign w:val="center"/>
            <w:hideMark/>
          </w:tcPr>
          <w:p w14:paraId="41E282A0" w14:textId="77777777" w:rsidR="002D6A53" w:rsidRPr="00BF3CDE" w:rsidRDefault="002D6A53" w:rsidP="00A678A2">
            <w:pPr>
              <w:spacing w:after="0" w:line="240" w:lineRule="auto"/>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6. Нето губитак ранијих година</w:t>
            </w:r>
          </w:p>
        </w:tc>
        <w:tc>
          <w:tcPr>
            <w:tcW w:w="1660" w:type="dxa"/>
            <w:tcBorders>
              <w:top w:val="nil"/>
              <w:left w:val="nil"/>
              <w:bottom w:val="nil"/>
              <w:right w:val="nil"/>
            </w:tcBorders>
            <w:shd w:val="clear" w:color="auto" w:fill="auto"/>
            <w:vAlign w:val="center"/>
            <w:hideMark/>
          </w:tcPr>
          <w:p w14:paraId="29BA184E" w14:textId="77777777" w:rsidR="002D6A53" w:rsidRPr="00BF3CDE" w:rsidRDefault="002D6A53" w:rsidP="00C031DE">
            <w:pPr>
              <w:spacing w:after="0" w:line="240" w:lineRule="auto"/>
              <w:jc w:val="right"/>
              <w:rPr>
                <w:rFonts w:ascii="Verdana" w:eastAsia="Times New Roman" w:hAnsi="Verdana" w:cs="Calibri"/>
                <w:noProof/>
                <w:color w:val="000000"/>
                <w:sz w:val="20"/>
                <w:szCs w:val="20"/>
                <w:lang w:val="sr-Cyrl-CS" w:eastAsia="sr-Latn-RS"/>
              </w:rPr>
            </w:pPr>
          </w:p>
        </w:tc>
        <w:tc>
          <w:tcPr>
            <w:tcW w:w="1660" w:type="dxa"/>
            <w:tcBorders>
              <w:top w:val="nil"/>
              <w:left w:val="nil"/>
              <w:bottom w:val="nil"/>
              <w:right w:val="nil"/>
            </w:tcBorders>
            <w:shd w:val="clear" w:color="auto" w:fill="auto"/>
            <w:hideMark/>
          </w:tcPr>
          <w:p w14:paraId="63433C8E" w14:textId="77777777" w:rsidR="002D6A53" w:rsidRPr="00BF3CDE" w:rsidRDefault="002D6A53" w:rsidP="00FD3A30">
            <w:pPr>
              <w:spacing w:after="0" w:line="240" w:lineRule="auto"/>
              <w:jc w:val="right"/>
              <w:rPr>
                <w:rFonts w:ascii="Verdana" w:eastAsia="Times New Roman" w:hAnsi="Verdana" w:cs="Calibri"/>
                <w:noProof/>
                <w:color w:val="000000"/>
                <w:sz w:val="20"/>
                <w:szCs w:val="20"/>
                <w:lang w:val="sr-Cyrl-CS" w:eastAsia="sr-Latn-RS"/>
              </w:rPr>
            </w:pPr>
          </w:p>
        </w:tc>
      </w:tr>
      <w:tr w:rsidR="002D6A53" w:rsidRPr="00BF3CDE" w14:paraId="58D9AAAF" w14:textId="77777777" w:rsidTr="00C031DE">
        <w:trPr>
          <w:trHeight w:val="283"/>
        </w:trPr>
        <w:tc>
          <w:tcPr>
            <w:tcW w:w="6400" w:type="dxa"/>
            <w:tcBorders>
              <w:top w:val="nil"/>
              <w:left w:val="nil"/>
              <w:bottom w:val="nil"/>
              <w:right w:val="nil"/>
            </w:tcBorders>
            <w:shd w:val="clear" w:color="000000" w:fill="D8E6F3"/>
            <w:vAlign w:val="center"/>
            <w:hideMark/>
          </w:tcPr>
          <w:p w14:paraId="5F70B568" w14:textId="77777777" w:rsidR="002D6A53" w:rsidRPr="00BF3CDE" w:rsidRDefault="002D6A53" w:rsidP="00A678A2">
            <w:pPr>
              <w:spacing w:after="0" w:line="240" w:lineRule="auto"/>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7. Нето губитак текуће године</w:t>
            </w:r>
          </w:p>
        </w:tc>
        <w:tc>
          <w:tcPr>
            <w:tcW w:w="1660" w:type="dxa"/>
            <w:tcBorders>
              <w:top w:val="nil"/>
              <w:left w:val="nil"/>
              <w:bottom w:val="nil"/>
              <w:right w:val="nil"/>
            </w:tcBorders>
            <w:shd w:val="clear" w:color="000000" w:fill="D8E6F3"/>
            <w:vAlign w:val="center"/>
            <w:hideMark/>
          </w:tcPr>
          <w:p w14:paraId="01EC2F47" w14:textId="77777777" w:rsidR="002D6A53" w:rsidRPr="00BF3CDE" w:rsidRDefault="002D6A53" w:rsidP="00C031DE">
            <w:pPr>
              <w:spacing w:after="0" w:line="240" w:lineRule="auto"/>
              <w:jc w:val="right"/>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-123,387</w:t>
            </w:r>
          </w:p>
        </w:tc>
        <w:tc>
          <w:tcPr>
            <w:tcW w:w="1660" w:type="dxa"/>
            <w:tcBorders>
              <w:top w:val="nil"/>
              <w:left w:val="nil"/>
              <w:bottom w:val="nil"/>
              <w:right w:val="nil"/>
            </w:tcBorders>
            <w:shd w:val="clear" w:color="000000" w:fill="D8E6F3"/>
            <w:hideMark/>
          </w:tcPr>
          <w:p w14:paraId="5CDE57C3" w14:textId="77777777" w:rsidR="002D6A53" w:rsidRPr="00BF3CDE" w:rsidRDefault="00FD3A30" w:rsidP="002D6A53">
            <w:pPr>
              <w:spacing w:after="0" w:line="240" w:lineRule="auto"/>
              <w:jc w:val="right"/>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-75,057</w:t>
            </w:r>
          </w:p>
        </w:tc>
      </w:tr>
      <w:tr w:rsidR="002D6A53" w:rsidRPr="00BF3CDE" w14:paraId="070EA33F" w14:textId="77777777" w:rsidTr="00C031DE">
        <w:trPr>
          <w:trHeight w:val="283"/>
        </w:trPr>
        <w:tc>
          <w:tcPr>
            <w:tcW w:w="6400" w:type="dxa"/>
            <w:tcBorders>
              <w:top w:val="nil"/>
              <w:left w:val="nil"/>
              <w:bottom w:val="nil"/>
              <w:right w:val="nil"/>
            </w:tcBorders>
            <w:shd w:val="clear" w:color="auto" w:fill="auto"/>
            <w:vAlign w:val="center"/>
            <w:hideMark/>
          </w:tcPr>
          <w:p w14:paraId="3175DA0F" w14:textId="77777777" w:rsidR="002D6A53" w:rsidRPr="00BF3CDE" w:rsidRDefault="002D6A53" w:rsidP="00A678A2">
            <w:pPr>
              <w:spacing w:after="0" w:line="240" w:lineRule="auto"/>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 xml:space="preserve">8. Нето добитак текуће године (нераспоређен) део 50% </w:t>
            </w:r>
          </w:p>
        </w:tc>
        <w:tc>
          <w:tcPr>
            <w:tcW w:w="1660" w:type="dxa"/>
            <w:vMerge w:val="restart"/>
            <w:tcBorders>
              <w:top w:val="nil"/>
              <w:left w:val="nil"/>
              <w:bottom w:val="single" w:sz="8" w:space="0" w:color="629DD1"/>
              <w:right w:val="nil"/>
            </w:tcBorders>
            <w:shd w:val="clear" w:color="auto" w:fill="auto"/>
            <w:vAlign w:val="center"/>
            <w:hideMark/>
          </w:tcPr>
          <w:p w14:paraId="113B4D2A" w14:textId="77777777" w:rsidR="002D6A53" w:rsidRPr="00BF3CDE" w:rsidRDefault="002D6A53" w:rsidP="00C031DE">
            <w:pPr>
              <w:spacing w:after="0" w:line="240" w:lineRule="auto"/>
              <w:jc w:val="right"/>
              <w:rPr>
                <w:rFonts w:ascii="Verdana" w:eastAsia="Times New Roman" w:hAnsi="Verdana" w:cs="Calibri"/>
                <w:noProof/>
                <w:color w:val="000000"/>
                <w:sz w:val="20"/>
                <w:szCs w:val="20"/>
                <w:lang w:val="sr-Cyrl-CS" w:eastAsia="sr-Latn-RS"/>
              </w:rPr>
            </w:pPr>
          </w:p>
        </w:tc>
        <w:tc>
          <w:tcPr>
            <w:tcW w:w="1660" w:type="dxa"/>
            <w:vMerge w:val="restart"/>
            <w:tcBorders>
              <w:top w:val="nil"/>
              <w:left w:val="nil"/>
              <w:bottom w:val="single" w:sz="8" w:space="0" w:color="629DD1"/>
              <w:right w:val="nil"/>
            </w:tcBorders>
            <w:shd w:val="clear" w:color="auto" w:fill="auto"/>
            <w:hideMark/>
          </w:tcPr>
          <w:p w14:paraId="2B0C0453" w14:textId="77777777" w:rsidR="002D6A53" w:rsidRPr="00BF3CDE" w:rsidRDefault="002D6A53" w:rsidP="002D6A53">
            <w:pPr>
              <w:spacing w:after="0" w:line="240" w:lineRule="auto"/>
              <w:jc w:val="right"/>
              <w:rPr>
                <w:rFonts w:ascii="Verdana" w:eastAsia="Times New Roman" w:hAnsi="Verdana" w:cs="Calibri"/>
                <w:noProof/>
                <w:color w:val="000000"/>
                <w:sz w:val="20"/>
                <w:szCs w:val="20"/>
                <w:lang w:val="sr-Cyrl-CS" w:eastAsia="sr-Latn-RS"/>
              </w:rPr>
            </w:pPr>
          </w:p>
        </w:tc>
      </w:tr>
      <w:tr w:rsidR="002D6A53" w:rsidRPr="00BF3CDE" w14:paraId="22424656" w14:textId="77777777" w:rsidTr="00C031DE">
        <w:trPr>
          <w:trHeight w:val="283"/>
        </w:trPr>
        <w:tc>
          <w:tcPr>
            <w:tcW w:w="6400" w:type="dxa"/>
            <w:tcBorders>
              <w:top w:val="nil"/>
              <w:left w:val="nil"/>
              <w:bottom w:val="nil"/>
              <w:right w:val="nil"/>
            </w:tcBorders>
            <w:shd w:val="clear" w:color="auto" w:fill="auto"/>
            <w:vAlign w:val="center"/>
            <w:hideMark/>
          </w:tcPr>
          <w:p w14:paraId="5799591D" w14:textId="77777777" w:rsidR="002D6A53" w:rsidRPr="00BF3CDE" w:rsidRDefault="002D6A53" w:rsidP="00A678A2">
            <w:pPr>
              <w:spacing w:after="0" w:line="240" w:lineRule="auto"/>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 xml:space="preserve"> не више од 25% гарантне резерве</w:t>
            </w:r>
          </w:p>
        </w:tc>
        <w:tc>
          <w:tcPr>
            <w:tcW w:w="1660" w:type="dxa"/>
            <w:vMerge/>
            <w:tcBorders>
              <w:top w:val="nil"/>
              <w:left w:val="nil"/>
              <w:bottom w:val="single" w:sz="8" w:space="0" w:color="629DD1"/>
              <w:right w:val="nil"/>
            </w:tcBorders>
            <w:vAlign w:val="center"/>
            <w:hideMark/>
          </w:tcPr>
          <w:p w14:paraId="30FC9457" w14:textId="77777777" w:rsidR="002D6A53" w:rsidRPr="00BF3CDE" w:rsidRDefault="002D6A53" w:rsidP="00A678A2">
            <w:pPr>
              <w:spacing w:after="0" w:line="240" w:lineRule="auto"/>
              <w:rPr>
                <w:rFonts w:ascii="Verdana" w:eastAsia="Times New Roman" w:hAnsi="Verdana" w:cs="Calibri"/>
                <w:noProof/>
                <w:color w:val="000000"/>
                <w:sz w:val="20"/>
                <w:szCs w:val="20"/>
                <w:lang w:val="sr-Cyrl-CS" w:eastAsia="sr-Latn-RS"/>
              </w:rPr>
            </w:pPr>
          </w:p>
        </w:tc>
        <w:tc>
          <w:tcPr>
            <w:tcW w:w="1660" w:type="dxa"/>
            <w:vMerge/>
            <w:tcBorders>
              <w:top w:val="nil"/>
              <w:left w:val="nil"/>
              <w:bottom w:val="single" w:sz="8" w:space="0" w:color="629DD1"/>
              <w:right w:val="nil"/>
            </w:tcBorders>
            <w:hideMark/>
          </w:tcPr>
          <w:p w14:paraId="64D3892C" w14:textId="77777777" w:rsidR="002D6A53" w:rsidRPr="00BF3CDE" w:rsidRDefault="002D6A53" w:rsidP="002D6A53">
            <w:pPr>
              <w:spacing w:after="0" w:line="240" w:lineRule="auto"/>
              <w:jc w:val="right"/>
              <w:rPr>
                <w:rFonts w:ascii="Verdana" w:eastAsia="Times New Roman" w:hAnsi="Verdana" w:cs="Calibri"/>
                <w:noProof/>
                <w:color w:val="000000"/>
                <w:sz w:val="20"/>
                <w:szCs w:val="20"/>
                <w:lang w:val="sr-Cyrl-CS" w:eastAsia="sr-Latn-RS"/>
              </w:rPr>
            </w:pPr>
          </w:p>
        </w:tc>
      </w:tr>
      <w:tr w:rsidR="002D6A53" w:rsidRPr="00BF3CDE" w14:paraId="24601B58" w14:textId="77777777" w:rsidTr="00C031DE">
        <w:trPr>
          <w:trHeight w:val="283"/>
        </w:trPr>
        <w:tc>
          <w:tcPr>
            <w:tcW w:w="6400" w:type="dxa"/>
            <w:tcBorders>
              <w:top w:val="single" w:sz="8" w:space="0" w:color="629DD1"/>
              <w:left w:val="nil"/>
              <w:bottom w:val="single" w:sz="8" w:space="0" w:color="629DD1"/>
              <w:right w:val="nil"/>
            </w:tcBorders>
            <w:shd w:val="clear" w:color="auto" w:fill="auto"/>
            <w:vAlign w:val="center"/>
            <w:hideMark/>
          </w:tcPr>
          <w:p w14:paraId="6391138D" w14:textId="77777777" w:rsidR="002D6A53" w:rsidRPr="00BF3CDE" w:rsidRDefault="002D6A53" w:rsidP="00A678A2">
            <w:pPr>
              <w:spacing w:after="0" w:line="240" w:lineRule="auto"/>
              <w:rPr>
                <w:rFonts w:ascii="Verdana" w:eastAsia="Times New Roman" w:hAnsi="Verdana" w:cs="Calibri"/>
                <w:b/>
                <w:bCs/>
                <w:noProof/>
                <w:color w:val="000000"/>
                <w:sz w:val="20"/>
                <w:szCs w:val="20"/>
                <w:lang w:val="sr-Cyrl-CS" w:eastAsia="sr-Latn-RS"/>
              </w:rPr>
            </w:pPr>
            <w:r w:rsidRPr="00BF3CDE">
              <w:rPr>
                <w:rFonts w:ascii="Verdana" w:eastAsia="Times New Roman" w:hAnsi="Verdana" w:cs="Calibri"/>
                <w:b/>
                <w:bCs/>
                <w:noProof/>
                <w:color w:val="000000"/>
                <w:sz w:val="20"/>
                <w:szCs w:val="20"/>
                <w:lang w:val="sr-Cyrl-CS" w:eastAsia="sr-Latn-RS"/>
              </w:rPr>
              <w:t>Стање на дан 31. децембар</w:t>
            </w:r>
          </w:p>
        </w:tc>
        <w:tc>
          <w:tcPr>
            <w:tcW w:w="1660" w:type="dxa"/>
            <w:tcBorders>
              <w:top w:val="nil"/>
              <w:left w:val="nil"/>
              <w:bottom w:val="single" w:sz="8" w:space="0" w:color="629DD1"/>
              <w:right w:val="nil"/>
            </w:tcBorders>
            <w:shd w:val="clear" w:color="auto" w:fill="auto"/>
            <w:vAlign w:val="center"/>
            <w:hideMark/>
          </w:tcPr>
          <w:p w14:paraId="4FA7FEE9" w14:textId="77777777" w:rsidR="002D6A53" w:rsidRPr="00BF3CDE" w:rsidRDefault="002D6A53" w:rsidP="00C031DE">
            <w:pPr>
              <w:spacing w:after="0" w:line="240" w:lineRule="auto"/>
              <w:jc w:val="right"/>
              <w:rPr>
                <w:rFonts w:ascii="Verdana" w:eastAsia="Times New Roman" w:hAnsi="Verdana" w:cs="Calibri"/>
                <w:b/>
                <w:bCs/>
                <w:noProof/>
                <w:color w:val="000000"/>
                <w:sz w:val="20"/>
                <w:szCs w:val="20"/>
                <w:lang w:val="sr-Cyrl-CS" w:eastAsia="sr-Latn-RS"/>
              </w:rPr>
            </w:pPr>
            <w:r w:rsidRPr="00BF3CDE">
              <w:rPr>
                <w:rFonts w:ascii="Verdana" w:eastAsia="Times New Roman" w:hAnsi="Verdana" w:cs="Calibri"/>
                <w:b/>
                <w:bCs/>
                <w:noProof/>
                <w:color w:val="000000"/>
                <w:sz w:val="20"/>
                <w:szCs w:val="20"/>
                <w:lang w:val="sr-Cyrl-CS" w:eastAsia="sr-Latn-RS"/>
              </w:rPr>
              <w:t>989,871</w:t>
            </w:r>
          </w:p>
        </w:tc>
        <w:tc>
          <w:tcPr>
            <w:tcW w:w="1660" w:type="dxa"/>
            <w:tcBorders>
              <w:top w:val="nil"/>
              <w:left w:val="nil"/>
              <w:bottom w:val="single" w:sz="8" w:space="0" w:color="629DD1"/>
              <w:right w:val="nil"/>
            </w:tcBorders>
            <w:shd w:val="clear" w:color="auto" w:fill="auto"/>
            <w:hideMark/>
          </w:tcPr>
          <w:p w14:paraId="7AEAFFB1" w14:textId="77777777" w:rsidR="002D6A53" w:rsidRPr="00BF3CDE" w:rsidRDefault="00FD3A30" w:rsidP="00FD3A30">
            <w:pPr>
              <w:spacing w:after="0" w:line="240" w:lineRule="auto"/>
              <w:jc w:val="right"/>
              <w:rPr>
                <w:rFonts w:ascii="Verdana" w:eastAsia="Times New Roman" w:hAnsi="Verdana" w:cs="Calibri"/>
                <w:b/>
                <w:noProof/>
                <w:color w:val="000000"/>
                <w:sz w:val="20"/>
                <w:szCs w:val="20"/>
                <w:lang w:val="sr-Cyrl-CS" w:eastAsia="sr-Latn-RS"/>
              </w:rPr>
            </w:pPr>
            <w:r w:rsidRPr="00BF3CDE">
              <w:rPr>
                <w:rFonts w:ascii="Verdana" w:eastAsia="Times New Roman" w:hAnsi="Verdana" w:cs="Calibri"/>
                <w:b/>
                <w:noProof/>
                <w:color w:val="000000"/>
                <w:sz w:val="20"/>
                <w:szCs w:val="20"/>
                <w:lang w:val="sr-Cyrl-CS" w:eastAsia="sr-Latn-RS"/>
              </w:rPr>
              <w:t>1,002</w:t>
            </w:r>
            <w:r w:rsidR="002D6A53" w:rsidRPr="00BF3CDE">
              <w:rPr>
                <w:rFonts w:ascii="Verdana" w:eastAsia="Times New Roman" w:hAnsi="Verdana" w:cs="Calibri"/>
                <w:b/>
                <w:noProof/>
                <w:color w:val="000000"/>
                <w:sz w:val="20"/>
                <w:szCs w:val="20"/>
                <w:lang w:val="sr-Cyrl-CS" w:eastAsia="sr-Latn-RS"/>
              </w:rPr>
              <w:t>,</w:t>
            </w:r>
            <w:r w:rsidRPr="00BF3CDE">
              <w:rPr>
                <w:rFonts w:ascii="Verdana" w:eastAsia="Times New Roman" w:hAnsi="Verdana" w:cs="Calibri"/>
                <w:b/>
                <w:noProof/>
                <w:color w:val="000000"/>
                <w:sz w:val="20"/>
                <w:szCs w:val="20"/>
                <w:lang w:val="sr-Cyrl-CS" w:eastAsia="sr-Latn-RS"/>
              </w:rPr>
              <w:t>154</w:t>
            </w:r>
          </w:p>
        </w:tc>
      </w:tr>
    </w:tbl>
    <w:p w14:paraId="1605C421" w14:textId="77777777" w:rsidR="00BF4B4E" w:rsidRPr="00BF3CDE" w:rsidRDefault="00BF4B4E" w:rsidP="00BF4B4E">
      <w:pPr>
        <w:ind w:firstLine="567"/>
        <w:jc w:val="both"/>
        <w:rPr>
          <w:noProof/>
          <w:sz w:val="2"/>
          <w:szCs w:val="2"/>
          <w:highlight w:val="yellow"/>
          <w:lang w:val="sr-Cyrl-CS"/>
        </w:rPr>
      </w:pPr>
    </w:p>
    <w:p w14:paraId="7641F290" w14:textId="77777777" w:rsidR="00BF4B4E" w:rsidRPr="00BF3CDE" w:rsidRDefault="00BF4B4E" w:rsidP="0071269C">
      <w:pPr>
        <w:spacing w:after="0"/>
        <w:ind w:firstLine="567"/>
        <w:jc w:val="both"/>
        <w:rPr>
          <w:noProof/>
          <w:sz w:val="20"/>
          <w:szCs w:val="20"/>
          <w:lang w:val="sr-Cyrl-CS"/>
        </w:rPr>
      </w:pPr>
      <w:r w:rsidRPr="00BF3CDE">
        <w:rPr>
          <w:noProof/>
          <w:sz w:val="20"/>
          <w:szCs w:val="20"/>
          <w:lang w:val="sr-Cyrl-CS"/>
        </w:rPr>
        <w:t>Друштво је средства гарантних резерви на дан 31. децембар 201</w:t>
      </w:r>
      <w:r w:rsidR="002D6A53" w:rsidRPr="00BF3CDE">
        <w:rPr>
          <w:noProof/>
          <w:sz w:val="20"/>
          <w:szCs w:val="20"/>
          <w:lang w:val="sr-Cyrl-CS"/>
        </w:rPr>
        <w:t>4</w:t>
      </w:r>
      <w:r w:rsidRPr="00BF3CDE">
        <w:rPr>
          <w:noProof/>
          <w:sz w:val="20"/>
          <w:szCs w:val="20"/>
          <w:lang w:val="sr-Cyrl-CS"/>
        </w:rPr>
        <w:t>. године уложило у следеће пласмане:</w:t>
      </w:r>
    </w:p>
    <w:tbl>
      <w:tblPr>
        <w:tblW w:w="9720" w:type="dxa"/>
        <w:tblInd w:w="93" w:type="dxa"/>
        <w:tblLook w:val="04A0" w:firstRow="1" w:lastRow="0" w:firstColumn="1" w:lastColumn="0" w:noHBand="0" w:noVBand="1"/>
      </w:tblPr>
      <w:tblGrid>
        <w:gridCol w:w="6400"/>
        <w:gridCol w:w="1660"/>
        <w:gridCol w:w="1660"/>
      </w:tblGrid>
      <w:tr w:rsidR="002D6A53" w:rsidRPr="00BF3CDE" w14:paraId="57B5F85A" w14:textId="77777777" w:rsidTr="002D6A53">
        <w:trPr>
          <w:trHeight w:val="283"/>
        </w:trPr>
        <w:tc>
          <w:tcPr>
            <w:tcW w:w="6400" w:type="dxa"/>
            <w:tcBorders>
              <w:top w:val="nil"/>
              <w:left w:val="nil"/>
              <w:bottom w:val="single" w:sz="8" w:space="0" w:color="629DD1"/>
              <w:right w:val="nil"/>
            </w:tcBorders>
            <w:shd w:val="clear" w:color="auto" w:fill="auto"/>
            <w:vAlign w:val="center"/>
            <w:hideMark/>
          </w:tcPr>
          <w:p w14:paraId="5B037094" w14:textId="77777777" w:rsidR="002D6A53" w:rsidRPr="00BF3CDE" w:rsidRDefault="002D6A53" w:rsidP="002D6A53">
            <w:pPr>
              <w:pStyle w:val="NoSpacing"/>
              <w:jc w:val="center"/>
              <w:rPr>
                <w:rFonts w:eastAsia="Times New Roman"/>
                <w:b/>
                <w:noProof/>
                <w:sz w:val="18"/>
                <w:lang w:val="sr-Cyrl-CS"/>
              </w:rPr>
            </w:pPr>
            <w:r w:rsidRPr="00BF3CDE">
              <w:rPr>
                <w:rFonts w:eastAsia="Times New Roman"/>
                <w:b/>
                <w:noProof/>
                <w:sz w:val="18"/>
                <w:lang w:val="sr-Cyrl-CS"/>
              </w:rPr>
              <w:t>Пласмани</w:t>
            </w:r>
          </w:p>
        </w:tc>
        <w:tc>
          <w:tcPr>
            <w:tcW w:w="1660" w:type="dxa"/>
            <w:tcBorders>
              <w:top w:val="nil"/>
              <w:left w:val="nil"/>
              <w:bottom w:val="single" w:sz="8" w:space="0" w:color="629DD1"/>
              <w:right w:val="nil"/>
            </w:tcBorders>
            <w:shd w:val="clear" w:color="auto" w:fill="auto"/>
            <w:vAlign w:val="center"/>
            <w:hideMark/>
          </w:tcPr>
          <w:p w14:paraId="2E02B7C2" w14:textId="77777777" w:rsidR="002D6A53" w:rsidRPr="00BF3CDE" w:rsidRDefault="002D6A53" w:rsidP="002D6A53">
            <w:pPr>
              <w:pStyle w:val="NoSpacing"/>
              <w:jc w:val="center"/>
              <w:rPr>
                <w:rFonts w:eastAsia="Times New Roman"/>
                <w:b/>
                <w:noProof/>
                <w:sz w:val="18"/>
                <w:lang w:val="sr-Cyrl-CS"/>
              </w:rPr>
            </w:pPr>
            <w:r w:rsidRPr="00BF3CDE">
              <w:rPr>
                <w:rFonts w:eastAsia="Times New Roman"/>
                <w:b/>
                <w:noProof/>
                <w:sz w:val="18"/>
                <w:lang w:val="sr-Cyrl-CS"/>
              </w:rPr>
              <w:t>Износ у 000 РСД</w:t>
            </w:r>
          </w:p>
        </w:tc>
        <w:tc>
          <w:tcPr>
            <w:tcW w:w="1660" w:type="dxa"/>
            <w:tcBorders>
              <w:top w:val="nil"/>
              <w:left w:val="nil"/>
              <w:bottom w:val="single" w:sz="8" w:space="0" w:color="629DD1"/>
              <w:right w:val="nil"/>
            </w:tcBorders>
            <w:shd w:val="clear" w:color="auto" w:fill="auto"/>
            <w:vAlign w:val="center"/>
            <w:hideMark/>
          </w:tcPr>
          <w:p w14:paraId="395046B9" w14:textId="77777777" w:rsidR="002D6A53" w:rsidRPr="00BF3CDE" w:rsidRDefault="002D6A53" w:rsidP="002D6A53">
            <w:pPr>
              <w:pStyle w:val="NoSpacing"/>
              <w:jc w:val="center"/>
              <w:rPr>
                <w:rFonts w:eastAsia="Times New Roman"/>
                <w:b/>
                <w:noProof/>
                <w:sz w:val="18"/>
                <w:lang w:val="sr-Cyrl-CS"/>
              </w:rPr>
            </w:pPr>
            <w:r w:rsidRPr="00BF3CDE">
              <w:rPr>
                <w:rFonts w:eastAsia="Times New Roman"/>
                <w:b/>
                <w:noProof/>
                <w:sz w:val="18"/>
                <w:lang w:val="sr-Cyrl-CS"/>
              </w:rPr>
              <w:t>Учешће</w:t>
            </w:r>
          </w:p>
        </w:tc>
      </w:tr>
      <w:tr w:rsidR="002D6A53" w:rsidRPr="00BF3CDE" w14:paraId="3CF84690" w14:textId="77777777" w:rsidTr="002D6A53">
        <w:trPr>
          <w:trHeight w:val="397"/>
        </w:trPr>
        <w:tc>
          <w:tcPr>
            <w:tcW w:w="6400" w:type="dxa"/>
            <w:tcBorders>
              <w:top w:val="single" w:sz="8" w:space="0" w:color="629DD1"/>
              <w:left w:val="nil"/>
              <w:right w:val="nil"/>
            </w:tcBorders>
            <w:shd w:val="clear" w:color="auto" w:fill="DBE5F1" w:themeFill="accent1" w:themeFillTint="33"/>
            <w:vAlign w:val="center"/>
            <w:hideMark/>
          </w:tcPr>
          <w:p w14:paraId="7B058A08" w14:textId="77777777" w:rsidR="002D6A53" w:rsidRPr="00BF3CDE" w:rsidRDefault="002D6A53" w:rsidP="002D6A53">
            <w:pPr>
              <w:pStyle w:val="NoSpacing"/>
              <w:rPr>
                <w:rFonts w:eastAsia="Times New Roman"/>
                <w:noProof/>
                <w:sz w:val="18"/>
                <w:lang w:val="sr-Cyrl-CS"/>
              </w:rPr>
            </w:pPr>
            <w:r w:rsidRPr="00BF3CDE">
              <w:rPr>
                <w:rFonts w:eastAsia="Times New Roman"/>
                <w:noProof/>
                <w:sz w:val="18"/>
                <w:lang w:val="sr-Cyrl-CS"/>
              </w:rPr>
              <w:t>Депозити код бан</w:t>
            </w:r>
            <w:r w:rsidR="00FD3A30" w:rsidRPr="00BF3CDE">
              <w:rPr>
                <w:rFonts w:eastAsia="Times New Roman"/>
                <w:noProof/>
                <w:sz w:val="18"/>
                <w:lang w:val="sr-Cyrl-CS"/>
              </w:rPr>
              <w:t>а</w:t>
            </w:r>
            <w:r w:rsidRPr="00BF3CDE">
              <w:rPr>
                <w:rFonts w:eastAsia="Times New Roman"/>
                <w:noProof/>
                <w:sz w:val="18"/>
                <w:lang w:val="sr-Cyrl-CS"/>
              </w:rPr>
              <w:t>ка</w:t>
            </w:r>
          </w:p>
        </w:tc>
        <w:tc>
          <w:tcPr>
            <w:tcW w:w="1660" w:type="dxa"/>
            <w:tcBorders>
              <w:top w:val="single" w:sz="8" w:space="0" w:color="629DD1"/>
              <w:left w:val="nil"/>
              <w:right w:val="nil"/>
            </w:tcBorders>
            <w:shd w:val="clear" w:color="auto" w:fill="DBE5F1" w:themeFill="accent1" w:themeFillTint="33"/>
            <w:vAlign w:val="center"/>
            <w:hideMark/>
          </w:tcPr>
          <w:p w14:paraId="1E8D3FFB" w14:textId="77777777" w:rsidR="002D6A53" w:rsidRPr="00BF3CDE" w:rsidRDefault="002D6A53" w:rsidP="002D6A53">
            <w:pPr>
              <w:pStyle w:val="NoSpacing"/>
              <w:jc w:val="right"/>
              <w:rPr>
                <w:rFonts w:eastAsia="Times New Roman"/>
                <w:noProof/>
                <w:sz w:val="18"/>
                <w:lang w:val="sr-Cyrl-CS"/>
              </w:rPr>
            </w:pPr>
            <w:r w:rsidRPr="00BF3CDE">
              <w:rPr>
                <w:rFonts w:eastAsia="Times New Roman"/>
                <w:noProof/>
                <w:sz w:val="18"/>
                <w:lang w:val="sr-Cyrl-CS"/>
              </w:rPr>
              <w:t>244.190</w:t>
            </w:r>
          </w:p>
        </w:tc>
        <w:tc>
          <w:tcPr>
            <w:tcW w:w="1660" w:type="dxa"/>
            <w:tcBorders>
              <w:top w:val="single" w:sz="8" w:space="0" w:color="629DD1"/>
              <w:left w:val="nil"/>
              <w:right w:val="nil"/>
            </w:tcBorders>
            <w:shd w:val="clear" w:color="auto" w:fill="DBE5F1" w:themeFill="accent1" w:themeFillTint="33"/>
            <w:vAlign w:val="center"/>
            <w:hideMark/>
          </w:tcPr>
          <w:p w14:paraId="2BDC4964" w14:textId="77777777" w:rsidR="002D6A53" w:rsidRPr="00BF3CDE" w:rsidRDefault="002D6A53" w:rsidP="002D6A53">
            <w:pPr>
              <w:pStyle w:val="NoSpacing"/>
              <w:jc w:val="center"/>
              <w:rPr>
                <w:rFonts w:eastAsia="Times New Roman"/>
                <w:noProof/>
                <w:sz w:val="18"/>
                <w:lang w:val="sr-Cyrl-CS"/>
              </w:rPr>
            </w:pPr>
            <w:r w:rsidRPr="00BF3CDE">
              <w:rPr>
                <w:rFonts w:eastAsia="Times New Roman"/>
                <w:noProof/>
                <w:sz w:val="18"/>
                <w:lang w:val="sr-Cyrl-CS"/>
              </w:rPr>
              <w:t>24,37%</w:t>
            </w:r>
          </w:p>
        </w:tc>
      </w:tr>
      <w:tr w:rsidR="002D6A53" w:rsidRPr="00BF3CDE" w14:paraId="37DDAF68" w14:textId="77777777" w:rsidTr="002D6A53">
        <w:trPr>
          <w:trHeight w:val="397"/>
        </w:trPr>
        <w:tc>
          <w:tcPr>
            <w:tcW w:w="6400" w:type="dxa"/>
            <w:tcBorders>
              <w:top w:val="nil"/>
              <w:left w:val="nil"/>
              <w:right w:val="nil"/>
            </w:tcBorders>
            <w:shd w:val="clear" w:color="auto" w:fill="auto"/>
            <w:vAlign w:val="center"/>
            <w:hideMark/>
          </w:tcPr>
          <w:p w14:paraId="1BB7D5DC" w14:textId="77777777" w:rsidR="002D6A53" w:rsidRPr="00BF3CDE" w:rsidRDefault="002D6A53" w:rsidP="002D6A53">
            <w:pPr>
              <w:pStyle w:val="NoSpacing"/>
              <w:rPr>
                <w:rFonts w:eastAsia="Times New Roman"/>
                <w:noProof/>
                <w:sz w:val="18"/>
                <w:lang w:val="sr-Cyrl-CS"/>
              </w:rPr>
            </w:pPr>
            <w:r w:rsidRPr="00BF3CDE">
              <w:rPr>
                <w:rFonts w:eastAsia="Times New Roman"/>
                <w:noProof/>
                <w:sz w:val="18"/>
                <w:lang w:val="sr-Cyrl-CS"/>
              </w:rPr>
              <w:t>У акције којима се тргује ван листинга А у земљи</w:t>
            </w:r>
          </w:p>
        </w:tc>
        <w:tc>
          <w:tcPr>
            <w:tcW w:w="1660" w:type="dxa"/>
            <w:tcBorders>
              <w:top w:val="nil"/>
              <w:left w:val="nil"/>
              <w:right w:val="nil"/>
            </w:tcBorders>
            <w:shd w:val="clear" w:color="auto" w:fill="auto"/>
            <w:vAlign w:val="center"/>
            <w:hideMark/>
          </w:tcPr>
          <w:p w14:paraId="769420B3" w14:textId="77777777" w:rsidR="002D6A53" w:rsidRPr="00BF3CDE" w:rsidRDefault="002D6A53" w:rsidP="002D6A53">
            <w:pPr>
              <w:pStyle w:val="NoSpacing"/>
              <w:jc w:val="right"/>
              <w:rPr>
                <w:rFonts w:eastAsia="Times New Roman"/>
                <w:noProof/>
                <w:sz w:val="18"/>
                <w:lang w:val="sr-Cyrl-CS"/>
              </w:rPr>
            </w:pPr>
            <w:r w:rsidRPr="00BF3CDE">
              <w:rPr>
                <w:rFonts w:eastAsia="Times New Roman"/>
                <w:noProof/>
                <w:sz w:val="18"/>
                <w:lang w:val="sr-Cyrl-CS"/>
              </w:rPr>
              <w:t>95.141</w:t>
            </w:r>
          </w:p>
        </w:tc>
        <w:tc>
          <w:tcPr>
            <w:tcW w:w="1660" w:type="dxa"/>
            <w:tcBorders>
              <w:top w:val="nil"/>
              <w:left w:val="nil"/>
              <w:right w:val="nil"/>
            </w:tcBorders>
            <w:shd w:val="clear" w:color="auto" w:fill="auto"/>
            <w:vAlign w:val="center"/>
            <w:hideMark/>
          </w:tcPr>
          <w:p w14:paraId="2BB773AE" w14:textId="77777777" w:rsidR="002D6A53" w:rsidRPr="00BF3CDE" w:rsidRDefault="002D6A53" w:rsidP="002D6A53">
            <w:pPr>
              <w:pStyle w:val="NoSpacing"/>
              <w:jc w:val="center"/>
              <w:rPr>
                <w:rFonts w:eastAsia="Times New Roman"/>
                <w:noProof/>
                <w:sz w:val="18"/>
                <w:lang w:val="sr-Cyrl-CS"/>
              </w:rPr>
            </w:pPr>
            <w:r w:rsidRPr="00BF3CDE">
              <w:rPr>
                <w:rFonts w:eastAsia="Times New Roman"/>
                <w:noProof/>
                <w:sz w:val="18"/>
                <w:lang w:val="sr-Cyrl-CS"/>
              </w:rPr>
              <w:t>9,49%</w:t>
            </w:r>
          </w:p>
        </w:tc>
      </w:tr>
      <w:tr w:rsidR="002D6A53" w:rsidRPr="00BF3CDE" w14:paraId="0AE6FCD8" w14:textId="77777777" w:rsidTr="002D6A53">
        <w:trPr>
          <w:trHeight w:val="397"/>
        </w:trPr>
        <w:tc>
          <w:tcPr>
            <w:tcW w:w="6400" w:type="dxa"/>
            <w:tcBorders>
              <w:top w:val="nil"/>
              <w:left w:val="nil"/>
              <w:right w:val="nil"/>
            </w:tcBorders>
            <w:shd w:val="clear" w:color="auto" w:fill="DBE5F1" w:themeFill="accent1" w:themeFillTint="33"/>
            <w:vAlign w:val="center"/>
            <w:hideMark/>
          </w:tcPr>
          <w:p w14:paraId="4E9EF06A" w14:textId="77777777" w:rsidR="002D6A53" w:rsidRPr="00BF3CDE" w:rsidRDefault="002D6A53" w:rsidP="002D6A53">
            <w:pPr>
              <w:pStyle w:val="NoSpacing"/>
              <w:rPr>
                <w:rFonts w:eastAsia="Times New Roman"/>
                <w:noProof/>
                <w:sz w:val="18"/>
                <w:lang w:val="sr-Cyrl-CS"/>
              </w:rPr>
            </w:pPr>
            <w:r w:rsidRPr="00BF3CDE">
              <w:rPr>
                <w:rFonts w:eastAsia="Times New Roman"/>
                <w:noProof/>
                <w:sz w:val="18"/>
                <w:lang w:val="sr-Cyrl-CS"/>
              </w:rPr>
              <w:t xml:space="preserve">У акције којима се тргује на листинга А </w:t>
            </w:r>
          </w:p>
          <w:p w14:paraId="4279DEDC" w14:textId="77777777" w:rsidR="002D6A53" w:rsidRPr="00BF3CDE" w:rsidRDefault="002D6A53" w:rsidP="002D6A53">
            <w:pPr>
              <w:pStyle w:val="NoSpacing"/>
              <w:rPr>
                <w:rFonts w:eastAsia="Times New Roman"/>
                <w:noProof/>
                <w:sz w:val="18"/>
                <w:lang w:val="sr-Cyrl-CS"/>
              </w:rPr>
            </w:pPr>
            <w:r w:rsidRPr="00BF3CDE">
              <w:rPr>
                <w:rFonts w:eastAsia="Times New Roman"/>
                <w:noProof/>
                <w:sz w:val="18"/>
                <w:lang w:val="sr-Cyrl-CS"/>
              </w:rPr>
              <w:t>у иност. ван земаља ЕУ и ОЕЦД</w:t>
            </w:r>
          </w:p>
        </w:tc>
        <w:tc>
          <w:tcPr>
            <w:tcW w:w="1660" w:type="dxa"/>
            <w:tcBorders>
              <w:top w:val="nil"/>
              <w:left w:val="nil"/>
              <w:right w:val="nil"/>
            </w:tcBorders>
            <w:shd w:val="clear" w:color="auto" w:fill="DBE5F1" w:themeFill="accent1" w:themeFillTint="33"/>
            <w:vAlign w:val="center"/>
            <w:hideMark/>
          </w:tcPr>
          <w:p w14:paraId="58677B48" w14:textId="77777777" w:rsidR="002D6A53" w:rsidRPr="00BF3CDE" w:rsidRDefault="002D6A53" w:rsidP="002D6A53">
            <w:pPr>
              <w:pStyle w:val="NoSpacing"/>
              <w:jc w:val="right"/>
              <w:rPr>
                <w:rFonts w:eastAsia="Times New Roman"/>
                <w:noProof/>
                <w:sz w:val="18"/>
                <w:lang w:val="sr-Cyrl-CS"/>
              </w:rPr>
            </w:pPr>
            <w:r w:rsidRPr="00BF3CDE">
              <w:rPr>
                <w:rFonts w:eastAsia="Times New Roman"/>
                <w:noProof/>
                <w:sz w:val="18"/>
                <w:lang w:val="sr-Cyrl-CS"/>
              </w:rPr>
              <w:t>13.297</w:t>
            </w:r>
          </w:p>
        </w:tc>
        <w:tc>
          <w:tcPr>
            <w:tcW w:w="1660" w:type="dxa"/>
            <w:tcBorders>
              <w:top w:val="nil"/>
              <w:left w:val="nil"/>
              <w:right w:val="nil"/>
            </w:tcBorders>
            <w:shd w:val="clear" w:color="auto" w:fill="DBE5F1" w:themeFill="accent1" w:themeFillTint="33"/>
            <w:vAlign w:val="center"/>
            <w:hideMark/>
          </w:tcPr>
          <w:p w14:paraId="14F15F70" w14:textId="77777777" w:rsidR="002D6A53" w:rsidRPr="00BF3CDE" w:rsidRDefault="002D6A53" w:rsidP="002D6A53">
            <w:pPr>
              <w:pStyle w:val="NoSpacing"/>
              <w:jc w:val="center"/>
              <w:rPr>
                <w:rFonts w:eastAsia="Times New Roman"/>
                <w:noProof/>
                <w:sz w:val="18"/>
                <w:lang w:val="sr-Cyrl-CS"/>
              </w:rPr>
            </w:pPr>
            <w:r w:rsidRPr="00BF3CDE">
              <w:rPr>
                <w:rFonts w:eastAsia="Times New Roman"/>
                <w:noProof/>
                <w:sz w:val="18"/>
                <w:lang w:val="sr-Cyrl-CS"/>
              </w:rPr>
              <w:t>1,33%</w:t>
            </w:r>
          </w:p>
        </w:tc>
      </w:tr>
      <w:tr w:rsidR="002D6A53" w:rsidRPr="00BF3CDE" w14:paraId="6CC2ECC9" w14:textId="77777777" w:rsidTr="002D6A53">
        <w:trPr>
          <w:trHeight w:val="397"/>
        </w:trPr>
        <w:tc>
          <w:tcPr>
            <w:tcW w:w="6400" w:type="dxa"/>
            <w:tcBorders>
              <w:top w:val="nil"/>
              <w:left w:val="nil"/>
              <w:right w:val="nil"/>
            </w:tcBorders>
            <w:shd w:val="clear" w:color="auto" w:fill="auto"/>
            <w:vAlign w:val="center"/>
            <w:hideMark/>
          </w:tcPr>
          <w:p w14:paraId="5A7EA3F0" w14:textId="77777777" w:rsidR="002D6A53" w:rsidRPr="00BF3CDE" w:rsidRDefault="002D6A53" w:rsidP="002D6A53">
            <w:pPr>
              <w:pStyle w:val="NoSpacing"/>
              <w:rPr>
                <w:rFonts w:eastAsia="Times New Roman"/>
                <w:noProof/>
                <w:sz w:val="18"/>
                <w:lang w:val="sr-Cyrl-CS"/>
              </w:rPr>
            </w:pPr>
            <w:r w:rsidRPr="00BF3CDE">
              <w:rPr>
                <w:rFonts w:eastAsia="Times New Roman"/>
                <w:noProof/>
                <w:sz w:val="18"/>
                <w:lang w:val="sr-Cyrl-CS"/>
              </w:rPr>
              <w:t xml:space="preserve">У акције којима се тргује ван листинга А </w:t>
            </w:r>
          </w:p>
          <w:p w14:paraId="4764143D" w14:textId="77777777" w:rsidR="002D6A53" w:rsidRPr="00BF3CDE" w:rsidRDefault="002D6A53" w:rsidP="002D6A53">
            <w:pPr>
              <w:pStyle w:val="NoSpacing"/>
              <w:rPr>
                <w:rFonts w:eastAsia="Times New Roman"/>
                <w:noProof/>
                <w:sz w:val="18"/>
                <w:lang w:val="sr-Cyrl-CS"/>
              </w:rPr>
            </w:pPr>
            <w:r w:rsidRPr="00BF3CDE">
              <w:rPr>
                <w:rFonts w:eastAsia="Times New Roman"/>
                <w:noProof/>
                <w:sz w:val="18"/>
                <w:lang w:val="sr-Cyrl-CS"/>
              </w:rPr>
              <w:t>у иност. ван земаља ЕУ и ОЕЦД</w:t>
            </w:r>
          </w:p>
        </w:tc>
        <w:tc>
          <w:tcPr>
            <w:tcW w:w="1660" w:type="dxa"/>
            <w:tcBorders>
              <w:top w:val="nil"/>
              <w:left w:val="nil"/>
              <w:right w:val="nil"/>
            </w:tcBorders>
            <w:shd w:val="clear" w:color="auto" w:fill="auto"/>
            <w:vAlign w:val="center"/>
            <w:hideMark/>
          </w:tcPr>
          <w:p w14:paraId="65695122" w14:textId="77777777" w:rsidR="002D6A53" w:rsidRPr="00BF3CDE" w:rsidRDefault="002D6A53" w:rsidP="002D6A53">
            <w:pPr>
              <w:pStyle w:val="NoSpacing"/>
              <w:jc w:val="right"/>
              <w:rPr>
                <w:rFonts w:eastAsia="Times New Roman"/>
                <w:noProof/>
                <w:sz w:val="18"/>
                <w:lang w:val="sr-Cyrl-CS"/>
              </w:rPr>
            </w:pPr>
            <w:r w:rsidRPr="00BF3CDE">
              <w:rPr>
                <w:rFonts w:eastAsia="Times New Roman"/>
                <w:noProof/>
                <w:sz w:val="18"/>
                <w:lang w:val="sr-Cyrl-CS"/>
              </w:rPr>
              <w:t>6.833</w:t>
            </w:r>
          </w:p>
        </w:tc>
        <w:tc>
          <w:tcPr>
            <w:tcW w:w="1660" w:type="dxa"/>
            <w:tcBorders>
              <w:top w:val="nil"/>
              <w:left w:val="nil"/>
              <w:right w:val="nil"/>
            </w:tcBorders>
            <w:shd w:val="clear" w:color="auto" w:fill="auto"/>
            <w:vAlign w:val="center"/>
            <w:hideMark/>
          </w:tcPr>
          <w:p w14:paraId="145A718D" w14:textId="77777777" w:rsidR="002D6A53" w:rsidRPr="00BF3CDE" w:rsidRDefault="002D6A53" w:rsidP="002D6A53">
            <w:pPr>
              <w:pStyle w:val="NoSpacing"/>
              <w:jc w:val="center"/>
              <w:rPr>
                <w:rFonts w:eastAsia="Times New Roman"/>
                <w:noProof/>
                <w:sz w:val="18"/>
                <w:lang w:val="sr-Cyrl-CS"/>
              </w:rPr>
            </w:pPr>
            <w:r w:rsidRPr="00BF3CDE">
              <w:rPr>
                <w:rFonts w:eastAsia="Times New Roman"/>
                <w:noProof/>
                <w:sz w:val="18"/>
                <w:lang w:val="sr-Cyrl-CS"/>
              </w:rPr>
              <w:t>0,68%</w:t>
            </w:r>
          </w:p>
        </w:tc>
      </w:tr>
      <w:tr w:rsidR="002D6A53" w:rsidRPr="00BF3CDE" w14:paraId="67E7AA47" w14:textId="77777777" w:rsidTr="002D6A53">
        <w:trPr>
          <w:trHeight w:val="397"/>
        </w:trPr>
        <w:tc>
          <w:tcPr>
            <w:tcW w:w="6400" w:type="dxa"/>
            <w:tcBorders>
              <w:top w:val="nil"/>
              <w:left w:val="nil"/>
              <w:right w:val="nil"/>
            </w:tcBorders>
            <w:shd w:val="clear" w:color="auto" w:fill="DBE5F1" w:themeFill="accent1" w:themeFillTint="33"/>
            <w:vAlign w:val="center"/>
            <w:hideMark/>
          </w:tcPr>
          <w:p w14:paraId="0D02CE90" w14:textId="77777777" w:rsidR="002D6A53" w:rsidRPr="00BF3CDE" w:rsidRDefault="002D6A53" w:rsidP="002D6A53">
            <w:pPr>
              <w:pStyle w:val="NoSpacing"/>
              <w:rPr>
                <w:rFonts w:eastAsia="Times New Roman"/>
                <w:noProof/>
                <w:sz w:val="18"/>
                <w:lang w:val="sr-Cyrl-CS"/>
              </w:rPr>
            </w:pPr>
            <w:r w:rsidRPr="00BF3CDE">
              <w:rPr>
                <w:rFonts w:eastAsia="Times New Roman"/>
                <w:noProof/>
                <w:sz w:val="18"/>
                <w:lang w:val="sr-Cyrl-CS"/>
              </w:rPr>
              <w:t xml:space="preserve">У обвезнице и дужничке ХоВ којима се тргује </w:t>
            </w:r>
          </w:p>
          <w:p w14:paraId="3FBB2163" w14:textId="77777777" w:rsidR="002D6A53" w:rsidRPr="00BF3CDE" w:rsidRDefault="002D6A53" w:rsidP="002D6A53">
            <w:pPr>
              <w:pStyle w:val="NoSpacing"/>
              <w:rPr>
                <w:rFonts w:eastAsia="Times New Roman"/>
                <w:noProof/>
                <w:sz w:val="18"/>
                <w:lang w:val="sr-Cyrl-CS"/>
              </w:rPr>
            </w:pPr>
            <w:r w:rsidRPr="00BF3CDE">
              <w:rPr>
                <w:rFonts w:eastAsia="Times New Roman"/>
                <w:noProof/>
                <w:sz w:val="18"/>
                <w:lang w:val="sr-Cyrl-CS"/>
              </w:rPr>
              <w:t>у земљи и иностранству</w:t>
            </w:r>
          </w:p>
        </w:tc>
        <w:tc>
          <w:tcPr>
            <w:tcW w:w="1660" w:type="dxa"/>
            <w:tcBorders>
              <w:top w:val="nil"/>
              <w:left w:val="nil"/>
              <w:right w:val="nil"/>
            </w:tcBorders>
            <w:shd w:val="clear" w:color="auto" w:fill="DBE5F1" w:themeFill="accent1" w:themeFillTint="33"/>
            <w:vAlign w:val="center"/>
            <w:hideMark/>
          </w:tcPr>
          <w:p w14:paraId="08FC99DA" w14:textId="77777777" w:rsidR="002D6A53" w:rsidRPr="00BF3CDE" w:rsidRDefault="002D6A53" w:rsidP="002D6A53">
            <w:pPr>
              <w:pStyle w:val="NoSpacing"/>
              <w:jc w:val="right"/>
              <w:rPr>
                <w:rFonts w:eastAsia="Times New Roman"/>
                <w:noProof/>
                <w:sz w:val="18"/>
                <w:lang w:val="sr-Cyrl-CS"/>
              </w:rPr>
            </w:pPr>
            <w:r w:rsidRPr="00BF3CDE">
              <w:rPr>
                <w:rFonts w:eastAsia="Times New Roman"/>
                <w:noProof/>
                <w:sz w:val="18"/>
                <w:lang w:val="sr-Cyrl-CS"/>
              </w:rPr>
              <w:t>125.795</w:t>
            </w:r>
          </w:p>
        </w:tc>
        <w:tc>
          <w:tcPr>
            <w:tcW w:w="1660" w:type="dxa"/>
            <w:tcBorders>
              <w:top w:val="nil"/>
              <w:left w:val="nil"/>
              <w:right w:val="nil"/>
            </w:tcBorders>
            <w:shd w:val="clear" w:color="auto" w:fill="DBE5F1" w:themeFill="accent1" w:themeFillTint="33"/>
            <w:vAlign w:val="center"/>
            <w:hideMark/>
          </w:tcPr>
          <w:p w14:paraId="5DA6ED3A" w14:textId="77777777" w:rsidR="002D6A53" w:rsidRPr="00BF3CDE" w:rsidRDefault="002D6A53" w:rsidP="002D6A53">
            <w:pPr>
              <w:pStyle w:val="NoSpacing"/>
              <w:jc w:val="center"/>
              <w:rPr>
                <w:rFonts w:eastAsia="Times New Roman"/>
                <w:noProof/>
                <w:sz w:val="18"/>
                <w:lang w:val="sr-Cyrl-CS"/>
              </w:rPr>
            </w:pPr>
            <w:r w:rsidRPr="00BF3CDE">
              <w:rPr>
                <w:rFonts w:eastAsia="Times New Roman"/>
                <w:noProof/>
                <w:sz w:val="18"/>
                <w:lang w:val="sr-Cyrl-CS"/>
              </w:rPr>
              <w:t>12,55%</w:t>
            </w:r>
          </w:p>
        </w:tc>
      </w:tr>
      <w:tr w:rsidR="002D6A53" w:rsidRPr="00BF3CDE" w14:paraId="246B614A" w14:textId="77777777" w:rsidTr="002D6A53">
        <w:trPr>
          <w:trHeight w:val="397"/>
        </w:trPr>
        <w:tc>
          <w:tcPr>
            <w:tcW w:w="6400" w:type="dxa"/>
            <w:tcBorders>
              <w:top w:val="nil"/>
              <w:left w:val="nil"/>
              <w:bottom w:val="single" w:sz="8" w:space="0" w:color="629DD1"/>
              <w:right w:val="nil"/>
            </w:tcBorders>
            <w:shd w:val="clear" w:color="auto" w:fill="auto"/>
            <w:vAlign w:val="center"/>
            <w:hideMark/>
          </w:tcPr>
          <w:p w14:paraId="3D7C4853" w14:textId="77777777" w:rsidR="002D6A53" w:rsidRPr="00BF3CDE" w:rsidRDefault="002D6A53" w:rsidP="002D6A53">
            <w:pPr>
              <w:pStyle w:val="NoSpacing"/>
              <w:rPr>
                <w:rFonts w:eastAsia="Times New Roman"/>
                <w:noProof/>
                <w:sz w:val="18"/>
                <w:lang w:val="sr-Cyrl-CS"/>
              </w:rPr>
            </w:pPr>
            <w:r w:rsidRPr="00BF3CDE">
              <w:rPr>
                <w:rFonts w:eastAsia="Times New Roman"/>
                <w:noProof/>
                <w:sz w:val="18"/>
                <w:lang w:val="sr-Cyrl-CS"/>
              </w:rPr>
              <w:t>Средства на рачуну</w:t>
            </w:r>
          </w:p>
        </w:tc>
        <w:tc>
          <w:tcPr>
            <w:tcW w:w="1660" w:type="dxa"/>
            <w:tcBorders>
              <w:top w:val="nil"/>
              <w:left w:val="nil"/>
              <w:bottom w:val="single" w:sz="8" w:space="0" w:color="629DD1"/>
              <w:right w:val="nil"/>
            </w:tcBorders>
            <w:shd w:val="clear" w:color="auto" w:fill="auto"/>
            <w:vAlign w:val="center"/>
            <w:hideMark/>
          </w:tcPr>
          <w:p w14:paraId="63EF6C85" w14:textId="77777777" w:rsidR="002D6A53" w:rsidRPr="00BF3CDE" w:rsidRDefault="002D6A53" w:rsidP="002D6A53">
            <w:pPr>
              <w:pStyle w:val="NoSpacing"/>
              <w:jc w:val="right"/>
              <w:rPr>
                <w:rFonts w:eastAsia="Times New Roman"/>
                <w:noProof/>
                <w:sz w:val="18"/>
                <w:lang w:val="sr-Cyrl-CS"/>
              </w:rPr>
            </w:pPr>
            <w:r w:rsidRPr="00BF3CDE">
              <w:rPr>
                <w:rFonts w:eastAsia="Times New Roman"/>
                <w:noProof/>
                <w:sz w:val="18"/>
                <w:lang w:val="sr-Cyrl-CS"/>
              </w:rPr>
              <w:t>516.898</w:t>
            </w:r>
          </w:p>
        </w:tc>
        <w:tc>
          <w:tcPr>
            <w:tcW w:w="1660" w:type="dxa"/>
            <w:tcBorders>
              <w:top w:val="nil"/>
              <w:left w:val="nil"/>
              <w:bottom w:val="single" w:sz="8" w:space="0" w:color="629DD1"/>
              <w:right w:val="nil"/>
            </w:tcBorders>
            <w:shd w:val="clear" w:color="auto" w:fill="auto"/>
            <w:vAlign w:val="center"/>
            <w:hideMark/>
          </w:tcPr>
          <w:p w14:paraId="73231862" w14:textId="77777777" w:rsidR="002D6A53" w:rsidRPr="00BF3CDE" w:rsidRDefault="002D6A53" w:rsidP="002D6A53">
            <w:pPr>
              <w:pStyle w:val="NoSpacing"/>
              <w:jc w:val="center"/>
              <w:rPr>
                <w:rFonts w:eastAsia="Times New Roman"/>
                <w:noProof/>
                <w:sz w:val="18"/>
                <w:lang w:val="sr-Cyrl-CS"/>
              </w:rPr>
            </w:pPr>
            <w:r w:rsidRPr="00BF3CDE">
              <w:rPr>
                <w:rFonts w:eastAsia="Times New Roman"/>
                <w:noProof/>
                <w:sz w:val="18"/>
                <w:lang w:val="sr-Cyrl-CS"/>
              </w:rPr>
              <w:t>51,58%</w:t>
            </w:r>
          </w:p>
        </w:tc>
      </w:tr>
      <w:tr w:rsidR="002D6A53" w:rsidRPr="00BF3CDE" w14:paraId="02DEBEC7" w14:textId="77777777" w:rsidTr="002D6A53">
        <w:trPr>
          <w:trHeight w:val="525"/>
        </w:trPr>
        <w:tc>
          <w:tcPr>
            <w:tcW w:w="6400" w:type="dxa"/>
            <w:tcBorders>
              <w:top w:val="nil"/>
              <w:left w:val="nil"/>
              <w:bottom w:val="single" w:sz="8" w:space="0" w:color="629DD1"/>
              <w:right w:val="nil"/>
            </w:tcBorders>
            <w:shd w:val="clear" w:color="auto" w:fill="auto"/>
            <w:vAlign w:val="center"/>
            <w:hideMark/>
          </w:tcPr>
          <w:p w14:paraId="468006C2" w14:textId="77777777" w:rsidR="002D6A53" w:rsidRPr="00BF3CDE" w:rsidRDefault="002D6A53" w:rsidP="002D6A53">
            <w:pPr>
              <w:pStyle w:val="NoSpacing"/>
              <w:jc w:val="center"/>
              <w:rPr>
                <w:rFonts w:eastAsia="Times New Roman"/>
                <w:b/>
                <w:noProof/>
                <w:sz w:val="18"/>
                <w:lang w:val="sr-Cyrl-CS"/>
              </w:rPr>
            </w:pPr>
            <w:r w:rsidRPr="00BF3CDE">
              <w:rPr>
                <w:rFonts w:eastAsia="Times New Roman"/>
                <w:b/>
                <w:noProof/>
                <w:sz w:val="18"/>
                <w:lang w:val="sr-Cyrl-CS"/>
              </w:rPr>
              <w:t>УКУПНО</w:t>
            </w:r>
          </w:p>
        </w:tc>
        <w:tc>
          <w:tcPr>
            <w:tcW w:w="1660" w:type="dxa"/>
            <w:tcBorders>
              <w:top w:val="nil"/>
              <w:left w:val="nil"/>
              <w:bottom w:val="single" w:sz="8" w:space="0" w:color="629DD1"/>
              <w:right w:val="nil"/>
            </w:tcBorders>
            <w:shd w:val="clear" w:color="auto" w:fill="auto"/>
            <w:vAlign w:val="center"/>
            <w:hideMark/>
          </w:tcPr>
          <w:p w14:paraId="38902721" w14:textId="77777777" w:rsidR="002D6A53" w:rsidRPr="00BF3CDE" w:rsidRDefault="002D6A53" w:rsidP="002D6A53">
            <w:pPr>
              <w:pStyle w:val="NoSpacing"/>
              <w:jc w:val="right"/>
              <w:rPr>
                <w:rFonts w:eastAsia="Times New Roman"/>
                <w:b/>
                <w:noProof/>
                <w:sz w:val="18"/>
                <w:lang w:val="sr-Cyrl-CS"/>
              </w:rPr>
            </w:pPr>
            <w:r w:rsidRPr="00BF3CDE">
              <w:rPr>
                <w:rFonts w:eastAsia="Times New Roman"/>
                <w:b/>
                <w:noProof/>
                <w:sz w:val="18"/>
                <w:lang w:val="sr-Cyrl-CS"/>
              </w:rPr>
              <w:t>1.002.154</w:t>
            </w:r>
          </w:p>
        </w:tc>
        <w:tc>
          <w:tcPr>
            <w:tcW w:w="1660" w:type="dxa"/>
            <w:tcBorders>
              <w:top w:val="nil"/>
              <w:left w:val="nil"/>
              <w:bottom w:val="single" w:sz="8" w:space="0" w:color="629DD1"/>
              <w:right w:val="nil"/>
            </w:tcBorders>
            <w:shd w:val="clear" w:color="auto" w:fill="auto"/>
            <w:vAlign w:val="center"/>
            <w:hideMark/>
          </w:tcPr>
          <w:p w14:paraId="0D39F0FC" w14:textId="77777777" w:rsidR="002D6A53" w:rsidRPr="00BF3CDE" w:rsidRDefault="002D6A53" w:rsidP="002D6A53">
            <w:pPr>
              <w:pStyle w:val="NoSpacing"/>
              <w:jc w:val="center"/>
              <w:rPr>
                <w:rFonts w:eastAsia="Times New Roman"/>
                <w:b/>
                <w:noProof/>
                <w:sz w:val="18"/>
                <w:lang w:val="sr-Cyrl-CS"/>
              </w:rPr>
            </w:pPr>
            <w:r w:rsidRPr="00BF3CDE">
              <w:rPr>
                <w:rFonts w:eastAsia="Times New Roman"/>
                <w:b/>
                <w:noProof/>
                <w:sz w:val="18"/>
                <w:lang w:val="sr-Cyrl-CS"/>
              </w:rPr>
              <w:t>100,00%</w:t>
            </w:r>
          </w:p>
        </w:tc>
      </w:tr>
    </w:tbl>
    <w:p w14:paraId="364999DB" w14:textId="77777777" w:rsidR="003D22A0" w:rsidRPr="00BF3CDE" w:rsidRDefault="003D22A0" w:rsidP="00A678A2">
      <w:pPr>
        <w:spacing w:after="0"/>
        <w:jc w:val="center"/>
        <w:rPr>
          <w:rFonts w:eastAsiaTheme="minorEastAsia"/>
          <w:b/>
          <w:i/>
          <w:noProof/>
          <w:color w:val="365F91" w:themeColor="accent1" w:themeShade="BF"/>
          <w:sz w:val="6"/>
          <w:szCs w:val="6"/>
          <w:lang w:val="sr-Cyrl-CS" w:eastAsia="ja-JP"/>
        </w:rPr>
      </w:pPr>
    </w:p>
    <w:p w14:paraId="40A03DED" w14:textId="77777777" w:rsidR="004C0359" w:rsidRPr="00BF3CDE" w:rsidRDefault="004C0359" w:rsidP="00A678A2">
      <w:pPr>
        <w:spacing w:after="0"/>
        <w:jc w:val="center"/>
        <w:rPr>
          <w:rFonts w:eastAsiaTheme="minorEastAsia"/>
          <w:b/>
          <w:i/>
          <w:noProof/>
          <w:color w:val="365F91" w:themeColor="accent1" w:themeShade="BF"/>
          <w:sz w:val="20"/>
          <w:lang w:val="sr-Cyrl-CS" w:eastAsia="ja-JP"/>
        </w:rPr>
      </w:pPr>
      <w:r w:rsidRPr="00BF3CDE">
        <w:rPr>
          <w:rFonts w:eastAsiaTheme="minorEastAsia"/>
          <w:b/>
          <w:i/>
          <w:noProof/>
          <w:color w:val="365F91" w:themeColor="accent1" w:themeShade="BF"/>
          <w:sz w:val="20"/>
          <w:lang w:val="sr-Cyrl-CS" w:eastAsia="ja-JP"/>
        </w:rPr>
        <w:t>Структура улагања средстава гарантне резерве</w:t>
      </w:r>
    </w:p>
    <w:p w14:paraId="5E7495FF" w14:textId="77777777" w:rsidR="00A678A2" w:rsidRPr="00BF3CDE" w:rsidRDefault="002D6A53" w:rsidP="00A678A2">
      <w:pPr>
        <w:spacing w:after="0"/>
        <w:jc w:val="center"/>
        <w:rPr>
          <w:rFonts w:eastAsiaTheme="minorEastAsia"/>
          <w:b/>
          <w:i/>
          <w:noProof/>
          <w:color w:val="365F91" w:themeColor="accent1" w:themeShade="BF"/>
          <w:sz w:val="20"/>
          <w:lang w:val="sr-Cyrl-CS" w:eastAsia="ja-JP"/>
        </w:rPr>
      </w:pPr>
      <w:r w:rsidRPr="00BF3CDE">
        <w:rPr>
          <w:noProof/>
          <w:lang w:val="sr-Latn-RS" w:eastAsia="sr-Latn-RS"/>
        </w:rPr>
        <w:drawing>
          <wp:inline distT="0" distB="0" distL="0" distR="0" wp14:anchorId="3ABF1FA2" wp14:editId="512D5082">
            <wp:extent cx="6092041" cy="2470067"/>
            <wp:effectExtent l="0" t="0" r="4445" b="6985"/>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39AB3CDE" w14:textId="77777777" w:rsidR="00BF4B4E" w:rsidRPr="00BF3CDE" w:rsidRDefault="00BF4B4E" w:rsidP="00BF4B4E">
      <w:pPr>
        <w:ind w:firstLine="567"/>
        <w:jc w:val="both"/>
        <w:rPr>
          <w:noProof/>
          <w:sz w:val="20"/>
          <w:szCs w:val="20"/>
          <w:lang w:val="sr-Cyrl-CS"/>
        </w:rPr>
      </w:pPr>
      <w:r w:rsidRPr="00BF3CDE">
        <w:rPr>
          <w:noProof/>
          <w:sz w:val="20"/>
          <w:szCs w:val="20"/>
          <w:lang w:val="sr-Cyrl-CS"/>
        </w:rPr>
        <w:lastRenderedPageBreak/>
        <w:t>Структура улагања гарантних резерви је у складу са чланом 114. Закона о осигурању и Одлуком гувернера Народне банке Србије о Ограничењима појединих облика депоновања и улагања техичких резерви (Сл.гласник РС, бр.</w:t>
      </w:r>
      <w:r w:rsidR="00A479C1" w:rsidRPr="00BF3CDE">
        <w:rPr>
          <w:noProof/>
          <w:sz w:val="20"/>
          <w:szCs w:val="20"/>
          <w:lang w:val="sr-Cyrl-CS"/>
        </w:rPr>
        <w:t>87</w:t>
      </w:r>
      <w:r w:rsidRPr="00BF3CDE">
        <w:rPr>
          <w:noProof/>
          <w:sz w:val="20"/>
          <w:szCs w:val="20"/>
          <w:lang w:val="sr-Cyrl-CS"/>
        </w:rPr>
        <w:t>/20</w:t>
      </w:r>
      <w:r w:rsidR="00A479C1" w:rsidRPr="00BF3CDE">
        <w:rPr>
          <w:noProof/>
          <w:sz w:val="20"/>
          <w:szCs w:val="20"/>
          <w:lang w:val="sr-Cyrl-CS"/>
        </w:rPr>
        <w:t>12</w:t>
      </w:r>
      <w:r w:rsidRPr="00BF3CDE">
        <w:rPr>
          <w:noProof/>
          <w:sz w:val="20"/>
          <w:szCs w:val="20"/>
          <w:lang w:val="sr-Cyrl-CS"/>
        </w:rPr>
        <w:t>).</w:t>
      </w:r>
    </w:p>
    <w:p w14:paraId="794AD355" w14:textId="77777777" w:rsidR="00492321" w:rsidRPr="00BF3CDE" w:rsidRDefault="00492321" w:rsidP="00655CD0">
      <w:pPr>
        <w:pStyle w:val="Heading1"/>
        <w:numPr>
          <w:ilvl w:val="2"/>
          <w:numId w:val="7"/>
        </w:numPr>
        <w:jc w:val="left"/>
        <w:rPr>
          <w:rFonts w:asciiTheme="majorHAnsi" w:hAnsiTheme="majorHAnsi" w:cs="Tahoma"/>
          <w:i/>
          <w:noProof/>
          <w:color w:val="4F81BD"/>
          <w:sz w:val="22"/>
          <w:szCs w:val="18"/>
          <w:lang w:val="sr-Cyrl-CS"/>
        </w:rPr>
      </w:pPr>
      <w:bookmarkStart w:id="44" w:name="_Toc414356825"/>
      <w:r w:rsidRPr="00BF3CDE">
        <w:rPr>
          <w:rFonts w:asciiTheme="majorHAnsi" w:hAnsiTheme="majorHAnsi" w:cs="Tahoma"/>
          <w:i/>
          <w:noProof/>
          <w:color w:val="4F81BD"/>
          <w:sz w:val="22"/>
          <w:szCs w:val="18"/>
          <w:lang w:val="sr-Cyrl-CS"/>
        </w:rPr>
        <w:t>Техничке резерве</w:t>
      </w:r>
      <w:bookmarkEnd w:id="44"/>
    </w:p>
    <w:p w14:paraId="469A570B" w14:textId="77777777" w:rsidR="004C0359" w:rsidRPr="00BF3CDE" w:rsidRDefault="004C0359" w:rsidP="004C0359">
      <w:pPr>
        <w:jc w:val="both"/>
        <w:rPr>
          <w:noProof/>
          <w:sz w:val="2"/>
          <w:szCs w:val="2"/>
          <w:highlight w:val="yellow"/>
          <w:lang w:val="sr-Cyrl-CS"/>
        </w:rPr>
      </w:pPr>
    </w:p>
    <w:p w14:paraId="2A0A21E1" w14:textId="77777777" w:rsidR="004C0359" w:rsidRPr="00BF3CDE" w:rsidRDefault="004C0359" w:rsidP="004C0359">
      <w:pPr>
        <w:ind w:firstLine="567"/>
        <w:jc w:val="both"/>
        <w:rPr>
          <w:noProof/>
          <w:sz w:val="20"/>
          <w:szCs w:val="20"/>
          <w:lang w:val="sr-Cyrl-CS"/>
        </w:rPr>
      </w:pPr>
      <w:r w:rsidRPr="00BF3CDE">
        <w:rPr>
          <w:noProof/>
          <w:sz w:val="20"/>
          <w:szCs w:val="20"/>
          <w:lang w:val="sr-Cyrl-CS"/>
        </w:rPr>
        <w:t>Средства техничких резерви утврђују се у складу са чланом 107 Закона о осигурању и имају следећу структуру:</w:t>
      </w:r>
      <w:r w:rsidRPr="00BF3CDE">
        <w:rPr>
          <w:noProof/>
          <w:sz w:val="20"/>
          <w:szCs w:val="20"/>
          <w:lang w:val="sr-Cyrl-CS"/>
        </w:rPr>
        <w:tab/>
      </w:r>
      <w:r w:rsidRPr="00BF3CDE">
        <w:rPr>
          <w:noProof/>
          <w:sz w:val="20"/>
          <w:szCs w:val="20"/>
          <w:lang w:val="sr-Cyrl-CS"/>
        </w:rPr>
        <w:tab/>
      </w:r>
      <w:r w:rsidRPr="00BF3CDE">
        <w:rPr>
          <w:noProof/>
          <w:sz w:val="20"/>
          <w:szCs w:val="20"/>
          <w:lang w:val="sr-Cyrl-CS"/>
        </w:rPr>
        <w:tab/>
      </w:r>
      <w:r w:rsidRPr="00BF3CDE">
        <w:rPr>
          <w:noProof/>
          <w:sz w:val="20"/>
          <w:szCs w:val="20"/>
          <w:lang w:val="sr-Cyrl-CS"/>
        </w:rPr>
        <w:tab/>
      </w:r>
      <w:r w:rsidRPr="00BF3CDE">
        <w:rPr>
          <w:noProof/>
          <w:sz w:val="20"/>
          <w:szCs w:val="20"/>
          <w:lang w:val="sr-Cyrl-CS"/>
        </w:rPr>
        <w:tab/>
      </w:r>
      <w:r w:rsidRPr="00BF3CDE">
        <w:rPr>
          <w:noProof/>
          <w:sz w:val="20"/>
          <w:szCs w:val="20"/>
          <w:lang w:val="sr-Cyrl-CS"/>
        </w:rPr>
        <w:tab/>
        <w:t xml:space="preserve">   у 000 РСД</w:t>
      </w:r>
    </w:p>
    <w:tbl>
      <w:tblPr>
        <w:tblW w:w="8580" w:type="dxa"/>
        <w:jc w:val="center"/>
        <w:tblLook w:val="04A0" w:firstRow="1" w:lastRow="0" w:firstColumn="1" w:lastColumn="0" w:noHBand="0" w:noVBand="1"/>
      </w:tblPr>
      <w:tblGrid>
        <w:gridCol w:w="5260"/>
        <w:gridCol w:w="1660"/>
        <w:gridCol w:w="1660"/>
      </w:tblGrid>
      <w:tr w:rsidR="005841D5" w:rsidRPr="00BF3CDE" w14:paraId="482F663E" w14:textId="77777777" w:rsidTr="005841D5">
        <w:trPr>
          <w:trHeight w:val="315"/>
          <w:jc w:val="center"/>
        </w:trPr>
        <w:tc>
          <w:tcPr>
            <w:tcW w:w="5260" w:type="dxa"/>
            <w:tcBorders>
              <w:top w:val="nil"/>
              <w:left w:val="nil"/>
              <w:bottom w:val="single" w:sz="8" w:space="0" w:color="629DD1"/>
              <w:right w:val="nil"/>
            </w:tcBorders>
            <w:shd w:val="clear" w:color="auto" w:fill="auto"/>
            <w:vAlign w:val="center"/>
            <w:hideMark/>
          </w:tcPr>
          <w:p w14:paraId="61C28941" w14:textId="77777777" w:rsidR="005841D5" w:rsidRPr="00BF3CDE" w:rsidRDefault="005841D5" w:rsidP="005838E3">
            <w:pPr>
              <w:spacing w:after="0" w:line="240" w:lineRule="auto"/>
              <w:jc w:val="center"/>
              <w:rPr>
                <w:rFonts w:ascii="Verdana" w:eastAsia="Times New Roman" w:hAnsi="Verdana" w:cs="Calibri"/>
                <w:b/>
                <w:bCs/>
                <w:noProof/>
                <w:color w:val="000000"/>
                <w:sz w:val="20"/>
                <w:szCs w:val="20"/>
                <w:lang w:val="sr-Cyrl-CS" w:eastAsia="sr-Latn-RS"/>
              </w:rPr>
            </w:pPr>
            <w:r w:rsidRPr="00BF3CDE">
              <w:rPr>
                <w:rFonts w:ascii="Verdana" w:eastAsia="Times New Roman" w:hAnsi="Verdana" w:cs="Calibri"/>
                <w:b/>
                <w:bCs/>
                <w:noProof/>
                <w:color w:val="000000"/>
                <w:sz w:val="20"/>
                <w:szCs w:val="20"/>
                <w:lang w:val="sr-Cyrl-CS" w:eastAsia="sr-Latn-RS"/>
              </w:rPr>
              <w:t> </w:t>
            </w:r>
          </w:p>
        </w:tc>
        <w:tc>
          <w:tcPr>
            <w:tcW w:w="1660" w:type="dxa"/>
            <w:tcBorders>
              <w:top w:val="nil"/>
              <w:left w:val="nil"/>
              <w:bottom w:val="single" w:sz="8" w:space="0" w:color="629DD1"/>
              <w:right w:val="nil"/>
            </w:tcBorders>
            <w:vAlign w:val="center"/>
          </w:tcPr>
          <w:p w14:paraId="7F187E9E" w14:textId="77777777" w:rsidR="005841D5" w:rsidRPr="00BF3CDE" w:rsidRDefault="005841D5" w:rsidP="00C031DE">
            <w:pPr>
              <w:spacing w:after="0" w:line="240" w:lineRule="auto"/>
              <w:jc w:val="center"/>
              <w:rPr>
                <w:rFonts w:ascii="Verdana" w:eastAsia="Times New Roman" w:hAnsi="Verdana" w:cs="Calibri"/>
                <w:b/>
                <w:bCs/>
                <w:noProof/>
                <w:color w:val="000000"/>
                <w:sz w:val="20"/>
                <w:szCs w:val="20"/>
                <w:lang w:val="sr-Cyrl-CS" w:eastAsia="sr-Latn-RS"/>
              </w:rPr>
            </w:pPr>
            <w:r w:rsidRPr="00BF3CDE">
              <w:rPr>
                <w:rFonts w:ascii="Verdana" w:eastAsia="Times New Roman" w:hAnsi="Verdana" w:cs="Calibri"/>
                <w:b/>
                <w:bCs/>
                <w:noProof/>
                <w:color w:val="000000"/>
                <w:sz w:val="20"/>
                <w:szCs w:val="20"/>
                <w:lang w:val="sr-Cyrl-CS" w:eastAsia="sr-Latn-RS"/>
              </w:rPr>
              <w:t>2013</w:t>
            </w:r>
          </w:p>
        </w:tc>
        <w:tc>
          <w:tcPr>
            <w:tcW w:w="1660" w:type="dxa"/>
            <w:tcBorders>
              <w:top w:val="nil"/>
              <w:left w:val="nil"/>
              <w:bottom w:val="single" w:sz="8" w:space="0" w:color="629DD1"/>
              <w:right w:val="nil"/>
            </w:tcBorders>
            <w:shd w:val="clear" w:color="auto" w:fill="auto"/>
            <w:vAlign w:val="center"/>
            <w:hideMark/>
          </w:tcPr>
          <w:p w14:paraId="69BE64D6" w14:textId="77777777" w:rsidR="005841D5" w:rsidRPr="00BF3CDE" w:rsidRDefault="005841D5" w:rsidP="005841D5">
            <w:pPr>
              <w:spacing w:after="0" w:line="240" w:lineRule="auto"/>
              <w:jc w:val="center"/>
              <w:rPr>
                <w:rFonts w:ascii="Verdana" w:eastAsia="Times New Roman" w:hAnsi="Verdana" w:cs="Calibri"/>
                <w:b/>
                <w:bCs/>
                <w:noProof/>
                <w:color w:val="000000"/>
                <w:sz w:val="20"/>
                <w:szCs w:val="20"/>
                <w:lang w:val="sr-Cyrl-CS" w:eastAsia="sr-Latn-RS"/>
              </w:rPr>
            </w:pPr>
            <w:r w:rsidRPr="00BF3CDE">
              <w:rPr>
                <w:rFonts w:ascii="Verdana" w:eastAsia="Times New Roman" w:hAnsi="Verdana" w:cs="Calibri"/>
                <w:b/>
                <w:bCs/>
                <w:noProof/>
                <w:color w:val="000000"/>
                <w:sz w:val="20"/>
                <w:szCs w:val="20"/>
                <w:lang w:val="sr-Cyrl-CS" w:eastAsia="sr-Latn-RS"/>
              </w:rPr>
              <w:t>2014</w:t>
            </w:r>
          </w:p>
        </w:tc>
      </w:tr>
      <w:tr w:rsidR="005841D5" w:rsidRPr="00BF3CDE" w14:paraId="22CE44BF" w14:textId="77777777" w:rsidTr="005841D5">
        <w:trPr>
          <w:trHeight w:val="300"/>
          <w:jc w:val="center"/>
        </w:trPr>
        <w:tc>
          <w:tcPr>
            <w:tcW w:w="5260" w:type="dxa"/>
            <w:tcBorders>
              <w:top w:val="nil"/>
              <w:left w:val="nil"/>
              <w:bottom w:val="nil"/>
              <w:right w:val="nil"/>
            </w:tcBorders>
            <w:shd w:val="clear" w:color="000000" w:fill="D8E6F3"/>
            <w:vAlign w:val="center"/>
            <w:hideMark/>
          </w:tcPr>
          <w:p w14:paraId="5D724611" w14:textId="77777777" w:rsidR="005841D5" w:rsidRPr="00BF3CDE" w:rsidRDefault="005841D5" w:rsidP="005838E3">
            <w:pPr>
              <w:spacing w:after="0" w:line="240" w:lineRule="auto"/>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Математичка резерва</w:t>
            </w:r>
          </w:p>
        </w:tc>
        <w:tc>
          <w:tcPr>
            <w:tcW w:w="1660" w:type="dxa"/>
            <w:tcBorders>
              <w:top w:val="nil"/>
              <w:left w:val="nil"/>
              <w:bottom w:val="nil"/>
              <w:right w:val="nil"/>
            </w:tcBorders>
            <w:shd w:val="clear" w:color="000000" w:fill="D8E6F3"/>
            <w:vAlign w:val="center"/>
          </w:tcPr>
          <w:p w14:paraId="03F6E973" w14:textId="77777777" w:rsidR="005841D5" w:rsidRPr="00BF3CDE" w:rsidRDefault="005841D5" w:rsidP="00C031DE">
            <w:pPr>
              <w:spacing w:after="0" w:line="240" w:lineRule="auto"/>
              <w:jc w:val="right"/>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20,183</w:t>
            </w:r>
          </w:p>
        </w:tc>
        <w:tc>
          <w:tcPr>
            <w:tcW w:w="1660" w:type="dxa"/>
            <w:tcBorders>
              <w:top w:val="nil"/>
              <w:left w:val="nil"/>
              <w:bottom w:val="nil"/>
              <w:right w:val="nil"/>
            </w:tcBorders>
            <w:shd w:val="clear" w:color="000000" w:fill="D8E6F3"/>
            <w:vAlign w:val="center"/>
          </w:tcPr>
          <w:p w14:paraId="32668A24" w14:textId="77777777" w:rsidR="005841D5" w:rsidRPr="00BF3CDE" w:rsidRDefault="005841D5" w:rsidP="005841D5">
            <w:pPr>
              <w:spacing w:after="0" w:line="240" w:lineRule="auto"/>
              <w:jc w:val="right"/>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21.585</w:t>
            </w:r>
          </w:p>
        </w:tc>
      </w:tr>
      <w:tr w:rsidR="005841D5" w:rsidRPr="00BF3CDE" w14:paraId="7273A8CF" w14:textId="77777777" w:rsidTr="005841D5">
        <w:trPr>
          <w:trHeight w:val="300"/>
          <w:jc w:val="center"/>
        </w:trPr>
        <w:tc>
          <w:tcPr>
            <w:tcW w:w="5260" w:type="dxa"/>
            <w:tcBorders>
              <w:top w:val="nil"/>
              <w:left w:val="nil"/>
              <w:bottom w:val="nil"/>
              <w:right w:val="nil"/>
            </w:tcBorders>
            <w:shd w:val="clear" w:color="auto" w:fill="auto"/>
            <w:vAlign w:val="center"/>
            <w:hideMark/>
          </w:tcPr>
          <w:p w14:paraId="5E3019AB" w14:textId="77777777" w:rsidR="005841D5" w:rsidRPr="00BF3CDE" w:rsidRDefault="005841D5" w:rsidP="005838E3">
            <w:pPr>
              <w:spacing w:after="0" w:line="240" w:lineRule="auto"/>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Преносне премије</w:t>
            </w:r>
          </w:p>
        </w:tc>
        <w:tc>
          <w:tcPr>
            <w:tcW w:w="1660" w:type="dxa"/>
            <w:tcBorders>
              <w:top w:val="nil"/>
              <w:left w:val="nil"/>
              <w:bottom w:val="nil"/>
              <w:right w:val="nil"/>
            </w:tcBorders>
            <w:vAlign w:val="center"/>
          </w:tcPr>
          <w:p w14:paraId="76559D7E" w14:textId="77777777" w:rsidR="005841D5" w:rsidRPr="00BF3CDE" w:rsidRDefault="005841D5" w:rsidP="00C031DE">
            <w:pPr>
              <w:spacing w:after="0" w:line="240" w:lineRule="auto"/>
              <w:jc w:val="right"/>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211,058</w:t>
            </w:r>
          </w:p>
        </w:tc>
        <w:tc>
          <w:tcPr>
            <w:tcW w:w="1660" w:type="dxa"/>
            <w:tcBorders>
              <w:top w:val="nil"/>
              <w:left w:val="nil"/>
              <w:bottom w:val="nil"/>
              <w:right w:val="nil"/>
            </w:tcBorders>
            <w:shd w:val="clear" w:color="auto" w:fill="auto"/>
            <w:vAlign w:val="center"/>
          </w:tcPr>
          <w:p w14:paraId="4D87EBF3" w14:textId="77777777" w:rsidR="005841D5" w:rsidRPr="00BF3CDE" w:rsidRDefault="005841D5" w:rsidP="005841D5">
            <w:pPr>
              <w:spacing w:after="0" w:line="240" w:lineRule="auto"/>
              <w:jc w:val="right"/>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341.696</w:t>
            </w:r>
          </w:p>
        </w:tc>
      </w:tr>
      <w:tr w:rsidR="005841D5" w:rsidRPr="00BF3CDE" w14:paraId="2E6A5004" w14:textId="77777777" w:rsidTr="005841D5">
        <w:trPr>
          <w:trHeight w:val="300"/>
          <w:jc w:val="center"/>
        </w:trPr>
        <w:tc>
          <w:tcPr>
            <w:tcW w:w="5260" w:type="dxa"/>
            <w:tcBorders>
              <w:top w:val="nil"/>
              <w:left w:val="nil"/>
              <w:bottom w:val="nil"/>
              <w:right w:val="nil"/>
            </w:tcBorders>
            <w:shd w:val="clear" w:color="000000" w:fill="D8E6F3"/>
            <w:vAlign w:val="center"/>
            <w:hideMark/>
          </w:tcPr>
          <w:p w14:paraId="5A1FFDBE" w14:textId="77777777" w:rsidR="005841D5" w:rsidRPr="00BF3CDE" w:rsidRDefault="005841D5" w:rsidP="005838E3">
            <w:pPr>
              <w:spacing w:after="0" w:line="240" w:lineRule="auto"/>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Резерве за изравнање ризика</w:t>
            </w:r>
          </w:p>
        </w:tc>
        <w:tc>
          <w:tcPr>
            <w:tcW w:w="1660" w:type="dxa"/>
            <w:tcBorders>
              <w:top w:val="nil"/>
              <w:left w:val="nil"/>
              <w:bottom w:val="nil"/>
              <w:right w:val="nil"/>
            </w:tcBorders>
            <w:shd w:val="clear" w:color="000000" w:fill="D8E6F3"/>
            <w:vAlign w:val="center"/>
          </w:tcPr>
          <w:p w14:paraId="18563546" w14:textId="682E5E7F" w:rsidR="005841D5" w:rsidRPr="00BF3CDE" w:rsidRDefault="005841D5" w:rsidP="00C77721">
            <w:pPr>
              <w:spacing w:after="0" w:line="240" w:lineRule="auto"/>
              <w:jc w:val="right"/>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199,</w:t>
            </w:r>
            <w:r w:rsidR="00C77721" w:rsidRPr="00BF3CDE">
              <w:rPr>
                <w:rFonts w:ascii="Verdana" w:eastAsia="Times New Roman" w:hAnsi="Verdana" w:cs="Calibri"/>
                <w:noProof/>
                <w:color w:val="000000"/>
                <w:sz w:val="20"/>
                <w:szCs w:val="20"/>
                <w:lang w:val="sr-Cyrl-CS" w:eastAsia="sr-Latn-RS"/>
              </w:rPr>
              <w:t>45</w:t>
            </w:r>
            <w:r w:rsidR="00C77721">
              <w:rPr>
                <w:rFonts w:ascii="Verdana" w:eastAsia="Times New Roman" w:hAnsi="Verdana" w:cs="Calibri"/>
                <w:noProof/>
                <w:color w:val="000000"/>
                <w:sz w:val="20"/>
                <w:szCs w:val="20"/>
                <w:lang w:val="sr-Cyrl-CS" w:eastAsia="sr-Latn-RS"/>
              </w:rPr>
              <w:t>3</w:t>
            </w:r>
          </w:p>
        </w:tc>
        <w:tc>
          <w:tcPr>
            <w:tcW w:w="1660" w:type="dxa"/>
            <w:tcBorders>
              <w:top w:val="nil"/>
              <w:left w:val="nil"/>
              <w:bottom w:val="nil"/>
              <w:right w:val="nil"/>
            </w:tcBorders>
            <w:shd w:val="clear" w:color="000000" w:fill="D8E6F3"/>
            <w:vAlign w:val="center"/>
          </w:tcPr>
          <w:p w14:paraId="3E466A57" w14:textId="77777777" w:rsidR="005841D5" w:rsidRPr="00BF3CDE" w:rsidRDefault="005841D5" w:rsidP="005841D5">
            <w:pPr>
              <w:spacing w:after="0" w:line="240" w:lineRule="auto"/>
              <w:jc w:val="right"/>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220.696</w:t>
            </w:r>
          </w:p>
        </w:tc>
      </w:tr>
      <w:tr w:rsidR="005841D5" w:rsidRPr="00BF3CDE" w14:paraId="0391633D" w14:textId="77777777" w:rsidTr="005841D5">
        <w:trPr>
          <w:trHeight w:val="315"/>
          <w:jc w:val="center"/>
        </w:trPr>
        <w:tc>
          <w:tcPr>
            <w:tcW w:w="5260" w:type="dxa"/>
            <w:tcBorders>
              <w:top w:val="nil"/>
              <w:left w:val="nil"/>
              <w:bottom w:val="nil"/>
              <w:right w:val="nil"/>
            </w:tcBorders>
            <w:shd w:val="clear" w:color="auto" w:fill="auto"/>
            <w:vAlign w:val="center"/>
            <w:hideMark/>
          </w:tcPr>
          <w:p w14:paraId="3F8C7D13" w14:textId="77777777" w:rsidR="005841D5" w:rsidRPr="00BF3CDE" w:rsidRDefault="005841D5" w:rsidP="005838E3">
            <w:pPr>
              <w:spacing w:after="0" w:line="240" w:lineRule="auto"/>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Резервисане штете</w:t>
            </w:r>
          </w:p>
        </w:tc>
        <w:tc>
          <w:tcPr>
            <w:tcW w:w="1660" w:type="dxa"/>
            <w:tcBorders>
              <w:top w:val="nil"/>
              <w:left w:val="nil"/>
              <w:bottom w:val="nil"/>
              <w:right w:val="nil"/>
            </w:tcBorders>
            <w:vAlign w:val="center"/>
          </w:tcPr>
          <w:p w14:paraId="0BA710A8" w14:textId="77777777" w:rsidR="005841D5" w:rsidRPr="00BF3CDE" w:rsidRDefault="005841D5" w:rsidP="00C031DE">
            <w:pPr>
              <w:spacing w:after="0" w:line="240" w:lineRule="auto"/>
              <w:jc w:val="right"/>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1,002,683</w:t>
            </w:r>
          </w:p>
        </w:tc>
        <w:tc>
          <w:tcPr>
            <w:tcW w:w="1660" w:type="dxa"/>
            <w:tcBorders>
              <w:top w:val="nil"/>
              <w:left w:val="nil"/>
              <w:bottom w:val="nil"/>
              <w:right w:val="nil"/>
            </w:tcBorders>
            <w:shd w:val="clear" w:color="auto" w:fill="auto"/>
            <w:vAlign w:val="center"/>
          </w:tcPr>
          <w:p w14:paraId="2336ACD6" w14:textId="77777777" w:rsidR="005841D5" w:rsidRPr="00BF3CDE" w:rsidRDefault="005841D5" w:rsidP="005841D5">
            <w:pPr>
              <w:spacing w:after="0" w:line="240" w:lineRule="auto"/>
              <w:jc w:val="right"/>
              <w:rPr>
                <w:rFonts w:ascii="Verdana" w:eastAsia="Times New Roman" w:hAnsi="Verdana" w:cs="Calibri"/>
                <w:noProof/>
                <w:color w:val="000000"/>
                <w:sz w:val="20"/>
                <w:szCs w:val="20"/>
                <w:lang w:val="sr-Cyrl-CS" w:eastAsia="sr-Latn-RS"/>
              </w:rPr>
            </w:pPr>
            <w:r w:rsidRPr="00BF3CDE">
              <w:rPr>
                <w:rFonts w:ascii="Verdana" w:eastAsia="Times New Roman" w:hAnsi="Verdana" w:cs="Calibri"/>
                <w:noProof/>
                <w:color w:val="000000"/>
                <w:sz w:val="20"/>
                <w:szCs w:val="20"/>
                <w:lang w:val="sr-Cyrl-CS" w:eastAsia="sr-Latn-RS"/>
              </w:rPr>
              <w:t>1.549.504</w:t>
            </w:r>
          </w:p>
        </w:tc>
      </w:tr>
      <w:tr w:rsidR="005841D5" w:rsidRPr="00BF3CDE" w14:paraId="3F68E6D0" w14:textId="77777777" w:rsidTr="005841D5">
        <w:trPr>
          <w:trHeight w:val="315"/>
          <w:jc w:val="center"/>
        </w:trPr>
        <w:tc>
          <w:tcPr>
            <w:tcW w:w="5260" w:type="dxa"/>
            <w:tcBorders>
              <w:top w:val="single" w:sz="8" w:space="0" w:color="629DD1"/>
              <w:left w:val="nil"/>
              <w:bottom w:val="single" w:sz="8" w:space="0" w:color="629DD1"/>
              <w:right w:val="nil"/>
            </w:tcBorders>
            <w:shd w:val="clear" w:color="auto" w:fill="auto"/>
            <w:vAlign w:val="center"/>
            <w:hideMark/>
          </w:tcPr>
          <w:p w14:paraId="7B98D84C" w14:textId="77777777" w:rsidR="005841D5" w:rsidRPr="00BF3CDE" w:rsidRDefault="005841D5" w:rsidP="005838E3">
            <w:pPr>
              <w:spacing w:after="0" w:line="240" w:lineRule="auto"/>
              <w:rPr>
                <w:rFonts w:ascii="Verdana" w:eastAsia="Times New Roman" w:hAnsi="Verdana" w:cs="Calibri"/>
                <w:b/>
                <w:bCs/>
                <w:noProof/>
                <w:color w:val="242852"/>
                <w:sz w:val="20"/>
                <w:szCs w:val="20"/>
                <w:lang w:val="sr-Cyrl-CS" w:eastAsia="sr-Latn-RS"/>
              </w:rPr>
            </w:pPr>
            <w:r w:rsidRPr="00BF3CDE">
              <w:rPr>
                <w:rFonts w:ascii="Verdana" w:eastAsia="Times New Roman" w:hAnsi="Verdana" w:cs="Calibri"/>
                <w:b/>
                <w:bCs/>
                <w:noProof/>
                <w:color w:val="242852"/>
                <w:sz w:val="20"/>
                <w:szCs w:val="20"/>
                <w:lang w:val="sr-Cyrl-CS" w:eastAsia="sr-Latn-RS"/>
              </w:rPr>
              <w:t>Стање на дан 31. децембар</w:t>
            </w:r>
          </w:p>
        </w:tc>
        <w:tc>
          <w:tcPr>
            <w:tcW w:w="1660" w:type="dxa"/>
            <w:tcBorders>
              <w:top w:val="single" w:sz="8" w:space="0" w:color="629DD1"/>
              <w:left w:val="nil"/>
              <w:bottom w:val="single" w:sz="8" w:space="0" w:color="629DD1"/>
              <w:right w:val="nil"/>
            </w:tcBorders>
            <w:vAlign w:val="center"/>
          </w:tcPr>
          <w:p w14:paraId="31AEE434" w14:textId="55EC0F65" w:rsidR="005841D5" w:rsidRPr="00BF3CDE" w:rsidRDefault="005841D5" w:rsidP="00C77721">
            <w:pPr>
              <w:spacing w:after="0" w:line="240" w:lineRule="auto"/>
              <w:jc w:val="right"/>
              <w:rPr>
                <w:rFonts w:ascii="Verdana" w:eastAsia="Times New Roman" w:hAnsi="Verdana" w:cs="Calibri"/>
                <w:b/>
                <w:bCs/>
                <w:noProof/>
                <w:color w:val="242852"/>
                <w:sz w:val="20"/>
                <w:szCs w:val="20"/>
                <w:lang w:val="sr-Cyrl-CS" w:eastAsia="sr-Latn-RS"/>
              </w:rPr>
            </w:pPr>
            <w:r w:rsidRPr="00BF3CDE">
              <w:rPr>
                <w:rFonts w:ascii="Verdana" w:eastAsia="Times New Roman" w:hAnsi="Verdana" w:cs="Calibri"/>
                <w:b/>
                <w:bCs/>
                <w:noProof/>
                <w:color w:val="242852"/>
                <w:sz w:val="20"/>
                <w:szCs w:val="20"/>
                <w:lang w:val="sr-Cyrl-CS" w:eastAsia="sr-Latn-RS"/>
              </w:rPr>
              <w:t>1,433,</w:t>
            </w:r>
            <w:r w:rsidR="00C77721" w:rsidRPr="00BF3CDE">
              <w:rPr>
                <w:rFonts w:ascii="Verdana" w:eastAsia="Times New Roman" w:hAnsi="Verdana" w:cs="Calibri"/>
                <w:b/>
                <w:bCs/>
                <w:noProof/>
                <w:color w:val="242852"/>
                <w:sz w:val="20"/>
                <w:szCs w:val="20"/>
                <w:lang w:val="sr-Cyrl-CS" w:eastAsia="sr-Latn-RS"/>
              </w:rPr>
              <w:t>37</w:t>
            </w:r>
            <w:r w:rsidR="00C77721">
              <w:rPr>
                <w:rFonts w:ascii="Verdana" w:eastAsia="Times New Roman" w:hAnsi="Verdana" w:cs="Calibri"/>
                <w:b/>
                <w:bCs/>
                <w:noProof/>
                <w:color w:val="242852"/>
                <w:sz w:val="20"/>
                <w:szCs w:val="20"/>
                <w:lang w:val="sr-Cyrl-CS" w:eastAsia="sr-Latn-RS"/>
              </w:rPr>
              <w:t>7</w:t>
            </w:r>
          </w:p>
        </w:tc>
        <w:tc>
          <w:tcPr>
            <w:tcW w:w="1660" w:type="dxa"/>
            <w:tcBorders>
              <w:top w:val="single" w:sz="8" w:space="0" w:color="629DD1"/>
              <w:left w:val="nil"/>
              <w:bottom w:val="single" w:sz="8" w:space="0" w:color="629DD1"/>
              <w:right w:val="nil"/>
            </w:tcBorders>
            <w:shd w:val="clear" w:color="auto" w:fill="auto"/>
            <w:vAlign w:val="center"/>
          </w:tcPr>
          <w:p w14:paraId="1D757DD4" w14:textId="77777777" w:rsidR="005841D5" w:rsidRPr="00BF3CDE" w:rsidRDefault="005841D5" w:rsidP="005841D5">
            <w:pPr>
              <w:spacing w:after="0" w:line="240" w:lineRule="auto"/>
              <w:jc w:val="right"/>
              <w:rPr>
                <w:rFonts w:ascii="Verdana" w:eastAsia="Times New Roman" w:hAnsi="Verdana" w:cs="Calibri"/>
                <w:b/>
                <w:noProof/>
                <w:color w:val="000000"/>
                <w:sz w:val="20"/>
                <w:szCs w:val="20"/>
                <w:lang w:val="sr-Cyrl-CS" w:eastAsia="sr-Latn-RS"/>
              </w:rPr>
            </w:pPr>
            <w:r w:rsidRPr="00BF3CDE">
              <w:rPr>
                <w:rFonts w:ascii="Verdana" w:eastAsia="Times New Roman" w:hAnsi="Verdana" w:cs="Calibri"/>
                <w:b/>
                <w:noProof/>
                <w:color w:val="000000"/>
                <w:sz w:val="20"/>
                <w:szCs w:val="20"/>
                <w:lang w:val="sr-Cyrl-CS" w:eastAsia="sr-Latn-RS"/>
              </w:rPr>
              <w:t>2.161.681</w:t>
            </w:r>
          </w:p>
        </w:tc>
      </w:tr>
    </w:tbl>
    <w:p w14:paraId="366B8744" w14:textId="77777777" w:rsidR="005838E3" w:rsidRPr="00BF3CDE" w:rsidRDefault="005838E3" w:rsidP="004C0359">
      <w:pPr>
        <w:ind w:firstLine="567"/>
        <w:jc w:val="both"/>
        <w:rPr>
          <w:noProof/>
          <w:sz w:val="2"/>
          <w:szCs w:val="2"/>
          <w:highlight w:val="yellow"/>
          <w:lang w:val="sr-Cyrl-CS"/>
        </w:rPr>
      </w:pPr>
    </w:p>
    <w:p w14:paraId="5630FD0A" w14:textId="77777777" w:rsidR="004C0359" w:rsidRPr="00BF3CDE" w:rsidRDefault="004C0359" w:rsidP="004C0359">
      <w:pPr>
        <w:ind w:firstLine="567"/>
        <w:jc w:val="both"/>
        <w:rPr>
          <w:noProof/>
          <w:sz w:val="20"/>
          <w:szCs w:val="20"/>
          <w:lang w:val="sr-Cyrl-CS"/>
        </w:rPr>
      </w:pPr>
      <w:r w:rsidRPr="00BF3CDE">
        <w:rPr>
          <w:noProof/>
          <w:sz w:val="20"/>
          <w:szCs w:val="20"/>
          <w:lang w:val="sr-Cyrl-CS"/>
        </w:rPr>
        <w:t>Друштво је средства техничких резерви на дан 31. децембар 201</w:t>
      </w:r>
      <w:r w:rsidR="005841D5" w:rsidRPr="00BF3CDE">
        <w:rPr>
          <w:noProof/>
          <w:sz w:val="20"/>
          <w:szCs w:val="20"/>
          <w:lang w:val="sr-Cyrl-CS"/>
        </w:rPr>
        <w:t>4</w:t>
      </w:r>
      <w:r w:rsidRPr="00BF3CDE">
        <w:rPr>
          <w:noProof/>
          <w:sz w:val="20"/>
          <w:szCs w:val="20"/>
          <w:lang w:val="sr-Cyrl-CS"/>
        </w:rPr>
        <w:t>. године уложило у следеће пласмане:</w:t>
      </w:r>
    </w:p>
    <w:tbl>
      <w:tblPr>
        <w:tblW w:w="8864" w:type="dxa"/>
        <w:jc w:val="center"/>
        <w:tblLook w:val="04A0" w:firstRow="1" w:lastRow="0" w:firstColumn="1" w:lastColumn="0" w:noHBand="0" w:noVBand="1"/>
      </w:tblPr>
      <w:tblGrid>
        <w:gridCol w:w="5544"/>
        <w:gridCol w:w="1660"/>
        <w:gridCol w:w="1660"/>
      </w:tblGrid>
      <w:tr w:rsidR="005841D5" w:rsidRPr="00BF3CDE" w14:paraId="457EB884" w14:textId="77777777" w:rsidTr="005841D5">
        <w:trPr>
          <w:trHeight w:val="397"/>
          <w:jc w:val="center"/>
        </w:trPr>
        <w:tc>
          <w:tcPr>
            <w:tcW w:w="5544" w:type="dxa"/>
            <w:tcBorders>
              <w:top w:val="nil"/>
              <w:left w:val="nil"/>
              <w:bottom w:val="single" w:sz="8" w:space="0" w:color="629DD1"/>
              <w:right w:val="nil"/>
            </w:tcBorders>
            <w:shd w:val="clear" w:color="auto" w:fill="auto"/>
            <w:vAlign w:val="center"/>
            <w:hideMark/>
          </w:tcPr>
          <w:p w14:paraId="30685175" w14:textId="77777777" w:rsidR="005841D5" w:rsidRPr="00BF3CDE" w:rsidRDefault="005841D5" w:rsidP="005841D5">
            <w:pPr>
              <w:pStyle w:val="NoSpacing"/>
              <w:jc w:val="center"/>
              <w:rPr>
                <w:rFonts w:eastAsia="Times New Roman"/>
                <w:b/>
                <w:noProof/>
                <w:sz w:val="20"/>
                <w:lang w:val="sr-Cyrl-CS"/>
              </w:rPr>
            </w:pPr>
            <w:r w:rsidRPr="00BF3CDE">
              <w:rPr>
                <w:rFonts w:eastAsia="Times New Roman"/>
                <w:b/>
                <w:noProof/>
                <w:sz w:val="20"/>
                <w:lang w:val="sr-Cyrl-CS"/>
              </w:rPr>
              <w:t>Пласмани</w:t>
            </w:r>
          </w:p>
        </w:tc>
        <w:tc>
          <w:tcPr>
            <w:tcW w:w="1660" w:type="dxa"/>
            <w:tcBorders>
              <w:top w:val="nil"/>
              <w:left w:val="nil"/>
              <w:bottom w:val="single" w:sz="8" w:space="0" w:color="629DD1"/>
              <w:right w:val="nil"/>
            </w:tcBorders>
            <w:shd w:val="clear" w:color="auto" w:fill="auto"/>
            <w:vAlign w:val="center"/>
            <w:hideMark/>
          </w:tcPr>
          <w:p w14:paraId="2D09D3C4" w14:textId="77777777" w:rsidR="005841D5" w:rsidRPr="00BF3CDE" w:rsidRDefault="005841D5" w:rsidP="005841D5">
            <w:pPr>
              <w:pStyle w:val="NoSpacing"/>
              <w:jc w:val="center"/>
              <w:rPr>
                <w:rFonts w:eastAsia="Times New Roman"/>
                <w:b/>
                <w:noProof/>
                <w:sz w:val="20"/>
                <w:lang w:val="sr-Cyrl-CS"/>
              </w:rPr>
            </w:pPr>
            <w:r w:rsidRPr="00BF3CDE">
              <w:rPr>
                <w:rFonts w:eastAsia="Times New Roman"/>
                <w:b/>
                <w:noProof/>
                <w:sz w:val="20"/>
                <w:lang w:val="sr-Cyrl-CS"/>
              </w:rPr>
              <w:t>Износ у 000 РСД</w:t>
            </w:r>
          </w:p>
        </w:tc>
        <w:tc>
          <w:tcPr>
            <w:tcW w:w="1660" w:type="dxa"/>
            <w:tcBorders>
              <w:top w:val="nil"/>
              <w:left w:val="nil"/>
              <w:bottom w:val="single" w:sz="8" w:space="0" w:color="629DD1"/>
              <w:right w:val="nil"/>
            </w:tcBorders>
            <w:shd w:val="clear" w:color="auto" w:fill="auto"/>
            <w:vAlign w:val="center"/>
            <w:hideMark/>
          </w:tcPr>
          <w:p w14:paraId="6D0DCD02" w14:textId="77777777" w:rsidR="005841D5" w:rsidRPr="00BF3CDE" w:rsidRDefault="005841D5" w:rsidP="005841D5">
            <w:pPr>
              <w:pStyle w:val="NoSpacing"/>
              <w:jc w:val="center"/>
              <w:rPr>
                <w:rFonts w:eastAsia="Times New Roman"/>
                <w:b/>
                <w:noProof/>
                <w:sz w:val="20"/>
                <w:lang w:val="sr-Cyrl-CS"/>
              </w:rPr>
            </w:pPr>
            <w:r w:rsidRPr="00BF3CDE">
              <w:rPr>
                <w:rFonts w:eastAsia="Times New Roman"/>
                <w:b/>
                <w:noProof/>
                <w:sz w:val="20"/>
                <w:lang w:val="sr-Cyrl-CS"/>
              </w:rPr>
              <w:t>Учешће</w:t>
            </w:r>
          </w:p>
        </w:tc>
      </w:tr>
      <w:tr w:rsidR="005841D5" w:rsidRPr="00BF3CDE" w14:paraId="40C010F4" w14:textId="77777777" w:rsidTr="005841D5">
        <w:trPr>
          <w:trHeight w:val="283"/>
          <w:jc w:val="center"/>
        </w:trPr>
        <w:tc>
          <w:tcPr>
            <w:tcW w:w="5544" w:type="dxa"/>
            <w:tcBorders>
              <w:top w:val="single" w:sz="8" w:space="0" w:color="629DD1"/>
              <w:left w:val="nil"/>
              <w:right w:val="nil"/>
            </w:tcBorders>
            <w:shd w:val="clear" w:color="auto" w:fill="DBE5F1" w:themeFill="accent1" w:themeFillTint="33"/>
            <w:vAlign w:val="center"/>
            <w:hideMark/>
          </w:tcPr>
          <w:p w14:paraId="29798449" w14:textId="77777777" w:rsidR="005841D5" w:rsidRPr="00BF3CDE" w:rsidRDefault="005841D5" w:rsidP="005841D5">
            <w:pPr>
              <w:pStyle w:val="NoSpacing"/>
              <w:rPr>
                <w:rFonts w:eastAsia="Times New Roman"/>
                <w:noProof/>
                <w:sz w:val="20"/>
                <w:lang w:val="sr-Cyrl-CS"/>
              </w:rPr>
            </w:pPr>
            <w:r w:rsidRPr="00BF3CDE">
              <w:rPr>
                <w:rFonts w:eastAsia="Times New Roman"/>
                <w:noProof/>
                <w:sz w:val="20"/>
                <w:lang w:val="sr-Cyrl-CS"/>
              </w:rPr>
              <w:t>Депозити код банка</w:t>
            </w:r>
          </w:p>
        </w:tc>
        <w:tc>
          <w:tcPr>
            <w:tcW w:w="1660" w:type="dxa"/>
            <w:tcBorders>
              <w:top w:val="single" w:sz="8" w:space="0" w:color="629DD1"/>
              <w:left w:val="nil"/>
              <w:right w:val="nil"/>
            </w:tcBorders>
            <w:shd w:val="clear" w:color="auto" w:fill="DBE5F1" w:themeFill="accent1" w:themeFillTint="33"/>
            <w:vAlign w:val="center"/>
            <w:hideMark/>
          </w:tcPr>
          <w:p w14:paraId="35D4A050" w14:textId="77777777" w:rsidR="005841D5" w:rsidRPr="00BF3CDE" w:rsidRDefault="005841D5" w:rsidP="005841D5">
            <w:pPr>
              <w:pStyle w:val="NoSpacing"/>
              <w:jc w:val="right"/>
              <w:rPr>
                <w:rFonts w:eastAsia="Times New Roman"/>
                <w:noProof/>
                <w:sz w:val="20"/>
                <w:lang w:val="sr-Cyrl-CS"/>
              </w:rPr>
            </w:pPr>
            <w:r w:rsidRPr="00BF3CDE">
              <w:rPr>
                <w:rFonts w:eastAsia="Times New Roman"/>
                <w:noProof/>
                <w:sz w:val="20"/>
                <w:lang w:val="sr-Cyrl-CS"/>
              </w:rPr>
              <w:t>133.054</w:t>
            </w:r>
          </w:p>
        </w:tc>
        <w:tc>
          <w:tcPr>
            <w:tcW w:w="1660" w:type="dxa"/>
            <w:tcBorders>
              <w:top w:val="single" w:sz="8" w:space="0" w:color="629DD1"/>
              <w:left w:val="nil"/>
              <w:right w:val="nil"/>
            </w:tcBorders>
            <w:shd w:val="clear" w:color="auto" w:fill="DBE5F1" w:themeFill="accent1" w:themeFillTint="33"/>
            <w:vAlign w:val="center"/>
            <w:hideMark/>
          </w:tcPr>
          <w:p w14:paraId="3916F4F4" w14:textId="77777777" w:rsidR="005841D5" w:rsidRPr="00BF3CDE" w:rsidRDefault="005841D5" w:rsidP="005841D5">
            <w:pPr>
              <w:pStyle w:val="NoSpacing"/>
              <w:jc w:val="center"/>
              <w:rPr>
                <w:rFonts w:eastAsia="Times New Roman"/>
                <w:noProof/>
                <w:sz w:val="20"/>
                <w:lang w:val="sr-Cyrl-CS"/>
              </w:rPr>
            </w:pPr>
            <w:r w:rsidRPr="00BF3CDE">
              <w:rPr>
                <w:rFonts w:eastAsia="Times New Roman"/>
                <w:noProof/>
                <w:sz w:val="20"/>
                <w:lang w:val="sr-Cyrl-CS"/>
              </w:rPr>
              <w:t>6,16%</w:t>
            </w:r>
          </w:p>
        </w:tc>
      </w:tr>
      <w:tr w:rsidR="005841D5" w:rsidRPr="00BF3CDE" w14:paraId="328F614B" w14:textId="77777777" w:rsidTr="005841D5">
        <w:trPr>
          <w:trHeight w:val="283"/>
          <w:jc w:val="center"/>
        </w:trPr>
        <w:tc>
          <w:tcPr>
            <w:tcW w:w="5544" w:type="dxa"/>
            <w:tcBorders>
              <w:top w:val="nil"/>
              <w:left w:val="nil"/>
              <w:right w:val="nil"/>
            </w:tcBorders>
            <w:shd w:val="clear" w:color="auto" w:fill="auto"/>
            <w:vAlign w:val="center"/>
            <w:hideMark/>
          </w:tcPr>
          <w:p w14:paraId="23573217" w14:textId="77777777" w:rsidR="005841D5" w:rsidRPr="00BF3CDE" w:rsidRDefault="005841D5" w:rsidP="005841D5">
            <w:pPr>
              <w:pStyle w:val="NoSpacing"/>
              <w:rPr>
                <w:rFonts w:eastAsia="Times New Roman"/>
                <w:noProof/>
                <w:sz w:val="20"/>
                <w:lang w:val="sr-Cyrl-CS"/>
              </w:rPr>
            </w:pPr>
            <w:r w:rsidRPr="00BF3CDE">
              <w:rPr>
                <w:rFonts w:eastAsia="Times New Roman"/>
                <w:noProof/>
                <w:sz w:val="20"/>
                <w:lang w:val="sr-Cyrl-CS"/>
              </w:rPr>
              <w:t>Акције на листи А београдске берзе</w:t>
            </w:r>
          </w:p>
        </w:tc>
        <w:tc>
          <w:tcPr>
            <w:tcW w:w="1660" w:type="dxa"/>
            <w:tcBorders>
              <w:top w:val="nil"/>
              <w:left w:val="nil"/>
              <w:right w:val="nil"/>
            </w:tcBorders>
            <w:shd w:val="clear" w:color="auto" w:fill="auto"/>
            <w:vAlign w:val="center"/>
            <w:hideMark/>
          </w:tcPr>
          <w:p w14:paraId="632960D7" w14:textId="77777777" w:rsidR="005841D5" w:rsidRPr="00BF3CDE" w:rsidRDefault="005841D5" w:rsidP="005841D5">
            <w:pPr>
              <w:pStyle w:val="NoSpacing"/>
              <w:jc w:val="right"/>
              <w:rPr>
                <w:rFonts w:eastAsia="Times New Roman"/>
                <w:noProof/>
                <w:sz w:val="20"/>
                <w:lang w:val="sr-Cyrl-CS"/>
              </w:rPr>
            </w:pPr>
            <w:r w:rsidRPr="00BF3CDE">
              <w:rPr>
                <w:rFonts w:eastAsia="Times New Roman"/>
                <w:noProof/>
                <w:sz w:val="20"/>
                <w:lang w:val="sr-Cyrl-CS"/>
              </w:rPr>
              <w:t>13.296</w:t>
            </w:r>
          </w:p>
        </w:tc>
        <w:tc>
          <w:tcPr>
            <w:tcW w:w="1660" w:type="dxa"/>
            <w:tcBorders>
              <w:top w:val="nil"/>
              <w:left w:val="nil"/>
              <w:right w:val="nil"/>
            </w:tcBorders>
            <w:shd w:val="clear" w:color="auto" w:fill="auto"/>
            <w:vAlign w:val="center"/>
            <w:hideMark/>
          </w:tcPr>
          <w:p w14:paraId="4574F2B2" w14:textId="77777777" w:rsidR="005841D5" w:rsidRPr="00BF3CDE" w:rsidRDefault="005841D5" w:rsidP="005841D5">
            <w:pPr>
              <w:pStyle w:val="NoSpacing"/>
              <w:jc w:val="center"/>
              <w:rPr>
                <w:rFonts w:eastAsia="Times New Roman"/>
                <w:noProof/>
                <w:sz w:val="20"/>
                <w:lang w:val="sr-Cyrl-CS"/>
              </w:rPr>
            </w:pPr>
            <w:r w:rsidRPr="00BF3CDE">
              <w:rPr>
                <w:rFonts w:eastAsia="Times New Roman"/>
                <w:noProof/>
                <w:sz w:val="20"/>
                <w:lang w:val="sr-Cyrl-CS"/>
              </w:rPr>
              <w:t>0,62%</w:t>
            </w:r>
          </w:p>
        </w:tc>
      </w:tr>
      <w:tr w:rsidR="005841D5" w:rsidRPr="00BF3CDE" w14:paraId="44C8472F" w14:textId="77777777" w:rsidTr="005841D5">
        <w:trPr>
          <w:trHeight w:val="283"/>
          <w:jc w:val="center"/>
        </w:trPr>
        <w:tc>
          <w:tcPr>
            <w:tcW w:w="5544" w:type="dxa"/>
            <w:tcBorders>
              <w:top w:val="nil"/>
              <w:left w:val="nil"/>
              <w:right w:val="nil"/>
            </w:tcBorders>
            <w:shd w:val="clear" w:color="auto" w:fill="DBE5F1" w:themeFill="accent1" w:themeFillTint="33"/>
            <w:vAlign w:val="center"/>
            <w:hideMark/>
          </w:tcPr>
          <w:p w14:paraId="419450CA" w14:textId="77777777" w:rsidR="005841D5" w:rsidRPr="00BF3CDE" w:rsidRDefault="005841D5" w:rsidP="005841D5">
            <w:pPr>
              <w:pStyle w:val="NoSpacing"/>
              <w:rPr>
                <w:rFonts w:eastAsia="Times New Roman"/>
                <w:noProof/>
                <w:sz w:val="20"/>
                <w:lang w:val="sr-Cyrl-CS"/>
              </w:rPr>
            </w:pPr>
            <w:r w:rsidRPr="00BF3CDE">
              <w:rPr>
                <w:rFonts w:eastAsia="Times New Roman"/>
                <w:noProof/>
                <w:sz w:val="20"/>
                <w:lang w:val="sr-Cyrl-CS"/>
              </w:rPr>
              <w:t>Акције ван лисе А београдске берзе</w:t>
            </w:r>
          </w:p>
        </w:tc>
        <w:tc>
          <w:tcPr>
            <w:tcW w:w="1660" w:type="dxa"/>
            <w:tcBorders>
              <w:top w:val="nil"/>
              <w:left w:val="nil"/>
              <w:right w:val="nil"/>
            </w:tcBorders>
            <w:shd w:val="clear" w:color="auto" w:fill="DBE5F1" w:themeFill="accent1" w:themeFillTint="33"/>
            <w:vAlign w:val="center"/>
            <w:hideMark/>
          </w:tcPr>
          <w:p w14:paraId="71EC275A" w14:textId="77777777" w:rsidR="005841D5" w:rsidRPr="00BF3CDE" w:rsidRDefault="005841D5" w:rsidP="005841D5">
            <w:pPr>
              <w:pStyle w:val="NoSpacing"/>
              <w:jc w:val="right"/>
              <w:rPr>
                <w:rFonts w:eastAsia="Times New Roman"/>
                <w:noProof/>
                <w:sz w:val="20"/>
                <w:lang w:val="sr-Cyrl-CS"/>
              </w:rPr>
            </w:pPr>
            <w:r w:rsidRPr="00BF3CDE">
              <w:rPr>
                <w:rFonts w:eastAsia="Times New Roman"/>
                <w:noProof/>
                <w:sz w:val="20"/>
                <w:lang w:val="sr-Cyrl-CS"/>
              </w:rPr>
              <w:t>18.951</w:t>
            </w:r>
          </w:p>
        </w:tc>
        <w:tc>
          <w:tcPr>
            <w:tcW w:w="1660" w:type="dxa"/>
            <w:tcBorders>
              <w:top w:val="nil"/>
              <w:left w:val="nil"/>
              <w:right w:val="nil"/>
            </w:tcBorders>
            <w:shd w:val="clear" w:color="auto" w:fill="DBE5F1" w:themeFill="accent1" w:themeFillTint="33"/>
            <w:vAlign w:val="center"/>
            <w:hideMark/>
          </w:tcPr>
          <w:p w14:paraId="0BAE9CF6" w14:textId="77777777" w:rsidR="005841D5" w:rsidRPr="00BF3CDE" w:rsidRDefault="005841D5" w:rsidP="005841D5">
            <w:pPr>
              <w:pStyle w:val="NoSpacing"/>
              <w:jc w:val="center"/>
              <w:rPr>
                <w:rFonts w:eastAsia="Times New Roman"/>
                <w:noProof/>
                <w:sz w:val="20"/>
                <w:lang w:val="sr-Cyrl-CS"/>
              </w:rPr>
            </w:pPr>
            <w:r w:rsidRPr="00BF3CDE">
              <w:rPr>
                <w:rFonts w:eastAsia="Times New Roman"/>
                <w:noProof/>
                <w:sz w:val="20"/>
                <w:lang w:val="sr-Cyrl-CS"/>
              </w:rPr>
              <w:t>0,88%</w:t>
            </w:r>
          </w:p>
        </w:tc>
      </w:tr>
      <w:tr w:rsidR="005841D5" w:rsidRPr="00BF3CDE" w14:paraId="31FCFBF7" w14:textId="77777777" w:rsidTr="005841D5">
        <w:trPr>
          <w:trHeight w:val="283"/>
          <w:jc w:val="center"/>
        </w:trPr>
        <w:tc>
          <w:tcPr>
            <w:tcW w:w="5544" w:type="dxa"/>
            <w:tcBorders>
              <w:top w:val="nil"/>
              <w:left w:val="nil"/>
              <w:right w:val="nil"/>
            </w:tcBorders>
            <w:shd w:val="clear" w:color="auto" w:fill="auto"/>
            <w:vAlign w:val="center"/>
            <w:hideMark/>
          </w:tcPr>
          <w:p w14:paraId="525FAA4B" w14:textId="77777777" w:rsidR="005841D5" w:rsidRPr="00BF3CDE" w:rsidRDefault="005841D5" w:rsidP="005841D5">
            <w:pPr>
              <w:pStyle w:val="NoSpacing"/>
              <w:rPr>
                <w:rFonts w:eastAsia="Times New Roman"/>
                <w:noProof/>
                <w:sz w:val="20"/>
                <w:lang w:val="sr-Cyrl-CS"/>
              </w:rPr>
            </w:pPr>
            <w:r w:rsidRPr="00BF3CDE">
              <w:rPr>
                <w:rFonts w:eastAsia="Times New Roman"/>
                <w:noProof/>
                <w:sz w:val="20"/>
                <w:lang w:val="sr-Cyrl-CS"/>
              </w:rPr>
              <w:t>Записи РС</w:t>
            </w:r>
          </w:p>
        </w:tc>
        <w:tc>
          <w:tcPr>
            <w:tcW w:w="1660" w:type="dxa"/>
            <w:tcBorders>
              <w:top w:val="nil"/>
              <w:left w:val="nil"/>
              <w:right w:val="nil"/>
            </w:tcBorders>
            <w:shd w:val="clear" w:color="auto" w:fill="auto"/>
            <w:vAlign w:val="center"/>
            <w:hideMark/>
          </w:tcPr>
          <w:p w14:paraId="3B14DF61" w14:textId="77777777" w:rsidR="005841D5" w:rsidRPr="00BF3CDE" w:rsidRDefault="005841D5" w:rsidP="005841D5">
            <w:pPr>
              <w:pStyle w:val="NoSpacing"/>
              <w:jc w:val="right"/>
              <w:rPr>
                <w:rFonts w:eastAsia="Times New Roman"/>
                <w:noProof/>
                <w:sz w:val="20"/>
                <w:lang w:val="sr-Cyrl-CS"/>
              </w:rPr>
            </w:pPr>
            <w:r w:rsidRPr="00BF3CDE">
              <w:rPr>
                <w:rFonts w:eastAsia="Times New Roman"/>
                <w:noProof/>
                <w:sz w:val="20"/>
                <w:lang w:val="sr-Cyrl-CS"/>
              </w:rPr>
              <w:t>632.152</w:t>
            </w:r>
          </w:p>
        </w:tc>
        <w:tc>
          <w:tcPr>
            <w:tcW w:w="1660" w:type="dxa"/>
            <w:tcBorders>
              <w:top w:val="nil"/>
              <w:left w:val="nil"/>
              <w:right w:val="nil"/>
            </w:tcBorders>
            <w:shd w:val="clear" w:color="auto" w:fill="auto"/>
            <w:vAlign w:val="center"/>
            <w:hideMark/>
          </w:tcPr>
          <w:p w14:paraId="2ACA67CD" w14:textId="77777777" w:rsidR="005841D5" w:rsidRPr="00BF3CDE" w:rsidRDefault="005841D5" w:rsidP="005841D5">
            <w:pPr>
              <w:pStyle w:val="NoSpacing"/>
              <w:jc w:val="center"/>
              <w:rPr>
                <w:rFonts w:eastAsia="Times New Roman"/>
                <w:noProof/>
                <w:sz w:val="20"/>
                <w:lang w:val="sr-Cyrl-CS"/>
              </w:rPr>
            </w:pPr>
            <w:r w:rsidRPr="00BF3CDE">
              <w:rPr>
                <w:rFonts w:eastAsia="Times New Roman"/>
                <w:noProof/>
                <w:sz w:val="20"/>
                <w:lang w:val="sr-Cyrl-CS"/>
              </w:rPr>
              <w:t>29,24%</w:t>
            </w:r>
          </w:p>
        </w:tc>
      </w:tr>
      <w:tr w:rsidR="005841D5" w:rsidRPr="00BF3CDE" w14:paraId="147B285F" w14:textId="77777777" w:rsidTr="005841D5">
        <w:trPr>
          <w:trHeight w:val="283"/>
          <w:jc w:val="center"/>
        </w:trPr>
        <w:tc>
          <w:tcPr>
            <w:tcW w:w="5544" w:type="dxa"/>
            <w:tcBorders>
              <w:top w:val="nil"/>
              <w:left w:val="nil"/>
              <w:right w:val="nil"/>
            </w:tcBorders>
            <w:shd w:val="clear" w:color="auto" w:fill="DBE5F1" w:themeFill="accent1" w:themeFillTint="33"/>
            <w:vAlign w:val="center"/>
            <w:hideMark/>
          </w:tcPr>
          <w:p w14:paraId="515AFA10" w14:textId="77777777" w:rsidR="005841D5" w:rsidRPr="00BF3CDE" w:rsidRDefault="005841D5" w:rsidP="005841D5">
            <w:pPr>
              <w:pStyle w:val="NoSpacing"/>
              <w:rPr>
                <w:rFonts w:eastAsia="Times New Roman"/>
                <w:noProof/>
                <w:sz w:val="20"/>
                <w:lang w:val="sr-Cyrl-CS"/>
              </w:rPr>
            </w:pPr>
            <w:r w:rsidRPr="00BF3CDE">
              <w:rPr>
                <w:rFonts w:eastAsia="Times New Roman"/>
                <w:noProof/>
                <w:sz w:val="20"/>
                <w:lang w:val="sr-Cyrl-CS"/>
              </w:rPr>
              <w:t>Сreдства на рачуну без ограничења –неживот</w:t>
            </w:r>
          </w:p>
        </w:tc>
        <w:tc>
          <w:tcPr>
            <w:tcW w:w="1660" w:type="dxa"/>
            <w:tcBorders>
              <w:top w:val="nil"/>
              <w:left w:val="nil"/>
              <w:right w:val="nil"/>
            </w:tcBorders>
            <w:shd w:val="clear" w:color="auto" w:fill="DBE5F1" w:themeFill="accent1" w:themeFillTint="33"/>
            <w:vAlign w:val="center"/>
            <w:hideMark/>
          </w:tcPr>
          <w:p w14:paraId="2A380EA8" w14:textId="77777777" w:rsidR="005841D5" w:rsidRPr="00BF3CDE" w:rsidRDefault="005841D5" w:rsidP="005841D5">
            <w:pPr>
              <w:pStyle w:val="NoSpacing"/>
              <w:jc w:val="right"/>
              <w:rPr>
                <w:rFonts w:eastAsia="Times New Roman"/>
                <w:noProof/>
                <w:sz w:val="20"/>
                <w:lang w:val="sr-Cyrl-CS"/>
              </w:rPr>
            </w:pPr>
            <w:r w:rsidRPr="00BF3CDE">
              <w:rPr>
                <w:rFonts w:eastAsia="Times New Roman"/>
                <w:noProof/>
                <w:sz w:val="20"/>
                <w:lang w:val="sr-Cyrl-CS"/>
              </w:rPr>
              <w:t>1.958</w:t>
            </w:r>
          </w:p>
        </w:tc>
        <w:tc>
          <w:tcPr>
            <w:tcW w:w="1660" w:type="dxa"/>
            <w:tcBorders>
              <w:top w:val="nil"/>
              <w:left w:val="nil"/>
              <w:right w:val="nil"/>
            </w:tcBorders>
            <w:shd w:val="clear" w:color="auto" w:fill="DBE5F1" w:themeFill="accent1" w:themeFillTint="33"/>
            <w:vAlign w:val="center"/>
            <w:hideMark/>
          </w:tcPr>
          <w:p w14:paraId="43970A83" w14:textId="77777777" w:rsidR="005841D5" w:rsidRPr="00BF3CDE" w:rsidRDefault="005841D5" w:rsidP="005841D5">
            <w:pPr>
              <w:pStyle w:val="NoSpacing"/>
              <w:jc w:val="center"/>
              <w:rPr>
                <w:rFonts w:eastAsia="Times New Roman"/>
                <w:noProof/>
                <w:sz w:val="20"/>
                <w:lang w:val="sr-Cyrl-CS"/>
              </w:rPr>
            </w:pPr>
            <w:r w:rsidRPr="00BF3CDE">
              <w:rPr>
                <w:rFonts w:eastAsia="Times New Roman"/>
                <w:noProof/>
                <w:sz w:val="20"/>
                <w:lang w:val="sr-Cyrl-CS"/>
              </w:rPr>
              <w:t>0,09%</w:t>
            </w:r>
          </w:p>
        </w:tc>
      </w:tr>
      <w:tr w:rsidR="005841D5" w:rsidRPr="00BF3CDE" w14:paraId="5E296B60" w14:textId="77777777" w:rsidTr="005841D5">
        <w:trPr>
          <w:trHeight w:val="283"/>
          <w:jc w:val="center"/>
        </w:trPr>
        <w:tc>
          <w:tcPr>
            <w:tcW w:w="5544" w:type="dxa"/>
            <w:tcBorders>
              <w:top w:val="nil"/>
              <w:left w:val="nil"/>
              <w:right w:val="nil"/>
            </w:tcBorders>
            <w:shd w:val="clear" w:color="auto" w:fill="auto"/>
            <w:vAlign w:val="center"/>
            <w:hideMark/>
          </w:tcPr>
          <w:p w14:paraId="53C883C0" w14:textId="77777777" w:rsidR="005841D5" w:rsidRPr="00BF3CDE" w:rsidRDefault="005841D5" w:rsidP="005841D5">
            <w:pPr>
              <w:pStyle w:val="NoSpacing"/>
              <w:rPr>
                <w:rFonts w:eastAsia="Times New Roman"/>
                <w:noProof/>
                <w:sz w:val="20"/>
                <w:lang w:val="sr-Cyrl-CS"/>
              </w:rPr>
            </w:pPr>
            <w:r w:rsidRPr="00BF3CDE">
              <w:rPr>
                <w:rFonts w:eastAsia="Times New Roman"/>
                <w:noProof/>
                <w:sz w:val="20"/>
                <w:lang w:val="sr-Cyrl-CS"/>
              </w:rPr>
              <w:t>Сreдства на рачуну без ограничења -живот</w:t>
            </w:r>
          </w:p>
        </w:tc>
        <w:tc>
          <w:tcPr>
            <w:tcW w:w="1660" w:type="dxa"/>
            <w:tcBorders>
              <w:top w:val="nil"/>
              <w:left w:val="nil"/>
              <w:right w:val="nil"/>
            </w:tcBorders>
            <w:shd w:val="clear" w:color="auto" w:fill="auto"/>
            <w:vAlign w:val="center"/>
            <w:hideMark/>
          </w:tcPr>
          <w:p w14:paraId="4E734247" w14:textId="77777777" w:rsidR="005841D5" w:rsidRPr="00BF3CDE" w:rsidRDefault="005841D5" w:rsidP="005841D5">
            <w:pPr>
              <w:pStyle w:val="NoSpacing"/>
              <w:jc w:val="right"/>
              <w:rPr>
                <w:rFonts w:eastAsia="Times New Roman"/>
                <w:noProof/>
                <w:sz w:val="20"/>
                <w:lang w:val="sr-Cyrl-CS"/>
              </w:rPr>
            </w:pPr>
            <w:r w:rsidRPr="00BF3CDE">
              <w:rPr>
                <w:rFonts w:eastAsia="Times New Roman"/>
                <w:noProof/>
                <w:sz w:val="20"/>
                <w:lang w:val="sr-Cyrl-CS"/>
              </w:rPr>
              <w:t>7.596</w:t>
            </w:r>
          </w:p>
        </w:tc>
        <w:tc>
          <w:tcPr>
            <w:tcW w:w="1660" w:type="dxa"/>
            <w:tcBorders>
              <w:top w:val="nil"/>
              <w:left w:val="nil"/>
              <w:right w:val="nil"/>
            </w:tcBorders>
            <w:shd w:val="clear" w:color="auto" w:fill="auto"/>
            <w:vAlign w:val="center"/>
            <w:hideMark/>
          </w:tcPr>
          <w:p w14:paraId="36C27C5A" w14:textId="77777777" w:rsidR="005841D5" w:rsidRPr="00BF3CDE" w:rsidRDefault="005841D5" w:rsidP="005841D5">
            <w:pPr>
              <w:pStyle w:val="NoSpacing"/>
              <w:jc w:val="center"/>
              <w:rPr>
                <w:rFonts w:eastAsia="Times New Roman"/>
                <w:noProof/>
                <w:sz w:val="20"/>
                <w:lang w:val="sr-Cyrl-CS"/>
              </w:rPr>
            </w:pPr>
            <w:r w:rsidRPr="00BF3CDE">
              <w:rPr>
                <w:rFonts w:eastAsia="Times New Roman"/>
                <w:noProof/>
                <w:sz w:val="20"/>
                <w:lang w:val="sr-Cyrl-CS"/>
              </w:rPr>
              <w:t>0,35%</w:t>
            </w:r>
          </w:p>
        </w:tc>
      </w:tr>
      <w:tr w:rsidR="005841D5" w:rsidRPr="00BF3CDE" w14:paraId="228904F6" w14:textId="77777777" w:rsidTr="005841D5">
        <w:trPr>
          <w:trHeight w:val="283"/>
          <w:jc w:val="center"/>
        </w:trPr>
        <w:tc>
          <w:tcPr>
            <w:tcW w:w="5544" w:type="dxa"/>
            <w:tcBorders>
              <w:top w:val="nil"/>
              <w:left w:val="nil"/>
              <w:right w:val="nil"/>
            </w:tcBorders>
            <w:shd w:val="clear" w:color="auto" w:fill="DBE5F1" w:themeFill="accent1" w:themeFillTint="33"/>
            <w:vAlign w:val="center"/>
            <w:hideMark/>
          </w:tcPr>
          <w:p w14:paraId="7609242E" w14:textId="77777777" w:rsidR="005841D5" w:rsidRPr="00BF3CDE" w:rsidRDefault="005841D5" w:rsidP="005841D5">
            <w:pPr>
              <w:pStyle w:val="NoSpacing"/>
              <w:rPr>
                <w:rFonts w:eastAsia="Times New Roman"/>
                <w:noProof/>
                <w:sz w:val="20"/>
                <w:lang w:val="sr-Cyrl-CS"/>
              </w:rPr>
            </w:pPr>
            <w:r w:rsidRPr="00BF3CDE">
              <w:rPr>
                <w:rFonts w:eastAsia="Times New Roman"/>
                <w:noProof/>
                <w:sz w:val="20"/>
                <w:lang w:val="sr-Cyrl-CS"/>
              </w:rPr>
              <w:t>Средства у прен. премијама и резер.штет.- живот</w:t>
            </w:r>
          </w:p>
        </w:tc>
        <w:tc>
          <w:tcPr>
            <w:tcW w:w="1660" w:type="dxa"/>
            <w:tcBorders>
              <w:top w:val="nil"/>
              <w:left w:val="nil"/>
              <w:right w:val="nil"/>
            </w:tcBorders>
            <w:shd w:val="clear" w:color="auto" w:fill="DBE5F1" w:themeFill="accent1" w:themeFillTint="33"/>
            <w:vAlign w:val="center"/>
            <w:hideMark/>
          </w:tcPr>
          <w:p w14:paraId="57BDDE8A" w14:textId="77777777" w:rsidR="005841D5" w:rsidRPr="00BF3CDE" w:rsidRDefault="005841D5" w:rsidP="005841D5">
            <w:pPr>
              <w:pStyle w:val="NoSpacing"/>
              <w:jc w:val="right"/>
              <w:rPr>
                <w:rFonts w:eastAsia="Times New Roman"/>
                <w:noProof/>
                <w:sz w:val="20"/>
                <w:lang w:val="sr-Cyrl-CS"/>
              </w:rPr>
            </w:pPr>
            <w:r w:rsidRPr="00BF3CDE">
              <w:rPr>
                <w:rFonts w:eastAsia="Times New Roman"/>
                <w:noProof/>
                <w:sz w:val="20"/>
                <w:lang w:val="sr-Cyrl-CS"/>
              </w:rPr>
              <w:t>42.235</w:t>
            </w:r>
          </w:p>
        </w:tc>
        <w:tc>
          <w:tcPr>
            <w:tcW w:w="1660" w:type="dxa"/>
            <w:tcBorders>
              <w:top w:val="nil"/>
              <w:left w:val="nil"/>
              <w:right w:val="nil"/>
            </w:tcBorders>
            <w:shd w:val="clear" w:color="auto" w:fill="DBE5F1" w:themeFill="accent1" w:themeFillTint="33"/>
            <w:vAlign w:val="center"/>
            <w:hideMark/>
          </w:tcPr>
          <w:p w14:paraId="2A0F2847" w14:textId="77777777" w:rsidR="005841D5" w:rsidRPr="00BF3CDE" w:rsidRDefault="005841D5" w:rsidP="005841D5">
            <w:pPr>
              <w:pStyle w:val="NoSpacing"/>
              <w:jc w:val="center"/>
              <w:rPr>
                <w:rFonts w:eastAsia="Times New Roman"/>
                <w:noProof/>
                <w:sz w:val="20"/>
                <w:lang w:val="sr-Cyrl-CS"/>
              </w:rPr>
            </w:pPr>
            <w:r w:rsidRPr="00BF3CDE">
              <w:rPr>
                <w:rFonts w:eastAsia="Times New Roman"/>
                <w:noProof/>
                <w:sz w:val="20"/>
                <w:lang w:val="sr-Cyrl-CS"/>
              </w:rPr>
              <w:t>1,95%</w:t>
            </w:r>
          </w:p>
        </w:tc>
      </w:tr>
      <w:tr w:rsidR="005841D5" w:rsidRPr="00BF3CDE" w14:paraId="6D0E83A2" w14:textId="77777777" w:rsidTr="005841D5">
        <w:trPr>
          <w:trHeight w:val="283"/>
          <w:jc w:val="center"/>
        </w:trPr>
        <w:tc>
          <w:tcPr>
            <w:tcW w:w="5544" w:type="dxa"/>
            <w:tcBorders>
              <w:top w:val="nil"/>
              <w:left w:val="nil"/>
              <w:bottom w:val="single" w:sz="8" w:space="0" w:color="629DD1"/>
              <w:right w:val="nil"/>
            </w:tcBorders>
            <w:shd w:val="clear" w:color="auto" w:fill="auto"/>
            <w:vAlign w:val="center"/>
            <w:hideMark/>
          </w:tcPr>
          <w:p w14:paraId="7D900AAF" w14:textId="77777777" w:rsidR="005841D5" w:rsidRPr="00BF3CDE" w:rsidRDefault="005841D5" w:rsidP="005841D5">
            <w:pPr>
              <w:pStyle w:val="NoSpacing"/>
              <w:rPr>
                <w:rFonts w:eastAsia="Times New Roman"/>
                <w:noProof/>
                <w:sz w:val="20"/>
                <w:lang w:val="sr-Cyrl-CS"/>
              </w:rPr>
            </w:pPr>
            <w:r w:rsidRPr="00BF3CDE">
              <w:rPr>
                <w:rFonts w:eastAsia="Times New Roman"/>
                <w:noProof/>
                <w:sz w:val="20"/>
                <w:lang w:val="sr-Cyrl-CS"/>
              </w:rPr>
              <w:t>Средства у прен. премијама и резер.штет. живот</w:t>
            </w:r>
          </w:p>
        </w:tc>
        <w:tc>
          <w:tcPr>
            <w:tcW w:w="1660" w:type="dxa"/>
            <w:tcBorders>
              <w:top w:val="nil"/>
              <w:left w:val="nil"/>
              <w:bottom w:val="single" w:sz="8" w:space="0" w:color="629DD1"/>
              <w:right w:val="nil"/>
            </w:tcBorders>
            <w:shd w:val="clear" w:color="auto" w:fill="auto"/>
            <w:vAlign w:val="center"/>
            <w:hideMark/>
          </w:tcPr>
          <w:p w14:paraId="19F6DA0E" w14:textId="77777777" w:rsidR="005841D5" w:rsidRPr="00BF3CDE" w:rsidRDefault="005841D5" w:rsidP="005841D5">
            <w:pPr>
              <w:pStyle w:val="NoSpacing"/>
              <w:jc w:val="right"/>
              <w:rPr>
                <w:rFonts w:eastAsia="Times New Roman"/>
                <w:noProof/>
                <w:sz w:val="20"/>
                <w:lang w:val="sr-Cyrl-CS"/>
              </w:rPr>
            </w:pPr>
            <w:r w:rsidRPr="00BF3CDE">
              <w:rPr>
                <w:rFonts w:eastAsia="Times New Roman"/>
                <w:noProof/>
                <w:sz w:val="20"/>
                <w:lang w:val="sr-Cyrl-CS"/>
              </w:rPr>
              <w:t>1.312.440</w:t>
            </w:r>
          </w:p>
        </w:tc>
        <w:tc>
          <w:tcPr>
            <w:tcW w:w="1660" w:type="dxa"/>
            <w:tcBorders>
              <w:top w:val="nil"/>
              <w:left w:val="nil"/>
              <w:bottom w:val="single" w:sz="8" w:space="0" w:color="629DD1"/>
              <w:right w:val="nil"/>
            </w:tcBorders>
            <w:shd w:val="clear" w:color="auto" w:fill="auto"/>
            <w:vAlign w:val="center"/>
            <w:hideMark/>
          </w:tcPr>
          <w:p w14:paraId="2E1815F1" w14:textId="77777777" w:rsidR="005841D5" w:rsidRPr="00BF3CDE" w:rsidRDefault="005841D5" w:rsidP="005841D5">
            <w:pPr>
              <w:pStyle w:val="NoSpacing"/>
              <w:jc w:val="center"/>
              <w:rPr>
                <w:rFonts w:eastAsia="Times New Roman"/>
                <w:noProof/>
                <w:sz w:val="20"/>
                <w:lang w:val="sr-Cyrl-CS"/>
              </w:rPr>
            </w:pPr>
            <w:r w:rsidRPr="00BF3CDE">
              <w:rPr>
                <w:rFonts w:eastAsia="Times New Roman"/>
                <w:noProof/>
                <w:sz w:val="20"/>
                <w:lang w:val="sr-Cyrl-CS"/>
              </w:rPr>
              <w:t>60,71%</w:t>
            </w:r>
          </w:p>
        </w:tc>
      </w:tr>
      <w:tr w:rsidR="005841D5" w:rsidRPr="00BF3CDE" w14:paraId="694C5504" w14:textId="77777777" w:rsidTr="005841D5">
        <w:trPr>
          <w:trHeight w:val="397"/>
          <w:jc w:val="center"/>
        </w:trPr>
        <w:tc>
          <w:tcPr>
            <w:tcW w:w="5544" w:type="dxa"/>
            <w:tcBorders>
              <w:top w:val="nil"/>
              <w:left w:val="nil"/>
              <w:bottom w:val="single" w:sz="8" w:space="0" w:color="629DD1"/>
              <w:right w:val="nil"/>
            </w:tcBorders>
            <w:shd w:val="clear" w:color="auto" w:fill="auto"/>
            <w:vAlign w:val="center"/>
            <w:hideMark/>
          </w:tcPr>
          <w:p w14:paraId="60DCC9D2" w14:textId="77777777" w:rsidR="005841D5" w:rsidRPr="00BF3CDE" w:rsidRDefault="005841D5" w:rsidP="005841D5">
            <w:pPr>
              <w:pStyle w:val="NoSpacing"/>
              <w:jc w:val="center"/>
              <w:rPr>
                <w:rFonts w:eastAsia="Times New Roman"/>
                <w:b/>
                <w:noProof/>
                <w:sz w:val="20"/>
                <w:lang w:val="sr-Cyrl-CS"/>
              </w:rPr>
            </w:pPr>
            <w:r w:rsidRPr="00BF3CDE">
              <w:rPr>
                <w:rFonts w:eastAsia="Times New Roman"/>
                <w:b/>
                <w:noProof/>
                <w:sz w:val="20"/>
                <w:lang w:val="sr-Cyrl-CS"/>
              </w:rPr>
              <w:t>УКУПНО</w:t>
            </w:r>
          </w:p>
        </w:tc>
        <w:tc>
          <w:tcPr>
            <w:tcW w:w="1660" w:type="dxa"/>
            <w:tcBorders>
              <w:top w:val="nil"/>
              <w:left w:val="nil"/>
              <w:bottom w:val="single" w:sz="8" w:space="0" w:color="629DD1"/>
              <w:right w:val="nil"/>
            </w:tcBorders>
            <w:shd w:val="clear" w:color="auto" w:fill="auto"/>
            <w:vAlign w:val="center"/>
            <w:hideMark/>
          </w:tcPr>
          <w:p w14:paraId="113773C1" w14:textId="77777777" w:rsidR="005841D5" w:rsidRPr="00BF3CDE" w:rsidRDefault="005841D5" w:rsidP="005841D5">
            <w:pPr>
              <w:pStyle w:val="NoSpacing"/>
              <w:jc w:val="center"/>
              <w:rPr>
                <w:rFonts w:eastAsia="Times New Roman"/>
                <w:b/>
                <w:noProof/>
                <w:sz w:val="20"/>
                <w:lang w:val="sr-Cyrl-CS"/>
              </w:rPr>
            </w:pPr>
            <w:r w:rsidRPr="00BF3CDE">
              <w:rPr>
                <w:rFonts w:eastAsia="Times New Roman"/>
                <w:b/>
                <w:noProof/>
                <w:sz w:val="20"/>
                <w:lang w:val="sr-Cyrl-CS"/>
              </w:rPr>
              <w:t>2.161.681</w:t>
            </w:r>
          </w:p>
        </w:tc>
        <w:tc>
          <w:tcPr>
            <w:tcW w:w="1660" w:type="dxa"/>
            <w:tcBorders>
              <w:top w:val="nil"/>
              <w:left w:val="nil"/>
              <w:bottom w:val="single" w:sz="8" w:space="0" w:color="629DD1"/>
              <w:right w:val="nil"/>
            </w:tcBorders>
            <w:shd w:val="clear" w:color="auto" w:fill="auto"/>
            <w:vAlign w:val="center"/>
            <w:hideMark/>
          </w:tcPr>
          <w:p w14:paraId="17606D43" w14:textId="77777777" w:rsidR="005841D5" w:rsidRPr="00BF3CDE" w:rsidRDefault="005841D5" w:rsidP="005841D5">
            <w:pPr>
              <w:pStyle w:val="NoSpacing"/>
              <w:jc w:val="center"/>
              <w:rPr>
                <w:rFonts w:eastAsia="Times New Roman"/>
                <w:b/>
                <w:noProof/>
                <w:sz w:val="20"/>
                <w:lang w:val="sr-Cyrl-CS"/>
              </w:rPr>
            </w:pPr>
            <w:r w:rsidRPr="00BF3CDE">
              <w:rPr>
                <w:rFonts w:eastAsia="Times New Roman"/>
                <w:b/>
                <w:noProof/>
                <w:sz w:val="20"/>
                <w:lang w:val="sr-Cyrl-CS"/>
              </w:rPr>
              <w:t>100,00%</w:t>
            </w:r>
          </w:p>
        </w:tc>
      </w:tr>
    </w:tbl>
    <w:p w14:paraId="306664B4" w14:textId="77777777" w:rsidR="00193A48" w:rsidRPr="00BF3CDE" w:rsidRDefault="00193A48" w:rsidP="004C0359">
      <w:pPr>
        <w:spacing w:after="0" w:line="240" w:lineRule="auto"/>
        <w:jc w:val="center"/>
        <w:rPr>
          <w:rFonts w:asciiTheme="majorHAnsi" w:eastAsiaTheme="majorEastAsia" w:hAnsiTheme="majorHAnsi" w:cstheme="majorBidi"/>
          <w:b/>
          <w:i/>
          <w:iCs/>
          <w:caps/>
          <w:noProof/>
          <w:color w:val="9BBB59" w:themeColor="accent3"/>
          <w:sz w:val="18"/>
          <w:highlight w:val="yellow"/>
          <w:lang w:val="sr-Cyrl-CS"/>
        </w:rPr>
      </w:pPr>
    </w:p>
    <w:p w14:paraId="63321698" w14:textId="77777777" w:rsidR="004C0359" w:rsidRPr="00BF3CDE" w:rsidRDefault="004C0359" w:rsidP="005838E3">
      <w:pPr>
        <w:spacing w:after="0"/>
        <w:jc w:val="center"/>
        <w:rPr>
          <w:rFonts w:eastAsiaTheme="minorEastAsia"/>
          <w:b/>
          <w:i/>
          <w:noProof/>
          <w:color w:val="365F91" w:themeColor="accent1" w:themeShade="BF"/>
          <w:sz w:val="20"/>
          <w:lang w:val="sr-Cyrl-CS" w:eastAsia="ja-JP"/>
        </w:rPr>
      </w:pPr>
      <w:r w:rsidRPr="00BF3CDE">
        <w:rPr>
          <w:rFonts w:eastAsiaTheme="minorEastAsia"/>
          <w:b/>
          <w:i/>
          <w:noProof/>
          <w:color w:val="365F91" w:themeColor="accent1" w:themeShade="BF"/>
          <w:sz w:val="20"/>
          <w:lang w:val="sr-Cyrl-CS" w:eastAsia="ja-JP"/>
        </w:rPr>
        <w:t>Структура улагања средстава техничке резерве</w:t>
      </w:r>
    </w:p>
    <w:p w14:paraId="1399B0D2" w14:textId="77777777" w:rsidR="005841D5" w:rsidRPr="00BF3CDE" w:rsidRDefault="005841D5" w:rsidP="005838E3">
      <w:pPr>
        <w:spacing w:after="0"/>
        <w:jc w:val="center"/>
        <w:rPr>
          <w:rFonts w:eastAsiaTheme="minorEastAsia"/>
          <w:b/>
          <w:i/>
          <w:noProof/>
          <w:color w:val="365F91" w:themeColor="accent1" w:themeShade="BF"/>
          <w:sz w:val="20"/>
          <w:lang w:val="sr-Cyrl-CS" w:eastAsia="ja-JP"/>
        </w:rPr>
      </w:pPr>
      <w:r w:rsidRPr="00BF3CDE">
        <w:rPr>
          <w:noProof/>
          <w:lang w:val="sr-Latn-RS" w:eastAsia="sr-Latn-RS"/>
        </w:rPr>
        <w:drawing>
          <wp:inline distT="0" distB="0" distL="0" distR="0" wp14:anchorId="52767014" wp14:editId="24B69BD7">
            <wp:extent cx="5759532" cy="2446317"/>
            <wp:effectExtent l="0" t="0" r="0" b="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0A211579" w14:textId="77777777" w:rsidR="00492321" w:rsidRPr="00BF3CDE" w:rsidRDefault="00E92C99" w:rsidP="00E92C99">
      <w:pPr>
        <w:ind w:firstLine="567"/>
        <w:jc w:val="both"/>
        <w:rPr>
          <w:noProof/>
          <w:sz w:val="20"/>
          <w:szCs w:val="20"/>
          <w:lang w:val="sr-Cyrl-CS"/>
        </w:rPr>
      </w:pPr>
      <w:r w:rsidRPr="00BF3CDE">
        <w:rPr>
          <w:noProof/>
          <w:sz w:val="20"/>
          <w:szCs w:val="20"/>
          <w:lang w:val="sr-Cyrl-CS"/>
        </w:rPr>
        <w:t>Структура улагања гарантних резерви је у складу са чланом 114. Закона о осигурању и Одлуком гувернера Народне банке Србије о Ограничењима појединих облика депоновања и улагања техичких резерви (Сл.гласник РС, бр.</w:t>
      </w:r>
      <w:r w:rsidR="00193A48" w:rsidRPr="00BF3CDE">
        <w:rPr>
          <w:noProof/>
          <w:sz w:val="20"/>
          <w:szCs w:val="20"/>
          <w:lang w:val="sr-Cyrl-CS"/>
        </w:rPr>
        <w:t>87</w:t>
      </w:r>
      <w:r w:rsidRPr="00BF3CDE">
        <w:rPr>
          <w:noProof/>
          <w:sz w:val="20"/>
          <w:szCs w:val="20"/>
          <w:lang w:val="sr-Cyrl-CS"/>
        </w:rPr>
        <w:t>/20</w:t>
      </w:r>
      <w:r w:rsidR="00193A48" w:rsidRPr="00BF3CDE">
        <w:rPr>
          <w:noProof/>
          <w:sz w:val="20"/>
          <w:szCs w:val="20"/>
          <w:lang w:val="sr-Cyrl-CS"/>
        </w:rPr>
        <w:t>12</w:t>
      </w:r>
      <w:r w:rsidRPr="00BF3CDE">
        <w:rPr>
          <w:noProof/>
          <w:sz w:val="20"/>
          <w:szCs w:val="20"/>
          <w:lang w:val="sr-Cyrl-CS"/>
        </w:rPr>
        <w:t>).</w:t>
      </w:r>
    </w:p>
    <w:p w14:paraId="32418ABD" w14:textId="77777777" w:rsidR="00492321" w:rsidRPr="00BF3CDE" w:rsidRDefault="00492321" w:rsidP="00655CD0">
      <w:pPr>
        <w:pStyle w:val="Heading1"/>
        <w:numPr>
          <w:ilvl w:val="1"/>
          <w:numId w:val="7"/>
        </w:numPr>
        <w:jc w:val="left"/>
        <w:rPr>
          <w:rFonts w:asciiTheme="majorHAnsi" w:hAnsiTheme="majorHAnsi" w:cs="Tahoma"/>
          <w:i/>
          <w:noProof/>
          <w:color w:val="4F81BD"/>
          <w:sz w:val="22"/>
          <w:szCs w:val="18"/>
          <w:lang w:val="sr-Cyrl-CS"/>
        </w:rPr>
      </w:pPr>
      <w:bookmarkStart w:id="45" w:name="_Toc414356826"/>
      <w:r w:rsidRPr="00BF3CDE">
        <w:rPr>
          <w:rFonts w:asciiTheme="majorHAnsi" w:hAnsiTheme="majorHAnsi" w:cs="Tahoma"/>
          <w:i/>
          <w:noProof/>
          <w:color w:val="4F81BD"/>
          <w:sz w:val="22"/>
          <w:szCs w:val="18"/>
          <w:lang w:val="sr-Cyrl-CS"/>
        </w:rPr>
        <w:lastRenderedPageBreak/>
        <w:t>ИНВЕСТИЦИОНА ПОЛИТИКА</w:t>
      </w:r>
      <w:bookmarkEnd w:id="45"/>
      <w:r w:rsidR="0046210A" w:rsidRPr="00BF3CDE">
        <w:rPr>
          <w:rFonts w:asciiTheme="majorHAnsi" w:hAnsiTheme="majorHAnsi" w:cs="Tahoma"/>
          <w:i/>
          <w:noProof/>
          <w:color w:val="4F81BD"/>
          <w:sz w:val="22"/>
          <w:szCs w:val="18"/>
          <w:lang w:val="sr-Cyrl-CS"/>
        </w:rPr>
        <w:t xml:space="preserve"> </w:t>
      </w:r>
    </w:p>
    <w:p w14:paraId="17744EF4" w14:textId="77777777" w:rsidR="00492321" w:rsidRPr="00BF3CDE" w:rsidRDefault="00492321" w:rsidP="00492321">
      <w:pPr>
        <w:rPr>
          <w:noProof/>
          <w:sz w:val="2"/>
          <w:szCs w:val="2"/>
          <w:lang w:val="sr-Cyrl-CS" w:eastAsia="ar-SA"/>
        </w:rPr>
      </w:pPr>
    </w:p>
    <w:p w14:paraId="64059565" w14:textId="77777777" w:rsidR="0076189C" w:rsidRPr="00BF3CDE" w:rsidRDefault="0076189C" w:rsidP="00BD65A1">
      <w:pPr>
        <w:spacing w:after="120"/>
        <w:ind w:firstLine="567"/>
        <w:jc w:val="both"/>
        <w:rPr>
          <w:noProof/>
          <w:sz w:val="20"/>
          <w:szCs w:val="20"/>
          <w:lang w:val="sr-Cyrl-CS"/>
        </w:rPr>
      </w:pPr>
      <w:r w:rsidRPr="00BF3CDE">
        <w:rPr>
          <w:noProof/>
          <w:sz w:val="20"/>
          <w:szCs w:val="20"/>
          <w:lang w:val="sr-Cyrl-CS"/>
        </w:rPr>
        <w:t>Основне смернице за креирање инвестиционог програма и структуре портфолиа "Дунав Ре" а.д.о. дефинисане су Законом o осигурању, Одлуком НБС о ограничењима појединих облика депоновања и улагања средстава техничких резерви и о највишим износима појединих депоновања и улагања гарантне резерве друштва за осигурање, Правилником Друштва о условима и начину депоновања и улагања средстава и стањем на финансијском тржишту.</w:t>
      </w:r>
    </w:p>
    <w:p w14:paraId="45412AB8" w14:textId="77777777" w:rsidR="0076189C" w:rsidRPr="00BF3CDE" w:rsidRDefault="0076189C" w:rsidP="00BD65A1">
      <w:pPr>
        <w:spacing w:after="120"/>
        <w:ind w:firstLine="567"/>
        <w:jc w:val="both"/>
        <w:rPr>
          <w:noProof/>
          <w:sz w:val="20"/>
          <w:szCs w:val="20"/>
          <w:lang w:val="sr-Cyrl-CS"/>
        </w:rPr>
      </w:pPr>
      <w:r w:rsidRPr="00BF3CDE">
        <w:rPr>
          <w:noProof/>
          <w:sz w:val="20"/>
          <w:szCs w:val="20"/>
          <w:lang w:val="sr-Cyrl-CS"/>
        </w:rPr>
        <w:t xml:space="preserve">Полазну основу за формулисање инвестиционог плана Друштва за 2014. годину, посебно за пројекцију прихода, представљао је постојећи инвестициони портфолио Друштва, при чему нису биле планиране значајне измене у инвестиционој политици. </w:t>
      </w:r>
    </w:p>
    <w:p w14:paraId="7010A550" w14:textId="77777777" w:rsidR="0076189C" w:rsidRPr="00BF3CDE" w:rsidRDefault="0076189C" w:rsidP="00BD65A1">
      <w:pPr>
        <w:spacing w:after="120"/>
        <w:ind w:firstLine="567"/>
        <w:jc w:val="both"/>
        <w:rPr>
          <w:noProof/>
          <w:sz w:val="20"/>
          <w:szCs w:val="20"/>
          <w:lang w:val="sr-Cyrl-CS"/>
        </w:rPr>
      </w:pPr>
      <w:r w:rsidRPr="00BF3CDE">
        <w:rPr>
          <w:noProof/>
          <w:sz w:val="20"/>
          <w:szCs w:val="20"/>
          <w:lang w:val="sr-Cyrl-CS"/>
        </w:rPr>
        <w:t xml:space="preserve">Друштво је континуирано пратило трансакције којима се врши депоновање и улагање краткорочних и дугорочних извора средстава, имајући у фокусу хоризонталну и вертикалну усклађеност активе и пасиве и обезбеђење високог степена ликвидности Друштва уз задовољавајуће приносе. </w:t>
      </w:r>
    </w:p>
    <w:p w14:paraId="49A2F169" w14:textId="77777777" w:rsidR="0076189C" w:rsidRPr="00BF3CDE" w:rsidRDefault="0076189C" w:rsidP="00BD65A1">
      <w:pPr>
        <w:spacing w:after="120"/>
        <w:ind w:firstLine="567"/>
        <w:jc w:val="both"/>
        <w:rPr>
          <w:noProof/>
          <w:sz w:val="20"/>
          <w:szCs w:val="20"/>
          <w:lang w:val="sr-Cyrl-CS"/>
        </w:rPr>
      </w:pPr>
      <w:r w:rsidRPr="00BF3CDE">
        <w:rPr>
          <w:noProof/>
          <w:sz w:val="20"/>
          <w:szCs w:val="20"/>
          <w:lang w:val="sr-Cyrl-CS"/>
        </w:rPr>
        <w:t xml:space="preserve">Инвестициони план Друштва за 2014. годину рађен је на бази следећих претпоставки: </w:t>
      </w:r>
    </w:p>
    <w:p w14:paraId="0B143306" w14:textId="77777777" w:rsidR="0076189C" w:rsidRPr="00BF3CDE" w:rsidRDefault="0076189C" w:rsidP="00BD65A1">
      <w:pPr>
        <w:pStyle w:val="ListParagraph"/>
        <w:numPr>
          <w:ilvl w:val="0"/>
          <w:numId w:val="21"/>
        </w:numPr>
        <w:suppressAutoHyphens/>
        <w:spacing w:after="0"/>
        <w:ind w:left="1003" w:hanging="357"/>
        <w:contextualSpacing w:val="0"/>
        <w:jc w:val="both"/>
        <w:rPr>
          <w:rFonts w:ascii="Verdana" w:eastAsia="Calibri" w:hAnsi="Verdana"/>
          <w:noProof/>
          <w:sz w:val="20"/>
          <w:lang w:val="sr-Cyrl-CS"/>
        </w:rPr>
      </w:pPr>
      <w:r w:rsidRPr="00BF3CDE">
        <w:rPr>
          <w:rFonts w:ascii="Verdana" w:eastAsia="Calibri" w:hAnsi="Verdana"/>
          <w:noProof/>
          <w:sz w:val="20"/>
          <w:lang w:val="sr-Cyrl-CS"/>
        </w:rPr>
        <w:t xml:space="preserve">постојећи инвестициони портфолио Друштва, </w:t>
      </w:r>
    </w:p>
    <w:p w14:paraId="20F6138C" w14:textId="77777777" w:rsidR="0076189C" w:rsidRPr="00BF3CDE" w:rsidRDefault="0076189C" w:rsidP="00BD65A1">
      <w:pPr>
        <w:pStyle w:val="ListParagraph"/>
        <w:numPr>
          <w:ilvl w:val="0"/>
          <w:numId w:val="21"/>
        </w:numPr>
        <w:suppressAutoHyphens/>
        <w:spacing w:after="0"/>
        <w:ind w:left="1003" w:hanging="357"/>
        <w:contextualSpacing w:val="0"/>
        <w:jc w:val="both"/>
        <w:rPr>
          <w:rFonts w:ascii="Verdana" w:eastAsia="Calibri" w:hAnsi="Verdana"/>
          <w:noProof/>
          <w:sz w:val="20"/>
          <w:lang w:val="sr-Cyrl-CS"/>
        </w:rPr>
      </w:pPr>
      <w:r w:rsidRPr="00BF3CDE">
        <w:rPr>
          <w:rFonts w:ascii="Verdana" w:eastAsia="Calibri" w:hAnsi="Verdana"/>
          <w:noProof/>
          <w:sz w:val="20"/>
          <w:lang w:val="sr-Cyrl-CS"/>
        </w:rPr>
        <w:t>пројектовани приливи и одливи из пословања,</w:t>
      </w:r>
    </w:p>
    <w:p w14:paraId="1B589556" w14:textId="77777777" w:rsidR="0076189C" w:rsidRPr="00BF3CDE" w:rsidRDefault="0076189C" w:rsidP="00BD65A1">
      <w:pPr>
        <w:pStyle w:val="ListParagraph"/>
        <w:numPr>
          <w:ilvl w:val="0"/>
          <w:numId w:val="21"/>
        </w:numPr>
        <w:spacing w:after="0"/>
        <w:contextualSpacing w:val="0"/>
        <w:rPr>
          <w:rFonts w:ascii="Verdana" w:eastAsia="Calibri" w:hAnsi="Verdana"/>
          <w:noProof/>
          <w:sz w:val="20"/>
          <w:lang w:val="sr-Cyrl-CS"/>
        </w:rPr>
      </w:pPr>
      <w:r w:rsidRPr="00BF3CDE">
        <w:rPr>
          <w:rFonts w:ascii="Verdana" w:eastAsia="Calibri" w:hAnsi="Verdana"/>
          <w:noProof/>
          <w:sz w:val="20"/>
          <w:lang w:val="sr-Cyrl-CS"/>
        </w:rPr>
        <w:t>кретање девизног курса на нивоу од 116 за прво полугодиште и 120,0 РСД за 1 ЕУР за друго полугодиште,</w:t>
      </w:r>
    </w:p>
    <w:p w14:paraId="3065D5EA" w14:textId="77777777" w:rsidR="0076189C" w:rsidRPr="00BF3CDE" w:rsidRDefault="0076189C" w:rsidP="00BD65A1">
      <w:pPr>
        <w:pStyle w:val="ListParagraph"/>
        <w:numPr>
          <w:ilvl w:val="0"/>
          <w:numId w:val="21"/>
        </w:numPr>
        <w:spacing w:after="0"/>
        <w:contextualSpacing w:val="0"/>
        <w:rPr>
          <w:rFonts w:ascii="Verdana" w:eastAsia="Calibri" w:hAnsi="Verdana"/>
          <w:noProof/>
          <w:sz w:val="20"/>
          <w:lang w:val="sr-Cyrl-CS"/>
        </w:rPr>
      </w:pPr>
      <w:r w:rsidRPr="00BF3CDE">
        <w:rPr>
          <w:rFonts w:ascii="Verdana" w:eastAsia="Calibri" w:hAnsi="Verdana"/>
          <w:noProof/>
          <w:sz w:val="20"/>
          <w:lang w:val="sr-Cyrl-CS"/>
        </w:rPr>
        <w:t>пројектована каматна стопа на депозите у РСД од РЕПО-2 до висине РЕПО (9,5) на годишњем нивоу,</w:t>
      </w:r>
    </w:p>
    <w:p w14:paraId="4DCC4B66" w14:textId="77777777" w:rsidR="0076189C" w:rsidRPr="00BF3CDE" w:rsidRDefault="0076189C" w:rsidP="00BD65A1">
      <w:pPr>
        <w:pStyle w:val="ListParagraph"/>
        <w:numPr>
          <w:ilvl w:val="0"/>
          <w:numId w:val="21"/>
        </w:numPr>
        <w:suppressAutoHyphens/>
        <w:spacing w:after="0"/>
        <w:contextualSpacing w:val="0"/>
        <w:jc w:val="both"/>
        <w:rPr>
          <w:rFonts w:ascii="Verdana" w:eastAsia="Calibri" w:hAnsi="Verdana"/>
          <w:noProof/>
          <w:sz w:val="20"/>
          <w:lang w:val="sr-Cyrl-CS"/>
        </w:rPr>
      </w:pPr>
      <w:r w:rsidRPr="00BF3CDE">
        <w:rPr>
          <w:rFonts w:ascii="Verdana" w:eastAsia="Calibri" w:hAnsi="Verdana"/>
          <w:noProof/>
          <w:sz w:val="20"/>
          <w:lang w:val="sr-Cyrl-CS"/>
        </w:rPr>
        <w:t>пројектована каматна стопа на депозите у ЕУР од 2 до 4% на годишњем нивоу,</w:t>
      </w:r>
    </w:p>
    <w:p w14:paraId="31755648" w14:textId="77777777" w:rsidR="0076189C" w:rsidRPr="00BF3CDE" w:rsidRDefault="0076189C" w:rsidP="00BD65A1">
      <w:pPr>
        <w:pStyle w:val="ListParagraph"/>
        <w:numPr>
          <w:ilvl w:val="0"/>
          <w:numId w:val="21"/>
        </w:numPr>
        <w:spacing w:after="0"/>
        <w:contextualSpacing w:val="0"/>
        <w:rPr>
          <w:rFonts w:ascii="Verdana" w:eastAsia="Calibri" w:hAnsi="Verdana"/>
          <w:noProof/>
          <w:sz w:val="20"/>
          <w:lang w:val="sr-Cyrl-CS"/>
        </w:rPr>
      </w:pPr>
      <w:r w:rsidRPr="00BF3CDE">
        <w:rPr>
          <w:rFonts w:ascii="Verdana" w:eastAsia="Calibri" w:hAnsi="Verdana"/>
          <w:noProof/>
          <w:sz w:val="20"/>
          <w:lang w:val="sr-Cyrl-CS"/>
        </w:rPr>
        <w:t xml:space="preserve">пројектована каматна стопа на депозите у УСД од 0,5 до 3,3% на годишњем нивоу </w:t>
      </w:r>
    </w:p>
    <w:p w14:paraId="7D7BD3E8" w14:textId="77777777" w:rsidR="0076189C" w:rsidRPr="00BF3CDE" w:rsidRDefault="0076189C" w:rsidP="00BD65A1">
      <w:pPr>
        <w:pStyle w:val="ListParagraph"/>
        <w:numPr>
          <w:ilvl w:val="0"/>
          <w:numId w:val="21"/>
        </w:numPr>
        <w:suppressAutoHyphens/>
        <w:spacing w:after="0"/>
        <w:ind w:left="1003" w:hanging="357"/>
        <w:contextualSpacing w:val="0"/>
        <w:jc w:val="both"/>
        <w:rPr>
          <w:rFonts w:ascii="Verdana" w:eastAsia="Calibri" w:hAnsi="Verdana"/>
          <w:noProof/>
          <w:sz w:val="20"/>
          <w:lang w:val="sr-Cyrl-CS"/>
        </w:rPr>
      </w:pPr>
      <w:r w:rsidRPr="00BF3CDE">
        <w:rPr>
          <w:rFonts w:ascii="Verdana" w:eastAsia="Calibri" w:hAnsi="Verdana"/>
          <w:noProof/>
          <w:sz w:val="20"/>
          <w:lang w:val="sr-Cyrl-CS"/>
        </w:rPr>
        <w:t>стабилна вредност акција у потрфолиу Друштва у току 2014. године.</w:t>
      </w:r>
    </w:p>
    <w:p w14:paraId="127D5DA0" w14:textId="77777777" w:rsidR="0076189C" w:rsidRPr="00BF3CDE" w:rsidRDefault="0076189C" w:rsidP="0076189C">
      <w:pPr>
        <w:pStyle w:val="ListParagraph"/>
        <w:suppressAutoHyphens/>
        <w:spacing w:before="120" w:after="120"/>
        <w:ind w:left="1003"/>
        <w:jc w:val="both"/>
        <w:rPr>
          <w:rFonts w:asciiTheme="majorHAnsi" w:hAnsiTheme="majorHAnsi" w:cs="Tahoma"/>
          <w:i/>
          <w:noProof/>
          <w:color w:val="4F81BD"/>
          <w:sz w:val="2"/>
          <w:szCs w:val="2"/>
          <w:lang w:val="sr-Cyrl-CS"/>
        </w:rPr>
      </w:pPr>
    </w:p>
    <w:p w14:paraId="6E7D7DCB" w14:textId="77777777" w:rsidR="0076189C" w:rsidRPr="00BF3CDE" w:rsidRDefault="0076189C" w:rsidP="00F37ECF">
      <w:pPr>
        <w:pStyle w:val="Heading1"/>
        <w:numPr>
          <w:ilvl w:val="2"/>
          <w:numId w:val="7"/>
        </w:numPr>
        <w:spacing w:before="240" w:after="240"/>
        <w:ind w:left="1077" w:hanging="1077"/>
        <w:jc w:val="left"/>
        <w:rPr>
          <w:rFonts w:asciiTheme="majorHAnsi" w:hAnsiTheme="majorHAnsi" w:cs="Tahoma"/>
          <w:i/>
          <w:noProof/>
          <w:color w:val="4F81BD"/>
          <w:sz w:val="22"/>
          <w:szCs w:val="18"/>
          <w:lang w:val="sr-Cyrl-CS"/>
        </w:rPr>
      </w:pPr>
      <w:bookmarkStart w:id="46" w:name="_Toc414356827"/>
      <w:r w:rsidRPr="00BF3CDE">
        <w:rPr>
          <w:rFonts w:asciiTheme="majorHAnsi" w:hAnsiTheme="majorHAnsi" w:cs="Tahoma"/>
          <w:i/>
          <w:noProof/>
          <w:color w:val="4F81BD"/>
          <w:sz w:val="22"/>
          <w:szCs w:val="18"/>
          <w:lang w:val="sr-Cyrl-CS"/>
        </w:rPr>
        <w:t>Дешавања на финансијском тржишту</w:t>
      </w:r>
      <w:bookmarkEnd w:id="46"/>
      <w:r w:rsidRPr="00BF3CDE">
        <w:rPr>
          <w:rFonts w:asciiTheme="majorHAnsi" w:hAnsiTheme="majorHAnsi" w:cs="Tahoma"/>
          <w:i/>
          <w:noProof/>
          <w:color w:val="4F81BD"/>
          <w:sz w:val="22"/>
          <w:szCs w:val="18"/>
          <w:lang w:val="sr-Cyrl-CS"/>
        </w:rPr>
        <w:t xml:space="preserve"> </w:t>
      </w:r>
    </w:p>
    <w:p w14:paraId="5F4FB733" w14:textId="77777777" w:rsidR="0076189C" w:rsidRPr="00BF3CDE" w:rsidRDefault="0076189C" w:rsidP="00BD65A1">
      <w:pPr>
        <w:spacing w:before="240" w:after="0"/>
        <w:ind w:firstLine="567"/>
        <w:jc w:val="both"/>
        <w:rPr>
          <w:noProof/>
          <w:sz w:val="20"/>
          <w:szCs w:val="20"/>
          <w:lang w:val="sr-Cyrl-CS"/>
        </w:rPr>
      </w:pPr>
      <w:r w:rsidRPr="00BF3CDE">
        <w:rPr>
          <w:noProof/>
          <w:sz w:val="20"/>
          <w:szCs w:val="20"/>
          <w:lang w:val="sr-Cyrl-CS"/>
        </w:rPr>
        <w:t>У  2014. години је:</w:t>
      </w:r>
    </w:p>
    <w:p w14:paraId="10341372" w14:textId="77777777" w:rsidR="0076189C" w:rsidRPr="00BF3CDE" w:rsidRDefault="0076189C" w:rsidP="00BD65A1">
      <w:pPr>
        <w:pStyle w:val="ListParagraph"/>
        <w:numPr>
          <w:ilvl w:val="0"/>
          <w:numId w:val="36"/>
        </w:numPr>
        <w:spacing w:after="0"/>
        <w:ind w:left="709" w:hanging="425"/>
        <w:contextualSpacing w:val="0"/>
        <w:jc w:val="both"/>
        <w:rPr>
          <w:noProof/>
          <w:sz w:val="20"/>
          <w:szCs w:val="20"/>
          <w:lang w:val="sr-Cyrl-CS" w:eastAsia="ar-SA"/>
        </w:rPr>
      </w:pPr>
      <w:r w:rsidRPr="00BF3CDE">
        <w:rPr>
          <w:noProof/>
          <w:sz w:val="20"/>
          <w:szCs w:val="20"/>
          <w:lang w:val="sr-Cyrl-CS" w:eastAsia="ar-SA"/>
        </w:rPr>
        <w:t>тржиште капитала је  карактерисало значајан раст вредности реперних индекса. БЕЛЕКС 15 као индекс најкликвиднијих акција листираних на Београдској берзи је порастао за 17,49%.</w:t>
      </w:r>
    </w:p>
    <w:p w14:paraId="38DAAFD1" w14:textId="77777777" w:rsidR="0076189C" w:rsidRPr="00BF3CDE" w:rsidRDefault="0076189C" w:rsidP="00BD65A1">
      <w:pPr>
        <w:pStyle w:val="ListParagraph"/>
        <w:numPr>
          <w:ilvl w:val="0"/>
          <w:numId w:val="36"/>
        </w:numPr>
        <w:spacing w:after="0"/>
        <w:ind w:left="709" w:hanging="425"/>
        <w:contextualSpacing w:val="0"/>
        <w:jc w:val="both"/>
        <w:rPr>
          <w:noProof/>
          <w:sz w:val="20"/>
          <w:szCs w:val="20"/>
          <w:lang w:val="sr-Cyrl-CS" w:eastAsia="ar-SA"/>
        </w:rPr>
      </w:pPr>
      <w:r w:rsidRPr="00BF3CDE">
        <w:rPr>
          <w:noProof/>
          <w:sz w:val="20"/>
          <w:szCs w:val="20"/>
          <w:lang w:val="sr-Cyrl-CS" w:eastAsia="ar-SA"/>
        </w:rPr>
        <w:t>настављен је тренд пада каматних стопа на депозите,</w:t>
      </w:r>
    </w:p>
    <w:p w14:paraId="3897AFA1" w14:textId="77777777" w:rsidR="0076189C" w:rsidRPr="00BF3CDE" w:rsidRDefault="0076189C" w:rsidP="00BD65A1">
      <w:pPr>
        <w:pStyle w:val="ListParagraph"/>
        <w:numPr>
          <w:ilvl w:val="0"/>
          <w:numId w:val="36"/>
        </w:numPr>
        <w:spacing w:after="0"/>
        <w:ind w:left="709" w:hanging="425"/>
        <w:contextualSpacing w:val="0"/>
        <w:jc w:val="both"/>
        <w:rPr>
          <w:noProof/>
          <w:sz w:val="20"/>
          <w:szCs w:val="20"/>
          <w:lang w:val="sr-Cyrl-CS" w:eastAsia="ar-SA"/>
        </w:rPr>
      </w:pPr>
      <w:r w:rsidRPr="00BF3CDE">
        <w:rPr>
          <w:noProof/>
          <w:sz w:val="20"/>
          <w:szCs w:val="20"/>
          <w:lang w:val="sr-Cyrl-CS" w:eastAsia="ar-SA"/>
        </w:rPr>
        <w:t>забележен је негативан тренд извршних стопа на аукцијама државних хартија од вредности.</w:t>
      </w:r>
    </w:p>
    <w:p w14:paraId="2E399100" w14:textId="77777777" w:rsidR="0076189C" w:rsidRPr="00BF3CDE" w:rsidRDefault="0076189C" w:rsidP="00BD65A1">
      <w:pPr>
        <w:pStyle w:val="ListParagraph"/>
        <w:numPr>
          <w:ilvl w:val="0"/>
          <w:numId w:val="36"/>
        </w:numPr>
        <w:spacing w:after="0"/>
        <w:ind w:left="709" w:hanging="425"/>
        <w:contextualSpacing w:val="0"/>
        <w:jc w:val="both"/>
        <w:rPr>
          <w:noProof/>
          <w:sz w:val="20"/>
          <w:szCs w:val="20"/>
          <w:lang w:val="sr-Cyrl-CS" w:eastAsia="ar-SA"/>
        </w:rPr>
      </w:pPr>
      <w:r w:rsidRPr="00BF3CDE">
        <w:rPr>
          <w:noProof/>
          <w:sz w:val="20"/>
          <w:szCs w:val="20"/>
          <w:lang w:val="sr-Cyrl-CS" w:eastAsia="ar-SA"/>
        </w:rPr>
        <w:t xml:space="preserve">У 2013. и почетком 2014. године, Привредна банка Београд и Универзал банка  су  изгубиле дозволу за рад и покренут је стечајни поступак. </w:t>
      </w:r>
    </w:p>
    <w:p w14:paraId="717C7AD9" w14:textId="77777777" w:rsidR="00BD65A1" w:rsidRDefault="0076189C" w:rsidP="00BD65A1">
      <w:pPr>
        <w:pStyle w:val="ListParagraph"/>
        <w:numPr>
          <w:ilvl w:val="0"/>
          <w:numId w:val="36"/>
        </w:numPr>
        <w:spacing w:after="0"/>
        <w:ind w:left="709" w:hanging="425"/>
        <w:contextualSpacing w:val="0"/>
        <w:jc w:val="both"/>
        <w:rPr>
          <w:noProof/>
          <w:sz w:val="20"/>
          <w:szCs w:val="20"/>
          <w:lang w:val="sr-Cyrl-CS" w:eastAsia="ar-SA"/>
        </w:rPr>
      </w:pPr>
      <w:r w:rsidRPr="00BF3CDE">
        <w:rPr>
          <w:noProof/>
          <w:sz w:val="20"/>
          <w:szCs w:val="20"/>
          <w:lang w:val="sr-Cyrl-CS" w:eastAsia="ar-SA"/>
        </w:rPr>
        <w:t xml:space="preserve">Народна банка Србије је крајем године припремила Нацрт закона o изменама и допунама Закона о банкама којим се мења правни оквир за реструктурирање банака у Републици Србији и уводи свеобухватан сет правила чији је циљ остваривање континуитета у обављању критичних функција банке, обезбеђивање стабилности финансијског система, заштита депонената и инвеститора, новчаних средстава и друге имовине клијената, као и заштита буџетских и других јавних средстава. </w:t>
      </w:r>
    </w:p>
    <w:p w14:paraId="4F81CC78" w14:textId="77777777" w:rsidR="0076189C" w:rsidRPr="00BF3CDE" w:rsidRDefault="0076189C" w:rsidP="00E847DA">
      <w:pPr>
        <w:pStyle w:val="ListParagraph"/>
        <w:spacing w:after="0"/>
        <w:ind w:left="0"/>
        <w:contextualSpacing w:val="0"/>
        <w:jc w:val="both"/>
        <w:rPr>
          <w:noProof/>
          <w:sz w:val="20"/>
          <w:szCs w:val="20"/>
          <w:lang w:val="sr-Cyrl-CS" w:eastAsia="ar-SA"/>
        </w:rPr>
      </w:pPr>
      <w:r w:rsidRPr="00BF3CDE">
        <w:rPr>
          <w:noProof/>
          <w:sz w:val="20"/>
          <w:szCs w:val="20"/>
          <w:lang w:val="sr-Cyrl-CS" w:eastAsia="ar-SA"/>
        </w:rPr>
        <w:lastRenderedPageBreak/>
        <w:t>Предложеним решењима Нацрта закона о изменама и допунама Закона о банкама, Народна банка Србије би преузела улогу тела надлежног за реструктурирање и била овлашћена да у поступку реструктурирања банке предузима инструменте реструктурирања - продају акција, односно имовине и обавеза банке; пренос акција, односно имовине и обавеза банци за посебне намене; одвајање имовине и расподелу губитака на акционаре и повериоце. Овим нацртом предвиђене су и мере заштите акционара, поверилаца и трећих лица које би Народна банка Србије, као тело надлежно за реструктурирање, била дужна да примењује у поступку реструктурирања.</w:t>
      </w:r>
    </w:p>
    <w:p w14:paraId="418DF854" w14:textId="77777777" w:rsidR="0076189C" w:rsidRDefault="0076189C" w:rsidP="00BD65A1">
      <w:pPr>
        <w:spacing w:before="60" w:after="60"/>
        <w:jc w:val="center"/>
        <w:rPr>
          <w:rFonts w:eastAsiaTheme="minorEastAsia"/>
          <w:b/>
          <w:i/>
          <w:noProof/>
          <w:color w:val="365F91" w:themeColor="accent1" w:themeShade="BF"/>
          <w:sz w:val="20"/>
          <w:lang w:val="sr-Cyrl-CS" w:eastAsia="ja-JP"/>
        </w:rPr>
      </w:pPr>
      <w:r w:rsidRPr="00BF3CDE">
        <w:rPr>
          <w:rFonts w:eastAsiaTheme="minorEastAsia"/>
          <w:b/>
          <w:i/>
          <w:noProof/>
          <w:color w:val="365F91" w:themeColor="accent1" w:themeShade="BF"/>
          <w:sz w:val="20"/>
          <w:lang w:val="sr-Cyrl-CS" w:eastAsia="ja-JP"/>
        </w:rPr>
        <w:t xml:space="preserve">Структура инвестиционог портфолиа </w:t>
      </w:r>
      <w:r w:rsidR="00011135" w:rsidRPr="00BF3CDE">
        <w:rPr>
          <w:rFonts w:eastAsiaTheme="minorEastAsia"/>
          <w:b/>
          <w:i/>
          <w:noProof/>
          <w:color w:val="365F91" w:themeColor="accent1" w:themeShade="BF"/>
          <w:sz w:val="20"/>
          <w:lang w:val="sr-Cyrl-CS" w:eastAsia="ja-JP"/>
        </w:rPr>
        <w:t>у 000 РСД</w:t>
      </w:r>
    </w:p>
    <w:tbl>
      <w:tblPr>
        <w:tblStyle w:val="LightShading-Accent14"/>
        <w:tblW w:w="9419" w:type="dxa"/>
        <w:tblLook w:val="04E0" w:firstRow="1" w:lastRow="1" w:firstColumn="1" w:lastColumn="0" w:noHBand="0" w:noVBand="1"/>
      </w:tblPr>
      <w:tblGrid>
        <w:gridCol w:w="594"/>
        <w:gridCol w:w="3122"/>
        <w:gridCol w:w="1206"/>
        <w:gridCol w:w="1080"/>
        <w:gridCol w:w="1206"/>
        <w:gridCol w:w="1173"/>
        <w:gridCol w:w="1038"/>
      </w:tblGrid>
      <w:tr w:rsidR="004E6E16" w:rsidRPr="00BF3CDE" w14:paraId="7C18C710" w14:textId="77777777" w:rsidTr="00E847DA">
        <w:trPr>
          <w:cnfStyle w:val="100000000000" w:firstRow="1" w:lastRow="0" w:firstColumn="0" w:lastColumn="0" w:oddVBand="0" w:evenVBand="0" w:oddHBand="0" w:evenHBand="0" w:firstRowFirstColumn="0" w:firstRowLastColumn="0" w:lastRowFirstColumn="0" w:lastRowLastColumn="0"/>
          <w:trHeight w:val="794"/>
        </w:trPr>
        <w:tc>
          <w:tcPr>
            <w:cnfStyle w:val="001000000000" w:firstRow="0" w:lastRow="0" w:firstColumn="1" w:lastColumn="0" w:oddVBand="0" w:evenVBand="0" w:oddHBand="0" w:evenHBand="0" w:firstRowFirstColumn="0" w:firstRowLastColumn="0" w:lastRowFirstColumn="0" w:lastRowLastColumn="0"/>
            <w:tcW w:w="594" w:type="dxa"/>
            <w:vAlign w:val="center"/>
            <w:hideMark/>
          </w:tcPr>
          <w:p w14:paraId="71DEE925" w14:textId="77777777" w:rsidR="004E6E16" w:rsidRPr="00BF3CDE" w:rsidRDefault="004E6E16" w:rsidP="004E6E16">
            <w:pPr>
              <w:jc w:val="center"/>
              <w:rPr>
                <w:rFonts w:ascii="Calibri" w:hAnsi="Calibri"/>
                <w:noProof/>
                <w:color w:val="000000"/>
                <w:lang w:val="sr-Cyrl-CS" w:eastAsia="sr-Latn-RS"/>
              </w:rPr>
            </w:pPr>
            <w:r w:rsidRPr="00BF3CDE">
              <w:rPr>
                <w:rFonts w:ascii="Calibri" w:hAnsi="Calibri"/>
                <w:noProof/>
                <w:color w:val="000000"/>
                <w:lang w:val="sr-Cyrl-CS" w:eastAsia="sr-Latn-RS"/>
              </w:rPr>
              <w:t>Ред. Број</w:t>
            </w:r>
          </w:p>
        </w:tc>
        <w:tc>
          <w:tcPr>
            <w:tcW w:w="3122" w:type="dxa"/>
            <w:vAlign w:val="center"/>
            <w:hideMark/>
          </w:tcPr>
          <w:p w14:paraId="0FA31287" w14:textId="77777777" w:rsidR="004E6E16" w:rsidRPr="00BF3CDE" w:rsidRDefault="004E6E16" w:rsidP="004E6E16">
            <w:pPr>
              <w:jc w:val="center"/>
              <w:cnfStyle w:val="100000000000" w:firstRow="1"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Позиција</w:t>
            </w:r>
          </w:p>
        </w:tc>
        <w:tc>
          <w:tcPr>
            <w:tcW w:w="1206" w:type="dxa"/>
            <w:vAlign w:val="center"/>
            <w:hideMark/>
          </w:tcPr>
          <w:p w14:paraId="7E0A6FAC" w14:textId="77777777" w:rsidR="004E6E16" w:rsidRPr="00BF3CDE" w:rsidRDefault="004E6E16" w:rsidP="004E6E16">
            <w:pPr>
              <w:jc w:val="center"/>
              <w:cnfStyle w:val="100000000000" w:firstRow="1"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Стање на дан 31.12.2014. у 000 РСД</w:t>
            </w:r>
          </w:p>
        </w:tc>
        <w:tc>
          <w:tcPr>
            <w:tcW w:w="1080" w:type="dxa"/>
            <w:vAlign w:val="center"/>
            <w:hideMark/>
          </w:tcPr>
          <w:p w14:paraId="716B273F" w14:textId="77777777" w:rsidR="004E6E16" w:rsidRPr="00BF3CDE" w:rsidRDefault="004E6E16" w:rsidP="004E6E16">
            <w:pPr>
              <w:jc w:val="center"/>
              <w:cnfStyle w:val="100000000000" w:firstRow="1"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Структура у %</w:t>
            </w:r>
          </w:p>
        </w:tc>
        <w:tc>
          <w:tcPr>
            <w:tcW w:w="1206" w:type="dxa"/>
            <w:vAlign w:val="center"/>
            <w:hideMark/>
          </w:tcPr>
          <w:p w14:paraId="36CD8F34" w14:textId="77777777" w:rsidR="004E6E16" w:rsidRPr="00BF3CDE" w:rsidRDefault="004E6E16" w:rsidP="004E6E16">
            <w:pPr>
              <w:jc w:val="center"/>
              <w:cnfStyle w:val="100000000000" w:firstRow="1"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Стање на дан 31.12.2013. у 000РСД</w:t>
            </w:r>
          </w:p>
        </w:tc>
        <w:tc>
          <w:tcPr>
            <w:tcW w:w="1173" w:type="dxa"/>
            <w:vAlign w:val="center"/>
            <w:hideMark/>
          </w:tcPr>
          <w:p w14:paraId="06FB865A" w14:textId="77777777" w:rsidR="004E6E16" w:rsidRPr="00BF3CDE" w:rsidRDefault="004E6E16" w:rsidP="004E6E16">
            <w:pPr>
              <w:jc w:val="center"/>
              <w:cnfStyle w:val="100000000000" w:firstRow="1"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Структура у %</w:t>
            </w:r>
          </w:p>
        </w:tc>
        <w:tc>
          <w:tcPr>
            <w:tcW w:w="1038" w:type="dxa"/>
            <w:noWrap/>
            <w:vAlign w:val="center"/>
            <w:hideMark/>
          </w:tcPr>
          <w:p w14:paraId="7A5DD09B" w14:textId="77777777" w:rsidR="004E6E16" w:rsidRPr="00BF3CDE" w:rsidRDefault="004E6E16" w:rsidP="004E6E16">
            <w:pPr>
              <w:jc w:val="center"/>
              <w:cnfStyle w:val="100000000000" w:firstRow="1"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Инедкс</w:t>
            </w:r>
          </w:p>
        </w:tc>
      </w:tr>
      <w:tr w:rsidR="004E6E16" w:rsidRPr="00BF3CDE" w14:paraId="0E7ECB31" w14:textId="77777777" w:rsidTr="00E847DA">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94" w:type="dxa"/>
            <w:noWrap/>
            <w:vAlign w:val="center"/>
            <w:hideMark/>
          </w:tcPr>
          <w:p w14:paraId="5D999B49" w14:textId="77777777" w:rsidR="004E6E16" w:rsidRPr="00BF3CDE" w:rsidRDefault="004E6E16" w:rsidP="004E6E16">
            <w:pPr>
              <w:jc w:val="center"/>
              <w:rPr>
                <w:rFonts w:ascii="Calibri" w:hAnsi="Calibri"/>
                <w:noProof/>
                <w:color w:val="000000"/>
                <w:lang w:val="sr-Cyrl-CS" w:eastAsia="sr-Latn-RS"/>
              </w:rPr>
            </w:pPr>
            <w:r w:rsidRPr="00BF3CDE">
              <w:rPr>
                <w:rFonts w:ascii="Calibri" w:hAnsi="Calibri"/>
                <w:noProof/>
                <w:color w:val="000000"/>
                <w:lang w:val="sr-Cyrl-CS" w:eastAsia="sr-Latn-RS"/>
              </w:rPr>
              <w:t>1</w:t>
            </w:r>
          </w:p>
        </w:tc>
        <w:tc>
          <w:tcPr>
            <w:tcW w:w="3122" w:type="dxa"/>
            <w:hideMark/>
          </w:tcPr>
          <w:p w14:paraId="68E71DB4" w14:textId="77777777" w:rsidR="004E6E16" w:rsidRPr="00BF3CDE" w:rsidRDefault="004E6E16" w:rsidP="004E6E16">
            <w:pPr>
              <w:cnfStyle w:val="000000100000" w:firstRow="0" w:lastRow="0" w:firstColumn="0" w:lastColumn="0" w:oddVBand="0" w:evenVBand="0" w:oddHBand="1"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Хартије од вредности које се држе до доспећа</w:t>
            </w:r>
          </w:p>
        </w:tc>
        <w:tc>
          <w:tcPr>
            <w:tcW w:w="1206" w:type="dxa"/>
            <w:noWrap/>
            <w:vAlign w:val="center"/>
            <w:hideMark/>
          </w:tcPr>
          <w:p w14:paraId="056B6899" w14:textId="77777777" w:rsidR="004E6E16" w:rsidRPr="00BF3CDE" w:rsidRDefault="004E6E16" w:rsidP="004E6E16">
            <w:pPr>
              <w:jc w:val="right"/>
              <w:cnfStyle w:val="000000100000" w:firstRow="0" w:lastRow="0" w:firstColumn="0" w:lastColumn="0" w:oddVBand="0" w:evenVBand="0" w:oddHBand="1"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275,284</w:t>
            </w:r>
          </w:p>
        </w:tc>
        <w:tc>
          <w:tcPr>
            <w:tcW w:w="1080" w:type="dxa"/>
            <w:noWrap/>
            <w:vAlign w:val="center"/>
            <w:hideMark/>
          </w:tcPr>
          <w:p w14:paraId="04985FC5" w14:textId="77777777" w:rsidR="004E6E16" w:rsidRPr="00BF3CDE" w:rsidRDefault="004E6E16" w:rsidP="004E6E16">
            <w:pPr>
              <w:jc w:val="right"/>
              <w:cnfStyle w:val="000000100000" w:firstRow="0" w:lastRow="0" w:firstColumn="0" w:lastColumn="0" w:oddVBand="0" w:evenVBand="0" w:oddHBand="1"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12.</w:t>
            </w:r>
            <w:r>
              <w:rPr>
                <w:rFonts w:ascii="Calibri" w:hAnsi="Calibri"/>
                <w:noProof/>
                <w:color w:val="000000"/>
                <w:lang w:val="sr-Cyrl-CS" w:eastAsia="sr-Latn-RS"/>
              </w:rPr>
              <w:t>94</w:t>
            </w:r>
            <w:r w:rsidRPr="00BF3CDE">
              <w:rPr>
                <w:rFonts w:ascii="Calibri" w:hAnsi="Calibri"/>
                <w:noProof/>
                <w:color w:val="000000"/>
                <w:lang w:val="sr-Cyrl-CS" w:eastAsia="sr-Latn-RS"/>
              </w:rPr>
              <w:t>%</w:t>
            </w:r>
          </w:p>
        </w:tc>
        <w:tc>
          <w:tcPr>
            <w:tcW w:w="1206" w:type="dxa"/>
            <w:noWrap/>
            <w:vAlign w:val="center"/>
            <w:hideMark/>
          </w:tcPr>
          <w:p w14:paraId="649EC628" w14:textId="77777777" w:rsidR="004E6E16" w:rsidRPr="00BF3CDE" w:rsidRDefault="004E6E16" w:rsidP="004E6E16">
            <w:pPr>
              <w:jc w:val="right"/>
              <w:cnfStyle w:val="000000100000" w:firstRow="0" w:lastRow="0" w:firstColumn="0" w:lastColumn="0" w:oddVBand="0" w:evenVBand="0" w:oddHBand="1"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24,560</w:t>
            </w:r>
          </w:p>
        </w:tc>
        <w:tc>
          <w:tcPr>
            <w:tcW w:w="1173" w:type="dxa"/>
            <w:noWrap/>
            <w:vAlign w:val="center"/>
            <w:hideMark/>
          </w:tcPr>
          <w:p w14:paraId="3A24D236" w14:textId="77777777" w:rsidR="004E6E16" w:rsidRPr="00BF3CDE" w:rsidRDefault="004E6E16" w:rsidP="004E6E16">
            <w:pPr>
              <w:jc w:val="right"/>
              <w:cnfStyle w:val="000000100000" w:firstRow="0" w:lastRow="0" w:firstColumn="0" w:lastColumn="0" w:oddVBand="0" w:evenVBand="0" w:oddHBand="1"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1.</w:t>
            </w:r>
            <w:r>
              <w:rPr>
                <w:rFonts w:ascii="Calibri" w:hAnsi="Calibri"/>
                <w:noProof/>
                <w:color w:val="000000"/>
                <w:lang w:val="sr-Cyrl-CS" w:eastAsia="sr-Latn-RS"/>
              </w:rPr>
              <w:t>08</w:t>
            </w:r>
            <w:r w:rsidRPr="00BF3CDE">
              <w:rPr>
                <w:rFonts w:ascii="Calibri" w:hAnsi="Calibri"/>
                <w:noProof/>
                <w:color w:val="000000"/>
                <w:lang w:val="sr-Cyrl-CS" w:eastAsia="sr-Latn-RS"/>
              </w:rPr>
              <w:t>%</w:t>
            </w:r>
          </w:p>
        </w:tc>
        <w:tc>
          <w:tcPr>
            <w:tcW w:w="1038" w:type="dxa"/>
            <w:noWrap/>
            <w:vAlign w:val="center"/>
            <w:hideMark/>
          </w:tcPr>
          <w:p w14:paraId="31A127C0" w14:textId="77777777" w:rsidR="004E6E16" w:rsidRPr="00BF3CDE" w:rsidRDefault="004E6E16" w:rsidP="004E6E16">
            <w:pPr>
              <w:jc w:val="right"/>
              <w:cnfStyle w:val="000000100000" w:firstRow="0" w:lastRow="0" w:firstColumn="0" w:lastColumn="0" w:oddVBand="0" w:evenVBand="0" w:oddHBand="1"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1120.86</w:t>
            </w:r>
          </w:p>
        </w:tc>
      </w:tr>
      <w:tr w:rsidR="004E6E16" w:rsidRPr="00BF3CDE" w14:paraId="011DC3C7" w14:textId="77777777" w:rsidTr="00E847DA">
        <w:trPr>
          <w:trHeight w:val="340"/>
        </w:trPr>
        <w:tc>
          <w:tcPr>
            <w:cnfStyle w:val="001000000000" w:firstRow="0" w:lastRow="0" w:firstColumn="1" w:lastColumn="0" w:oddVBand="0" w:evenVBand="0" w:oddHBand="0" w:evenHBand="0" w:firstRowFirstColumn="0" w:firstRowLastColumn="0" w:lastRowFirstColumn="0" w:lastRowLastColumn="0"/>
            <w:tcW w:w="594" w:type="dxa"/>
            <w:noWrap/>
            <w:vAlign w:val="center"/>
            <w:hideMark/>
          </w:tcPr>
          <w:p w14:paraId="3145D37E" w14:textId="77777777" w:rsidR="004E6E16" w:rsidRPr="00BF3CDE" w:rsidRDefault="004E6E16" w:rsidP="004E6E16">
            <w:pPr>
              <w:jc w:val="center"/>
              <w:rPr>
                <w:rFonts w:ascii="Calibri" w:hAnsi="Calibri"/>
                <w:noProof/>
                <w:color w:val="000000"/>
                <w:lang w:val="sr-Cyrl-CS" w:eastAsia="sr-Latn-RS"/>
              </w:rPr>
            </w:pPr>
            <w:r w:rsidRPr="00BF3CDE">
              <w:rPr>
                <w:rFonts w:ascii="Calibri" w:hAnsi="Calibri"/>
                <w:noProof/>
                <w:color w:val="000000"/>
                <w:lang w:val="sr-Cyrl-CS" w:eastAsia="sr-Latn-RS"/>
              </w:rPr>
              <w:t>2</w:t>
            </w:r>
          </w:p>
        </w:tc>
        <w:tc>
          <w:tcPr>
            <w:tcW w:w="3122" w:type="dxa"/>
            <w:hideMark/>
          </w:tcPr>
          <w:p w14:paraId="5ECF678E" w14:textId="77777777" w:rsidR="004E6E16" w:rsidRPr="00BF3CDE" w:rsidRDefault="004E6E16" w:rsidP="004E6E16">
            <w:pPr>
              <w:cnfStyle w:val="000000000000" w:firstRow="0"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Дужничке хартије од вредности расположиве за продају</w:t>
            </w:r>
          </w:p>
        </w:tc>
        <w:tc>
          <w:tcPr>
            <w:tcW w:w="1206" w:type="dxa"/>
            <w:noWrap/>
            <w:vAlign w:val="center"/>
            <w:hideMark/>
          </w:tcPr>
          <w:p w14:paraId="55C4AA2C" w14:textId="77777777" w:rsidR="004E6E16" w:rsidRPr="00BF3CDE" w:rsidRDefault="004E6E16" w:rsidP="004E6E16">
            <w:pPr>
              <w:jc w:val="right"/>
              <w:cnfStyle w:val="000000000000" w:firstRow="0"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357,933</w:t>
            </w:r>
          </w:p>
        </w:tc>
        <w:tc>
          <w:tcPr>
            <w:tcW w:w="1080" w:type="dxa"/>
            <w:noWrap/>
            <w:vAlign w:val="center"/>
            <w:hideMark/>
          </w:tcPr>
          <w:p w14:paraId="74C12FED" w14:textId="77777777" w:rsidR="004E6E16" w:rsidRPr="00BF3CDE" w:rsidRDefault="004E6E16" w:rsidP="004E6E16">
            <w:pPr>
              <w:jc w:val="right"/>
              <w:cnfStyle w:val="000000000000" w:firstRow="0"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16.83%</w:t>
            </w:r>
          </w:p>
        </w:tc>
        <w:tc>
          <w:tcPr>
            <w:tcW w:w="1206" w:type="dxa"/>
            <w:noWrap/>
            <w:vAlign w:val="center"/>
            <w:hideMark/>
          </w:tcPr>
          <w:p w14:paraId="32587E0D" w14:textId="77777777" w:rsidR="004E6E16" w:rsidRPr="00BF3CDE" w:rsidRDefault="004E6E16" w:rsidP="004E6E16">
            <w:pPr>
              <w:jc w:val="right"/>
              <w:cnfStyle w:val="000000000000" w:firstRow="0"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0</w:t>
            </w:r>
          </w:p>
        </w:tc>
        <w:tc>
          <w:tcPr>
            <w:tcW w:w="1173" w:type="dxa"/>
            <w:noWrap/>
            <w:vAlign w:val="center"/>
            <w:hideMark/>
          </w:tcPr>
          <w:p w14:paraId="07E8823B" w14:textId="77777777" w:rsidR="004E6E16" w:rsidRPr="00BF3CDE" w:rsidRDefault="004E6E16" w:rsidP="004E6E16">
            <w:pPr>
              <w:jc w:val="right"/>
              <w:cnfStyle w:val="000000000000" w:firstRow="0"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0.00%</w:t>
            </w:r>
          </w:p>
        </w:tc>
        <w:tc>
          <w:tcPr>
            <w:tcW w:w="1038" w:type="dxa"/>
            <w:noWrap/>
            <w:vAlign w:val="center"/>
            <w:hideMark/>
          </w:tcPr>
          <w:p w14:paraId="7DD8CC2D" w14:textId="77777777" w:rsidR="004E6E16" w:rsidRPr="00BF3CDE" w:rsidRDefault="004E6E16" w:rsidP="004E6E16">
            <w:pPr>
              <w:jc w:val="right"/>
              <w:cnfStyle w:val="000000000000" w:firstRow="0"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p>
        </w:tc>
      </w:tr>
      <w:tr w:rsidR="004E6E16" w:rsidRPr="00BF3CDE" w14:paraId="728B6D04" w14:textId="77777777" w:rsidTr="00E847DA">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94" w:type="dxa"/>
            <w:noWrap/>
            <w:vAlign w:val="center"/>
            <w:hideMark/>
          </w:tcPr>
          <w:p w14:paraId="6DEC4C48" w14:textId="77777777" w:rsidR="004E6E16" w:rsidRPr="00BF3CDE" w:rsidRDefault="004E6E16" w:rsidP="004E6E16">
            <w:pPr>
              <w:jc w:val="center"/>
              <w:rPr>
                <w:rFonts w:ascii="Calibri" w:hAnsi="Calibri"/>
                <w:noProof/>
                <w:color w:val="000000"/>
                <w:lang w:val="sr-Cyrl-CS" w:eastAsia="sr-Latn-RS"/>
              </w:rPr>
            </w:pPr>
            <w:r w:rsidRPr="00BF3CDE">
              <w:rPr>
                <w:rFonts w:ascii="Calibri" w:hAnsi="Calibri"/>
                <w:noProof/>
                <w:color w:val="000000"/>
                <w:lang w:val="sr-Cyrl-CS" w:eastAsia="sr-Latn-RS"/>
              </w:rPr>
              <w:t>3</w:t>
            </w:r>
          </w:p>
        </w:tc>
        <w:tc>
          <w:tcPr>
            <w:tcW w:w="3122" w:type="dxa"/>
            <w:hideMark/>
          </w:tcPr>
          <w:p w14:paraId="1D375FB2" w14:textId="77777777" w:rsidR="004E6E16" w:rsidRPr="00BF3CDE" w:rsidRDefault="004E6E16" w:rsidP="004E6E16">
            <w:pPr>
              <w:cnfStyle w:val="000000100000" w:firstRow="0" w:lastRow="0" w:firstColumn="0" w:lastColumn="0" w:oddVBand="0" w:evenVBand="0" w:oddHBand="1"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Власничке хартије од вредности расположиве за продају</w:t>
            </w:r>
          </w:p>
        </w:tc>
        <w:tc>
          <w:tcPr>
            <w:tcW w:w="1206" w:type="dxa"/>
            <w:noWrap/>
            <w:vAlign w:val="center"/>
            <w:hideMark/>
          </w:tcPr>
          <w:p w14:paraId="705EE024" w14:textId="77777777" w:rsidR="004E6E16" w:rsidRPr="00BF3CDE" w:rsidRDefault="004E6E16" w:rsidP="004E6E16">
            <w:pPr>
              <w:jc w:val="right"/>
              <w:cnfStyle w:val="000000100000" w:firstRow="0" w:lastRow="0" w:firstColumn="0" w:lastColumn="0" w:oddVBand="0" w:evenVBand="0" w:oddHBand="1"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325,851</w:t>
            </w:r>
          </w:p>
        </w:tc>
        <w:tc>
          <w:tcPr>
            <w:tcW w:w="1080" w:type="dxa"/>
            <w:noWrap/>
            <w:vAlign w:val="center"/>
            <w:hideMark/>
          </w:tcPr>
          <w:p w14:paraId="02C9B2ED" w14:textId="77777777" w:rsidR="004E6E16" w:rsidRPr="00BF3CDE" w:rsidRDefault="004E6E16" w:rsidP="004E6E16">
            <w:pPr>
              <w:jc w:val="right"/>
              <w:cnfStyle w:val="000000100000" w:firstRow="0" w:lastRow="0" w:firstColumn="0" w:lastColumn="0" w:oddVBand="0" w:evenVBand="0" w:oddHBand="1"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15.</w:t>
            </w:r>
            <w:r>
              <w:rPr>
                <w:rFonts w:ascii="Calibri" w:hAnsi="Calibri"/>
                <w:noProof/>
                <w:color w:val="000000"/>
                <w:lang w:val="sr-Cyrl-CS" w:eastAsia="sr-Latn-RS"/>
              </w:rPr>
              <w:t>32</w:t>
            </w:r>
            <w:r w:rsidRPr="00BF3CDE">
              <w:rPr>
                <w:rFonts w:ascii="Calibri" w:hAnsi="Calibri"/>
                <w:noProof/>
                <w:color w:val="000000"/>
                <w:lang w:val="sr-Cyrl-CS" w:eastAsia="sr-Latn-RS"/>
              </w:rPr>
              <w:t>%</w:t>
            </w:r>
          </w:p>
        </w:tc>
        <w:tc>
          <w:tcPr>
            <w:tcW w:w="1206" w:type="dxa"/>
            <w:noWrap/>
            <w:vAlign w:val="center"/>
            <w:hideMark/>
          </w:tcPr>
          <w:p w14:paraId="0EE1EC84" w14:textId="77777777" w:rsidR="004E6E16" w:rsidRPr="00BF3CDE" w:rsidRDefault="004E6E16" w:rsidP="004E6E16">
            <w:pPr>
              <w:jc w:val="right"/>
              <w:cnfStyle w:val="000000100000" w:firstRow="0" w:lastRow="0" w:firstColumn="0" w:lastColumn="0" w:oddVBand="0" w:evenVBand="0" w:oddHBand="1"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300,505</w:t>
            </w:r>
          </w:p>
        </w:tc>
        <w:tc>
          <w:tcPr>
            <w:tcW w:w="1173" w:type="dxa"/>
            <w:noWrap/>
            <w:vAlign w:val="center"/>
            <w:hideMark/>
          </w:tcPr>
          <w:p w14:paraId="0C3B4333" w14:textId="77777777" w:rsidR="004E6E16" w:rsidRPr="00BF3CDE" w:rsidRDefault="004E6E16" w:rsidP="004E6E16">
            <w:pPr>
              <w:jc w:val="right"/>
              <w:cnfStyle w:val="000000100000" w:firstRow="0" w:lastRow="0" w:firstColumn="0" w:lastColumn="0" w:oddVBand="0" w:evenVBand="0" w:oddHBand="1" w:evenHBand="0" w:firstRowFirstColumn="0" w:firstRowLastColumn="0" w:lastRowFirstColumn="0" w:lastRowLastColumn="0"/>
              <w:rPr>
                <w:rFonts w:ascii="Calibri" w:hAnsi="Calibri"/>
                <w:noProof/>
                <w:color w:val="000000"/>
                <w:lang w:val="sr-Cyrl-CS"/>
              </w:rPr>
            </w:pPr>
            <w:r w:rsidRPr="00BF3CDE">
              <w:rPr>
                <w:rFonts w:ascii="Calibri" w:hAnsi="Calibri"/>
                <w:noProof/>
                <w:color w:val="000000"/>
                <w:lang w:val="sr-Cyrl-CS" w:eastAsia="sr-Latn-RS"/>
              </w:rPr>
              <w:t>13.</w:t>
            </w:r>
            <w:r>
              <w:rPr>
                <w:rFonts w:ascii="Calibri" w:hAnsi="Calibri"/>
                <w:noProof/>
                <w:color w:val="000000"/>
                <w:lang w:val="sr-Cyrl-CS" w:eastAsia="sr-Latn-RS"/>
              </w:rPr>
              <w:t>19</w:t>
            </w:r>
            <w:r w:rsidRPr="00BF3CDE">
              <w:rPr>
                <w:rFonts w:ascii="Calibri" w:hAnsi="Calibri"/>
                <w:noProof/>
                <w:color w:val="000000"/>
                <w:sz w:val="22"/>
                <w:szCs w:val="22"/>
                <w:lang w:val="sr-Cyrl-CS"/>
              </w:rPr>
              <w:t>%</w:t>
            </w:r>
          </w:p>
          <w:p w14:paraId="588DAB55" w14:textId="77777777" w:rsidR="004E6E16" w:rsidRPr="00BF3CDE" w:rsidRDefault="004E6E16" w:rsidP="004E6E16">
            <w:pPr>
              <w:jc w:val="right"/>
              <w:cnfStyle w:val="000000100000" w:firstRow="0" w:lastRow="0" w:firstColumn="0" w:lastColumn="0" w:oddVBand="0" w:evenVBand="0" w:oddHBand="1" w:evenHBand="0" w:firstRowFirstColumn="0" w:firstRowLastColumn="0" w:lastRowFirstColumn="0" w:lastRowLastColumn="0"/>
              <w:rPr>
                <w:rFonts w:ascii="Calibri" w:hAnsi="Calibri"/>
                <w:noProof/>
                <w:color w:val="000000"/>
                <w:lang w:val="sr-Cyrl-CS" w:eastAsia="sr-Latn-RS"/>
              </w:rPr>
            </w:pPr>
          </w:p>
        </w:tc>
        <w:tc>
          <w:tcPr>
            <w:tcW w:w="1038" w:type="dxa"/>
            <w:noWrap/>
            <w:vAlign w:val="center"/>
            <w:hideMark/>
          </w:tcPr>
          <w:p w14:paraId="4DF2B15F" w14:textId="77777777" w:rsidR="004E6E16" w:rsidRPr="00BF3CDE" w:rsidRDefault="004E6E16" w:rsidP="004E6E16">
            <w:pPr>
              <w:jc w:val="right"/>
              <w:cnfStyle w:val="000000100000" w:firstRow="0" w:lastRow="0" w:firstColumn="0" w:lastColumn="0" w:oddVBand="0" w:evenVBand="0" w:oddHBand="1"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108.43</w:t>
            </w:r>
          </w:p>
        </w:tc>
      </w:tr>
      <w:tr w:rsidR="004E6E16" w:rsidRPr="00BF3CDE" w14:paraId="45B6BC1A" w14:textId="77777777" w:rsidTr="00E847DA">
        <w:trPr>
          <w:trHeight w:val="340"/>
        </w:trPr>
        <w:tc>
          <w:tcPr>
            <w:cnfStyle w:val="001000000000" w:firstRow="0" w:lastRow="0" w:firstColumn="1" w:lastColumn="0" w:oddVBand="0" w:evenVBand="0" w:oddHBand="0" w:evenHBand="0" w:firstRowFirstColumn="0" w:firstRowLastColumn="0" w:lastRowFirstColumn="0" w:lastRowLastColumn="0"/>
            <w:tcW w:w="594" w:type="dxa"/>
            <w:noWrap/>
            <w:vAlign w:val="center"/>
            <w:hideMark/>
          </w:tcPr>
          <w:p w14:paraId="69E214AF" w14:textId="77777777" w:rsidR="004E6E16" w:rsidRPr="00BF3CDE" w:rsidRDefault="004E6E16" w:rsidP="004E6E16">
            <w:pPr>
              <w:jc w:val="center"/>
              <w:rPr>
                <w:rFonts w:ascii="Calibri" w:hAnsi="Calibri"/>
                <w:noProof/>
                <w:color w:val="000000"/>
                <w:lang w:val="sr-Cyrl-CS" w:eastAsia="sr-Latn-RS"/>
              </w:rPr>
            </w:pPr>
            <w:r w:rsidRPr="00BF3CDE">
              <w:rPr>
                <w:rFonts w:ascii="Calibri" w:hAnsi="Calibri"/>
                <w:noProof/>
                <w:color w:val="000000"/>
                <w:lang w:val="sr-Cyrl-CS" w:eastAsia="sr-Latn-RS"/>
              </w:rPr>
              <w:t>4</w:t>
            </w:r>
          </w:p>
        </w:tc>
        <w:tc>
          <w:tcPr>
            <w:tcW w:w="3122" w:type="dxa"/>
            <w:hideMark/>
          </w:tcPr>
          <w:p w14:paraId="21405C83" w14:textId="77777777" w:rsidR="004E6E16" w:rsidRPr="00BF3CDE" w:rsidRDefault="004E6E16" w:rsidP="004E6E16">
            <w:pPr>
              <w:cnfStyle w:val="000000000000" w:firstRow="0"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 xml:space="preserve">Исправка вредности </w:t>
            </w:r>
            <w:r>
              <w:rPr>
                <w:rFonts w:ascii="Calibri" w:hAnsi="Calibri"/>
                <w:noProof/>
                <w:color w:val="000000"/>
                <w:lang w:val="sr-Cyrl-CS" w:eastAsia="sr-Latn-RS"/>
              </w:rPr>
              <w:t xml:space="preserve">власничких </w:t>
            </w:r>
            <w:r w:rsidRPr="00BF3CDE">
              <w:rPr>
                <w:rFonts w:ascii="Calibri" w:hAnsi="Calibri"/>
                <w:noProof/>
                <w:color w:val="000000"/>
                <w:lang w:val="sr-Cyrl-CS" w:eastAsia="sr-Latn-RS"/>
              </w:rPr>
              <w:t>ХОВ расположивих за продају</w:t>
            </w:r>
          </w:p>
        </w:tc>
        <w:tc>
          <w:tcPr>
            <w:tcW w:w="1206" w:type="dxa"/>
            <w:noWrap/>
            <w:vAlign w:val="center"/>
            <w:hideMark/>
          </w:tcPr>
          <w:p w14:paraId="3D29C663" w14:textId="77777777" w:rsidR="004E6E16" w:rsidRPr="00BF3CDE" w:rsidRDefault="004E6E16" w:rsidP="004E6E16">
            <w:pPr>
              <w:jc w:val="right"/>
              <w:cnfStyle w:val="000000000000" w:firstRow="0"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-178,333</w:t>
            </w:r>
          </w:p>
        </w:tc>
        <w:tc>
          <w:tcPr>
            <w:tcW w:w="1080" w:type="dxa"/>
            <w:noWrap/>
            <w:vAlign w:val="center"/>
            <w:hideMark/>
          </w:tcPr>
          <w:p w14:paraId="06AC91AB" w14:textId="77777777" w:rsidR="004E6E16" w:rsidRPr="00BF3CDE" w:rsidRDefault="004E6E16" w:rsidP="004E6E16">
            <w:pPr>
              <w:jc w:val="right"/>
              <w:cnfStyle w:val="000000000000" w:firstRow="0"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-8.3</w:t>
            </w:r>
            <w:r>
              <w:rPr>
                <w:rFonts w:ascii="Calibri" w:hAnsi="Calibri"/>
                <w:noProof/>
                <w:color w:val="000000"/>
                <w:lang w:val="sr-Cyrl-CS" w:eastAsia="sr-Latn-RS"/>
              </w:rPr>
              <w:t>9</w:t>
            </w:r>
            <w:r w:rsidRPr="00BF3CDE">
              <w:rPr>
                <w:rFonts w:ascii="Calibri" w:hAnsi="Calibri"/>
                <w:noProof/>
                <w:color w:val="000000"/>
                <w:lang w:val="sr-Cyrl-CS" w:eastAsia="sr-Latn-RS"/>
              </w:rPr>
              <w:t>%</w:t>
            </w:r>
          </w:p>
        </w:tc>
        <w:tc>
          <w:tcPr>
            <w:tcW w:w="1206" w:type="dxa"/>
            <w:noWrap/>
            <w:vAlign w:val="center"/>
            <w:hideMark/>
          </w:tcPr>
          <w:p w14:paraId="255D0E76" w14:textId="77777777" w:rsidR="004E6E16" w:rsidRPr="00BF3CDE" w:rsidRDefault="004E6E16" w:rsidP="004E6E16">
            <w:pPr>
              <w:jc w:val="right"/>
              <w:cnfStyle w:val="000000000000" w:firstRow="0"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0</w:t>
            </w:r>
          </w:p>
        </w:tc>
        <w:tc>
          <w:tcPr>
            <w:tcW w:w="1173" w:type="dxa"/>
            <w:noWrap/>
            <w:vAlign w:val="center"/>
            <w:hideMark/>
          </w:tcPr>
          <w:p w14:paraId="7E008753" w14:textId="77777777" w:rsidR="004E6E16" w:rsidRPr="00BF3CDE" w:rsidRDefault="004E6E16" w:rsidP="004E6E16">
            <w:pPr>
              <w:jc w:val="right"/>
              <w:cnfStyle w:val="000000000000" w:firstRow="0"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0.00%</w:t>
            </w:r>
          </w:p>
        </w:tc>
        <w:tc>
          <w:tcPr>
            <w:tcW w:w="1038" w:type="dxa"/>
            <w:noWrap/>
            <w:vAlign w:val="center"/>
            <w:hideMark/>
          </w:tcPr>
          <w:p w14:paraId="75547FC6" w14:textId="77777777" w:rsidR="004E6E16" w:rsidRPr="00BF3CDE" w:rsidRDefault="004E6E16" w:rsidP="004E6E16">
            <w:pPr>
              <w:jc w:val="right"/>
              <w:cnfStyle w:val="000000000000" w:firstRow="0"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 </w:t>
            </w:r>
          </w:p>
        </w:tc>
      </w:tr>
      <w:tr w:rsidR="004E6E16" w:rsidRPr="00BF3CDE" w14:paraId="199BAD53" w14:textId="77777777" w:rsidTr="00E847DA">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94" w:type="dxa"/>
            <w:noWrap/>
            <w:vAlign w:val="center"/>
            <w:hideMark/>
          </w:tcPr>
          <w:p w14:paraId="0E5AFDF3" w14:textId="77777777" w:rsidR="004E6E16" w:rsidRPr="00BF3CDE" w:rsidRDefault="004E6E16" w:rsidP="004E6E16">
            <w:pPr>
              <w:jc w:val="center"/>
              <w:rPr>
                <w:rFonts w:ascii="Calibri" w:hAnsi="Calibri"/>
                <w:noProof/>
                <w:color w:val="000000"/>
                <w:lang w:val="sr-Cyrl-CS" w:eastAsia="sr-Latn-RS"/>
              </w:rPr>
            </w:pPr>
            <w:r w:rsidRPr="00BF3CDE">
              <w:rPr>
                <w:rFonts w:ascii="Calibri" w:hAnsi="Calibri"/>
                <w:noProof/>
                <w:color w:val="000000"/>
                <w:lang w:val="sr-Cyrl-CS" w:eastAsia="sr-Latn-RS"/>
              </w:rPr>
              <w:t>5</w:t>
            </w:r>
          </w:p>
        </w:tc>
        <w:tc>
          <w:tcPr>
            <w:tcW w:w="3122" w:type="dxa"/>
            <w:hideMark/>
          </w:tcPr>
          <w:p w14:paraId="53CD1836" w14:textId="77777777" w:rsidR="004E6E16" w:rsidRPr="00BF3CDE" w:rsidRDefault="004E6E16" w:rsidP="004E6E16">
            <w:pPr>
              <w:cnfStyle w:val="000000100000" w:firstRow="0" w:lastRow="0" w:firstColumn="0" w:lastColumn="0" w:oddVBand="0" w:evenVBand="0" w:oddHBand="1"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 xml:space="preserve">Хартије од вредности </w:t>
            </w:r>
          </w:p>
          <w:p w14:paraId="7E26ADA6" w14:textId="77777777" w:rsidR="004E6E16" w:rsidRPr="00BF3CDE" w:rsidRDefault="004E6E16" w:rsidP="004E6E16">
            <w:pPr>
              <w:cnfStyle w:val="000000100000" w:firstRow="0" w:lastRow="0" w:firstColumn="0" w:lastColumn="0" w:oddVBand="0" w:evenVBand="0" w:oddHBand="1"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намењене трговању</w:t>
            </w:r>
          </w:p>
        </w:tc>
        <w:tc>
          <w:tcPr>
            <w:tcW w:w="1206" w:type="dxa"/>
            <w:noWrap/>
            <w:vAlign w:val="center"/>
            <w:hideMark/>
          </w:tcPr>
          <w:p w14:paraId="2CE0B7EF" w14:textId="77777777" w:rsidR="004E6E16" w:rsidRPr="00BF3CDE" w:rsidRDefault="004E6E16" w:rsidP="004E6E16">
            <w:pPr>
              <w:jc w:val="right"/>
              <w:cnfStyle w:val="000000100000" w:firstRow="0" w:lastRow="0" w:firstColumn="0" w:lastColumn="0" w:oddVBand="0" w:evenVBand="0" w:oddHBand="1"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125,795</w:t>
            </w:r>
          </w:p>
        </w:tc>
        <w:tc>
          <w:tcPr>
            <w:tcW w:w="1080" w:type="dxa"/>
            <w:noWrap/>
            <w:vAlign w:val="center"/>
            <w:hideMark/>
          </w:tcPr>
          <w:p w14:paraId="43FD249D" w14:textId="77777777" w:rsidR="004E6E16" w:rsidRPr="00BF3CDE" w:rsidRDefault="004E6E16" w:rsidP="004E6E16">
            <w:pPr>
              <w:jc w:val="right"/>
              <w:cnfStyle w:val="000000100000" w:firstRow="0" w:lastRow="0" w:firstColumn="0" w:lastColumn="0" w:oddVBand="0" w:evenVBand="0" w:oddHBand="1"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5.92%</w:t>
            </w:r>
          </w:p>
        </w:tc>
        <w:tc>
          <w:tcPr>
            <w:tcW w:w="1206" w:type="dxa"/>
            <w:noWrap/>
            <w:vAlign w:val="center"/>
            <w:hideMark/>
          </w:tcPr>
          <w:p w14:paraId="61727E3D" w14:textId="77777777" w:rsidR="004E6E16" w:rsidRPr="00BF3CDE" w:rsidRDefault="004E6E16" w:rsidP="004E6E16">
            <w:pPr>
              <w:jc w:val="right"/>
              <w:cnfStyle w:val="000000100000" w:firstRow="0" w:lastRow="0" w:firstColumn="0" w:lastColumn="0" w:oddVBand="0" w:evenVBand="0" w:oddHBand="1"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115,114</w:t>
            </w:r>
          </w:p>
        </w:tc>
        <w:tc>
          <w:tcPr>
            <w:tcW w:w="1173" w:type="dxa"/>
            <w:noWrap/>
            <w:vAlign w:val="center"/>
            <w:hideMark/>
          </w:tcPr>
          <w:p w14:paraId="0061D6E3" w14:textId="77777777" w:rsidR="004E6E16" w:rsidRPr="00BF3CDE" w:rsidRDefault="004E6E16" w:rsidP="004E6E16">
            <w:pPr>
              <w:jc w:val="right"/>
              <w:cnfStyle w:val="000000100000" w:firstRow="0" w:lastRow="0" w:firstColumn="0" w:lastColumn="0" w:oddVBand="0" w:evenVBand="0" w:oddHBand="1"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5.0</w:t>
            </w:r>
            <w:r>
              <w:rPr>
                <w:rFonts w:ascii="Calibri" w:hAnsi="Calibri"/>
                <w:noProof/>
                <w:color w:val="000000"/>
                <w:lang w:val="sr-Cyrl-CS" w:eastAsia="sr-Latn-RS"/>
              </w:rPr>
              <w:t>5</w:t>
            </w:r>
            <w:r w:rsidRPr="00BF3CDE">
              <w:rPr>
                <w:rFonts w:ascii="Calibri" w:hAnsi="Calibri"/>
                <w:noProof/>
                <w:color w:val="000000"/>
                <w:lang w:val="sr-Cyrl-CS" w:eastAsia="sr-Latn-RS"/>
              </w:rPr>
              <w:t>%</w:t>
            </w:r>
          </w:p>
        </w:tc>
        <w:tc>
          <w:tcPr>
            <w:tcW w:w="1038" w:type="dxa"/>
            <w:noWrap/>
            <w:vAlign w:val="center"/>
            <w:hideMark/>
          </w:tcPr>
          <w:p w14:paraId="447D6515" w14:textId="77777777" w:rsidR="004E6E16" w:rsidRPr="00BF3CDE" w:rsidRDefault="004E6E16" w:rsidP="004E6E16">
            <w:pPr>
              <w:jc w:val="right"/>
              <w:cnfStyle w:val="000000100000" w:firstRow="0" w:lastRow="0" w:firstColumn="0" w:lastColumn="0" w:oddVBand="0" w:evenVBand="0" w:oddHBand="1"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109.28</w:t>
            </w:r>
          </w:p>
        </w:tc>
      </w:tr>
      <w:tr w:rsidR="004E6E16" w:rsidRPr="00BF3CDE" w14:paraId="1415FDA0" w14:textId="77777777" w:rsidTr="00E847DA">
        <w:trPr>
          <w:trHeight w:val="227"/>
        </w:trPr>
        <w:tc>
          <w:tcPr>
            <w:cnfStyle w:val="001000000000" w:firstRow="0" w:lastRow="0" w:firstColumn="1" w:lastColumn="0" w:oddVBand="0" w:evenVBand="0" w:oddHBand="0" w:evenHBand="0" w:firstRowFirstColumn="0" w:firstRowLastColumn="0" w:lastRowFirstColumn="0" w:lastRowLastColumn="0"/>
            <w:tcW w:w="594" w:type="dxa"/>
            <w:noWrap/>
            <w:vAlign w:val="center"/>
            <w:hideMark/>
          </w:tcPr>
          <w:p w14:paraId="04551116" w14:textId="77777777" w:rsidR="004E6E16" w:rsidRPr="00BF3CDE" w:rsidRDefault="004E6E16" w:rsidP="004E6E16">
            <w:pPr>
              <w:jc w:val="center"/>
              <w:rPr>
                <w:rFonts w:ascii="Calibri" w:hAnsi="Calibri"/>
                <w:noProof/>
                <w:color w:val="000000"/>
                <w:lang w:val="sr-Cyrl-CS" w:eastAsia="sr-Latn-RS"/>
              </w:rPr>
            </w:pPr>
            <w:r w:rsidRPr="00BF3CDE">
              <w:rPr>
                <w:rFonts w:ascii="Calibri" w:hAnsi="Calibri"/>
                <w:noProof/>
                <w:color w:val="000000"/>
                <w:lang w:val="sr-Cyrl-CS" w:eastAsia="sr-Latn-RS"/>
              </w:rPr>
              <w:t>6</w:t>
            </w:r>
          </w:p>
        </w:tc>
        <w:tc>
          <w:tcPr>
            <w:tcW w:w="3122" w:type="dxa"/>
            <w:vAlign w:val="center"/>
            <w:hideMark/>
          </w:tcPr>
          <w:p w14:paraId="4E7D3ADB" w14:textId="77777777" w:rsidR="004E6E16" w:rsidRPr="00BF3CDE" w:rsidRDefault="004E6E16" w:rsidP="004E6E16">
            <w:pPr>
              <w:cnfStyle w:val="000000000000" w:firstRow="0"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Краткорочни депозити</w:t>
            </w:r>
          </w:p>
        </w:tc>
        <w:tc>
          <w:tcPr>
            <w:tcW w:w="1206" w:type="dxa"/>
            <w:noWrap/>
            <w:vAlign w:val="center"/>
            <w:hideMark/>
          </w:tcPr>
          <w:p w14:paraId="3547B070" w14:textId="77777777" w:rsidR="004E6E16" w:rsidRPr="00BF3CDE" w:rsidRDefault="004E6E16" w:rsidP="004E6E16">
            <w:pPr>
              <w:jc w:val="right"/>
              <w:cnfStyle w:val="000000000000" w:firstRow="0"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377,244</w:t>
            </w:r>
          </w:p>
        </w:tc>
        <w:tc>
          <w:tcPr>
            <w:tcW w:w="1080" w:type="dxa"/>
            <w:noWrap/>
            <w:vAlign w:val="center"/>
            <w:hideMark/>
          </w:tcPr>
          <w:p w14:paraId="1A487A1A" w14:textId="77777777" w:rsidR="004E6E16" w:rsidRPr="00BF3CDE" w:rsidRDefault="004E6E16" w:rsidP="004E6E16">
            <w:pPr>
              <w:jc w:val="right"/>
              <w:cnfStyle w:val="000000000000" w:firstRow="0"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17.</w:t>
            </w:r>
            <w:r>
              <w:rPr>
                <w:rFonts w:ascii="Calibri" w:hAnsi="Calibri"/>
                <w:noProof/>
                <w:color w:val="000000"/>
                <w:lang w:val="sr-Cyrl-CS" w:eastAsia="sr-Latn-RS"/>
              </w:rPr>
              <w:t>74</w:t>
            </w:r>
            <w:r w:rsidRPr="00BF3CDE">
              <w:rPr>
                <w:rFonts w:ascii="Calibri" w:hAnsi="Calibri"/>
                <w:noProof/>
                <w:color w:val="000000"/>
                <w:lang w:val="sr-Cyrl-CS" w:eastAsia="sr-Latn-RS"/>
              </w:rPr>
              <w:t>%</w:t>
            </w:r>
          </w:p>
        </w:tc>
        <w:tc>
          <w:tcPr>
            <w:tcW w:w="1206" w:type="dxa"/>
            <w:noWrap/>
            <w:vAlign w:val="center"/>
            <w:hideMark/>
          </w:tcPr>
          <w:p w14:paraId="698100DF" w14:textId="77777777" w:rsidR="004E6E16" w:rsidRPr="00BF3CDE" w:rsidRDefault="004E6E16" w:rsidP="004E6E16">
            <w:pPr>
              <w:jc w:val="right"/>
              <w:cnfStyle w:val="000000000000" w:firstRow="0"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r>
              <w:rPr>
                <w:rFonts w:ascii="Calibri" w:hAnsi="Calibri"/>
                <w:noProof/>
                <w:color w:val="000000"/>
                <w:lang w:val="sr-Cyrl-CS" w:eastAsia="sr-Latn-RS"/>
              </w:rPr>
              <w:t>663,394</w:t>
            </w:r>
          </w:p>
        </w:tc>
        <w:tc>
          <w:tcPr>
            <w:tcW w:w="1173" w:type="dxa"/>
            <w:noWrap/>
            <w:vAlign w:val="center"/>
            <w:hideMark/>
          </w:tcPr>
          <w:p w14:paraId="150B6B84" w14:textId="77777777" w:rsidR="004E6E16" w:rsidRPr="00BF3CDE" w:rsidRDefault="004E6E16" w:rsidP="004E6E16">
            <w:pPr>
              <w:jc w:val="right"/>
              <w:cnfStyle w:val="000000000000" w:firstRow="0"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2</w:t>
            </w:r>
            <w:r>
              <w:rPr>
                <w:rFonts w:ascii="Calibri" w:hAnsi="Calibri"/>
                <w:noProof/>
                <w:color w:val="000000"/>
                <w:lang w:val="sr-Cyrl-CS" w:eastAsia="sr-Latn-RS"/>
              </w:rPr>
              <w:t>9</w:t>
            </w:r>
            <w:r w:rsidRPr="00BF3CDE">
              <w:rPr>
                <w:rFonts w:ascii="Calibri" w:hAnsi="Calibri"/>
                <w:noProof/>
                <w:color w:val="000000"/>
                <w:lang w:val="sr-Cyrl-CS" w:eastAsia="sr-Latn-RS"/>
              </w:rPr>
              <w:t>.</w:t>
            </w:r>
            <w:r>
              <w:rPr>
                <w:rFonts w:ascii="Calibri" w:hAnsi="Calibri"/>
                <w:noProof/>
                <w:color w:val="000000"/>
                <w:lang w:val="sr-Cyrl-CS" w:eastAsia="sr-Latn-RS"/>
              </w:rPr>
              <w:t>12</w:t>
            </w:r>
            <w:r w:rsidRPr="00BF3CDE">
              <w:rPr>
                <w:rFonts w:ascii="Calibri" w:hAnsi="Calibri"/>
                <w:noProof/>
                <w:color w:val="000000"/>
                <w:lang w:val="sr-Cyrl-CS" w:eastAsia="sr-Latn-RS"/>
              </w:rPr>
              <w:t>%</w:t>
            </w:r>
          </w:p>
        </w:tc>
        <w:tc>
          <w:tcPr>
            <w:tcW w:w="1038" w:type="dxa"/>
            <w:noWrap/>
            <w:vAlign w:val="center"/>
            <w:hideMark/>
          </w:tcPr>
          <w:p w14:paraId="72286E22" w14:textId="77777777" w:rsidR="004E6E16" w:rsidRPr="00BF3CDE" w:rsidRDefault="004E6E16" w:rsidP="004E6E16">
            <w:pPr>
              <w:jc w:val="right"/>
              <w:cnfStyle w:val="000000000000" w:firstRow="0"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57.41</w:t>
            </w:r>
          </w:p>
        </w:tc>
      </w:tr>
      <w:tr w:rsidR="004E6E16" w:rsidRPr="00BF3CDE" w14:paraId="24E2F43C" w14:textId="77777777" w:rsidTr="00E847DA">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94" w:type="dxa"/>
            <w:noWrap/>
            <w:vAlign w:val="center"/>
            <w:hideMark/>
          </w:tcPr>
          <w:p w14:paraId="2AAF8C90" w14:textId="77777777" w:rsidR="004E6E16" w:rsidRPr="00BF3CDE" w:rsidRDefault="004E6E16" w:rsidP="004E6E16">
            <w:pPr>
              <w:jc w:val="center"/>
              <w:rPr>
                <w:rFonts w:ascii="Calibri" w:hAnsi="Calibri"/>
                <w:noProof/>
                <w:color w:val="000000"/>
                <w:lang w:val="sr-Cyrl-CS" w:eastAsia="sr-Latn-RS"/>
              </w:rPr>
            </w:pPr>
            <w:r w:rsidRPr="00BF3CDE">
              <w:rPr>
                <w:rFonts w:ascii="Calibri" w:hAnsi="Calibri"/>
                <w:noProof/>
                <w:color w:val="000000"/>
                <w:lang w:val="sr-Cyrl-CS" w:eastAsia="sr-Latn-RS"/>
              </w:rPr>
              <w:t>7</w:t>
            </w:r>
          </w:p>
        </w:tc>
        <w:tc>
          <w:tcPr>
            <w:tcW w:w="3122" w:type="dxa"/>
            <w:vAlign w:val="center"/>
            <w:hideMark/>
          </w:tcPr>
          <w:p w14:paraId="2BB034F3" w14:textId="77777777" w:rsidR="004E6E16" w:rsidRPr="00BF3CDE" w:rsidRDefault="004E6E16" w:rsidP="004E6E16">
            <w:pPr>
              <w:cnfStyle w:val="000000100000" w:firstRow="0" w:lastRow="0" w:firstColumn="0" w:lastColumn="0" w:oddVBand="0" w:evenVBand="0" w:oddHBand="1" w:evenHBand="0" w:firstRowFirstColumn="0" w:firstRowLastColumn="0" w:lastRowFirstColumn="0" w:lastRowLastColumn="0"/>
              <w:rPr>
                <w:rFonts w:ascii="Calibri" w:hAnsi="Calibri"/>
                <w:noProof/>
                <w:color w:val="000000"/>
                <w:lang w:val="sr-Cyrl-CS" w:eastAsia="sr-Latn-RS"/>
              </w:rPr>
            </w:pPr>
            <w:r>
              <w:rPr>
                <w:rFonts w:ascii="Calibri" w:hAnsi="Calibri"/>
                <w:noProof/>
                <w:color w:val="000000"/>
                <w:lang w:val="sr-Cyrl-CS" w:eastAsia="sr-Latn-RS"/>
              </w:rPr>
              <w:t>Готовина и готовински еквиваленти</w:t>
            </w:r>
          </w:p>
        </w:tc>
        <w:tc>
          <w:tcPr>
            <w:tcW w:w="1206" w:type="dxa"/>
            <w:noWrap/>
            <w:vAlign w:val="center"/>
            <w:hideMark/>
          </w:tcPr>
          <w:p w14:paraId="21EC1071" w14:textId="77777777" w:rsidR="004E6E16" w:rsidRPr="00BF3CDE" w:rsidRDefault="004E6E16" w:rsidP="004E6E16">
            <w:pPr>
              <w:jc w:val="right"/>
              <w:cnfStyle w:val="000000100000" w:firstRow="0" w:lastRow="0" w:firstColumn="0" w:lastColumn="0" w:oddVBand="0" w:evenVBand="0" w:oddHBand="1"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842,881</w:t>
            </w:r>
          </w:p>
        </w:tc>
        <w:tc>
          <w:tcPr>
            <w:tcW w:w="1080" w:type="dxa"/>
            <w:noWrap/>
            <w:vAlign w:val="center"/>
            <w:hideMark/>
          </w:tcPr>
          <w:p w14:paraId="783F816F" w14:textId="77777777" w:rsidR="004E6E16" w:rsidRPr="00BF3CDE" w:rsidRDefault="004E6E16" w:rsidP="004E6E16">
            <w:pPr>
              <w:jc w:val="right"/>
              <w:cnfStyle w:val="000000100000" w:firstRow="0" w:lastRow="0" w:firstColumn="0" w:lastColumn="0" w:oddVBand="0" w:evenVBand="0" w:oddHBand="1"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39.</w:t>
            </w:r>
            <w:r>
              <w:rPr>
                <w:rFonts w:ascii="Calibri" w:hAnsi="Calibri"/>
                <w:noProof/>
                <w:color w:val="000000"/>
                <w:lang w:val="sr-Cyrl-CS" w:eastAsia="sr-Latn-RS"/>
              </w:rPr>
              <w:t>6</w:t>
            </w:r>
            <w:r w:rsidRPr="00BF3CDE">
              <w:rPr>
                <w:rFonts w:ascii="Calibri" w:hAnsi="Calibri"/>
                <w:noProof/>
                <w:color w:val="000000"/>
                <w:lang w:val="sr-Cyrl-CS" w:eastAsia="sr-Latn-RS"/>
              </w:rPr>
              <w:t>3%</w:t>
            </w:r>
          </w:p>
        </w:tc>
        <w:tc>
          <w:tcPr>
            <w:tcW w:w="1206" w:type="dxa"/>
            <w:noWrap/>
            <w:vAlign w:val="center"/>
            <w:hideMark/>
          </w:tcPr>
          <w:p w14:paraId="37557CFB" w14:textId="77777777" w:rsidR="004E6E16" w:rsidRPr="00BF3CDE" w:rsidRDefault="004E6E16" w:rsidP="004E6E16">
            <w:pPr>
              <w:jc w:val="right"/>
              <w:cnfStyle w:val="000000100000" w:firstRow="0" w:lastRow="0" w:firstColumn="0" w:lastColumn="0" w:oddVBand="0" w:evenVBand="0" w:oddHBand="1"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1,174,545</w:t>
            </w:r>
          </w:p>
        </w:tc>
        <w:tc>
          <w:tcPr>
            <w:tcW w:w="1173" w:type="dxa"/>
            <w:noWrap/>
            <w:vAlign w:val="center"/>
            <w:hideMark/>
          </w:tcPr>
          <w:p w14:paraId="65A8742F" w14:textId="77777777" w:rsidR="004E6E16" w:rsidRPr="00BF3CDE" w:rsidRDefault="004E6E16" w:rsidP="004E6E16">
            <w:pPr>
              <w:jc w:val="right"/>
              <w:cnfStyle w:val="000000100000" w:firstRow="0" w:lastRow="0" w:firstColumn="0" w:lastColumn="0" w:oddVBand="0" w:evenVBand="0" w:oddHBand="1" w:evenHBand="0" w:firstRowFirstColumn="0" w:firstRowLastColumn="0" w:lastRowFirstColumn="0" w:lastRowLastColumn="0"/>
              <w:rPr>
                <w:rFonts w:ascii="Calibri" w:hAnsi="Calibri"/>
                <w:noProof/>
                <w:color w:val="000000"/>
                <w:lang w:val="sr-Cyrl-CS" w:eastAsia="sr-Latn-RS"/>
              </w:rPr>
            </w:pPr>
            <w:r>
              <w:rPr>
                <w:rFonts w:ascii="Calibri" w:hAnsi="Calibri"/>
                <w:noProof/>
                <w:color w:val="000000"/>
                <w:lang w:val="sr-Cyrl-CS" w:eastAsia="sr-Latn-RS"/>
              </w:rPr>
              <w:t>51</w:t>
            </w:r>
            <w:r w:rsidRPr="00BF3CDE">
              <w:rPr>
                <w:rFonts w:ascii="Calibri" w:hAnsi="Calibri"/>
                <w:noProof/>
                <w:color w:val="000000"/>
                <w:lang w:val="sr-Cyrl-CS" w:eastAsia="sr-Latn-RS"/>
              </w:rPr>
              <w:t>.</w:t>
            </w:r>
            <w:r>
              <w:rPr>
                <w:rFonts w:ascii="Calibri" w:hAnsi="Calibri"/>
                <w:noProof/>
                <w:color w:val="000000"/>
                <w:lang w:val="sr-Cyrl-CS" w:eastAsia="sr-Latn-RS"/>
              </w:rPr>
              <w:t>56</w:t>
            </w:r>
            <w:r w:rsidRPr="00BF3CDE">
              <w:rPr>
                <w:rFonts w:ascii="Calibri" w:hAnsi="Calibri"/>
                <w:noProof/>
                <w:color w:val="000000"/>
                <w:lang w:val="sr-Cyrl-CS" w:eastAsia="sr-Latn-RS"/>
              </w:rPr>
              <w:t>%</w:t>
            </w:r>
          </w:p>
        </w:tc>
        <w:tc>
          <w:tcPr>
            <w:tcW w:w="1038" w:type="dxa"/>
            <w:noWrap/>
            <w:vAlign w:val="center"/>
            <w:hideMark/>
          </w:tcPr>
          <w:p w14:paraId="0A7E2876" w14:textId="77777777" w:rsidR="004E6E16" w:rsidRPr="00BF3CDE" w:rsidRDefault="004E6E16" w:rsidP="004E6E16">
            <w:pPr>
              <w:jc w:val="right"/>
              <w:cnfStyle w:val="000000100000" w:firstRow="0" w:lastRow="0" w:firstColumn="0" w:lastColumn="0" w:oddVBand="0" w:evenVBand="0" w:oddHBand="1"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71.76</w:t>
            </w:r>
          </w:p>
        </w:tc>
      </w:tr>
      <w:tr w:rsidR="004E6E16" w:rsidRPr="00BF3CDE" w14:paraId="24E0D5BE" w14:textId="77777777" w:rsidTr="00E847DA">
        <w:trPr>
          <w:cnfStyle w:val="010000000000" w:firstRow="0" w:lastRow="1"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94" w:type="dxa"/>
            <w:noWrap/>
            <w:hideMark/>
          </w:tcPr>
          <w:p w14:paraId="31C07292" w14:textId="77777777" w:rsidR="004E6E16" w:rsidRPr="00BF3CDE" w:rsidRDefault="004E6E16" w:rsidP="004E6E16">
            <w:pPr>
              <w:rPr>
                <w:rFonts w:ascii="Calibri" w:hAnsi="Calibri"/>
                <w:noProof/>
                <w:color w:val="000000"/>
                <w:lang w:val="sr-Cyrl-CS" w:eastAsia="sr-Latn-RS"/>
              </w:rPr>
            </w:pPr>
            <w:r w:rsidRPr="00BF3CDE">
              <w:rPr>
                <w:rFonts w:ascii="Calibri" w:hAnsi="Calibri"/>
                <w:noProof/>
                <w:color w:val="000000"/>
                <w:lang w:val="sr-Cyrl-CS" w:eastAsia="sr-Latn-RS"/>
              </w:rPr>
              <w:t> </w:t>
            </w:r>
          </w:p>
        </w:tc>
        <w:tc>
          <w:tcPr>
            <w:tcW w:w="3122" w:type="dxa"/>
            <w:vAlign w:val="center"/>
            <w:hideMark/>
          </w:tcPr>
          <w:p w14:paraId="3EF81D89" w14:textId="77777777" w:rsidR="004E6E16" w:rsidRPr="00BF3CDE" w:rsidRDefault="004E6E16" w:rsidP="004E6E16">
            <w:pPr>
              <w:jc w:val="center"/>
              <w:cnfStyle w:val="010000000000" w:firstRow="0" w:lastRow="1"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УКУПНО</w:t>
            </w:r>
          </w:p>
        </w:tc>
        <w:tc>
          <w:tcPr>
            <w:tcW w:w="1206" w:type="dxa"/>
            <w:noWrap/>
            <w:vAlign w:val="center"/>
            <w:hideMark/>
          </w:tcPr>
          <w:p w14:paraId="2BCE1540" w14:textId="681CB3E3" w:rsidR="004E6E16" w:rsidRPr="00E847DA" w:rsidRDefault="004E6E16" w:rsidP="00E847DA">
            <w:pPr>
              <w:jc w:val="right"/>
              <w:cnfStyle w:val="010000000000" w:firstRow="0" w:lastRow="1" w:firstColumn="0" w:lastColumn="0" w:oddVBand="0" w:evenVBand="0" w:oddHBand="0" w:evenHBand="0" w:firstRowFirstColumn="0" w:firstRowLastColumn="0" w:lastRowFirstColumn="0" w:lastRowLastColumn="0"/>
              <w:rPr>
                <w:rFonts w:ascii="Calibri" w:hAnsi="Calibri" w:cs="Calibri"/>
                <w:color w:val="000000"/>
                <w:lang w:val="sr-Cyrl-RS"/>
              </w:rPr>
            </w:pPr>
            <w:r>
              <w:rPr>
                <w:rFonts w:ascii="Calibri" w:hAnsi="Calibri" w:cs="Calibri"/>
                <w:color w:val="000000"/>
                <w:sz w:val="22"/>
                <w:szCs w:val="22"/>
              </w:rPr>
              <w:t>2,126,655</w:t>
            </w:r>
          </w:p>
        </w:tc>
        <w:tc>
          <w:tcPr>
            <w:tcW w:w="1080" w:type="dxa"/>
            <w:noWrap/>
            <w:vAlign w:val="center"/>
            <w:hideMark/>
          </w:tcPr>
          <w:p w14:paraId="1C120820" w14:textId="77777777" w:rsidR="004E6E16" w:rsidRPr="00BF3CDE" w:rsidRDefault="004E6E16" w:rsidP="004E6E16">
            <w:pPr>
              <w:jc w:val="right"/>
              <w:cnfStyle w:val="010000000000" w:firstRow="0" w:lastRow="1"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100.00%</w:t>
            </w:r>
          </w:p>
        </w:tc>
        <w:tc>
          <w:tcPr>
            <w:tcW w:w="1206" w:type="dxa"/>
            <w:noWrap/>
            <w:vAlign w:val="center"/>
            <w:hideMark/>
          </w:tcPr>
          <w:p w14:paraId="5EF3B879" w14:textId="6DD38EDD" w:rsidR="004E6E16" w:rsidRPr="00E847DA" w:rsidRDefault="004E6E16" w:rsidP="00E847DA">
            <w:pPr>
              <w:jc w:val="right"/>
              <w:cnfStyle w:val="010000000000" w:firstRow="0" w:lastRow="1" w:firstColumn="0" w:lastColumn="0" w:oddVBand="0" w:evenVBand="0" w:oddHBand="0" w:evenHBand="0" w:firstRowFirstColumn="0" w:firstRowLastColumn="0" w:lastRowFirstColumn="0" w:lastRowLastColumn="0"/>
              <w:rPr>
                <w:rFonts w:ascii="Calibri" w:hAnsi="Calibri" w:cs="Calibri"/>
                <w:color w:val="000000"/>
                <w:lang w:val="sr-Cyrl-RS"/>
              </w:rPr>
            </w:pPr>
            <w:r>
              <w:rPr>
                <w:rFonts w:ascii="Calibri" w:hAnsi="Calibri" w:cs="Calibri"/>
                <w:color w:val="000000"/>
                <w:sz w:val="22"/>
                <w:szCs w:val="22"/>
              </w:rPr>
              <w:t>2,278,118</w:t>
            </w:r>
          </w:p>
        </w:tc>
        <w:tc>
          <w:tcPr>
            <w:tcW w:w="1173" w:type="dxa"/>
            <w:noWrap/>
            <w:vAlign w:val="center"/>
            <w:hideMark/>
          </w:tcPr>
          <w:p w14:paraId="46F8E315" w14:textId="77777777" w:rsidR="004E6E16" w:rsidRPr="00BF3CDE" w:rsidRDefault="004E6E16" w:rsidP="004E6E16">
            <w:pPr>
              <w:jc w:val="right"/>
              <w:cnfStyle w:val="010000000000" w:firstRow="0" w:lastRow="1"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100.00%</w:t>
            </w:r>
          </w:p>
        </w:tc>
        <w:tc>
          <w:tcPr>
            <w:tcW w:w="1038" w:type="dxa"/>
            <w:noWrap/>
            <w:vAlign w:val="center"/>
            <w:hideMark/>
          </w:tcPr>
          <w:p w14:paraId="552C7066" w14:textId="77777777" w:rsidR="004E6E16" w:rsidRPr="00BF3CDE" w:rsidRDefault="004E6E16" w:rsidP="004E6E16">
            <w:pPr>
              <w:jc w:val="right"/>
              <w:cnfStyle w:val="010000000000" w:firstRow="0" w:lastRow="1" w:firstColumn="0" w:lastColumn="0" w:oddVBand="0" w:evenVBand="0" w:oddHBand="0" w:evenHBand="0" w:firstRowFirstColumn="0" w:firstRowLastColumn="0" w:lastRowFirstColumn="0" w:lastRowLastColumn="0"/>
              <w:rPr>
                <w:rFonts w:ascii="Calibri" w:hAnsi="Calibri"/>
                <w:noProof/>
                <w:color w:val="000000"/>
                <w:lang w:val="sr-Cyrl-CS" w:eastAsia="sr-Latn-RS"/>
              </w:rPr>
            </w:pPr>
            <w:r>
              <w:rPr>
                <w:rFonts w:ascii="Calibri" w:hAnsi="Calibri"/>
                <w:noProof/>
                <w:color w:val="000000"/>
                <w:lang w:val="sr-Cyrl-CS" w:eastAsia="sr-Latn-RS"/>
              </w:rPr>
              <w:t>93,35</w:t>
            </w:r>
          </w:p>
        </w:tc>
      </w:tr>
    </w:tbl>
    <w:p w14:paraId="5F361C31" w14:textId="77777777" w:rsidR="006A1DA2" w:rsidRPr="00BF3CDE" w:rsidRDefault="00911099" w:rsidP="00911099">
      <w:pPr>
        <w:spacing w:before="120" w:after="0"/>
        <w:ind w:hanging="567"/>
        <w:jc w:val="both"/>
        <w:rPr>
          <w:noProof/>
          <w:sz w:val="20"/>
          <w:szCs w:val="20"/>
          <w:lang w:val="sr-Cyrl-CS"/>
        </w:rPr>
      </w:pPr>
      <w:r w:rsidRPr="00BF3CDE">
        <w:rPr>
          <w:noProof/>
          <w:lang w:val="sr-Latn-RS" w:eastAsia="sr-Latn-RS"/>
        </w:rPr>
        <w:drawing>
          <wp:inline distT="0" distB="0" distL="0" distR="0" wp14:anchorId="0C854227" wp14:editId="4ACFE287">
            <wp:extent cx="6691746" cy="4031673"/>
            <wp:effectExtent l="0" t="0" r="0" b="698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39E46668" w14:textId="77777777" w:rsidR="0076189C" w:rsidRPr="00BF3CDE" w:rsidRDefault="0076189C" w:rsidP="006A1DA2">
      <w:pPr>
        <w:spacing w:before="120" w:after="0"/>
        <w:ind w:firstLine="567"/>
        <w:jc w:val="both"/>
        <w:rPr>
          <w:noProof/>
          <w:sz w:val="20"/>
          <w:szCs w:val="20"/>
          <w:lang w:val="sr-Cyrl-CS"/>
        </w:rPr>
      </w:pPr>
      <w:r w:rsidRPr="00BF3CDE">
        <w:rPr>
          <w:noProof/>
          <w:sz w:val="20"/>
          <w:szCs w:val="20"/>
          <w:lang w:val="sr-Cyrl-CS"/>
        </w:rPr>
        <w:lastRenderedPageBreak/>
        <w:t>Укупан инвестициони портфолио Друштва је смањен за 12,57%, што је највећим делом последица обезвређења акција Дунав банке, а другим делом пада премије у самопридржају.</w:t>
      </w:r>
    </w:p>
    <w:p w14:paraId="0A397F1F" w14:textId="77777777" w:rsidR="0076189C" w:rsidRPr="00BF3CDE" w:rsidRDefault="0076189C" w:rsidP="00E847DA">
      <w:pPr>
        <w:spacing w:before="120" w:after="0"/>
        <w:jc w:val="center"/>
        <w:rPr>
          <w:rFonts w:eastAsiaTheme="minorEastAsia"/>
          <w:b/>
          <w:i/>
          <w:noProof/>
          <w:color w:val="365F91" w:themeColor="accent1" w:themeShade="BF"/>
          <w:sz w:val="20"/>
          <w:lang w:val="sr-Cyrl-CS" w:eastAsia="ja-JP"/>
        </w:rPr>
      </w:pPr>
      <w:r w:rsidRPr="00BF3CDE">
        <w:rPr>
          <w:rFonts w:eastAsiaTheme="minorEastAsia"/>
          <w:b/>
          <w:i/>
          <w:noProof/>
          <w:color w:val="365F91" w:themeColor="accent1" w:themeShade="BF"/>
          <w:sz w:val="20"/>
          <w:lang w:val="sr-Cyrl-CS" w:eastAsia="ja-JP"/>
        </w:rPr>
        <w:t>Хартије од вредности које се држе до доспећа</w:t>
      </w:r>
    </w:p>
    <w:p w14:paraId="5ACE8BD9" w14:textId="77777777" w:rsidR="0076189C" w:rsidRPr="00BF3CDE" w:rsidRDefault="0076189C" w:rsidP="0076189C">
      <w:pPr>
        <w:spacing w:after="0"/>
        <w:jc w:val="both"/>
        <w:rPr>
          <w:noProof/>
          <w:sz w:val="20"/>
          <w:szCs w:val="20"/>
          <w:lang w:val="sr-Cyrl-CS"/>
        </w:rPr>
      </w:pPr>
      <w:r w:rsidRPr="00BF3CDE">
        <w:rPr>
          <w:noProof/>
          <w:sz w:val="20"/>
          <w:szCs w:val="20"/>
          <w:lang w:val="sr-Cyrl-CS"/>
        </w:rPr>
        <w:tab/>
        <w:t>Друштво је:</w:t>
      </w:r>
    </w:p>
    <w:p w14:paraId="40D7D787" w14:textId="7B40ACEB" w:rsidR="0076189C" w:rsidRPr="00BF3CDE" w:rsidRDefault="0076189C" w:rsidP="00E847DA">
      <w:pPr>
        <w:pStyle w:val="ListParagraph"/>
        <w:numPr>
          <w:ilvl w:val="0"/>
          <w:numId w:val="38"/>
        </w:numPr>
        <w:spacing w:after="0"/>
        <w:ind w:left="284" w:hanging="284"/>
        <w:jc w:val="both"/>
        <w:rPr>
          <w:noProof/>
          <w:sz w:val="20"/>
          <w:szCs w:val="20"/>
          <w:lang w:val="sr-Cyrl-CS"/>
        </w:rPr>
      </w:pPr>
      <w:r w:rsidRPr="00BF3CDE">
        <w:rPr>
          <w:noProof/>
          <w:sz w:val="20"/>
          <w:szCs w:val="20"/>
          <w:lang w:val="sr-Cyrl-CS"/>
        </w:rPr>
        <w:t>Дана 21.02.2011. године купило 200 комада државних записа Републике Србије RSMFRSD82183 емитованих у ЕУР-има са роком доспећа од 15 година, номиналне вредности 200.000,00 ЕУР и приносом од 5.75% на годишњем нивоу. Проценом методе ефективне каматне стопе вредност записа на дан 31.12.2014.године  изражена у динарима износи 24.750 хиљада РСД.</w:t>
      </w:r>
    </w:p>
    <w:p w14:paraId="33742BC3" w14:textId="77777777" w:rsidR="0076189C" w:rsidRPr="00BF3CDE" w:rsidRDefault="0076189C" w:rsidP="00E847DA">
      <w:pPr>
        <w:pStyle w:val="ListParagraph"/>
        <w:numPr>
          <w:ilvl w:val="0"/>
          <w:numId w:val="38"/>
        </w:numPr>
        <w:spacing w:after="0"/>
        <w:ind w:left="284" w:hanging="284"/>
        <w:jc w:val="both"/>
        <w:rPr>
          <w:noProof/>
          <w:sz w:val="20"/>
          <w:szCs w:val="20"/>
          <w:lang w:val="sr-Cyrl-CS"/>
        </w:rPr>
      </w:pPr>
      <w:r w:rsidRPr="00BF3CDE">
        <w:rPr>
          <w:noProof/>
          <w:sz w:val="20"/>
          <w:szCs w:val="20"/>
          <w:lang w:val="sr-Cyrl-CS"/>
        </w:rPr>
        <w:t>Дана 16.02.2014. године купило 1.994 комада обвезница Републике Србије RSMFRSD64991 номиналне вредности 1.000 ЕУР-а по комаду, са роком доспећа 21.02.2017.</w:t>
      </w:r>
      <w:r w:rsidR="006A1DA2" w:rsidRPr="00BF3CDE">
        <w:rPr>
          <w:noProof/>
          <w:sz w:val="20"/>
          <w:szCs w:val="20"/>
          <w:lang w:val="sr-Cyrl-CS"/>
        </w:rPr>
        <w:t xml:space="preserve"> </w:t>
      </w:r>
      <w:r w:rsidRPr="00BF3CDE">
        <w:rPr>
          <w:noProof/>
          <w:sz w:val="20"/>
          <w:szCs w:val="20"/>
          <w:lang w:val="sr-Cyrl-CS"/>
        </w:rPr>
        <w:t>године и приносом од 4,80% на годишњем нивоу.Тржишна цена обвезнице на дан куповине износила је 991,80ЕУР-а по комаду. Укупн принос мерен методом ефективне каматне стопе износи 285.540,80 ЕУР-а. Укупна вредност ових обвезница на дан 31.12.</w:t>
      </w:r>
      <w:r w:rsidR="006A1DA2" w:rsidRPr="00BF3CDE">
        <w:rPr>
          <w:noProof/>
          <w:sz w:val="20"/>
          <w:szCs w:val="20"/>
          <w:lang w:val="sr-Cyrl-CS"/>
        </w:rPr>
        <w:t>20</w:t>
      </w:r>
      <w:r w:rsidRPr="00BF3CDE">
        <w:rPr>
          <w:noProof/>
          <w:sz w:val="20"/>
          <w:szCs w:val="20"/>
          <w:lang w:val="sr-Cyrl-CS"/>
        </w:rPr>
        <w:t>14. износи 2.059.009 ЕУР-а или 249.469 хиљада РСД.</w:t>
      </w:r>
    </w:p>
    <w:p w14:paraId="0ABFA9E4" w14:textId="77777777" w:rsidR="0076189C" w:rsidRPr="00BF3CDE" w:rsidRDefault="0076189C" w:rsidP="00E847DA">
      <w:pPr>
        <w:spacing w:after="120"/>
        <w:jc w:val="center"/>
        <w:rPr>
          <w:rFonts w:eastAsiaTheme="minorEastAsia"/>
          <w:b/>
          <w:i/>
          <w:noProof/>
          <w:color w:val="365F91" w:themeColor="accent1" w:themeShade="BF"/>
          <w:sz w:val="20"/>
          <w:lang w:val="sr-Cyrl-CS" w:eastAsia="ja-JP"/>
        </w:rPr>
      </w:pPr>
      <w:r w:rsidRPr="00BF3CDE">
        <w:rPr>
          <w:rFonts w:eastAsiaTheme="minorEastAsia"/>
          <w:b/>
          <w:i/>
          <w:noProof/>
          <w:color w:val="365F91" w:themeColor="accent1" w:themeShade="BF"/>
          <w:sz w:val="20"/>
          <w:lang w:val="sr-Cyrl-CS" w:eastAsia="ja-JP"/>
        </w:rPr>
        <w:tab/>
        <w:t>Дужничке хартије од вредности расположиве за продају</w:t>
      </w:r>
    </w:p>
    <w:p w14:paraId="75E53F54" w14:textId="77777777" w:rsidR="006A1DA2" w:rsidRPr="00BF3CDE" w:rsidRDefault="0076189C" w:rsidP="00E847DA">
      <w:pPr>
        <w:spacing w:before="80" w:after="80"/>
        <w:ind w:firstLine="567"/>
        <w:jc w:val="both"/>
        <w:rPr>
          <w:noProof/>
          <w:sz w:val="20"/>
          <w:szCs w:val="20"/>
          <w:lang w:val="sr-Cyrl-CS"/>
        </w:rPr>
      </w:pPr>
      <w:r w:rsidRPr="00BF3CDE">
        <w:rPr>
          <w:noProof/>
          <w:sz w:val="20"/>
          <w:szCs w:val="20"/>
          <w:lang w:val="sr-Cyrl-CS"/>
        </w:rPr>
        <w:tab/>
        <w:t xml:space="preserve">Друштво је дана 11.06.2014. године купило 3.000 комада државних записа  RSMFRSD23153-RSDZ14509, номиналне вредности 1.000 ЕУР-а по једном запису. Тржишна цена записа на дан куповине била је 968,17 ЕУР-а по комаду. Записи доспевају 17.06.2015. године, а стопа приноса износи 3,19% на годишњем нивоу. </w:t>
      </w:r>
    </w:p>
    <w:p w14:paraId="76BB7FDC" w14:textId="77777777" w:rsidR="0076189C" w:rsidRPr="00BF3CDE" w:rsidRDefault="0076189C" w:rsidP="00E847DA">
      <w:pPr>
        <w:spacing w:before="80" w:after="80"/>
        <w:ind w:firstLine="567"/>
        <w:jc w:val="both"/>
        <w:rPr>
          <w:noProof/>
          <w:sz w:val="20"/>
          <w:szCs w:val="20"/>
          <w:lang w:val="sr-Cyrl-CS"/>
        </w:rPr>
      </w:pPr>
      <w:r w:rsidRPr="00BF3CDE">
        <w:rPr>
          <w:noProof/>
          <w:sz w:val="20"/>
          <w:szCs w:val="20"/>
          <w:lang w:val="sr-Cyrl-CS"/>
        </w:rPr>
        <w:t xml:space="preserve">Укупна камата до дана доспећа мерено методом ефективне каматне стопе износи 95.490 ЕУР-а. Вредност ових записа на дан 31.12.2014.године по методу ефективне каматне стопе износи 2.956.492 ЕУР-а. </w:t>
      </w:r>
    </w:p>
    <w:p w14:paraId="12250EFD" w14:textId="77777777" w:rsidR="0076189C" w:rsidRDefault="0076189C" w:rsidP="00E847DA">
      <w:pPr>
        <w:spacing w:before="80" w:after="80"/>
        <w:ind w:firstLine="567"/>
        <w:jc w:val="both"/>
        <w:rPr>
          <w:noProof/>
          <w:sz w:val="20"/>
          <w:szCs w:val="20"/>
          <w:lang w:val="sr-Cyrl-CS"/>
        </w:rPr>
      </w:pPr>
      <w:r w:rsidRPr="00BF3CDE">
        <w:rPr>
          <w:noProof/>
          <w:sz w:val="20"/>
          <w:szCs w:val="20"/>
          <w:lang w:val="sr-Cyrl-CS"/>
        </w:rPr>
        <w:tab/>
        <w:t xml:space="preserve">Сходно усвојеној рачуноводственој политици ХОВ расположиве за продају на дан биланса вреднују се по фер вредности. Фер „прљава“ вредност ових ХОВ износи 2.955.955 ЕУР-а. </w:t>
      </w:r>
    </w:p>
    <w:p w14:paraId="32BCC153" w14:textId="77777777" w:rsidR="008B2D3B" w:rsidRPr="00BF3CDE" w:rsidRDefault="008B2D3B" w:rsidP="00E847DA">
      <w:pPr>
        <w:spacing w:before="80" w:after="80"/>
        <w:ind w:firstLine="567"/>
        <w:jc w:val="both"/>
        <w:rPr>
          <w:noProof/>
          <w:sz w:val="20"/>
          <w:szCs w:val="20"/>
          <w:lang w:val="sr-Cyrl-CS"/>
        </w:rPr>
      </w:pPr>
      <w:r>
        <w:rPr>
          <w:noProof/>
          <w:sz w:val="20"/>
          <w:szCs w:val="20"/>
          <w:lang w:val="sr-Cyrl-CS"/>
        </w:rPr>
        <w:t>Разлика између фер вредности и амортизоване вредности ХОВ расположивих</w:t>
      </w:r>
      <w:r w:rsidRPr="00BF3CDE">
        <w:rPr>
          <w:noProof/>
          <w:sz w:val="20"/>
          <w:szCs w:val="20"/>
          <w:lang w:val="sr-Cyrl-CS"/>
        </w:rPr>
        <w:t xml:space="preserve"> за продају</w:t>
      </w:r>
      <w:r>
        <w:rPr>
          <w:noProof/>
          <w:sz w:val="20"/>
          <w:szCs w:val="20"/>
          <w:lang w:val="sr-Cyrl-CS"/>
        </w:rPr>
        <w:t xml:space="preserve"> на дан 31.12.2014, евидентирана је кроз ревалоризационе резерве, </w:t>
      </w:r>
    </w:p>
    <w:p w14:paraId="0E515696" w14:textId="77777777" w:rsidR="0076189C" w:rsidRPr="00BF3CDE" w:rsidRDefault="0076189C" w:rsidP="00D50EE5">
      <w:pPr>
        <w:spacing w:before="80" w:after="80"/>
        <w:jc w:val="center"/>
        <w:rPr>
          <w:rFonts w:eastAsiaTheme="minorEastAsia"/>
          <w:b/>
          <w:i/>
          <w:noProof/>
          <w:color w:val="365F91" w:themeColor="accent1" w:themeShade="BF"/>
          <w:sz w:val="20"/>
          <w:lang w:val="sr-Cyrl-CS" w:eastAsia="ja-JP"/>
        </w:rPr>
      </w:pPr>
      <w:bookmarkStart w:id="47" w:name="_Toc413417682"/>
      <w:r w:rsidRPr="00BF3CDE">
        <w:rPr>
          <w:rFonts w:eastAsiaTheme="minorEastAsia"/>
          <w:b/>
          <w:i/>
          <w:noProof/>
          <w:color w:val="365F91" w:themeColor="accent1" w:themeShade="BF"/>
          <w:sz w:val="20"/>
          <w:lang w:val="sr-Cyrl-CS" w:eastAsia="ja-JP"/>
        </w:rPr>
        <w:t>Власничке хартије од вредности расположиве за продају</w:t>
      </w:r>
      <w:bookmarkEnd w:id="47"/>
    </w:p>
    <w:p w14:paraId="61736C44" w14:textId="77777777" w:rsidR="0076189C" w:rsidRPr="00BF3CDE" w:rsidRDefault="0076189C" w:rsidP="00BD65A1">
      <w:pPr>
        <w:spacing w:after="0"/>
        <w:jc w:val="both"/>
        <w:rPr>
          <w:noProof/>
          <w:sz w:val="20"/>
          <w:szCs w:val="20"/>
          <w:lang w:val="sr-Cyrl-CS"/>
        </w:rPr>
      </w:pPr>
      <w:r w:rsidRPr="00BF3CDE">
        <w:rPr>
          <w:rFonts w:ascii="Tahoma" w:hAnsi="Tahoma" w:cs="Tahoma"/>
          <w:noProof/>
          <w:lang w:val="sr-Cyrl-CS"/>
        </w:rPr>
        <w:tab/>
      </w:r>
      <w:r w:rsidRPr="00BF3CDE">
        <w:rPr>
          <w:noProof/>
          <w:sz w:val="20"/>
          <w:szCs w:val="20"/>
          <w:lang w:val="sr-Cyrl-CS"/>
        </w:rPr>
        <w:t>Власничке ХОВ расположиве за продају на дан 31.12.2014. године износе 147.518 хиљада динара, а састоје се од:</w:t>
      </w:r>
      <w:r w:rsidR="00BD65A1" w:rsidRPr="00BD65A1">
        <w:rPr>
          <w:noProof/>
          <w:sz w:val="20"/>
          <w:szCs w:val="20"/>
          <w:lang w:val="sr-Cyrl-CS"/>
        </w:rPr>
        <w:t xml:space="preserve"> </w:t>
      </w:r>
      <w:r w:rsidR="00BD65A1">
        <w:rPr>
          <w:noProof/>
          <w:sz w:val="20"/>
          <w:szCs w:val="20"/>
          <w:lang w:val="sr-Cyrl-CS"/>
        </w:rPr>
        <w:tab/>
      </w:r>
      <w:r w:rsidR="00BD65A1">
        <w:rPr>
          <w:noProof/>
          <w:sz w:val="20"/>
          <w:szCs w:val="20"/>
          <w:lang w:val="sr-Cyrl-CS"/>
        </w:rPr>
        <w:tab/>
      </w:r>
      <w:r w:rsidR="00BD65A1">
        <w:rPr>
          <w:noProof/>
          <w:sz w:val="20"/>
          <w:szCs w:val="20"/>
          <w:lang w:val="sr-Cyrl-CS"/>
        </w:rPr>
        <w:tab/>
      </w:r>
      <w:r w:rsidR="00BD65A1">
        <w:rPr>
          <w:noProof/>
          <w:sz w:val="20"/>
          <w:szCs w:val="20"/>
          <w:lang w:val="sr-Cyrl-CS"/>
        </w:rPr>
        <w:tab/>
      </w:r>
      <w:r w:rsidR="00BD65A1">
        <w:rPr>
          <w:noProof/>
          <w:sz w:val="20"/>
          <w:szCs w:val="20"/>
          <w:lang w:val="sr-Cyrl-CS"/>
        </w:rPr>
        <w:tab/>
        <w:t xml:space="preserve">  </w:t>
      </w:r>
      <w:r w:rsidR="00BD65A1" w:rsidRPr="00BF3CDE">
        <w:rPr>
          <w:noProof/>
          <w:sz w:val="20"/>
          <w:szCs w:val="20"/>
          <w:lang w:val="sr-Cyrl-CS"/>
        </w:rPr>
        <w:t>у 000 РСД</w:t>
      </w:r>
    </w:p>
    <w:tbl>
      <w:tblPr>
        <w:tblW w:w="9588" w:type="dxa"/>
        <w:tblCellSpacing w:w="20" w:type="dxa"/>
        <w:tblInd w:w="7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4A0" w:firstRow="1" w:lastRow="0" w:firstColumn="1" w:lastColumn="0" w:noHBand="0" w:noVBand="1"/>
      </w:tblPr>
      <w:tblGrid>
        <w:gridCol w:w="2593"/>
        <w:gridCol w:w="3209"/>
        <w:gridCol w:w="1251"/>
        <w:gridCol w:w="1170"/>
        <w:gridCol w:w="1365"/>
      </w:tblGrid>
      <w:tr w:rsidR="0076189C" w:rsidRPr="00BF3CDE" w14:paraId="1BFD143C" w14:textId="77777777" w:rsidTr="0076189C">
        <w:trPr>
          <w:trHeight w:val="20"/>
          <w:tblCellSpacing w:w="20" w:type="dxa"/>
        </w:trPr>
        <w:tc>
          <w:tcPr>
            <w:tcW w:w="2533" w:type="dxa"/>
            <w:tcBorders>
              <w:top w:val="inset" w:sz="6" w:space="0" w:color="auto"/>
              <w:left w:val="inset" w:sz="6" w:space="0" w:color="auto"/>
              <w:bottom w:val="inset" w:sz="6" w:space="0" w:color="auto"/>
              <w:right w:val="inset" w:sz="6" w:space="0" w:color="auto"/>
            </w:tcBorders>
            <w:noWrap/>
            <w:vAlign w:val="center"/>
          </w:tcPr>
          <w:p w14:paraId="240D5A40" w14:textId="77777777" w:rsidR="0076189C" w:rsidRPr="00BF3CDE" w:rsidRDefault="0076189C" w:rsidP="0076189C">
            <w:pPr>
              <w:pStyle w:val="NoSpacing"/>
              <w:jc w:val="center"/>
              <w:rPr>
                <w:rFonts w:ascii="Tahoma" w:eastAsia="Arial Unicode MS" w:hAnsi="Tahoma" w:cs="Tahoma"/>
                <w:b/>
                <w:noProof/>
                <w:sz w:val="18"/>
                <w:szCs w:val="18"/>
                <w:lang w:val="sr-Cyrl-CS"/>
              </w:rPr>
            </w:pPr>
            <w:r w:rsidRPr="00BF3CDE">
              <w:rPr>
                <w:rFonts w:ascii="Tahoma" w:hAnsi="Tahoma" w:cs="Tahoma"/>
                <w:b/>
                <w:noProof/>
                <w:sz w:val="18"/>
                <w:szCs w:val="18"/>
                <w:lang w:val="sr-Cyrl-CS"/>
              </w:rPr>
              <w:t>Назив правног лица</w:t>
            </w:r>
          </w:p>
        </w:tc>
        <w:tc>
          <w:tcPr>
            <w:tcW w:w="3169" w:type="dxa"/>
            <w:tcBorders>
              <w:top w:val="inset" w:sz="6" w:space="0" w:color="auto"/>
              <w:left w:val="inset" w:sz="6" w:space="0" w:color="auto"/>
              <w:bottom w:val="inset" w:sz="6" w:space="0" w:color="auto"/>
              <w:right w:val="inset" w:sz="6" w:space="0" w:color="auto"/>
            </w:tcBorders>
            <w:noWrap/>
            <w:vAlign w:val="center"/>
          </w:tcPr>
          <w:p w14:paraId="2F4C1228" w14:textId="77777777" w:rsidR="0076189C" w:rsidRPr="00BF3CDE" w:rsidRDefault="0076189C" w:rsidP="0076189C">
            <w:pPr>
              <w:pStyle w:val="NoSpacing"/>
              <w:jc w:val="center"/>
              <w:rPr>
                <w:rFonts w:ascii="Tahoma" w:eastAsia="Arial Unicode MS" w:hAnsi="Tahoma" w:cs="Tahoma"/>
                <w:b/>
                <w:bCs/>
                <w:noProof/>
                <w:sz w:val="18"/>
                <w:szCs w:val="18"/>
                <w:lang w:val="sr-Cyrl-CS"/>
              </w:rPr>
            </w:pPr>
            <w:r w:rsidRPr="00BF3CDE">
              <w:rPr>
                <w:rFonts w:ascii="Tahoma" w:hAnsi="Tahoma" w:cs="Tahoma"/>
                <w:b/>
                <w:bCs/>
                <w:noProof/>
                <w:sz w:val="18"/>
                <w:szCs w:val="18"/>
                <w:lang w:val="sr-Cyrl-CS"/>
              </w:rPr>
              <w:t>Адреса правног лица</w:t>
            </w:r>
          </w:p>
        </w:tc>
        <w:tc>
          <w:tcPr>
            <w:tcW w:w="1211" w:type="dxa"/>
            <w:tcBorders>
              <w:top w:val="inset" w:sz="6" w:space="0" w:color="auto"/>
              <w:left w:val="inset" w:sz="6" w:space="0" w:color="auto"/>
              <w:bottom w:val="inset" w:sz="6" w:space="0" w:color="auto"/>
              <w:right w:val="inset" w:sz="6" w:space="0" w:color="auto"/>
            </w:tcBorders>
            <w:noWrap/>
            <w:vAlign w:val="center"/>
          </w:tcPr>
          <w:p w14:paraId="14615842" w14:textId="77777777" w:rsidR="0076189C" w:rsidRPr="00BF3CDE" w:rsidRDefault="0076189C" w:rsidP="0076189C">
            <w:pPr>
              <w:pStyle w:val="NoSpacing"/>
              <w:jc w:val="center"/>
              <w:rPr>
                <w:rFonts w:ascii="Tahoma" w:eastAsia="Arial Unicode MS" w:hAnsi="Tahoma" w:cs="Tahoma"/>
                <w:b/>
                <w:bCs/>
                <w:noProof/>
                <w:sz w:val="18"/>
                <w:szCs w:val="18"/>
                <w:lang w:val="sr-Cyrl-CS"/>
              </w:rPr>
            </w:pPr>
            <w:r w:rsidRPr="00BF3CDE">
              <w:rPr>
                <w:rFonts w:ascii="Tahoma" w:hAnsi="Tahoma" w:cs="Tahoma"/>
                <w:b/>
                <w:bCs/>
                <w:noProof/>
                <w:sz w:val="18"/>
                <w:szCs w:val="18"/>
                <w:lang w:val="sr-Cyrl-CS"/>
              </w:rPr>
              <w:t>%учешћа</w:t>
            </w:r>
          </w:p>
        </w:tc>
        <w:tc>
          <w:tcPr>
            <w:tcW w:w="1130" w:type="dxa"/>
            <w:tcBorders>
              <w:top w:val="inset" w:sz="6" w:space="0" w:color="auto"/>
              <w:left w:val="inset" w:sz="6" w:space="0" w:color="auto"/>
              <w:bottom w:val="inset" w:sz="6" w:space="0" w:color="auto"/>
              <w:right w:val="inset" w:sz="6" w:space="0" w:color="auto"/>
            </w:tcBorders>
            <w:noWrap/>
            <w:vAlign w:val="center"/>
          </w:tcPr>
          <w:p w14:paraId="758399A4" w14:textId="63FA1B2A" w:rsidR="0076189C" w:rsidRPr="00BF3CDE" w:rsidRDefault="0076189C" w:rsidP="00E847DA">
            <w:pPr>
              <w:pStyle w:val="NoSpacing"/>
              <w:jc w:val="center"/>
              <w:rPr>
                <w:rFonts w:ascii="Tahoma" w:eastAsia="Arial Unicode MS" w:hAnsi="Tahoma" w:cs="Tahoma"/>
                <w:b/>
                <w:bCs/>
                <w:noProof/>
                <w:sz w:val="18"/>
                <w:szCs w:val="18"/>
                <w:lang w:val="sr-Cyrl-CS"/>
              </w:rPr>
            </w:pPr>
            <w:r w:rsidRPr="00BF3CDE">
              <w:rPr>
                <w:rFonts w:ascii="Tahoma" w:hAnsi="Tahoma" w:cs="Tahoma"/>
                <w:b/>
                <w:bCs/>
                <w:noProof/>
                <w:sz w:val="18"/>
                <w:szCs w:val="18"/>
                <w:lang w:val="sr-Cyrl-CS"/>
              </w:rPr>
              <w:t>Тек</w:t>
            </w:r>
            <w:r w:rsidR="00E847DA">
              <w:rPr>
                <w:rFonts w:ascii="Tahoma" w:hAnsi="Tahoma" w:cs="Tahoma"/>
                <w:b/>
                <w:bCs/>
                <w:noProof/>
                <w:sz w:val="18"/>
                <w:szCs w:val="18"/>
                <w:lang w:val="sr-Cyrl-CS"/>
              </w:rPr>
              <w:t>.</w:t>
            </w:r>
            <w:r w:rsidRPr="00BF3CDE">
              <w:rPr>
                <w:rFonts w:ascii="Tahoma" w:hAnsi="Tahoma" w:cs="Tahoma"/>
                <w:b/>
                <w:bCs/>
                <w:noProof/>
                <w:sz w:val="18"/>
                <w:szCs w:val="18"/>
                <w:lang w:val="sr-Cyrl-CS"/>
              </w:rPr>
              <w:t xml:space="preserve"> год</w:t>
            </w:r>
            <w:r w:rsidR="00E847DA">
              <w:rPr>
                <w:rFonts w:ascii="Tahoma" w:hAnsi="Tahoma" w:cs="Tahoma"/>
                <w:b/>
                <w:bCs/>
                <w:noProof/>
                <w:sz w:val="18"/>
                <w:szCs w:val="18"/>
                <w:lang w:val="sr-Cyrl-CS"/>
              </w:rPr>
              <w:t>.</w:t>
            </w:r>
          </w:p>
        </w:tc>
        <w:tc>
          <w:tcPr>
            <w:tcW w:w="1305" w:type="dxa"/>
            <w:tcBorders>
              <w:top w:val="inset" w:sz="6" w:space="0" w:color="auto"/>
              <w:left w:val="inset" w:sz="6" w:space="0" w:color="auto"/>
              <w:bottom w:val="inset" w:sz="6" w:space="0" w:color="auto"/>
              <w:right w:val="inset" w:sz="6" w:space="0" w:color="auto"/>
            </w:tcBorders>
            <w:noWrap/>
            <w:vAlign w:val="center"/>
          </w:tcPr>
          <w:p w14:paraId="54AA1539" w14:textId="527D3672" w:rsidR="0076189C" w:rsidRPr="00BF3CDE" w:rsidRDefault="00E847DA" w:rsidP="00E847DA">
            <w:pPr>
              <w:pStyle w:val="NoSpacing"/>
              <w:jc w:val="center"/>
              <w:rPr>
                <w:rFonts w:ascii="Tahoma" w:eastAsia="Arial Unicode MS" w:hAnsi="Tahoma" w:cs="Tahoma"/>
                <w:b/>
                <w:bCs/>
                <w:noProof/>
                <w:sz w:val="18"/>
                <w:szCs w:val="18"/>
                <w:lang w:val="sr-Cyrl-CS"/>
              </w:rPr>
            </w:pPr>
            <w:r>
              <w:rPr>
                <w:rFonts w:ascii="Tahoma" w:hAnsi="Tahoma" w:cs="Tahoma"/>
                <w:b/>
                <w:bCs/>
                <w:noProof/>
                <w:sz w:val="18"/>
                <w:szCs w:val="18"/>
                <w:lang w:val="sr-Cyrl-CS"/>
              </w:rPr>
              <w:t>Прет.</w:t>
            </w:r>
            <w:r w:rsidR="0076189C" w:rsidRPr="00BF3CDE">
              <w:rPr>
                <w:rFonts w:ascii="Tahoma" w:hAnsi="Tahoma" w:cs="Tahoma"/>
                <w:b/>
                <w:bCs/>
                <w:noProof/>
                <w:sz w:val="18"/>
                <w:szCs w:val="18"/>
                <w:lang w:val="sr-Cyrl-CS"/>
              </w:rPr>
              <w:t xml:space="preserve"> год</w:t>
            </w:r>
            <w:r>
              <w:rPr>
                <w:rFonts w:ascii="Tahoma" w:hAnsi="Tahoma" w:cs="Tahoma"/>
                <w:b/>
                <w:bCs/>
                <w:noProof/>
                <w:sz w:val="18"/>
                <w:szCs w:val="18"/>
                <w:lang w:val="sr-Cyrl-CS"/>
              </w:rPr>
              <w:t>.</w:t>
            </w:r>
          </w:p>
        </w:tc>
      </w:tr>
      <w:tr w:rsidR="0076189C" w:rsidRPr="00BF3CDE" w14:paraId="69F3565D" w14:textId="77777777" w:rsidTr="00911099">
        <w:trPr>
          <w:trHeight w:val="20"/>
          <w:tblCellSpacing w:w="20" w:type="dxa"/>
        </w:trPr>
        <w:tc>
          <w:tcPr>
            <w:tcW w:w="9508" w:type="dxa"/>
            <w:gridSpan w:val="5"/>
            <w:tcBorders>
              <w:top w:val="inset" w:sz="6" w:space="0" w:color="auto"/>
              <w:left w:val="inset" w:sz="6" w:space="0" w:color="auto"/>
              <w:bottom w:val="inset" w:sz="6" w:space="0" w:color="auto"/>
              <w:right w:val="inset" w:sz="6" w:space="0" w:color="auto"/>
            </w:tcBorders>
            <w:shd w:val="clear" w:color="auto" w:fill="DBE5F1" w:themeFill="accent1" w:themeFillTint="33"/>
            <w:vAlign w:val="center"/>
          </w:tcPr>
          <w:p w14:paraId="56FE042F" w14:textId="77777777" w:rsidR="0076189C" w:rsidRPr="00BF3CDE" w:rsidRDefault="0076189C" w:rsidP="0076189C">
            <w:pPr>
              <w:pStyle w:val="NoSpacing"/>
              <w:jc w:val="center"/>
              <w:rPr>
                <w:rFonts w:ascii="Tahoma" w:eastAsia="Arial Unicode MS" w:hAnsi="Tahoma" w:cs="Tahoma"/>
                <w:noProof/>
                <w:sz w:val="18"/>
                <w:szCs w:val="18"/>
                <w:lang w:val="sr-Cyrl-CS"/>
              </w:rPr>
            </w:pPr>
            <w:r w:rsidRPr="00BF3CDE">
              <w:rPr>
                <w:rFonts w:ascii="Tahoma" w:hAnsi="Tahoma" w:cs="Tahoma"/>
                <w:bCs/>
                <w:noProof/>
                <w:sz w:val="18"/>
                <w:szCs w:val="18"/>
                <w:lang w:val="sr-Cyrl-CS"/>
              </w:rPr>
              <w:t>Учешћа у капиталу</w:t>
            </w:r>
            <w:r w:rsidRPr="00BF3CDE">
              <w:rPr>
                <w:rFonts w:ascii="Tahoma" w:hAnsi="Tahoma" w:cs="Tahoma"/>
                <w:b/>
                <w:bCs/>
                <w:noProof/>
                <w:sz w:val="18"/>
                <w:szCs w:val="18"/>
                <w:lang w:val="sr-Cyrl-CS"/>
              </w:rPr>
              <w:t xml:space="preserve"> банака и других правних лица</w:t>
            </w:r>
          </w:p>
        </w:tc>
      </w:tr>
      <w:tr w:rsidR="0076189C" w:rsidRPr="00BF3CDE" w14:paraId="6A3225A0" w14:textId="77777777" w:rsidTr="0076189C">
        <w:trPr>
          <w:trHeight w:val="20"/>
          <w:tblCellSpacing w:w="20" w:type="dxa"/>
        </w:trPr>
        <w:tc>
          <w:tcPr>
            <w:tcW w:w="2533" w:type="dxa"/>
            <w:tcBorders>
              <w:top w:val="inset" w:sz="6" w:space="0" w:color="auto"/>
              <w:left w:val="inset" w:sz="6" w:space="0" w:color="auto"/>
              <w:bottom w:val="inset" w:sz="6" w:space="0" w:color="auto"/>
              <w:right w:val="inset" w:sz="6" w:space="0" w:color="auto"/>
            </w:tcBorders>
            <w:vAlign w:val="center"/>
          </w:tcPr>
          <w:p w14:paraId="37451F14" w14:textId="77777777" w:rsidR="0076189C" w:rsidRPr="00BF3CDE" w:rsidRDefault="0076189C" w:rsidP="0076189C">
            <w:pPr>
              <w:pStyle w:val="NoSpacing"/>
              <w:rPr>
                <w:rFonts w:ascii="Tahoma" w:eastAsia="Arial Unicode MS" w:hAnsi="Tahoma" w:cs="Tahoma"/>
                <w:noProof/>
                <w:sz w:val="18"/>
                <w:szCs w:val="18"/>
                <w:lang w:val="sr-Cyrl-CS"/>
              </w:rPr>
            </w:pPr>
            <w:r w:rsidRPr="00BF3CDE">
              <w:rPr>
                <w:rFonts w:ascii="Tahoma" w:hAnsi="Tahoma" w:cs="Tahoma"/>
                <w:noProof/>
                <w:sz w:val="18"/>
                <w:szCs w:val="18"/>
                <w:lang w:val="sr-Cyrl-CS"/>
              </w:rPr>
              <w:t>Комерцијална банка а.д.</w:t>
            </w:r>
          </w:p>
        </w:tc>
        <w:tc>
          <w:tcPr>
            <w:tcW w:w="3169" w:type="dxa"/>
            <w:tcBorders>
              <w:top w:val="inset" w:sz="6" w:space="0" w:color="auto"/>
              <w:left w:val="inset" w:sz="6" w:space="0" w:color="auto"/>
              <w:bottom w:val="inset" w:sz="6" w:space="0" w:color="auto"/>
              <w:right w:val="inset" w:sz="6" w:space="0" w:color="auto"/>
            </w:tcBorders>
            <w:vAlign w:val="center"/>
          </w:tcPr>
          <w:p w14:paraId="71C60E51" w14:textId="77777777" w:rsidR="0076189C" w:rsidRPr="00BF3CDE" w:rsidRDefault="0076189C" w:rsidP="0076189C">
            <w:pPr>
              <w:pStyle w:val="NoSpacing"/>
              <w:jc w:val="center"/>
              <w:rPr>
                <w:rFonts w:ascii="Tahoma" w:hAnsi="Tahoma" w:cs="Tahoma"/>
                <w:noProof/>
                <w:sz w:val="18"/>
                <w:szCs w:val="18"/>
                <w:lang w:val="sr-Cyrl-CS"/>
              </w:rPr>
            </w:pPr>
            <w:r w:rsidRPr="00BF3CDE">
              <w:rPr>
                <w:rFonts w:ascii="Tahoma" w:hAnsi="Tahoma" w:cs="Tahoma"/>
                <w:noProof/>
                <w:sz w:val="18"/>
                <w:szCs w:val="18"/>
                <w:lang w:val="sr-Cyrl-CS"/>
              </w:rPr>
              <w:t>Светог Саве 14, Београд</w:t>
            </w:r>
          </w:p>
        </w:tc>
        <w:tc>
          <w:tcPr>
            <w:tcW w:w="1211" w:type="dxa"/>
            <w:tcBorders>
              <w:top w:val="inset" w:sz="6" w:space="0" w:color="auto"/>
              <w:left w:val="inset" w:sz="6" w:space="0" w:color="auto"/>
              <w:bottom w:val="inset" w:sz="6" w:space="0" w:color="auto"/>
              <w:right w:val="inset" w:sz="6" w:space="0" w:color="auto"/>
            </w:tcBorders>
            <w:noWrap/>
            <w:vAlign w:val="center"/>
          </w:tcPr>
          <w:p w14:paraId="56202146" w14:textId="77777777" w:rsidR="0076189C" w:rsidRPr="00BF3CDE" w:rsidRDefault="0076189C" w:rsidP="0076189C">
            <w:pPr>
              <w:pStyle w:val="NoSpacing"/>
              <w:jc w:val="center"/>
              <w:rPr>
                <w:rFonts w:ascii="Tahoma" w:hAnsi="Tahoma" w:cs="Tahoma"/>
                <w:noProof/>
                <w:sz w:val="18"/>
                <w:szCs w:val="18"/>
                <w:lang w:val="sr-Cyrl-CS"/>
              </w:rPr>
            </w:pPr>
            <w:r w:rsidRPr="00BF3CDE">
              <w:rPr>
                <w:rFonts w:ascii="Tahoma" w:hAnsi="Tahoma" w:cs="Tahoma"/>
                <w:noProof/>
                <w:sz w:val="18"/>
                <w:szCs w:val="18"/>
                <w:lang w:val="sr-Cyrl-CS"/>
              </w:rPr>
              <w:t>Испод 1%</w:t>
            </w:r>
          </w:p>
        </w:tc>
        <w:tc>
          <w:tcPr>
            <w:tcW w:w="1130" w:type="dxa"/>
            <w:tcBorders>
              <w:top w:val="inset" w:sz="6" w:space="0" w:color="auto"/>
              <w:left w:val="inset" w:sz="6" w:space="0" w:color="auto"/>
              <w:bottom w:val="inset" w:sz="6" w:space="0" w:color="auto"/>
              <w:right w:val="inset" w:sz="6" w:space="0" w:color="auto"/>
            </w:tcBorders>
            <w:noWrap/>
            <w:vAlign w:val="center"/>
          </w:tcPr>
          <w:p w14:paraId="29A97158" w14:textId="77777777" w:rsidR="0076189C" w:rsidRPr="00BF3CDE" w:rsidRDefault="0076189C" w:rsidP="0076189C">
            <w:pPr>
              <w:pStyle w:val="NoSpacing"/>
              <w:jc w:val="center"/>
              <w:rPr>
                <w:rFonts w:ascii="Tahoma" w:eastAsia="Arial Unicode MS" w:hAnsi="Tahoma" w:cs="Tahoma"/>
                <w:noProof/>
                <w:sz w:val="18"/>
                <w:szCs w:val="18"/>
                <w:lang w:val="sr-Cyrl-CS"/>
              </w:rPr>
            </w:pPr>
            <w:r w:rsidRPr="00BF3CDE">
              <w:rPr>
                <w:rFonts w:ascii="Tahoma" w:eastAsia="Arial Unicode MS" w:hAnsi="Tahoma" w:cs="Tahoma"/>
                <w:noProof/>
                <w:sz w:val="18"/>
                <w:szCs w:val="18"/>
                <w:lang w:val="sr-Cyrl-CS"/>
              </w:rPr>
              <w:t>37.901</w:t>
            </w:r>
          </w:p>
        </w:tc>
        <w:tc>
          <w:tcPr>
            <w:tcW w:w="1305" w:type="dxa"/>
            <w:tcBorders>
              <w:top w:val="inset" w:sz="6" w:space="0" w:color="auto"/>
              <w:left w:val="inset" w:sz="6" w:space="0" w:color="auto"/>
              <w:bottom w:val="inset" w:sz="6" w:space="0" w:color="auto"/>
              <w:right w:val="inset" w:sz="6" w:space="0" w:color="auto"/>
            </w:tcBorders>
            <w:noWrap/>
            <w:vAlign w:val="center"/>
          </w:tcPr>
          <w:p w14:paraId="646DFA8F" w14:textId="77777777" w:rsidR="0076189C" w:rsidRPr="00BF3CDE" w:rsidRDefault="0076189C" w:rsidP="0076189C">
            <w:pPr>
              <w:pStyle w:val="NoSpacing"/>
              <w:jc w:val="center"/>
              <w:rPr>
                <w:rFonts w:ascii="Tahoma" w:eastAsia="Arial Unicode MS" w:hAnsi="Tahoma" w:cs="Tahoma"/>
                <w:noProof/>
                <w:sz w:val="18"/>
                <w:szCs w:val="18"/>
                <w:lang w:val="sr-Cyrl-CS"/>
              </w:rPr>
            </w:pPr>
            <w:r w:rsidRPr="00BF3CDE">
              <w:rPr>
                <w:rFonts w:ascii="Tahoma" w:eastAsia="Arial Unicode MS" w:hAnsi="Tahoma" w:cs="Tahoma"/>
                <w:noProof/>
                <w:sz w:val="18"/>
                <w:szCs w:val="18"/>
                <w:lang w:val="sr-Cyrl-CS"/>
              </w:rPr>
              <w:t>25.951</w:t>
            </w:r>
          </w:p>
        </w:tc>
      </w:tr>
      <w:tr w:rsidR="0076189C" w:rsidRPr="00BF3CDE" w14:paraId="70F91928" w14:textId="77777777" w:rsidTr="0076189C">
        <w:trPr>
          <w:trHeight w:val="20"/>
          <w:tblCellSpacing w:w="20" w:type="dxa"/>
        </w:trPr>
        <w:tc>
          <w:tcPr>
            <w:tcW w:w="2533" w:type="dxa"/>
            <w:tcBorders>
              <w:top w:val="inset" w:sz="6" w:space="0" w:color="auto"/>
              <w:left w:val="inset" w:sz="6" w:space="0" w:color="auto"/>
              <w:bottom w:val="inset" w:sz="6" w:space="0" w:color="auto"/>
              <w:right w:val="inset" w:sz="6" w:space="0" w:color="auto"/>
            </w:tcBorders>
            <w:vAlign w:val="center"/>
          </w:tcPr>
          <w:p w14:paraId="20DA57A0" w14:textId="77777777" w:rsidR="0076189C" w:rsidRPr="00BF3CDE" w:rsidRDefault="0076189C" w:rsidP="0076189C">
            <w:pPr>
              <w:pStyle w:val="NoSpacing"/>
              <w:rPr>
                <w:rFonts w:ascii="Tahoma" w:eastAsia="Arial Unicode MS" w:hAnsi="Tahoma" w:cs="Tahoma"/>
                <w:noProof/>
                <w:sz w:val="18"/>
                <w:szCs w:val="18"/>
                <w:lang w:val="sr-Cyrl-CS"/>
              </w:rPr>
            </w:pPr>
            <w:r w:rsidRPr="00BF3CDE">
              <w:rPr>
                <w:rFonts w:ascii="Tahoma" w:hAnsi="Tahoma" w:cs="Tahoma"/>
                <w:noProof/>
                <w:sz w:val="18"/>
                <w:szCs w:val="18"/>
                <w:lang w:val="sr-Cyrl-CS"/>
              </w:rPr>
              <w:t>Дунав банка а.д.</w:t>
            </w:r>
          </w:p>
        </w:tc>
        <w:tc>
          <w:tcPr>
            <w:tcW w:w="3169" w:type="dxa"/>
            <w:tcBorders>
              <w:top w:val="inset" w:sz="6" w:space="0" w:color="auto"/>
              <w:left w:val="inset" w:sz="6" w:space="0" w:color="auto"/>
              <w:bottom w:val="inset" w:sz="6" w:space="0" w:color="auto"/>
              <w:right w:val="inset" w:sz="6" w:space="0" w:color="auto"/>
            </w:tcBorders>
            <w:vAlign w:val="center"/>
          </w:tcPr>
          <w:p w14:paraId="73604933" w14:textId="7B36BEF6" w:rsidR="0076189C" w:rsidRPr="00BF3CDE" w:rsidRDefault="008B2D3B" w:rsidP="0076189C">
            <w:pPr>
              <w:pStyle w:val="NoSpacing"/>
              <w:jc w:val="center"/>
              <w:rPr>
                <w:rFonts w:ascii="Tahoma" w:eastAsia="Arial Unicode MS" w:hAnsi="Tahoma" w:cs="Tahoma"/>
                <w:noProof/>
                <w:sz w:val="18"/>
                <w:szCs w:val="18"/>
                <w:lang w:val="sr-Cyrl-CS"/>
              </w:rPr>
            </w:pPr>
            <w:r w:rsidRPr="00BF3CDE">
              <w:rPr>
                <w:rFonts w:ascii="Tahoma" w:hAnsi="Tahoma" w:cs="Tahoma"/>
                <w:noProof/>
                <w:sz w:val="18"/>
                <w:szCs w:val="18"/>
                <w:lang w:val="sr-Cyrl-CS"/>
              </w:rPr>
              <w:t>Београд</w:t>
            </w:r>
          </w:p>
        </w:tc>
        <w:tc>
          <w:tcPr>
            <w:tcW w:w="1211" w:type="dxa"/>
            <w:tcBorders>
              <w:top w:val="inset" w:sz="6" w:space="0" w:color="auto"/>
              <w:left w:val="inset" w:sz="6" w:space="0" w:color="auto"/>
              <w:bottom w:val="inset" w:sz="6" w:space="0" w:color="auto"/>
              <w:right w:val="inset" w:sz="6" w:space="0" w:color="auto"/>
            </w:tcBorders>
            <w:noWrap/>
            <w:vAlign w:val="center"/>
          </w:tcPr>
          <w:p w14:paraId="4FE50C95" w14:textId="77777777" w:rsidR="0076189C" w:rsidRPr="00BF3CDE" w:rsidRDefault="0076189C" w:rsidP="0076189C">
            <w:pPr>
              <w:pStyle w:val="NoSpacing"/>
              <w:jc w:val="center"/>
              <w:rPr>
                <w:rFonts w:ascii="Tahoma" w:eastAsia="Arial Unicode MS" w:hAnsi="Tahoma" w:cs="Tahoma"/>
                <w:noProof/>
                <w:sz w:val="18"/>
                <w:szCs w:val="18"/>
                <w:lang w:val="sr-Cyrl-CS"/>
              </w:rPr>
            </w:pPr>
            <w:r w:rsidRPr="00BF3CDE">
              <w:rPr>
                <w:rFonts w:ascii="Tahoma" w:hAnsi="Tahoma" w:cs="Tahoma"/>
                <w:noProof/>
                <w:sz w:val="18"/>
                <w:szCs w:val="18"/>
                <w:lang w:val="sr-Cyrl-CS"/>
              </w:rPr>
              <w:t>16,40 %</w:t>
            </w:r>
          </w:p>
        </w:tc>
        <w:tc>
          <w:tcPr>
            <w:tcW w:w="1130" w:type="dxa"/>
            <w:tcBorders>
              <w:top w:val="inset" w:sz="6" w:space="0" w:color="auto"/>
              <w:left w:val="inset" w:sz="6" w:space="0" w:color="auto"/>
              <w:bottom w:val="inset" w:sz="6" w:space="0" w:color="auto"/>
              <w:right w:val="inset" w:sz="6" w:space="0" w:color="auto"/>
            </w:tcBorders>
            <w:noWrap/>
            <w:vAlign w:val="center"/>
          </w:tcPr>
          <w:p w14:paraId="21208F11" w14:textId="77777777" w:rsidR="0076189C" w:rsidRPr="00BF3CDE" w:rsidRDefault="0076189C" w:rsidP="0076189C">
            <w:pPr>
              <w:pStyle w:val="NoSpacing"/>
              <w:jc w:val="center"/>
              <w:rPr>
                <w:rFonts w:ascii="Tahoma" w:eastAsia="Arial Unicode MS" w:hAnsi="Tahoma" w:cs="Tahoma"/>
                <w:noProof/>
                <w:sz w:val="18"/>
                <w:szCs w:val="18"/>
                <w:lang w:val="sr-Cyrl-CS"/>
              </w:rPr>
            </w:pPr>
            <w:r w:rsidRPr="00BF3CDE">
              <w:rPr>
                <w:rFonts w:ascii="Tahoma" w:eastAsia="Arial Unicode MS" w:hAnsi="Tahoma" w:cs="Tahoma"/>
                <w:noProof/>
                <w:sz w:val="18"/>
                <w:szCs w:val="18"/>
                <w:lang w:val="sr-Cyrl-CS"/>
              </w:rPr>
              <w:t>254.523</w:t>
            </w:r>
          </w:p>
        </w:tc>
        <w:tc>
          <w:tcPr>
            <w:tcW w:w="1305" w:type="dxa"/>
            <w:tcBorders>
              <w:top w:val="inset" w:sz="6" w:space="0" w:color="auto"/>
              <w:left w:val="inset" w:sz="6" w:space="0" w:color="auto"/>
              <w:bottom w:val="inset" w:sz="6" w:space="0" w:color="auto"/>
              <w:right w:val="inset" w:sz="6" w:space="0" w:color="auto"/>
            </w:tcBorders>
            <w:noWrap/>
            <w:vAlign w:val="center"/>
          </w:tcPr>
          <w:p w14:paraId="791D37F8" w14:textId="77777777" w:rsidR="0076189C" w:rsidRPr="00BF3CDE" w:rsidRDefault="0076189C" w:rsidP="0076189C">
            <w:pPr>
              <w:pStyle w:val="NoSpacing"/>
              <w:jc w:val="center"/>
              <w:rPr>
                <w:rFonts w:ascii="Tahoma" w:eastAsia="Arial Unicode MS" w:hAnsi="Tahoma" w:cs="Tahoma"/>
                <w:noProof/>
                <w:sz w:val="18"/>
                <w:szCs w:val="18"/>
                <w:lang w:val="sr-Cyrl-CS"/>
              </w:rPr>
            </w:pPr>
            <w:r w:rsidRPr="00BF3CDE">
              <w:rPr>
                <w:rFonts w:ascii="Tahoma" w:eastAsia="Arial Unicode MS" w:hAnsi="Tahoma" w:cs="Tahoma"/>
                <w:noProof/>
                <w:sz w:val="18"/>
                <w:szCs w:val="18"/>
                <w:lang w:val="sr-Cyrl-CS"/>
              </w:rPr>
              <w:t>254.285</w:t>
            </w:r>
          </w:p>
        </w:tc>
      </w:tr>
      <w:tr w:rsidR="0076189C" w:rsidRPr="00BF3CDE" w14:paraId="008EBA23" w14:textId="77777777" w:rsidTr="0076189C">
        <w:trPr>
          <w:trHeight w:val="20"/>
          <w:tblCellSpacing w:w="20" w:type="dxa"/>
        </w:trPr>
        <w:tc>
          <w:tcPr>
            <w:tcW w:w="2533" w:type="dxa"/>
            <w:tcBorders>
              <w:top w:val="inset" w:sz="6" w:space="0" w:color="auto"/>
              <w:left w:val="inset" w:sz="6" w:space="0" w:color="auto"/>
              <w:bottom w:val="inset" w:sz="6" w:space="0" w:color="auto"/>
              <w:right w:val="inset" w:sz="6" w:space="0" w:color="auto"/>
            </w:tcBorders>
            <w:vAlign w:val="center"/>
          </w:tcPr>
          <w:p w14:paraId="1F46FB4F" w14:textId="77777777" w:rsidR="0076189C" w:rsidRPr="00BF3CDE" w:rsidRDefault="0076189C" w:rsidP="0076189C">
            <w:pPr>
              <w:pStyle w:val="NoSpacing"/>
              <w:rPr>
                <w:rFonts w:ascii="Tahoma" w:eastAsia="Arial Unicode MS" w:hAnsi="Tahoma" w:cs="Tahoma"/>
                <w:noProof/>
                <w:sz w:val="18"/>
                <w:szCs w:val="18"/>
                <w:lang w:val="sr-Cyrl-CS"/>
              </w:rPr>
            </w:pPr>
            <w:r w:rsidRPr="00BF3CDE">
              <w:rPr>
                <w:rFonts w:ascii="Tahoma" w:eastAsia="Arial Unicode MS" w:hAnsi="Tahoma" w:cs="Tahoma"/>
                <w:noProof/>
                <w:sz w:val="18"/>
                <w:szCs w:val="18"/>
                <w:lang w:val="sr-Cyrl-CS"/>
              </w:rPr>
              <w:t>Аеродром Никола Тесла</w:t>
            </w:r>
          </w:p>
        </w:tc>
        <w:tc>
          <w:tcPr>
            <w:tcW w:w="3169" w:type="dxa"/>
            <w:tcBorders>
              <w:top w:val="inset" w:sz="6" w:space="0" w:color="auto"/>
              <w:left w:val="inset" w:sz="6" w:space="0" w:color="auto"/>
              <w:bottom w:val="inset" w:sz="6" w:space="0" w:color="auto"/>
              <w:right w:val="inset" w:sz="6" w:space="0" w:color="auto"/>
            </w:tcBorders>
            <w:vAlign w:val="center"/>
          </w:tcPr>
          <w:p w14:paraId="0123CF35" w14:textId="77777777" w:rsidR="0076189C" w:rsidRPr="00BF3CDE" w:rsidRDefault="0076189C" w:rsidP="0076189C">
            <w:pPr>
              <w:pStyle w:val="NoSpacing"/>
              <w:jc w:val="center"/>
              <w:rPr>
                <w:rFonts w:ascii="Tahoma" w:hAnsi="Tahoma" w:cs="Tahoma"/>
                <w:noProof/>
                <w:sz w:val="18"/>
                <w:szCs w:val="18"/>
                <w:lang w:val="sr-Cyrl-CS"/>
              </w:rPr>
            </w:pPr>
            <w:r w:rsidRPr="00BF3CDE">
              <w:rPr>
                <w:rFonts w:ascii="Tahoma" w:hAnsi="Tahoma" w:cs="Tahoma"/>
                <w:noProof/>
                <w:sz w:val="18"/>
                <w:szCs w:val="18"/>
                <w:lang w:val="sr-Cyrl-CS"/>
              </w:rPr>
              <w:t>Београд</w:t>
            </w:r>
          </w:p>
        </w:tc>
        <w:tc>
          <w:tcPr>
            <w:tcW w:w="1211" w:type="dxa"/>
            <w:tcBorders>
              <w:top w:val="inset" w:sz="6" w:space="0" w:color="auto"/>
              <w:left w:val="inset" w:sz="6" w:space="0" w:color="auto"/>
              <w:bottom w:val="inset" w:sz="6" w:space="0" w:color="auto"/>
              <w:right w:val="inset" w:sz="6" w:space="0" w:color="auto"/>
            </w:tcBorders>
            <w:noWrap/>
            <w:vAlign w:val="center"/>
          </w:tcPr>
          <w:p w14:paraId="55D0DEFF" w14:textId="77777777" w:rsidR="0076189C" w:rsidRPr="00BF3CDE" w:rsidRDefault="0076189C" w:rsidP="0076189C">
            <w:pPr>
              <w:pStyle w:val="NoSpacing"/>
              <w:jc w:val="center"/>
              <w:rPr>
                <w:rFonts w:ascii="Tahoma" w:eastAsia="Arial Unicode MS" w:hAnsi="Tahoma" w:cs="Tahoma"/>
                <w:noProof/>
                <w:sz w:val="18"/>
                <w:szCs w:val="18"/>
                <w:lang w:val="sr-Cyrl-CS"/>
              </w:rPr>
            </w:pPr>
            <w:r w:rsidRPr="00BF3CDE">
              <w:rPr>
                <w:rFonts w:ascii="Tahoma" w:eastAsia="Arial Unicode MS" w:hAnsi="Tahoma" w:cs="Tahoma"/>
                <w:noProof/>
                <w:sz w:val="18"/>
                <w:szCs w:val="18"/>
                <w:lang w:val="sr-Cyrl-CS"/>
              </w:rPr>
              <w:t>Испод 1%</w:t>
            </w:r>
          </w:p>
        </w:tc>
        <w:tc>
          <w:tcPr>
            <w:tcW w:w="1130" w:type="dxa"/>
            <w:tcBorders>
              <w:top w:val="inset" w:sz="6" w:space="0" w:color="auto"/>
              <w:left w:val="inset" w:sz="6" w:space="0" w:color="auto"/>
              <w:bottom w:val="inset" w:sz="6" w:space="0" w:color="auto"/>
              <w:right w:val="inset" w:sz="6" w:space="0" w:color="auto"/>
            </w:tcBorders>
            <w:noWrap/>
            <w:vAlign w:val="center"/>
          </w:tcPr>
          <w:p w14:paraId="4907C610" w14:textId="77777777" w:rsidR="0076189C" w:rsidRPr="00BF3CDE" w:rsidRDefault="0076189C" w:rsidP="0076189C">
            <w:pPr>
              <w:pStyle w:val="NoSpacing"/>
              <w:jc w:val="center"/>
              <w:rPr>
                <w:rFonts w:ascii="Tahoma" w:eastAsia="Arial Unicode MS" w:hAnsi="Tahoma" w:cs="Tahoma"/>
                <w:noProof/>
                <w:sz w:val="18"/>
                <w:szCs w:val="18"/>
                <w:lang w:val="sr-Cyrl-CS"/>
              </w:rPr>
            </w:pPr>
            <w:r w:rsidRPr="00BF3CDE">
              <w:rPr>
                <w:rFonts w:ascii="Tahoma" w:eastAsia="Arial Unicode MS" w:hAnsi="Tahoma" w:cs="Tahoma"/>
                <w:noProof/>
                <w:sz w:val="18"/>
                <w:szCs w:val="18"/>
                <w:lang w:val="sr-Cyrl-CS"/>
              </w:rPr>
              <w:t>26.594</w:t>
            </w:r>
          </w:p>
        </w:tc>
        <w:tc>
          <w:tcPr>
            <w:tcW w:w="1305" w:type="dxa"/>
            <w:tcBorders>
              <w:top w:val="inset" w:sz="6" w:space="0" w:color="auto"/>
              <w:left w:val="inset" w:sz="6" w:space="0" w:color="auto"/>
              <w:bottom w:val="inset" w:sz="6" w:space="0" w:color="auto"/>
              <w:right w:val="inset" w:sz="6" w:space="0" w:color="auto"/>
            </w:tcBorders>
            <w:noWrap/>
            <w:vAlign w:val="center"/>
          </w:tcPr>
          <w:p w14:paraId="4A46288E" w14:textId="77777777" w:rsidR="0076189C" w:rsidRPr="00BF3CDE" w:rsidRDefault="0076189C" w:rsidP="0076189C">
            <w:pPr>
              <w:pStyle w:val="NoSpacing"/>
              <w:jc w:val="center"/>
              <w:rPr>
                <w:rFonts w:ascii="Tahoma" w:eastAsia="Arial Unicode MS" w:hAnsi="Tahoma" w:cs="Tahoma"/>
                <w:noProof/>
                <w:sz w:val="18"/>
                <w:szCs w:val="18"/>
                <w:lang w:val="sr-Cyrl-CS"/>
              </w:rPr>
            </w:pPr>
            <w:r w:rsidRPr="00BF3CDE">
              <w:rPr>
                <w:rFonts w:ascii="Tahoma" w:eastAsia="Arial Unicode MS" w:hAnsi="Tahoma" w:cs="Tahoma"/>
                <w:noProof/>
                <w:sz w:val="18"/>
                <w:szCs w:val="18"/>
                <w:lang w:val="sr-Cyrl-CS"/>
              </w:rPr>
              <w:t>13.805</w:t>
            </w:r>
          </w:p>
        </w:tc>
      </w:tr>
      <w:tr w:rsidR="0076189C" w:rsidRPr="00BF3CDE" w14:paraId="3806C590" w14:textId="77777777" w:rsidTr="0076189C">
        <w:trPr>
          <w:trHeight w:val="20"/>
          <w:tblCellSpacing w:w="20" w:type="dxa"/>
        </w:trPr>
        <w:tc>
          <w:tcPr>
            <w:tcW w:w="2533" w:type="dxa"/>
            <w:tcBorders>
              <w:top w:val="inset" w:sz="6" w:space="0" w:color="auto"/>
              <w:left w:val="inset" w:sz="6" w:space="0" w:color="auto"/>
              <w:bottom w:val="inset" w:sz="6" w:space="0" w:color="auto"/>
              <w:right w:val="inset" w:sz="6" w:space="0" w:color="auto"/>
            </w:tcBorders>
            <w:vAlign w:val="center"/>
          </w:tcPr>
          <w:p w14:paraId="7E878F6D" w14:textId="77777777" w:rsidR="0076189C" w:rsidRPr="00BF3CDE" w:rsidRDefault="0076189C" w:rsidP="0076189C">
            <w:pPr>
              <w:pStyle w:val="NoSpacing"/>
              <w:jc w:val="center"/>
              <w:rPr>
                <w:rFonts w:ascii="Tahoma" w:eastAsia="Arial Unicode MS" w:hAnsi="Tahoma" w:cs="Tahoma"/>
                <w:noProof/>
                <w:sz w:val="18"/>
                <w:szCs w:val="18"/>
                <w:lang w:val="sr-Cyrl-CS"/>
              </w:rPr>
            </w:pPr>
          </w:p>
        </w:tc>
        <w:tc>
          <w:tcPr>
            <w:tcW w:w="3169" w:type="dxa"/>
            <w:tcBorders>
              <w:top w:val="inset" w:sz="6" w:space="0" w:color="auto"/>
              <w:left w:val="inset" w:sz="6" w:space="0" w:color="auto"/>
              <w:bottom w:val="inset" w:sz="6" w:space="0" w:color="auto"/>
              <w:right w:val="inset" w:sz="6" w:space="0" w:color="auto"/>
            </w:tcBorders>
            <w:vAlign w:val="center"/>
          </w:tcPr>
          <w:p w14:paraId="31964A13" w14:textId="77777777" w:rsidR="0076189C" w:rsidRPr="00BF3CDE" w:rsidRDefault="0076189C" w:rsidP="0076189C">
            <w:pPr>
              <w:pStyle w:val="NoSpacing"/>
              <w:jc w:val="center"/>
              <w:rPr>
                <w:rFonts w:ascii="Tahoma" w:hAnsi="Tahoma" w:cs="Tahoma"/>
                <w:noProof/>
                <w:sz w:val="18"/>
                <w:szCs w:val="18"/>
                <w:lang w:val="sr-Cyrl-CS"/>
              </w:rPr>
            </w:pPr>
          </w:p>
        </w:tc>
        <w:tc>
          <w:tcPr>
            <w:tcW w:w="1211" w:type="dxa"/>
            <w:tcBorders>
              <w:top w:val="inset" w:sz="6" w:space="0" w:color="auto"/>
              <w:left w:val="inset" w:sz="6" w:space="0" w:color="auto"/>
              <w:bottom w:val="inset" w:sz="6" w:space="0" w:color="auto"/>
              <w:right w:val="inset" w:sz="6" w:space="0" w:color="auto"/>
            </w:tcBorders>
            <w:noWrap/>
            <w:vAlign w:val="center"/>
          </w:tcPr>
          <w:p w14:paraId="6DA49B7C" w14:textId="77777777" w:rsidR="0076189C" w:rsidRPr="00BF3CDE" w:rsidRDefault="0076189C" w:rsidP="0076189C">
            <w:pPr>
              <w:pStyle w:val="NoSpacing"/>
              <w:jc w:val="center"/>
              <w:rPr>
                <w:rFonts w:ascii="Tahoma" w:eastAsia="Arial Unicode MS" w:hAnsi="Tahoma" w:cs="Tahoma"/>
                <w:noProof/>
                <w:sz w:val="18"/>
                <w:szCs w:val="18"/>
                <w:lang w:val="sr-Cyrl-CS"/>
              </w:rPr>
            </w:pPr>
            <w:r w:rsidRPr="00BF3CDE">
              <w:rPr>
                <w:rFonts w:ascii="Tahoma" w:eastAsia="Arial Unicode MS" w:hAnsi="Tahoma" w:cs="Tahoma"/>
                <w:b/>
                <w:noProof/>
                <w:sz w:val="18"/>
                <w:szCs w:val="18"/>
                <w:lang w:val="sr-Cyrl-CS"/>
              </w:rPr>
              <w:t>Укупно</w:t>
            </w:r>
          </w:p>
        </w:tc>
        <w:tc>
          <w:tcPr>
            <w:tcW w:w="1130" w:type="dxa"/>
            <w:tcBorders>
              <w:top w:val="inset" w:sz="6" w:space="0" w:color="auto"/>
              <w:left w:val="inset" w:sz="6" w:space="0" w:color="auto"/>
              <w:bottom w:val="inset" w:sz="6" w:space="0" w:color="auto"/>
              <w:right w:val="inset" w:sz="6" w:space="0" w:color="auto"/>
            </w:tcBorders>
            <w:noWrap/>
            <w:vAlign w:val="center"/>
          </w:tcPr>
          <w:p w14:paraId="5EEDC30E" w14:textId="77777777" w:rsidR="0076189C" w:rsidRPr="00BF3CDE" w:rsidRDefault="0076189C" w:rsidP="0076189C">
            <w:pPr>
              <w:pStyle w:val="NoSpacing"/>
              <w:jc w:val="center"/>
              <w:rPr>
                <w:rFonts w:ascii="Tahoma" w:eastAsia="Arial Unicode MS" w:hAnsi="Tahoma" w:cs="Tahoma"/>
                <w:b/>
                <w:noProof/>
                <w:sz w:val="18"/>
                <w:szCs w:val="18"/>
                <w:lang w:val="sr-Cyrl-CS"/>
              </w:rPr>
            </w:pPr>
            <w:r w:rsidRPr="00BF3CDE">
              <w:rPr>
                <w:rFonts w:ascii="Tahoma" w:eastAsia="Arial Unicode MS" w:hAnsi="Tahoma" w:cs="Tahoma"/>
                <w:b/>
                <w:noProof/>
                <w:sz w:val="18"/>
                <w:szCs w:val="18"/>
                <w:lang w:val="sr-Cyrl-CS"/>
              </w:rPr>
              <w:t>319.018</w:t>
            </w:r>
          </w:p>
        </w:tc>
        <w:tc>
          <w:tcPr>
            <w:tcW w:w="1305" w:type="dxa"/>
            <w:tcBorders>
              <w:top w:val="inset" w:sz="6" w:space="0" w:color="auto"/>
              <w:left w:val="inset" w:sz="6" w:space="0" w:color="auto"/>
              <w:bottom w:val="inset" w:sz="6" w:space="0" w:color="auto"/>
              <w:right w:val="inset" w:sz="6" w:space="0" w:color="auto"/>
            </w:tcBorders>
            <w:noWrap/>
            <w:vAlign w:val="center"/>
          </w:tcPr>
          <w:p w14:paraId="6260D636" w14:textId="77777777" w:rsidR="0076189C" w:rsidRPr="00BF3CDE" w:rsidRDefault="0076189C" w:rsidP="0076189C">
            <w:pPr>
              <w:pStyle w:val="NoSpacing"/>
              <w:jc w:val="center"/>
              <w:rPr>
                <w:rFonts w:ascii="Tahoma" w:eastAsia="Arial Unicode MS" w:hAnsi="Tahoma" w:cs="Tahoma"/>
                <w:b/>
                <w:noProof/>
                <w:sz w:val="18"/>
                <w:szCs w:val="18"/>
                <w:lang w:val="sr-Cyrl-CS"/>
              </w:rPr>
            </w:pPr>
            <w:r w:rsidRPr="00BF3CDE">
              <w:rPr>
                <w:rFonts w:ascii="Tahoma" w:eastAsia="Arial Unicode MS" w:hAnsi="Tahoma" w:cs="Tahoma"/>
                <w:b/>
                <w:noProof/>
                <w:sz w:val="18"/>
                <w:szCs w:val="18"/>
                <w:lang w:val="sr-Cyrl-CS"/>
              </w:rPr>
              <w:t>294.041</w:t>
            </w:r>
          </w:p>
        </w:tc>
      </w:tr>
      <w:tr w:rsidR="0076189C" w:rsidRPr="00BF3CDE" w14:paraId="070CB67D" w14:textId="77777777" w:rsidTr="00911099">
        <w:trPr>
          <w:trHeight w:val="20"/>
          <w:tblCellSpacing w:w="20" w:type="dxa"/>
        </w:trPr>
        <w:tc>
          <w:tcPr>
            <w:tcW w:w="9508" w:type="dxa"/>
            <w:gridSpan w:val="5"/>
            <w:tcBorders>
              <w:top w:val="inset" w:sz="6" w:space="0" w:color="auto"/>
              <w:left w:val="inset" w:sz="6" w:space="0" w:color="auto"/>
              <w:bottom w:val="inset" w:sz="6" w:space="0" w:color="auto"/>
              <w:right w:val="inset" w:sz="6" w:space="0" w:color="auto"/>
            </w:tcBorders>
            <w:shd w:val="clear" w:color="auto" w:fill="DBE5F1" w:themeFill="accent1" w:themeFillTint="33"/>
            <w:vAlign w:val="center"/>
          </w:tcPr>
          <w:p w14:paraId="76D5E706" w14:textId="77777777" w:rsidR="0076189C" w:rsidRPr="00BF3CDE" w:rsidRDefault="0076189C" w:rsidP="0076189C">
            <w:pPr>
              <w:pStyle w:val="NoSpacing"/>
              <w:jc w:val="center"/>
              <w:rPr>
                <w:rFonts w:ascii="Tahoma" w:eastAsia="Arial Unicode MS" w:hAnsi="Tahoma" w:cs="Tahoma"/>
                <w:noProof/>
                <w:sz w:val="18"/>
                <w:szCs w:val="18"/>
                <w:lang w:val="sr-Cyrl-CS"/>
              </w:rPr>
            </w:pPr>
            <w:r w:rsidRPr="00BF3CDE">
              <w:rPr>
                <w:rFonts w:ascii="Tahoma" w:hAnsi="Tahoma" w:cs="Tahoma"/>
                <w:bCs/>
                <w:noProof/>
                <w:sz w:val="18"/>
                <w:szCs w:val="18"/>
                <w:lang w:val="sr-Cyrl-CS"/>
              </w:rPr>
              <w:t>Учешћа у капиталу</w:t>
            </w:r>
            <w:r w:rsidRPr="00BF3CDE">
              <w:rPr>
                <w:rFonts w:ascii="Tahoma" w:hAnsi="Tahoma" w:cs="Tahoma"/>
                <w:b/>
                <w:bCs/>
                <w:noProof/>
                <w:sz w:val="18"/>
                <w:szCs w:val="18"/>
                <w:lang w:val="sr-Cyrl-CS"/>
              </w:rPr>
              <w:t xml:space="preserve"> осигуравајућих друштава</w:t>
            </w:r>
          </w:p>
        </w:tc>
      </w:tr>
      <w:tr w:rsidR="0076189C" w:rsidRPr="00BF3CDE" w14:paraId="0C03A35F" w14:textId="77777777" w:rsidTr="0076189C">
        <w:trPr>
          <w:trHeight w:val="20"/>
          <w:tblCellSpacing w:w="20" w:type="dxa"/>
        </w:trPr>
        <w:tc>
          <w:tcPr>
            <w:tcW w:w="2533" w:type="dxa"/>
            <w:tcBorders>
              <w:top w:val="inset" w:sz="6" w:space="0" w:color="auto"/>
              <w:left w:val="inset" w:sz="6" w:space="0" w:color="auto"/>
              <w:bottom w:val="inset" w:sz="6" w:space="0" w:color="auto"/>
              <w:right w:val="inset" w:sz="6" w:space="0" w:color="auto"/>
            </w:tcBorders>
            <w:vAlign w:val="center"/>
          </w:tcPr>
          <w:p w14:paraId="0DC17CB4" w14:textId="77777777" w:rsidR="0076189C" w:rsidRPr="00BF3CDE" w:rsidRDefault="0076189C" w:rsidP="0076189C">
            <w:pPr>
              <w:pStyle w:val="NoSpacing"/>
              <w:rPr>
                <w:rFonts w:ascii="Tahoma" w:eastAsia="Arial Unicode MS" w:hAnsi="Tahoma" w:cs="Tahoma"/>
                <w:noProof/>
                <w:sz w:val="18"/>
                <w:szCs w:val="18"/>
                <w:lang w:val="sr-Cyrl-CS"/>
              </w:rPr>
            </w:pPr>
            <w:r w:rsidRPr="00BF3CDE">
              <w:rPr>
                <w:rFonts w:ascii="Tahoma" w:hAnsi="Tahoma" w:cs="Tahoma"/>
                <w:noProof/>
                <w:sz w:val="18"/>
                <w:szCs w:val="18"/>
                <w:lang w:val="sr-Cyrl-CS"/>
              </w:rPr>
              <w:t>Ловћен осигурање а.д.</w:t>
            </w:r>
          </w:p>
        </w:tc>
        <w:tc>
          <w:tcPr>
            <w:tcW w:w="3169" w:type="dxa"/>
            <w:tcBorders>
              <w:top w:val="inset" w:sz="6" w:space="0" w:color="auto"/>
              <w:left w:val="inset" w:sz="6" w:space="0" w:color="auto"/>
              <w:bottom w:val="inset" w:sz="6" w:space="0" w:color="auto"/>
              <w:right w:val="inset" w:sz="6" w:space="0" w:color="auto"/>
            </w:tcBorders>
            <w:vAlign w:val="center"/>
          </w:tcPr>
          <w:p w14:paraId="52D9CE12" w14:textId="77777777" w:rsidR="0076189C" w:rsidRPr="00BF3CDE" w:rsidRDefault="0076189C" w:rsidP="0076189C">
            <w:pPr>
              <w:pStyle w:val="NoSpacing"/>
              <w:jc w:val="center"/>
              <w:rPr>
                <w:rFonts w:ascii="Tahoma" w:eastAsia="Arial Unicode MS" w:hAnsi="Tahoma" w:cs="Tahoma"/>
                <w:noProof/>
                <w:color w:val="000000"/>
                <w:sz w:val="18"/>
                <w:szCs w:val="18"/>
                <w:lang w:val="sr-Cyrl-CS"/>
              </w:rPr>
            </w:pPr>
            <w:r w:rsidRPr="00BF3CDE">
              <w:rPr>
                <w:rFonts w:ascii="Tahoma" w:hAnsi="Tahoma" w:cs="Tahoma"/>
                <w:noProof/>
                <w:color w:val="000000"/>
                <w:sz w:val="18"/>
                <w:szCs w:val="18"/>
                <w:lang w:val="sr-Cyrl-CS"/>
              </w:rPr>
              <w:t>Трг Слободе 13а, Подгорица</w:t>
            </w:r>
          </w:p>
        </w:tc>
        <w:tc>
          <w:tcPr>
            <w:tcW w:w="1211" w:type="dxa"/>
            <w:tcBorders>
              <w:top w:val="inset" w:sz="6" w:space="0" w:color="auto"/>
              <w:left w:val="inset" w:sz="6" w:space="0" w:color="auto"/>
              <w:bottom w:val="inset" w:sz="6" w:space="0" w:color="auto"/>
              <w:right w:val="inset" w:sz="6" w:space="0" w:color="auto"/>
            </w:tcBorders>
            <w:noWrap/>
            <w:vAlign w:val="center"/>
          </w:tcPr>
          <w:p w14:paraId="08C369BA" w14:textId="77777777" w:rsidR="0076189C" w:rsidRPr="00BF3CDE" w:rsidRDefault="0076189C" w:rsidP="0076189C">
            <w:pPr>
              <w:pStyle w:val="NoSpacing"/>
              <w:jc w:val="center"/>
              <w:rPr>
                <w:rFonts w:ascii="Tahoma" w:eastAsia="Arial Unicode MS" w:hAnsi="Tahoma" w:cs="Tahoma"/>
                <w:noProof/>
                <w:sz w:val="18"/>
                <w:szCs w:val="18"/>
                <w:lang w:val="sr-Cyrl-CS"/>
              </w:rPr>
            </w:pPr>
            <w:r w:rsidRPr="00BF3CDE">
              <w:rPr>
                <w:rFonts w:ascii="Tahoma" w:hAnsi="Tahoma" w:cs="Tahoma"/>
                <w:noProof/>
                <w:sz w:val="18"/>
                <w:szCs w:val="18"/>
                <w:lang w:val="sr-Cyrl-CS"/>
              </w:rPr>
              <w:t>Испод 1%</w:t>
            </w:r>
          </w:p>
        </w:tc>
        <w:tc>
          <w:tcPr>
            <w:tcW w:w="1130" w:type="dxa"/>
            <w:tcBorders>
              <w:top w:val="inset" w:sz="6" w:space="0" w:color="auto"/>
              <w:left w:val="inset" w:sz="6" w:space="0" w:color="auto"/>
              <w:bottom w:val="inset" w:sz="6" w:space="0" w:color="auto"/>
              <w:right w:val="inset" w:sz="6" w:space="0" w:color="auto"/>
            </w:tcBorders>
            <w:noWrap/>
            <w:vAlign w:val="center"/>
          </w:tcPr>
          <w:p w14:paraId="4BBBA83C" w14:textId="77777777" w:rsidR="0076189C" w:rsidRPr="00BF3CDE" w:rsidRDefault="0076189C" w:rsidP="0076189C">
            <w:pPr>
              <w:pStyle w:val="NoSpacing"/>
              <w:jc w:val="center"/>
              <w:rPr>
                <w:rFonts w:ascii="Tahoma" w:eastAsia="Arial Unicode MS" w:hAnsi="Tahoma" w:cs="Tahoma"/>
                <w:noProof/>
                <w:sz w:val="18"/>
                <w:szCs w:val="18"/>
                <w:lang w:val="sr-Cyrl-CS"/>
              </w:rPr>
            </w:pPr>
            <w:r w:rsidRPr="00BF3CDE">
              <w:rPr>
                <w:rFonts w:ascii="Tahoma" w:eastAsia="Arial Unicode MS" w:hAnsi="Tahoma" w:cs="Tahoma"/>
                <w:noProof/>
                <w:sz w:val="18"/>
                <w:szCs w:val="18"/>
                <w:lang w:val="sr-Cyrl-CS"/>
              </w:rPr>
              <w:t>2.307</w:t>
            </w:r>
          </w:p>
        </w:tc>
        <w:tc>
          <w:tcPr>
            <w:tcW w:w="1305" w:type="dxa"/>
            <w:tcBorders>
              <w:top w:val="inset" w:sz="6" w:space="0" w:color="auto"/>
              <w:left w:val="inset" w:sz="6" w:space="0" w:color="auto"/>
              <w:bottom w:val="inset" w:sz="6" w:space="0" w:color="auto"/>
              <w:right w:val="inset" w:sz="6" w:space="0" w:color="auto"/>
            </w:tcBorders>
            <w:noWrap/>
            <w:vAlign w:val="center"/>
          </w:tcPr>
          <w:p w14:paraId="7931F151" w14:textId="77777777" w:rsidR="0076189C" w:rsidRPr="00BF3CDE" w:rsidRDefault="0076189C" w:rsidP="0076189C">
            <w:pPr>
              <w:pStyle w:val="NoSpacing"/>
              <w:jc w:val="center"/>
              <w:rPr>
                <w:rFonts w:ascii="Tahoma" w:eastAsia="Arial Unicode MS" w:hAnsi="Tahoma" w:cs="Tahoma"/>
                <w:noProof/>
                <w:sz w:val="18"/>
                <w:szCs w:val="18"/>
                <w:lang w:val="sr-Cyrl-CS"/>
              </w:rPr>
            </w:pPr>
            <w:r w:rsidRPr="00BF3CDE">
              <w:rPr>
                <w:rFonts w:ascii="Tahoma" w:eastAsia="Arial Unicode MS" w:hAnsi="Tahoma" w:cs="Tahoma"/>
                <w:noProof/>
                <w:sz w:val="18"/>
                <w:szCs w:val="18"/>
                <w:lang w:val="sr-Cyrl-CS"/>
              </w:rPr>
              <w:t>2.186</w:t>
            </w:r>
          </w:p>
        </w:tc>
      </w:tr>
      <w:tr w:rsidR="0076189C" w:rsidRPr="00BF3CDE" w14:paraId="1D3BBEE1" w14:textId="77777777" w:rsidTr="0076189C">
        <w:trPr>
          <w:trHeight w:val="20"/>
          <w:tblCellSpacing w:w="20" w:type="dxa"/>
        </w:trPr>
        <w:tc>
          <w:tcPr>
            <w:tcW w:w="2533" w:type="dxa"/>
            <w:tcBorders>
              <w:top w:val="inset" w:sz="6" w:space="0" w:color="auto"/>
              <w:left w:val="inset" w:sz="6" w:space="0" w:color="auto"/>
              <w:bottom w:val="inset" w:sz="6" w:space="0" w:color="auto"/>
              <w:right w:val="inset" w:sz="6" w:space="0" w:color="auto"/>
            </w:tcBorders>
            <w:vAlign w:val="center"/>
          </w:tcPr>
          <w:p w14:paraId="029F1934" w14:textId="77777777" w:rsidR="0076189C" w:rsidRPr="00BF3CDE" w:rsidRDefault="0076189C" w:rsidP="0076189C">
            <w:pPr>
              <w:pStyle w:val="NoSpacing"/>
              <w:rPr>
                <w:rFonts w:ascii="Tahoma" w:eastAsia="Arial Unicode MS" w:hAnsi="Tahoma" w:cs="Tahoma"/>
                <w:noProof/>
                <w:sz w:val="18"/>
                <w:szCs w:val="18"/>
                <w:lang w:val="sr-Cyrl-CS"/>
              </w:rPr>
            </w:pPr>
            <w:r w:rsidRPr="00BF3CDE">
              <w:rPr>
                <w:rFonts w:ascii="Tahoma" w:hAnsi="Tahoma" w:cs="Tahoma"/>
                <w:noProof/>
                <w:sz w:val="18"/>
                <w:szCs w:val="18"/>
                <w:lang w:val="sr-Cyrl-CS"/>
              </w:rPr>
              <w:t>Босна РЕ а.д.</w:t>
            </w:r>
          </w:p>
        </w:tc>
        <w:tc>
          <w:tcPr>
            <w:tcW w:w="3169" w:type="dxa"/>
            <w:tcBorders>
              <w:top w:val="inset" w:sz="6" w:space="0" w:color="auto"/>
              <w:left w:val="inset" w:sz="6" w:space="0" w:color="auto"/>
              <w:bottom w:val="inset" w:sz="6" w:space="0" w:color="auto"/>
              <w:right w:val="inset" w:sz="6" w:space="0" w:color="auto"/>
            </w:tcBorders>
            <w:vAlign w:val="center"/>
          </w:tcPr>
          <w:p w14:paraId="2C96A161" w14:textId="77777777" w:rsidR="0076189C" w:rsidRPr="00BF3CDE" w:rsidRDefault="0076189C" w:rsidP="0076189C">
            <w:pPr>
              <w:pStyle w:val="NoSpacing"/>
              <w:jc w:val="center"/>
              <w:rPr>
                <w:rFonts w:ascii="Tahoma" w:eastAsia="Arial Unicode MS" w:hAnsi="Tahoma" w:cs="Tahoma"/>
                <w:noProof/>
                <w:sz w:val="18"/>
                <w:szCs w:val="18"/>
                <w:lang w:val="sr-Cyrl-CS"/>
              </w:rPr>
            </w:pPr>
            <w:r w:rsidRPr="00BF3CDE">
              <w:rPr>
                <w:rFonts w:ascii="Tahoma" w:hAnsi="Tahoma" w:cs="Tahoma"/>
                <w:noProof/>
                <w:sz w:val="18"/>
                <w:szCs w:val="18"/>
                <w:lang w:val="sr-Cyrl-CS"/>
              </w:rPr>
              <w:t>Деспићева 4, Сарајево</w:t>
            </w:r>
          </w:p>
        </w:tc>
        <w:tc>
          <w:tcPr>
            <w:tcW w:w="1211" w:type="dxa"/>
            <w:tcBorders>
              <w:top w:val="inset" w:sz="6" w:space="0" w:color="auto"/>
              <w:left w:val="inset" w:sz="6" w:space="0" w:color="auto"/>
              <w:bottom w:val="inset" w:sz="6" w:space="0" w:color="auto"/>
              <w:right w:val="inset" w:sz="6" w:space="0" w:color="auto"/>
            </w:tcBorders>
            <w:noWrap/>
            <w:vAlign w:val="center"/>
          </w:tcPr>
          <w:p w14:paraId="29B9D6A4" w14:textId="77777777" w:rsidR="0076189C" w:rsidRPr="00BF3CDE" w:rsidRDefault="0076189C" w:rsidP="0076189C">
            <w:pPr>
              <w:pStyle w:val="NoSpacing"/>
              <w:jc w:val="center"/>
              <w:rPr>
                <w:rFonts w:ascii="Tahoma" w:eastAsia="Arial Unicode MS" w:hAnsi="Tahoma" w:cs="Tahoma"/>
                <w:noProof/>
                <w:sz w:val="18"/>
                <w:szCs w:val="18"/>
                <w:lang w:val="sr-Cyrl-CS"/>
              </w:rPr>
            </w:pPr>
            <w:r w:rsidRPr="00BF3CDE">
              <w:rPr>
                <w:rFonts w:ascii="Tahoma" w:hAnsi="Tahoma" w:cs="Tahoma"/>
                <w:noProof/>
                <w:sz w:val="18"/>
                <w:szCs w:val="18"/>
                <w:lang w:val="sr-Cyrl-CS"/>
              </w:rPr>
              <w:t>Испод 1%</w:t>
            </w:r>
          </w:p>
        </w:tc>
        <w:tc>
          <w:tcPr>
            <w:tcW w:w="1130" w:type="dxa"/>
            <w:tcBorders>
              <w:top w:val="inset" w:sz="6" w:space="0" w:color="auto"/>
              <w:left w:val="inset" w:sz="6" w:space="0" w:color="auto"/>
              <w:bottom w:val="inset" w:sz="6" w:space="0" w:color="auto"/>
              <w:right w:val="inset" w:sz="6" w:space="0" w:color="auto"/>
            </w:tcBorders>
            <w:noWrap/>
            <w:vAlign w:val="center"/>
          </w:tcPr>
          <w:p w14:paraId="596C183C" w14:textId="77777777" w:rsidR="0076189C" w:rsidRPr="00BF3CDE" w:rsidRDefault="0076189C" w:rsidP="0076189C">
            <w:pPr>
              <w:pStyle w:val="NoSpacing"/>
              <w:jc w:val="center"/>
              <w:rPr>
                <w:rFonts w:ascii="Tahoma" w:eastAsia="Arial Unicode MS" w:hAnsi="Tahoma" w:cs="Tahoma"/>
                <w:noProof/>
                <w:sz w:val="18"/>
                <w:szCs w:val="18"/>
                <w:lang w:val="sr-Cyrl-CS"/>
              </w:rPr>
            </w:pPr>
            <w:r w:rsidRPr="00BF3CDE">
              <w:rPr>
                <w:rFonts w:ascii="Tahoma" w:eastAsia="Arial Unicode MS" w:hAnsi="Tahoma" w:cs="Tahoma"/>
                <w:noProof/>
                <w:sz w:val="18"/>
                <w:szCs w:val="18"/>
                <w:lang w:val="sr-Cyrl-CS"/>
              </w:rPr>
              <w:t>3.842</w:t>
            </w:r>
          </w:p>
        </w:tc>
        <w:tc>
          <w:tcPr>
            <w:tcW w:w="1305" w:type="dxa"/>
            <w:tcBorders>
              <w:top w:val="inset" w:sz="6" w:space="0" w:color="auto"/>
              <w:left w:val="inset" w:sz="6" w:space="0" w:color="auto"/>
              <w:bottom w:val="inset" w:sz="6" w:space="0" w:color="auto"/>
              <w:right w:val="inset" w:sz="6" w:space="0" w:color="auto"/>
            </w:tcBorders>
            <w:noWrap/>
            <w:vAlign w:val="center"/>
          </w:tcPr>
          <w:p w14:paraId="22EA9AA7" w14:textId="77777777" w:rsidR="0076189C" w:rsidRPr="00BF3CDE" w:rsidRDefault="0076189C" w:rsidP="0076189C">
            <w:pPr>
              <w:pStyle w:val="NoSpacing"/>
              <w:jc w:val="center"/>
              <w:rPr>
                <w:rFonts w:ascii="Tahoma" w:eastAsia="Arial Unicode MS" w:hAnsi="Tahoma" w:cs="Tahoma"/>
                <w:noProof/>
                <w:sz w:val="18"/>
                <w:szCs w:val="18"/>
                <w:lang w:val="sr-Cyrl-CS"/>
              </w:rPr>
            </w:pPr>
            <w:r w:rsidRPr="00BF3CDE">
              <w:rPr>
                <w:rFonts w:ascii="Tahoma" w:eastAsia="Arial Unicode MS" w:hAnsi="Tahoma" w:cs="Tahoma"/>
                <w:noProof/>
                <w:sz w:val="18"/>
                <w:szCs w:val="18"/>
                <w:lang w:val="sr-Cyrl-CS"/>
              </w:rPr>
              <w:t>1.159</w:t>
            </w:r>
          </w:p>
        </w:tc>
      </w:tr>
      <w:tr w:rsidR="0076189C" w:rsidRPr="00BF3CDE" w14:paraId="20018E7A" w14:textId="77777777" w:rsidTr="0076189C">
        <w:trPr>
          <w:trHeight w:val="20"/>
          <w:tblCellSpacing w:w="20" w:type="dxa"/>
        </w:trPr>
        <w:tc>
          <w:tcPr>
            <w:tcW w:w="2533" w:type="dxa"/>
            <w:tcBorders>
              <w:top w:val="inset" w:sz="6" w:space="0" w:color="auto"/>
              <w:left w:val="inset" w:sz="6" w:space="0" w:color="auto"/>
              <w:bottom w:val="inset" w:sz="6" w:space="0" w:color="auto"/>
              <w:right w:val="inset" w:sz="6" w:space="0" w:color="auto"/>
            </w:tcBorders>
            <w:vAlign w:val="center"/>
          </w:tcPr>
          <w:p w14:paraId="181678C9" w14:textId="77777777" w:rsidR="0076189C" w:rsidRPr="00BF3CDE" w:rsidRDefault="0076189C" w:rsidP="0076189C">
            <w:pPr>
              <w:pStyle w:val="NoSpacing"/>
              <w:rPr>
                <w:rFonts w:ascii="Tahoma" w:hAnsi="Tahoma" w:cs="Tahoma"/>
                <w:noProof/>
                <w:sz w:val="18"/>
                <w:szCs w:val="18"/>
                <w:lang w:val="sr-Cyrl-CS"/>
              </w:rPr>
            </w:pPr>
            <w:r w:rsidRPr="00BF3CDE">
              <w:rPr>
                <w:rFonts w:ascii="Tahoma" w:hAnsi="Tahoma" w:cs="Tahoma"/>
                <w:noProof/>
                <w:sz w:val="18"/>
                <w:szCs w:val="18"/>
                <w:lang w:val="sr-Cyrl-CS"/>
              </w:rPr>
              <w:t>Swiss осигурање а.д.</w:t>
            </w:r>
          </w:p>
        </w:tc>
        <w:tc>
          <w:tcPr>
            <w:tcW w:w="3169" w:type="dxa"/>
            <w:tcBorders>
              <w:top w:val="inset" w:sz="6" w:space="0" w:color="auto"/>
              <w:left w:val="inset" w:sz="6" w:space="0" w:color="auto"/>
              <w:bottom w:val="inset" w:sz="6" w:space="0" w:color="auto"/>
              <w:right w:val="inset" w:sz="6" w:space="0" w:color="auto"/>
            </w:tcBorders>
            <w:vAlign w:val="center"/>
          </w:tcPr>
          <w:p w14:paraId="31246F97" w14:textId="77777777" w:rsidR="0076189C" w:rsidRPr="00BF3CDE" w:rsidRDefault="0076189C" w:rsidP="0076189C">
            <w:pPr>
              <w:pStyle w:val="NoSpacing"/>
              <w:jc w:val="center"/>
              <w:rPr>
                <w:rFonts w:ascii="Tahoma" w:eastAsia="Arial Unicode MS" w:hAnsi="Tahoma" w:cs="Tahoma"/>
                <w:noProof/>
                <w:sz w:val="18"/>
                <w:szCs w:val="18"/>
                <w:lang w:val="sr-Cyrl-CS"/>
              </w:rPr>
            </w:pPr>
            <w:r w:rsidRPr="00BF3CDE">
              <w:rPr>
                <w:rFonts w:ascii="Tahoma" w:hAnsi="Tahoma" w:cs="Tahoma"/>
                <w:noProof/>
                <w:sz w:val="18"/>
                <w:szCs w:val="18"/>
                <w:lang w:val="sr-Cyrl-CS"/>
              </w:rPr>
              <w:t>Бул. Ј. Броза 23 а, Подгорица</w:t>
            </w:r>
          </w:p>
        </w:tc>
        <w:tc>
          <w:tcPr>
            <w:tcW w:w="1211" w:type="dxa"/>
            <w:tcBorders>
              <w:top w:val="inset" w:sz="6" w:space="0" w:color="auto"/>
              <w:left w:val="inset" w:sz="6" w:space="0" w:color="auto"/>
              <w:bottom w:val="inset" w:sz="6" w:space="0" w:color="auto"/>
              <w:right w:val="inset" w:sz="6" w:space="0" w:color="auto"/>
            </w:tcBorders>
            <w:noWrap/>
            <w:vAlign w:val="center"/>
          </w:tcPr>
          <w:p w14:paraId="5DD9D303" w14:textId="77777777" w:rsidR="0076189C" w:rsidRPr="00BF3CDE" w:rsidRDefault="0076189C" w:rsidP="0076189C">
            <w:pPr>
              <w:pStyle w:val="NoSpacing"/>
              <w:jc w:val="center"/>
              <w:rPr>
                <w:rFonts w:ascii="Tahoma" w:eastAsia="Arial Unicode MS" w:hAnsi="Tahoma" w:cs="Tahoma"/>
                <w:noProof/>
                <w:sz w:val="18"/>
                <w:szCs w:val="18"/>
                <w:lang w:val="sr-Cyrl-CS"/>
              </w:rPr>
            </w:pPr>
            <w:r w:rsidRPr="00BF3CDE">
              <w:rPr>
                <w:rFonts w:ascii="Tahoma" w:hAnsi="Tahoma" w:cs="Tahoma"/>
                <w:noProof/>
                <w:sz w:val="18"/>
                <w:szCs w:val="18"/>
                <w:lang w:val="sr-Cyrl-CS"/>
              </w:rPr>
              <w:t>Испод 1%</w:t>
            </w:r>
          </w:p>
        </w:tc>
        <w:tc>
          <w:tcPr>
            <w:tcW w:w="1130" w:type="dxa"/>
            <w:tcBorders>
              <w:top w:val="inset" w:sz="6" w:space="0" w:color="auto"/>
              <w:left w:val="inset" w:sz="6" w:space="0" w:color="auto"/>
              <w:bottom w:val="inset" w:sz="6" w:space="0" w:color="auto"/>
              <w:right w:val="inset" w:sz="6" w:space="0" w:color="auto"/>
            </w:tcBorders>
            <w:noWrap/>
            <w:vAlign w:val="center"/>
          </w:tcPr>
          <w:p w14:paraId="08810E28" w14:textId="77777777" w:rsidR="0076189C" w:rsidRPr="00BF3CDE" w:rsidRDefault="0076189C" w:rsidP="0076189C">
            <w:pPr>
              <w:pStyle w:val="NoSpacing"/>
              <w:jc w:val="center"/>
              <w:rPr>
                <w:rFonts w:ascii="Tahoma" w:eastAsia="Arial Unicode MS" w:hAnsi="Tahoma" w:cs="Tahoma"/>
                <w:noProof/>
                <w:sz w:val="18"/>
                <w:szCs w:val="18"/>
                <w:lang w:val="sr-Cyrl-CS"/>
              </w:rPr>
            </w:pPr>
            <w:r w:rsidRPr="00BF3CDE">
              <w:rPr>
                <w:rFonts w:ascii="Tahoma" w:eastAsia="Arial Unicode MS" w:hAnsi="Tahoma" w:cs="Tahoma"/>
                <w:noProof/>
                <w:sz w:val="18"/>
                <w:szCs w:val="18"/>
                <w:lang w:val="sr-Cyrl-CS"/>
              </w:rPr>
              <w:t>684</w:t>
            </w:r>
          </w:p>
        </w:tc>
        <w:tc>
          <w:tcPr>
            <w:tcW w:w="1305" w:type="dxa"/>
            <w:tcBorders>
              <w:top w:val="inset" w:sz="6" w:space="0" w:color="auto"/>
              <w:left w:val="inset" w:sz="6" w:space="0" w:color="auto"/>
              <w:bottom w:val="inset" w:sz="6" w:space="0" w:color="auto"/>
              <w:right w:val="inset" w:sz="6" w:space="0" w:color="auto"/>
            </w:tcBorders>
            <w:noWrap/>
            <w:vAlign w:val="center"/>
          </w:tcPr>
          <w:p w14:paraId="5A08D5DE" w14:textId="77777777" w:rsidR="0076189C" w:rsidRPr="00BF3CDE" w:rsidRDefault="0076189C" w:rsidP="0076189C">
            <w:pPr>
              <w:pStyle w:val="NoSpacing"/>
              <w:jc w:val="center"/>
              <w:rPr>
                <w:rFonts w:ascii="Tahoma" w:eastAsia="Arial Unicode MS" w:hAnsi="Tahoma" w:cs="Tahoma"/>
                <w:noProof/>
                <w:sz w:val="18"/>
                <w:szCs w:val="18"/>
                <w:lang w:val="sr-Cyrl-CS"/>
              </w:rPr>
            </w:pPr>
            <w:r w:rsidRPr="00BF3CDE">
              <w:rPr>
                <w:rFonts w:ascii="Tahoma" w:eastAsia="Arial Unicode MS" w:hAnsi="Tahoma" w:cs="Tahoma"/>
                <w:noProof/>
                <w:sz w:val="18"/>
                <w:szCs w:val="18"/>
                <w:lang w:val="sr-Cyrl-CS"/>
              </w:rPr>
              <w:t>3.119</w:t>
            </w:r>
          </w:p>
        </w:tc>
      </w:tr>
      <w:tr w:rsidR="0076189C" w:rsidRPr="00BF3CDE" w14:paraId="6FA3D06A" w14:textId="77777777" w:rsidTr="0076189C">
        <w:trPr>
          <w:trHeight w:val="20"/>
          <w:tblCellSpacing w:w="20" w:type="dxa"/>
        </w:trPr>
        <w:tc>
          <w:tcPr>
            <w:tcW w:w="6993" w:type="dxa"/>
            <w:gridSpan w:val="3"/>
            <w:tcBorders>
              <w:top w:val="inset" w:sz="6" w:space="0" w:color="auto"/>
              <w:left w:val="inset" w:sz="6" w:space="0" w:color="auto"/>
              <w:bottom w:val="inset" w:sz="6" w:space="0" w:color="auto"/>
              <w:right w:val="inset" w:sz="6" w:space="0" w:color="auto"/>
            </w:tcBorders>
            <w:noWrap/>
            <w:vAlign w:val="center"/>
          </w:tcPr>
          <w:p w14:paraId="76C39637" w14:textId="77777777" w:rsidR="0076189C" w:rsidRPr="00BF3CDE" w:rsidRDefault="0076189C" w:rsidP="0076189C">
            <w:pPr>
              <w:pStyle w:val="NoSpacing"/>
              <w:jc w:val="center"/>
              <w:rPr>
                <w:rFonts w:ascii="Tahoma" w:eastAsia="Arial Unicode MS" w:hAnsi="Tahoma" w:cs="Tahoma"/>
                <w:noProof/>
                <w:sz w:val="18"/>
                <w:szCs w:val="18"/>
                <w:lang w:val="sr-Cyrl-CS"/>
              </w:rPr>
            </w:pPr>
            <w:r w:rsidRPr="00BF3CDE">
              <w:rPr>
                <w:rFonts w:ascii="Tahoma" w:eastAsia="Arial Unicode MS" w:hAnsi="Tahoma" w:cs="Tahoma"/>
                <w:b/>
                <w:noProof/>
                <w:sz w:val="18"/>
                <w:szCs w:val="18"/>
                <w:lang w:val="sr-Cyrl-CS"/>
              </w:rPr>
              <w:t>Укупно</w:t>
            </w:r>
          </w:p>
        </w:tc>
        <w:tc>
          <w:tcPr>
            <w:tcW w:w="1130" w:type="dxa"/>
            <w:tcBorders>
              <w:top w:val="inset" w:sz="6" w:space="0" w:color="auto"/>
              <w:left w:val="inset" w:sz="6" w:space="0" w:color="auto"/>
              <w:bottom w:val="inset" w:sz="6" w:space="0" w:color="auto"/>
              <w:right w:val="inset" w:sz="6" w:space="0" w:color="auto"/>
            </w:tcBorders>
            <w:noWrap/>
            <w:vAlign w:val="center"/>
          </w:tcPr>
          <w:p w14:paraId="4866A927" w14:textId="77777777" w:rsidR="0076189C" w:rsidRPr="00BF3CDE" w:rsidRDefault="0076189C" w:rsidP="0076189C">
            <w:pPr>
              <w:pStyle w:val="NoSpacing"/>
              <w:jc w:val="center"/>
              <w:rPr>
                <w:rFonts w:ascii="Tahoma" w:eastAsia="Arial Unicode MS" w:hAnsi="Tahoma" w:cs="Tahoma"/>
                <w:b/>
                <w:noProof/>
                <w:sz w:val="18"/>
                <w:szCs w:val="18"/>
                <w:lang w:val="sr-Cyrl-CS"/>
              </w:rPr>
            </w:pPr>
            <w:r w:rsidRPr="00BF3CDE">
              <w:rPr>
                <w:rFonts w:ascii="Tahoma" w:eastAsia="Arial Unicode MS" w:hAnsi="Tahoma" w:cs="Tahoma"/>
                <w:b/>
                <w:noProof/>
                <w:sz w:val="18"/>
                <w:szCs w:val="18"/>
                <w:lang w:val="sr-Cyrl-CS"/>
              </w:rPr>
              <w:t>6.833</w:t>
            </w:r>
          </w:p>
        </w:tc>
        <w:tc>
          <w:tcPr>
            <w:tcW w:w="1305" w:type="dxa"/>
            <w:tcBorders>
              <w:top w:val="inset" w:sz="6" w:space="0" w:color="auto"/>
              <w:left w:val="inset" w:sz="6" w:space="0" w:color="auto"/>
              <w:bottom w:val="inset" w:sz="6" w:space="0" w:color="auto"/>
              <w:right w:val="inset" w:sz="6" w:space="0" w:color="auto"/>
            </w:tcBorders>
            <w:noWrap/>
            <w:vAlign w:val="center"/>
          </w:tcPr>
          <w:p w14:paraId="257409AC" w14:textId="77777777" w:rsidR="0076189C" w:rsidRPr="00BF3CDE" w:rsidRDefault="0076189C" w:rsidP="0076189C">
            <w:pPr>
              <w:pStyle w:val="NoSpacing"/>
              <w:jc w:val="center"/>
              <w:rPr>
                <w:rFonts w:ascii="Tahoma" w:eastAsia="Arial Unicode MS" w:hAnsi="Tahoma" w:cs="Tahoma"/>
                <w:b/>
                <w:noProof/>
                <w:sz w:val="18"/>
                <w:szCs w:val="18"/>
                <w:lang w:val="sr-Cyrl-CS"/>
              </w:rPr>
            </w:pPr>
            <w:r w:rsidRPr="00BF3CDE">
              <w:rPr>
                <w:rFonts w:ascii="Tahoma" w:eastAsia="Arial Unicode MS" w:hAnsi="Tahoma" w:cs="Tahoma"/>
                <w:b/>
                <w:noProof/>
                <w:sz w:val="18"/>
                <w:szCs w:val="18"/>
                <w:lang w:val="sr-Cyrl-CS"/>
              </w:rPr>
              <w:t>6.464</w:t>
            </w:r>
          </w:p>
        </w:tc>
      </w:tr>
      <w:tr w:rsidR="0076189C" w:rsidRPr="00BF3CDE" w14:paraId="07457E46" w14:textId="77777777" w:rsidTr="00911099">
        <w:trPr>
          <w:trHeight w:val="20"/>
          <w:tblCellSpacing w:w="20" w:type="dxa"/>
        </w:trPr>
        <w:tc>
          <w:tcPr>
            <w:tcW w:w="6993" w:type="dxa"/>
            <w:gridSpan w:val="3"/>
            <w:tcBorders>
              <w:top w:val="inset" w:sz="6" w:space="0" w:color="auto"/>
              <w:left w:val="inset" w:sz="6" w:space="0" w:color="auto"/>
              <w:bottom w:val="inset" w:sz="6" w:space="0" w:color="auto"/>
              <w:right w:val="inset" w:sz="6" w:space="0" w:color="auto"/>
            </w:tcBorders>
            <w:shd w:val="clear" w:color="auto" w:fill="DBE5F1" w:themeFill="accent1" w:themeFillTint="33"/>
            <w:noWrap/>
            <w:vAlign w:val="center"/>
          </w:tcPr>
          <w:p w14:paraId="7A7F76E7" w14:textId="77777777" w:rsidR="0076189C" w:rsidRPr="00BF3CDE" w:rsidRDefault="0076189C" w:rsidP="0076189C">
            <w:pPr>
              <w:pStyle w:val="NoSpacing"/>
              <w:jc w:val="center"/>
              <w:rPr>
                <w:rFonts w:ascii="Tahoma" w:eastAsia="Arial Unicode MS" w:hAnsi="Tahoma" w:cs="Tahoma"/>
                <w:i/>
                <w:noProof/>
                <w:sz w:val="18"/>
                <w:szCs w:val="18"/>
                <w:lang w:val="sr-Cyrl-CS"/>
              </w:rPr>
            </w:pPr>
            <w:r w:rsidRPr="00BF3CDE">
              <w:rPr>
                <w:rFonts w:ascii="Tahoma" w:eastAsia="Arial Unicode MS" w:hAnsi="Tahoma" w:cs="Tahoma"/>
                <w:b/>
                <w:i/>
                <w:noProof/>
                <w:sz w:val="18"/>
                <w:szCs w:val="18"/>
                <w:lang w:val="sr-Cyrl-CS"/>
              </w:rPr>
              <w:t>СВЕГА</w:t>
            </w:r>
          </w:p>
        </w:tc>
        <w:tc>
          <w:tcPr>
            <w:tcW w:w="1130" w:type="dxa"/>
            <w:tcBorders>
              <w:top w:val="inset" w:sz="6" w:space="0" w:color="auto"/>
              <w:left w:val="inset" w:sz="6" w:space="0" w:color="auto"/>
              <w:bottom w:val="inset" w:sz="6" w:space="0" w:color="auto"/>
              <w:right w:val="inset" w:sz="6" w:space="0" w:color="auto"/>
            </w:tcBorders>
            <w:shd w:val="clear" w:color="auto" w:fill="DBE5F1" w:themeFill="accent1" w:themeFillTint="33"/>
            <w:noWrap/>
            <w:vAlign w:val="center"/>
          </w:tcPr>
          <w:p w14:paraId="07017AA0" w14:textId="77777777" w:rsidR="0076189C" w:rsidRPr="00BF3CDE" w:rsidRDefault="0076189C" w:rsidP="0076189C">
            <w:pPr>
              <w:pStyle w:val="NoSpacing"/>
              <w:jc w:val="center"/>
              <w:rPr>
                <w:rFonts w:ascii="Tahoma" w:eastAsia="Arial Unicode MS" w:hAnsi="Tahoma" w:cs="Tahoma"/>
                <w:b/>
                <w:i/>
                <w:noProof/>
                <w:sz w:val="18"/>
                <w:szCs w:val="18"/>
                <w:lang w:val="sr-Cyrl-CS"/>
              </w:rPr>
            </w:pPr>
            <w:r w:rsidRPr="00BF3CDE">
              <w:rPr>
                <w:rFonts w:ascii="Tahoma" w:eastAsia="Arial Unicode MS" w:hAnsi="Tahoma" w:cs="Tahoma"/>
                <w:b/>
                <w:i/>
                <w:noProof/>
                <w:sz w:val="18"/>
                <w:szCs w:val="18"/>
                <w:lang w:val="sr-Cyrl-CS"/>
              </w:rPr>
              <w:t>325.851</w:t>
            </w:r>
          </w:p>
        </w:tc>
        <w:tc>
          <w:tcPr>
            <w:tcW w:w="1305" w:type="dxa"/>
            <w:tcBorders>
              <w:top w:val="inset" w:sz="6" w:space="0" w:color="auto"/>
              <w:left w:val="inset" w:sz="6" w:space="0" w:color="auto"/>
              <w:bottom w:val="inset" w:sz="6" w:space="0" w:color="auto"/>
              <w:right w:val="inset" w:sz="6" w:space="0" w:color="auto"/>
            </w:tcBorders>
            <w:shd w:val="clear" w:color="auto" w:fill="DBE5F1" w:themeFill="accent1" w:themeFillTint="33"/>
            <w:noWrap/>
            <w:vAlign w:val="center"/>
          </w:tcPr>
          <w:p w14:paraId="5ECA0598" w14:textId="77777777" w:rsidR="0076189C" w:rsidRPr="00BF3CDE" w:rsidRDefault="0076189C" w:rsidP="0076189C">
            <w:pPr>
              <w:pStyle w:val="NoSpacing"/>
              <w:jc w:val="center"/>
              <w:rPr>
                <w:rFonts w:ascii="Tahoma" w:eastAsia="Arial Unicode MS" w:hAnsi="Tahoma" w:cs="Tahoma"/>
                <w:b/>
                <w:i/>
                <w:noProof/>
                <w:sz w:val="18"/>
                <w:szCs w:val="18"/>
                <w:lang w:val="sr-Cyrl-CS"/>
              </w:rPr>
            </w:pPr>
            <w:r w:rsidRPr="00BF3CDE">
              <w:rPr>
                <w:rFonts w:ascii="Tahoma" w:eastAsia="Arial Unicode MS" w:hAnsi="Tahoma" w:cs="Tahoma"/>
                <w:b/>
                <w:i/>
                <w:noProof/>
                <w:sz w:val="18"/>
                <w:szCs w:val="18"/>
                <w:lang w:val="sr-Cyrl-CS"/>
              </w:rPr>
              <w:t>300.505</w:t>
            </w:r>
          </w:p>
        </w:tc>
      </w:tr>
      <w:tr w:rsidR="0076189C" w:rsidRPr="00BF3CDE" w14:paraId="6AB3972A" w14:textId="77777777" w:rsidTr="00911099">
        <w:trPr>
          <w:trHeight w:val="20"/>
          <w:tblCellSpacing w:w="20" w:type="dxa"/>
        </w:trPr>
        <w:tc>
          <w:tcPr>
            <w:tcW w:w="6993" w:type="dxa"/>
            <w:gridSpan w:val="3"/>
            <w:tcBorders>
              <w:top w:val="inset" w:sz="6" w:space="0" w:color="auto"/>
              <w:left w:val="inset" w:sz="6" w:space="0" w:color="auto"/>
              <w:bottom w:val="inset" w:sz="6" w:space="0" w:color="auto"/>
              <w:right w:val="inset" w:sz="6" w:space="0" w:color="auto"/>
            </w:tcBorders>
            <w:shd w:val="clear" w:color="auto" w:fill="DBE5F1" w:themeFill="accent1" w:themeFillTint="33"/>
            <w:noWrap/>
            <w:vAlign w:val="center"/>
          </w:tcPr>
          <w:p w14:paraId="100A060B" w14:textId="77777777" w:rsidR="0076189C" w:rsidRPr="00BF3CDE" w:rsidRDefault="0076189C" w:rsidP="0076189C">
            <w:pPr>
              <w:pStyle w:val="NoSpacing"/>
              <w:jc w:val="center"/>
              <w:rPr>
                <w:rFonts w:ascii="Tahoma" w:eastAsia="Arial Unicode MS" w:hAnsi="Tahoma" w:cs="Tahoma"/>
                <w:b/>
                <w:noProof/>
                <w:sz w:val="18"/>
                <w:szCs w:val="18"/>
                <w:lang w:val="sr-Cyrl-CS"/>
              </w:rPr>
            </w:pPr>
            <w:r w:rsidRPr="00BF3CDE">
              <w:rPr>
                <w:rFonts w:ascii="Tahoma" w:eastAsia="Arial Unicode MS" w:hAnsi="Tahoma" w:cs="Tahoma"/>
                <w:b/>
                <w:noProof/>
                <w:sz w:val="18"/>
                <w:szCs w:val="18"/>
                <w:lang w:val="sr-Cyrl-CS"/>
              </w:rPr>
              <w:t>Исправка вредности ХОВ расположивих за продају –Дунав банка</w:t>
            </w:r>
          </w:p>
        </w:tc>
        <w:tc>
          <w:tcPr>
            <w:tcW w:w="1130" w:type="dxa"/>
            <w:tcBorders>
              <w:top w:val="inset" w:sz="6" w:space="0" w:color="auto"/>
              <w:left w:val="inset" w:sz="6" w:space="0" w:color="auto"/>
              <w:bottom w:val="inset" w:sz="6" w:space="0" w:color="auto"/>
              <w:right w:val="inset" w:sz="6" w:space="0" w:color="auto"/>
            </w:tcBorders>
            <w:shd w:val="clear" w:color="auto" w:fill="DBE5F1" w:themeFill="accent1" w:themeFillTint="33"/>
            <w:noWrap/>
            <w:vAlign w:val="center"/>
          </w:tcPr>
          <w:p w14:paraId="6B9699D4" w14:textId="77777777" w:rsidR="0076189C" w:rsidRPr="00BF3CDE" w:rsidRDefault="0076189C" w:rsidP="0076189C">
            <w:pPr>
              <w:pStyle w:val="NoSpacing"/>
              <w:jc w:val="center"/>
              <w:rPr>
                <w:rFonts w:ascii="Tahoma" w:eastAsia="Arial Unicode MS" w:hAnsi="Tahoma" w:cs="Tahoma"/>
                <w:b/>
                <w:noProof/>
                <w:sz w:val="18"/>
                <w:szCs w:val="18"/>
                <w:lang w:val="sr-Cyrl-CS"/>
              </w:rPr>
            </w:pPr>
            <w:r w:rsidRPr="00BF3CDE">
              <w:rPr>
                <w:rFonts w:ascii="Tahoma" w:eastAsia="Arial Unicode MS" w:hAnsi="Tahoma" w:cs="Tahoma"/>
                <w:b/>
                <w:noProof/>
                <w:sz w:val="18"/>
                <w:szCs w:val="18"/>
                <w:lang w:val="sr-Cyrl-CS"/>
              </w:rPr>
              <w:t>178.333</w:t>
            </w:r>
          </w:p>
        </w:tc>
        <w:tc>
          <w:tcPr>
            <w:tcW w:w="1305" w:type="dxa"/>
            <w:tcBorders>
              <w:top w:val="inset" w:sz="6" w:space="0" w:color="auto"/>
              <w:left w:val="inset" w:sz="6" w:space="0" w:color="auto"/>
              <w:bottom w:val="inset" w:sz="6" w:space="0" w:color="auto"/>
              <w:right w:val="inset" w:sz="6" w:space="0" w:color="auto"/>
            </w:tcBorders>
            <w:shd w:val="clear" w:color="auto" w:fill="DBE5F1" w:themeFill="accent1" w:themeFillTint="33"/>
            <w:noWrap/>
            <w:vAlign w:val="center"/>
          </w:tcPr>
          <w:p w14:paraId="0B983EF3" w14:textId="77777777" w:rsidR="0076189C" w:rsidRPr="00BF3CDE" w:rsidRDefault="0076189C" w:rsidP="0076189C">
            <w:pPr>
              <w:pStyle w:val="NoSpacing"/>
              <w:jc w:val="center"/>
              <w:rPr>
                <w:rFonts w:ascii="Tahoma" w:eastAsia="Arial Unicode MS" w:hAnsi="Tahoma" w:cs="Tahoma"/>
                <w:b/>
                <w:noProof/>
                <w:sz w:val="18"/>
                <w:szCs w:val="18"/>
                <w:lang w:val="sr-Cyrl-CS"/>
              </w:rPr>
            </w:pPr>
            <w:r w:rsidRPr="00BF3CDE">
              <w:rPr>
                <w:rFonts w:ascii="Tahoma" w:eastAsia="Arial Unicode MS" w:hAnsi="Tahoma" w:cs="Tahoma"/>
                <w:b/>
                <w:noProof/>
                <w:sz w:val="18"/>
                <w:szCs w:val="18"/>
                <w:lang w:val="sr-Cyrl-CS"/>
              </w:rPr>
              <w:t>0</w:t>
            </w:r>
          </w:p>
        </w:tc>
      </w:tr>
      <w:tr w:rsidR="0076189C" w:rsidRPr="00BF3CDE" w14:paraId="1AF25047" w14:textId="77777777" w:rsidTr="00911099">
        <w:trPr>
          <w:trHeight w:val="20"/>
          <w:tblCellSpacing w:w="20" w:type="dxa"/>
        </w:trPr>
        <w:tc>
          <w:tcPr>
            <w:tcW w:w="6993" w:type="dxa"/>
            <w:gridSpan w:val="3"/>
            <w:tcBorders>
              <w:top w:val="inset" w:sz="6" w:space="0" w:color="auto"/>
              <w:left w:val="inset" w:sz="6" w:space="0" w:color="auto"/>
              <w:bottom w:val="inset" w:sz="6" w:space="0" w:color="auto"/>
              <w:right w:val="inset" w:sz="6" w:space="0" w:color="auto"/>
            </w:tcBorders>
            <w:shd w:val="clear" w:color="auto" w:fill="DBE5F1" w:themeFill="accent1" w:themeFillTint="33"/>
            <w:noWrap/>
            <w:vAlign w:val="center"/>
          </w:tcPr>
          <w:p w14:paraId="06BB0A84" w14:textId="77777777" w:rsidR="0076189C" w:rsidRPr="00BF3CDE" w:rsidRDefault="0076189C" w:rsidP="0076189C">
            <w:pPr>
              <w:pStyle w:val="NoSpacing"/>
              <w:jc w:val="center"/>
              <w:rPr>
                <w:rFonts w:ascii="Tahoma" w:eastAsia="Arial Unicode MS" w:hAnsi="Tahoma" w:cs="Tahoma"/>
                <w:b/>
                <w:i/>
                <w:noProof/>
                <w:sz w:val="18"/>
                <w:szCs w:val="18"/>
                <w:lang w:val="sr-Cyrl-CS"/>
              </w:rPr>
            </w:pPr>
            <w:r w:rsidRPr="00BF3CDE">
              <w:rPr>
                <w:rFonts w:ascii="Tahoma" w:eastAsia="Arial Unicode MS" w:hAnsi="Tahoma" w:cs="Tahoma"/>
                <w:b/>
                <w:i/>
                <w:noProof/>
                <w:sz w:val="18"/>
                <w:szCs w:val="18"/>
                <w:lang w:val="sr-Cyrl-CS"/>
              </w:rPr>
              <w:t>СВЕГА</w:t>
            </w:r>
          </w:p>
        </w:tc>
        <w:tc>
          <w:tcPr>
            <w:tcW w:w="1130" w:type="dxa"/>
            <w:tcBorders>
              <w:top w:val="inset" w:sz="6" w:space="0" w:color="auto"/>
              <w:left w:val="inset" w:sz="6" w:space="0" w:color="auto"/>
              <w:bottom w:val="inset" w:sz="6" w:space="0" w:color="auto"/>
              <w:right w:val="inset" w:sz="6" w:space="0" w:color="auto"/>
            </w:tcBorders>
            <w:shd w:val="clear" w:color="auto" w:fill="DBE5F1" w:themeFill="accent1" w:themeFillTint="33"/>
            <w:noWrap/>
            <w:vAlign w:val="center"/>
          </w:tcPr>
          <w:p w14:paraId="508F1EC7" w14:textId="77777777" w:rsidR="0076189C" w:rsidRPr="00BF3CDE" w:rsidRDefault="0076189C" w:rsidP="0076189C">
            <w:pPr>
              <w:pStyle w:val="NoSpacing"/>
              <w:jc w:val="center"/>
              <w:rPr>
                <w:rFonts w:ascii="Tahoma" w:eastAsia="Arial Unicode MS" w:hAnsi="Tahoma" w:cs="Tahoma"/>
                <w:b/>
                <w:i/>
                <w:noProof/>
                <w:sz w:val="18"/>
                <w:szCs w:val="18"/>
                <w:lang w:val="sr-Cyrl-CS"/>
              </w:rPr>
            </w:pPr>
            <w:r w:rsidRPr="00BF3CDE">
              <w:rPr>
                <w:rFonts w:ascii="Tahoma" w:eastAsia="Arial Unicode MS" w:hAnsi="Tahoma" w:cs="Tahoma"/>
                <w:b/>
                <w:i/>
                <w:noProof/>
                <w:sz w:val="18"/>
                <w:szCs w:val="18"/>
                <w:lang w:val="sr-Cyrl-CS"/>
              </w:rPr>
              <w:t>147.518</w:t>
            </w:r>
          </w:p>
        </w:tc>
        <w:tc>
          <w:tcPr>
            <w:tcW w:w="1305" w:type="dxa"/>
            <w:tcBorders>
              <w:top w:val="inset" w:sz="6" w:space="0" w:color="auto"/>
              <w:left w:val="inset" w:sz="6" w:space="0" w:color="auto"/>
              <w:bottom w:val="inset" w:sz="6" w:space="0" w:color="auto"/>
              <w:right w:val="inset" w:sz="6" w:space="0" w:color="auto"/>
            </w:tcBorders>
            <w:shd w:val="clear" w:color="auto" w:fill="DBE5F1" w:themeFill="accent1" w:themeFillTint="33"/>
            <w:noWrap/>
            <w:vAlign w:val="center"/>
          </w:tcPr>
          <w:p w14:paraId="1D9C944F" w14:textId="77777777" w:rsidR="0076189C" w:rsidRPr="00BF3CDE" w:rsidRDefault="0076189C" w:rsidP="0076189C">
            <w:pPr>
              <w:pStyle w:val="NoSpacing"/>
              <w:jc w:val="center"/>
              <w:rPr>
                <w:rFonts w:ascii="Tahoma" w:eastAsia="Arial Unicode MS" w:hAnsi="Tahoma" w:cs="Tahoma"/>
                <w:b/>
                <w:i/>
                <w:noProof/>
                <w:sz w:val="18"/>
                <w:szCs w:val="18"/>
                <w:lang w:val="sr-Cyrl-CS"/>
              </w:rPr>
            </w:pPr>
            <w:r w:rsidRPr="00BF3CDE">
              <w:rPr>
                <w:rFonts w:ascii="Tahoma" w:eastAsia="Arial Unicode MS" w:hAnsi="Tahoma" w:cs="Tahoma"/>
                <w:b/>
                <w:i/>
                <w:noProof/>
                <w:sz w:val="18"/>
                <w:szCs w:val="18"/>
                <w:lang w:val="sr-Cyrl-CS"/>
              </w:rPr>
              <w:t>300.505</w:t>
            </w:r>
          </w:p>
        </w:tc>
      </w:tr>
    </w:tbl>
    <w:p w14:paraId="5CFE6266" w14:textId="77777777" w:rsidR="0076189C" w:rsidRPr="00BF3CDE" w:rsidRDefault="0076189C" w:rsidP="00911099">
      <w:pPr>
        <w:spacing w:before="120" w:after="120"/>
        <w:ind w:firstLine="708"/>
        <w:jc w:val="both"/>
        <w:rPr>
          <w:noProof/>
          <w:sz w:val="20"/>
          <w:szCs w:val="20"/>
          <w:lang w:val="sr-Cyrl-CS"/>
        </w:rPr>
      </w:pPr>
      <w:r w:rsidRPr="00BF3CDE">
        <w:rPr>
          <w:noProof/>
          <w:sz w:val="20"/>
          <w:szCs w:val="20"/>
          <w:lang w:val="sr-Cyrl-CS"/>
        </w:rPr>
        <w:lastRenderedPageBreak/>
        <w:t xml:space="preserve">Друштво у 2014. години није ни набављало ни отуђивало власничке хартије од вредности. </w:t>
      </w:r>
    </w:p>
    <w:p w14:paraId="2611BC25" w14:textId="77777777" w:rsidR="0076189C" w:rsidRPr="00BF3CDE" w:rsidRDefault="0076189C" w:rsidP="00911099">
      <w:pPr>
        <w:spacing w:before="120" w:after="120"/>
        <w:jc w:val="both"/>
        <w:rPr>
          <w:noProof/>
          <w:sz w:val="20"/>
          <w:szCs w:val="20"/>
          <w:lang w:val="sr-Cyrl-CS"/>
        </w:rPr>
      </w:pPr>
      <w:r w:rsidRPr="00BF3CDE">
        <w:rPr>
          <w:noProof/>
          <w:sz w:val="20"/>
          <w:szCs w:val="20"/>
          <w:lang w:val="sr-Cyrl-CS"/>
        </w:rPr>
        <w:tab/>
        <w:t>Пад вредности је забележен једино код Дунав банке.</w:t>
      </w:r>
    </w:p>
    <w:p w14:paraId="116BB029" w14:textId="77777777" w:rsidR="0076189C" w:rsidRPr="00BF3CDE" w:rsidRDefault="0076189C" w:rsidP="00911099">
      <w:pPr>
        <w:spacing w:before="120" w:after="120"/>
        <w:jc w:val="both"/>
        <w:rPr>
          <w:noProof/>
          <w:sz w:val="20"/>
          <w:szCs w:val="20"/>
          <w:lang w:val="sr-Cyrl-CS"/>
        </w:rPr>
      </w:pPr>
      <w:r w:rsidRPr="00BF3CDE">
        <w:rPr>
          <w:noProof/>
          <w:sz w:val="20"/>
          <w:szCs w:val="20"/>
          <w:lang w:val="sr-Cyrl-CS"/>
        </w:rPr>
        <w:tab/>
        <w:t xml:space="preserve">Наиме у Финансисјким извештајама Банке и мишљењу ревизора као и извештају о  пословању за 2013. годину је обелодањено да Банка не располаже законом прописани минимални капитал. У циљу обезбеђења регулаторног капитала,  Банка је на 8. Ванредној седници скупштине од 19.12.2014. године донела следеће одлуке: </w:t>
      </w:r>
    </w:p>
    <w:p w14:paraId="6B51CAC4" w14:textId="77777777" w:rsidR="0076189C" w:rsidRPr="00BF3CDE" w:rsidRDefault="0076189C" w:rsidP="0076189C">
      <w:pPr>
        <w:pStyle w:val="ListParagraph"/>
        <w:numPr>
          <w:ilvl w:val="0"/>
          <w:numId w:val="37"/>
        </w:numPr>
        <w:suppressAutoHyphens/>
        <w:spacing w:after="0" w:line="240" w:lineRule="auto"/>
        <w:contextualSpacing w:val="0"/>
        <w:jc w:val="both"/>
        <w:rPr>
          <w:noProof/>
          <w:sz w:val="20"/>
          <w:szCs w:val="20"/>
          <w:lang w:val="sr-Cyrl-CS"/>
        </w:rPr>
      </w:pPr>
      <w:r w:rsidRPr="00BF3CDE">
        <w:rPr>
          <w:noProof/>
          <w:sz w:val="20"/>
          <w:szCs w:val="20"/>
          <w:lang w:val="sr-Cyrl-CS"/>
        </w:rPr>
        <w:t>Да се изврши смањење капитала за износ признатих губитака од стране Банке, додатних исправки према инструкцијама независног ревизора на 30. септембар 2014. године и додатних усаглашених корекција, односно да се изврши деноминациј</w:t>
      </w:r>
      <w:r w:rsidR="00911099" w:rsidRPr="00BF3CDE">
        <w:rPr>
          <w:noProof/>
          <w:sz w:val="20"/>
          <w:szCs w:val="20"/>
          <w:lang w:val="sr-Cyrl-CS"/>
        </w:rPr>
        <w:t>а са 1.000 на 320 РСД по акцији</w:t>
      </w:r>
      <w:r w:rsidRPr="00BF3CDE">
        <w:rPr>
          <w:noProof/>
          <w:sz w:val="20"/>
          <w:szCs w:val="20"/>
          <w:lang w:val="sr-Cyrl-CS"/>
        </w:rPr>
        <w:t>.</w:t>
      </w:r>
    </w:p>
    <w:p w14:paraId="3BDCB20C" w14:textId="77777777" w:rsidR="00911099" w:rsidRPr="00BF3CDE" w:rsidRDefault="00911099" w:rsidP="00911099">
      <w:pPr>
        <w:pStyle w:val="ListParagraph"/>
        <w:suppressAutoHyphens/>
        <w:spacing w:after="0" w:line="240" w:lineRule="auto"/>
        <w:ind w:left="1080"/>
        <w:contextualSpacing w:val="0"/>
        <w:jc w:val="both"/>
        <w:rPr>
          <w:noProof/>
          <w:sz w:val="20"/>
          <w:szCs w:val="20"/>
          <w:lang w:val="sr-Cyrl-CS"/>
        </w:rPr>
      </w:pPr>
    </w:p>
    <w:p w14:paraId="1CA73F1E" w14:textId="77777777" w:rsidR="0076189C" w:rsidRPr="00BF3CDE" w:rsidRDefault="0076189C" w:rsidP="0076189C">
      <w:pPr>
        <w:pStyle w:val="ListParagraph"/>
        <w:numPr>
          <w:ilvl w:val="0"/>
          <w:numId w:val="37"/>
        </w:numPr>
        <w:suppressAutoHyphens/>
        <w:spacing w:after="0" w:line="240" w:lineRule="auto"/>
        <w:contextualSpacing w:val="0"/>
        <w:jc w:val="both"/>
        <w:rPr>
          <w:noProof/>
          <w:sz w:val="20"/>
          <w:szCs w:val="20"/>
          <w:lang w:val="sr-Cyrl-CS"/>
        </w:rPr>
      </w:pPr>
      <w:r w:rsidRPr="00BF3CDE">
        <w:rPr>
          <w:noProof/>
          <w:sz w:val="20"/>
          <w:szCs w:val="20"/>
          <w:lang w:val="sr-Cyrl-CS"/>
        </w:rPr>
        <w:t xml:space="preserve">да се изврши докапитализација од стране Компаније Дунав осигурања за 3 милиона ЕУРа, Телекома за 9,7 милиона ЕУРа. На Скупштине акционара Дунав банке а.д Београд одржаној 19.12.2014. године, донета је Одлука о покрићу губитка и смањењу основног капитала Банке. </w:t>
      </w:r>
    </w:p>
    <w:p w14:paraId="572D23AF" w14:textId="77777777" w:rsidR="0076189C" w:rsidRPr="00BF3CDE" w:rsidRDefault="0076189C" w:rsidP="00911099">
      <w:pPr>
        <w:spacing w:before="200"/>
        <w:jc w:val="both"/>
        <w:rPr>
          <w:noProof/>
          <w:sz w:val="20"/>
          <w:szCs w:val="20"/>
          <w:lang w:val="sr-Cyrl-CS"/>
        </w:rPr>
      </w:pPr>
      <w:r w:rsidRPr="00BF3CDE">
        <w:rPr>
          <w:noProof/>
          <w:sz w:val="20"/>
          <w:szCs w:val="20"/>
          <w:lang w:val="sr-Cyrl-CS"/>
        </w:rPr>
        <w:tab/>
        <w:t xml:space="preserve">Централни регистар ХОВ је 30.12.14. године </w:t>
      </w:r>
      <w:r w:rsidR="00BD65A1">
        <w:rPr>
          <w:noProof/>
          <w:sz w:val="20"/>
          <w:szCs w:val="20"/>
          <w:lang w:val="sr-Cyrl-CS"/>
        </w:rPr>
        <w:t>евидентирао је</w:t>
      </w:r>
      <w:r w:rsidRPr="00BF3CDE">
        <w:rPr>
          <w:noProof/>
          <w:sz w:val="20"/>
          <w:szCs w:val="20"/>
          <w:lang w:val="sr-Cyrl-CS"/>
        </w:rPr>
        <w:t xml:space="preserve"> промену номиналне вредности акција, као и повећање капитала по основу 8. емисије акција. Након спроведене промене појединачна номинална вредност акција Дунав банке износи 320,00 динара.</w:t>
      </w:r>
    </w:p>
    <w:p w14:paraId="79BEDCD8" w14:textId="77777777" w:rsidR="0076189C" w:rsidRPr="00BF3CDE" w:rsidRDefault="0076189C" w:rsidP="00911099">
      <w:pPr>
        <w:spacing w:before="200"/>
        <w:jc w:val="both"/>
        <w:rPr>
          <w:noProof/>
          <w:sz w:val="20"/>
          <w:szCs w:val="20"/>
          <w:lang w:val="sr-Cyrl-CS"/>
        </w:rPr>
      </w:pPr>
      <w:r w:rsidRPr="00BF3CDE">
        <w:rPr>
          <w:noProof/>
          <w:sz w:val="20"/>
          <w:szCs w:val="20"/>
          <w:lang w:val="sr-Cyrl-CS"/>
        </w:rPr>
        <w:tab/>
        <w:t>У складу са МРС 39 – Финансијски инструменти: признавање и одмеравање на дан 31.12.2014. године извршено је индиректно обезвређење акција Дунав банке у власништву Друштва у износу од 178.333 хиљаде динара.</w:t>
      </w:r>
    </w:p>
    <w:p w14:paraId="2A2B365E" w14:textId="77777777" w:rsidR="0076189C" w:rsidRPr="00BF3CDE" w:rsidRDefault="0076189C" w:rsidP="00911099">
      <w:pPr>
        <w:spacing w:before="200"/>
        <w:jc w:val="both"/>
        <w:rPr>
          <w:noProof/>
          <w:sz w:val="20"/>
          <w:szCs w:val="20"/>
          <w:lang w:val="sr-Cyrl-CS"/>
        </w:rPr>
      </w:pPr>
      <w:r w:rsidRPr="00BF3CDE">
        <w:rPr>
          <w:noProof/>
          <w:sz w:val="20"/>
          <w:szCs w:val="20"/>
          <w:lang w:val="sr-Cyrl-CS"/>
        </w:rPr>
        <w:tab/>
        <w:t xml:space="preserve">Друштво редовно прати кретање акција на тржиишту капитала. </w:t>
      </w:r>
    </w:p>
    <w:p w14:paraId="56D17D34" w14:textId="77777777" w:rsidR="0076189C" w:rsidRPr="00BF3CDE" w:rsidRDefault="0076189C" w:rsidP="00911099">
      <w:pPr>
        <w:spacing w:before="200"/>
        <w:jc w:val="both"/>
        <w:rPr>
          <w:noProof/>
          <w:sz w:val="20"/>
          <w:szCs w:val="20"/>
          <w:lang w:val="sr-Cyrl-CS"/>
        </w:rPr>
      </w:pPr>
      <w:r w:rsidRPr="00BF3CDE">
        <w:rPr>
          <w:noProof/>
          <w:sz w:val="20"/>
          <w:szCs w:val="20"/>
          <w:lang w:val="sr-Cyrl-CS"/>
        </w:rPr>
        <w:t xml:space="preserve">    </w:t>
      </w:r>
      <w:r w:rsidR="00BD65A1">
        <w:rPr>
          <w:noProof/>
          <w:sz w:val="20"/>
          <w:szCs w:val="20"/>
          <w:lang w:val="sr-Cyrl-CS"/>
        </w:rPr>
        <w:tab/>
      </w:r>
      <w:r w:rsidRPr="00BF3CDE">
        <w:rPr>
          <w:noProof/>
          <w:sz w:val="20"/>
          <w:szCs w:val="20"/>
          <w:lang w:val="sr-Cyrl-CS"/>
        </w:rPr>
        <w:t xml:space="preserve">Акције Аеродрома Никола Тесле су у 2014. удвостручиле вредност, а Акције Комерцијалне банке су порасле за 46,06%. </w:t>
      </w:r>
    </w:p>
    <w:p w14:paraId="3DBD118D" w14:textId="77777777" w:rsidR="0076189C" w:rsidRPr="00BF3CDE" w:rsidRDefault="0076189C" w:rsidP="00911099">
      <w:pPr>
        <w:spacing w:before="200"/>
        <w:jc w:val="both"/>
        <w:rPr>
          <w:noProof/>
          <w:sz w:val="20"/>
          <w:szCs w:val="20"/>
          <w:lang w:val="sr-Cyrl-CS"/>
        </w:rPr>
      </w:pPr>
      <w:r w:rsidRPr="00BF3CDE">
        <w:rPr>
          <w:noProof/>
          <w:sz w:val="20"/>
          <w:szCs w:val="20"/>
          <w:lang w:val="sr-Cyrl-CS"/>
        </w:rPr>
        <w:tab/>
        <w:t xml:space="preserve">Очекивања су да ће и у </w:t>
      </w:r>
      <w:r w:rsidR="00BD65A1">
        <w:rPr>
          <w:noProof/>
          <w:sz w:val="20"/>
          <w:szCs w:val="20"/>
          <w:lang w:val="sr-Cyrl-CS"/>
        </w:rPr>
        <w:t xml:space="preserve"> 2015. години вредност ових  ак</w:t>
      </w:r>
      <w:r w:rsidRPr="00BF3CDE">
        <w:rPr>
          <w:noProof/>
          <w:sz w:val="20"/>
          <w:szCs w:val="20"/>
          <w:lang w:val="sr-Cyrl-CS"/>
        </w:rPr>
        <w:t>ц</w:t>
      </w:r>
      <w:r w:rsidR="00BD65A1">
        <w:rPr>
          <w:noProof/>
          <w:sz w:val="20"/>
          <w:szCs w:val="20"/>
          <w:lang w:val="sr-Cyrl-CS"/>
        </w:rPr>
        <w:t>и</w:t>
      </w:r>
      <w:r w:rsidRPr="00BF3CDE">
        <w:rPr>
          <w:noProof/>
          <w:sz w:val="20"/>
          <w:szCs w:val="20"/>
          <w:lang w:val="sr-Cyrl-CS"/>
        </w:rPr>
        <w:t xml:space="preserve">ја наставити раст. </w:t>
      </w:r>
    </w:p>
    <w:p w14:paraId="19572A03" w14:textId="77777777" w:rsidR="0076189C" w:rsidRPr="00BF3CDE" w:rsidRDefault="0076189C" w:rsidP="00BD65A1">
      <w:pPr>
        <w:spacing w:before="200"/>
        <w:ind w:firstLine="708"/>
        <w:jc w:val="both"/>
        <w:rPr>
          <w:noProof/>
          <w:sz w:val="20"/>
          <w:szCs w:val="20"/>
          <w:lang w:val="sr-Cyrl-CS"/>
        </w:rPr>
      </w:pPr>
      <w:r w:rsidRPr="00BF3CDE">
        <w:rPr>
          <w:noProof/>
          <w:sz w:val="20"/>
          <w:szCs w:val="20"/>
          <w:lang w:val="sr-Cyrl-CS"/>
        </w:rPr>
        <w:t>Процена Друштва је да су и поред раста вредности акција кретања на тржишту ХоВ и даље нестабилна, имајући у виду да у власничкој структури Држава има већинско власништво и да њене одлуке у великој мери утичу на цену.</w:t>
      </w:r>
    </w:p>
    <w:p w14:paraId="3FF37C1F" w14:textId="77777777" w:rsidR="0076189C" w:rsidRPr="00BF3CDE" w:rsidRDefault="0076189C" w:rsidP="00911099">
      <w:pPr>
        <w:spacing w:before="200"/>
        <w:jc w:val="both"/>
        <w:rPr>
          <w:noProof/>
          <w:sz w:val="20"/>
          <w:szCs w:val="20"/>
          <w:lang w:val="sr-Cyrl-CS"/>
        </w:rPr>
      </w:pPr>
      <w:r w:rsidRPr="00BF3CDE">
        <w:rPr>
          <w:noProof/>
          <w:sz w:val="20"/>
          <w:szCs w:val="20"/>
          <w:lang w:val="sr-Cyrl-CS"/>
        </w:rPr>
        <w:t xml:space="preserve">    </w:t>
      </w:r>
      <w:r w:rsidR="00BD65A1">
        <w:rPr>
          <w:noProof/>
          <w:sz w:val="20"/>
          <w:szCs w:val="20"/>
          <w:lang w:val="sr-Cyrl-CS"/>
        </w:rPr>
        <w:tab/>
      </w:r>
      <w:r w:rsidRPr="00BF3CDE">
        <w:rPr>
          <w:noProof/>
          <w:sz w:val="20"/>
          <w:szCs w:val="20"/>
          <w:lang w:val="sr-Cyrl-CS"/>
        </w:rPr>
        <w:t>Према препоруци нашег корпоративног агента Стокброкера, Друштво планира да у зависности од тржишних услова постепено самањује портфолио акција и изврши улагања у хартије са већим приносима.</w:t>
      </w:r>
    </w:p>
    <w:p w14:paraId="7AED9297" w14:textId="77777777" w:rsidR="0076189C" w:rsidRPr="00BF3CDE" w:rsidRDefault="0076189C" w:rsidP="00911099">
      <w:pPr>
        <w:spacing w:before="240" w:after="240"/>
        <w:jc w:val="center"/>
        <w:rPr>
          <w:rFonts w:eastAsiaTheme="minorEastAsia"/>
          <w:b/>
          <w:i/>
          <w:noProof/>
          <w:color w:val="365F91" w:themeColor="accent1" w:themeShade="BF"/>
          <w:sz w:val="20"/>
          <w:lang w:val="sr-Cyrl-CS" w:eastAsia="ja-JP"/>
        </w:rPr>
      </w:pPr>
      <w:r w:rsidRPr="00BF3CDE">
        <w:rPr>
          <w:rFonts w:eastAsiaTheme="minorEastAsia"/>
          <w:b/>
          <w:i/>
          <w:noProof/>
          <w:color w:val="365F91" w:themeColor="accent1" w:themeShade="BF"/>
          <w:sz w:val="20"/>
          <w:lang w:val="sr-Cyrl-CS" w:eastAsia="ja-JP"/>
        </w:rPr>
        <w:t>Хартије од вредности намењене трговању</w:t>
      </w:r>
    </w:p>
    <w:p w14:paraId="071DA930" w14:textId="7E48CC7D" w:rsidR="0076189C" w:rsidRPr="00BF3CDE" w:rsidRDefault="0076189C" w:rsidP="00911099">
      <w:pPr>
        <w:spacing w:after="0"/>
        <w:jc w:val="both"/>
        <w:rPr>
          <w:noProof/>
          <w:sz w:val="20"/>
          <w:szCs w:val="20"/>
          <w:lang w:val="sr-Cyrl-CS"/>
        </w:rPr>
      </w:pPr>
      <w:r w:rsidRPr="00BF3CDE">
        <w:rPr>
          <w:noProof/>
          <w:sz w:val="20"/>
          <w:szCs w:val="20"/>
          <w:lang w:val="sr-Cyrl-CS"/>
        </w:rPr>
        <w:tab/>
        <w:t xml:space="preserve">Дана 13.11.2014. године Друштво је купило 1.000 комада обвезница Републике Србије, номиналне вредности 1.000 ЕУР-а по комаду, и стопом приноса 3,60% на годишњем нивоу. Тржишна цена на дан куповине била је 1.035,10 ЕУР-а по комаду. Обвезнице доспевају 15.05.2016. године. Укупна камата до дана доспећа износи 54.990 ЕУР-а. Сагласно рачуноводственој политици Друштва ове ХОВ су разврстане на ХОВ намењене трговању, вреднују се по фер вредности, а осцилације фер вредности евидентирају се преко </w:t>
      </w:r>
      <w:r w:rsidR="000F27DF">
        <w:rPr>
          <w:noProof/>
          <w:sz w:val="20"/>
          <w:szCs w:val="20"/>
          <w:lang w:val="sr-Cyrl-CS"/>
        </w:rPr>
        <w:t>б</w:t>
      </w:r>
      <w:r w:rsidRPr="00BF3CDE">
        <w:rPr>
          <w:noProof/>
          <w:sz w:val="20"/>
          <w:szCs w:val="20"/>
          <w:lang w:val="sr-Cyrl-CS"/>
        </w:rPr>
        <w:t>иланса</w:t>
      </w:r>
      <w:r w:rsidR="000F27DF">
        <w:rPr>
          <w:noProof/>
          <w:sz w:val="20"/>
          <w:szCs w:val="20"/>
          <w:lang w:val="sr-Cyrl-CS"/>
        </w:rPr>
        <w:t xml:space="preserve"> успеха</w:t>
      </w:r>
      <w:r w:rsidRPr="00BF3CDE">
        <w:rPr>
          <w:noProof/>
          <w:sz w:val="20"/>
          <w:szCs w:val="20"/>
          <w:lang w:val="sr-Cyrl-CS"/>
        </w:rPr>
        <w:t>.</w:t>
      </w:r>
    </w:p>
    <w:p w14:paraId="17F05382" w14:textId="77777777" w:rsidR="0076189C" w:rsidRPr="00BF3CDE" w:rsidRDefault="0076189C" w:rsidP="00911099">
      <w:pPr>
        <w:spacing w:before="240" w:after="0"/>
        <w:jc w:val="center"/>
        <w:rPr>
          <w:rFonts w:eastAsiaTheme="minorEastAsia"/>
          <w:b/>
          <w:i/>
          <w:noProof/>
          <w:color w:val="365F91" w:themeColor="accent1" w:themeShade="BF"/>
          <w:sz w:val="20"/>
          <w:lang w:val="sr-Cyrl-CS" w:eastAsia="ja-JP"/>
        </w:rPr>
      </w:pPr>
      <w:r w:rsidRPr="00BF3CDE">
        <w:rPr>
          <w:rFonts w:eastAsiaTheme="minorEastAsia"/>
          <w:b/>
          <w:i/>
          <w:noProof/>
          <w:color w:val="365F91" w:themeColor="accent1" w:themeShade="BF"/>
          <w:sz w:val="20"/>
          <w:lang w:val="sr-Cyrl-CS" w:eastAsia="ja-JP"/>
        </w:rPr>
        <w:lastRenderedPageBreak/>
        <w:t>Краткорочни депозити</w:t>
      </w:r>
    </w:p>
    <w:p w14:paraId="79C0571F" w14:textId="77777777" w:rsidR="0076189C" w:rsidRPr="00BF3CDE" w:rsidRDefault="0076189C" w:rsidP="0076189C">
      <w:pPr>
        <w:spacing w:after="0"/>
        <w:ind w:firstLine="567"/>
        <w:jc w:val="right"/>
        <w:rPr>
          <w:noProof/>
          <w:sz w:val="20"/>
          <w:szCs w:val="20"/>
          <w:lang w:val="sr-Cyrl-CS"/>
        </w:rPr>
      </w:pPr>
      <w:r w:rsidRPr="00BF3CDE">
        <w:rPr>
          <w:noProof/>
          <w:sz w:val="20"/>
          <w:szCs w:val="20"/>
          <w:lang w:val="sr-Cyrl-CS"/>
        </w:rPr>
        <w:t>у 000 РСД</w:t>
      </w:r>
    </w:p>
    <w:p w14:paraId="62DB499A" w14:textId="77777777" w:rsidR="0076189C" w:rsidRPr="00BF3CDE" w:rsidRDefault="0076189C" w:rsidP="0076189C">
      <w:pPr>
        <w:spacing w:after="0"/>
        <w:ind w:firstLine="567"/>
        <w:jc w:val="right"/>
        <w:rPr>
          <w:noProof/>
          <w:sz w:val="6"/>
          <w:szCs w:val="6"/>
          <w:lang w:val="sr-Cyrl-CS"/>
        </w:rPr>
      </w:pPr>
    </w:p>
    <w:tbl>
      <w:tblPr>
        <w:tblW w:w="9356" w:type="dxa"/>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000" w:firstRow="0" w:lastRow="0" w:firstColumn="0" w:lastColumn="0" w:noHBand="0" w:noVBand="0"/>
      </w:tblPr>
      <w:tblGrid>
        <w:gridCol w:w="7265"/>
        <w:gridCol w:w="2091"/>
      </w:tblGrid>
      <w:tr w:rsidR="0076189C" w:rsidRPr="00BF3CDE" w14:paraId="458C188D" w14:textId="77777777" w:rsidTr="0076189C">
        <w:trPr>
          <w:tblCellSpacing w:w="20" w:type="dxa"/>
        </w:trPr>
        <w:tc>
          <w:tcPr>
            <w:tcW w:w="7205" w:type="dxa"/>
            <w:shd w:val="clear" w:color="auto" w:fill="auto"/>
            <w:noWrap/>
          </w:tcPr>
          <w:p w14:paraId="11A39734" w14:textId="77777777" w:rsidR="0076189C" w:rsidRPr="00BF3CDE" w:rsidRDefault="0076189C" w:rsidP="0076189C">
            <w:pPr>
              <w:pStyle w:val="NoSpacing"/>
              <w:jc w:val="both"/>
              <w:rPr>
                <w:rFonts w:ascii="Tahoma" w:eastAsia="Arial Unicode MS" w:hAnsi="Tahoma" w:cs="Tahoma"/>
                <w:b/>
                <w:bCs/>
                <w:noProof/>
                <w:lang w:val="sr-Cyrl-CS"/>
              </w:rPr>
            </w:pPr>
            <w:r w:rsidRPr="00BF3CDE">
              <w:rPr>
                <w:rFonts w:ascii="Tahoma" w:eastAsia="Arial Unicode MS" w:hAnsi="Tahoma" w:cs="Tahoma"/>
                <w:b/>
                <w:bCs/>
                <w:noProof/>
                <w:lang w:val="sr-Cyrl-CS"/>
              </w:rPr>
              <w:t>Краткорочни депозити код банака</w:t>
            </w:r>
          </w:p>
        </w:tc>
        <w:tc>
          <w:tcPr>
            <w:tcW w:w="2031" w:type="dxa"/>
            <w:shd w:val="clear" w:color="auto" w:fill="auto"/>
          </w:tcPr>
          <w:p w14:paraId="4BEC5BD7" w14:textId="77777777" w:rsidR="0076189C" w:rsidRPr="00BF3CDE" w:rsidRDefault="0076189C" w:rsidP="0076189C">
            <w:pPr>
              <w:pStyle w:val="NoSpacing"/>
              <w:jc w:val="center"/>
              <w:rPr>
                <w:rFonts w:ascii="Tahoma" w:hAnsi="Tahoma" w:cs="Tahoma"/>
                <w:b/>
                <w:bCs/>
                <w:noProof/>
                <w:lang w:val="sr-Cyrl-CS"/>
              </w:rPr>
            </w:pPr>
            <w:r w:rsidRPr="00BF3CDE">
              <w:rPr>
                <w:rFonts w:ascii="Tahoma" w:hAnsi="Tahoma" w:cs="Tahoma"/>
                <w:b/>
                <w:bCs/>
                <w:noProof/>
                <w:lang w:val="sr-Cyrl-CS"/>
              </w:rPr>
              <w:t>Износ</w:t>
            </w:r>
          </w:p>
        </w:tc>
      </w:tr>
      <w:tr w:rsidR="0076189C" w:rsidRPr="00BF3CDE" w14:paraId="39B9D99E" w14:textId="77777777" w:rsidTr="0076189C">
        <w:trPr>
          <w:tblCellSpacing w:w="20" w:type="dxa"/>
        </w:trPr>
        <w:tc>
          <w:tcPr>
            <w:tcW w:w="7205" w:type="dxa"/>
            <w:shd w:val="clear" w:color="auto" w:fill="auto"/>
            <w:noWrap/>
          </w:tcPr>
          <w:p w14:paraId="2A96C412" w14:textId="77777777" w:rsidR="0076189C" w:rsidRPr="00BF3CDE" w:rsidRDefault="0076189C" w:rsidP="0076189C">
            <w:pPr>
              <w:pStyle w:val="NoSpacing"/>
              <w:jc w:val="both"/>
              <w:rPr>
                <w:rFonts w:ascii="Tahoma" w:hAnsi="Tahoma" w:cs="Tahoma"/>
                <w:noProof/>
                <w:lang w:val="sr-Cyrl-CS"/>
              </w:rPr>
            </w:pPr>
            <w:r w:rsidRPr="00BF3CDE">
              <w:rPr>
                <w:rFonts w:ascii="Tahoma" w:hAnsi="Tahoma" w:cs="Tahoma"/>
                <w:noProof/>
                <w:lang w:val="sr-Cyrl-CS"/>
              </w:rPr>
              <w:t>Еуробанк ЕФГ</w:t>
            </w:r>
          </w:p>
        </w:tc>
        <w:tc>
          <w:tcPr>
            <w:tcW w:w="2031" w:type="dxa"/>
            <w:shd w:val="clear" w:color="auto" w:fill="auto"/>
          </w:tcPr>
          <w:p w14:paraId="74ECC120" w14:textId="77777777" w:rsidR="0076189C" w:rsidRPr="00BF3CDE" w:rsidRDefault="0076189C" w:rsidP="0076189C">
            <w:pPr>
              <w:pStyle w:val="NoSpacing"/>
              <w:jc w:val="right"/>
              <w:rPr>
                <w:rFonts w:ascii="Tahoma" w:eastAsia="Arial Unicode MS" w:hAnsi="Tahoma" w:cs="Tahoma"/>
                <w:noProof/>
                <w:lang w:val="sr-Cyrl-CS"/>
              </w:rPr>
            </w:pPr>
            <w:r w:rsidRPr="00BF3CDE">
              <w:rPr>
                <w:rFonts w:ascii="Tahoma" w:eastAsia="Arial Unicode MS" w:hAnsi="Tahoma" w:cs="Tahoma"/>
                <w:noProof/>
                <w:lang w:val="sr-Cyrl-CS"/>
              </w:rPr>
              <w:t>250.065</w:t>
            </w:r>
          </w:p>
        </w:tc>
      </w:tr>
      <w:tr w:rsidR="0076189C" w:rsidRPr="00BF3CDE" w14:paraId="6DECCE94" w14:textId="77777777" w:rsidTr="0076189C">
        <w:trPr>
          <w:tblCellSpacing w:w="20" w:type="dxa"/>
        </w:trPr>
        <w:tc>
          <w:tcPr>
            <w:tcW w:w="7205" w:type="dxa"/>
            <w:shd w:val="clear" w:color="auto" w:fill="auto"/>
            <w:noWrap/>
          </w:tcPr>
          <w:p w14:paraId="29DE58F1" w14:textId="77777777" w:rsidR="0076189C" w:rsidRPr="00BF3CDE" w:rsidRDefault="0076189C" w:rsidP="0076189C">
            <w:pPr>
              <w:pStyle w:val="NoSpacing"/>
              <w:jc w:val="both"/>
              <w:rPr>
                <w:rFonts w:ascii="Tahoma" w:eastAsia="Arial Unicode MS" w:hAnsi="Tahoma" w:cs="Tahoma"/>
                <w:noProof/>
                <w:lang w:val="sr-Cyrl-CS"/>
              </w:rPr>
            </w:pPr>
            <w:r w:rsidRPr="00BF3CDE">
              <w:rPr>
                <w:rFonts w:ascii="Tahoma" w:eastAsia="Arial Unicode MS" w:hAnsi="Tahoma" w:cs="Tahoma"/>
                <w:noProof/>
                <w:lang w:val="sr-Cyrl-CS"/>
              </w:rPr>
              <w:t>ОТП банка</w:t>
            </w:r>
          </w:p>
        </w:tc>
        <w:tc>
          <w:tcPr>
            <w:tcW w:w="2031" w:type="dxa"/>
            <w:shd w:val="clear" w:color="auto" w:fill="auto"/>
          </w:tcPr>
          <w:p w14:paraId="5206E786" w14:textId="77777777" w:rsidR="0076189C" w:rsidRPr="00BF3CDE" w:rsidRDefault="0076189C" w:rsidP="0076189C">
            <w:pPr>
              <w:pStyle w:val="NoSpacing"/>
              <w:jc w:val="right"/>
              <w:rPr>
                <w:rFonts w:ascii="Tahoma" w:eastAsia="Arial Unicode MS" w:hAnsi="Tahoma" w:cs="Tahoma"/>
                <w:noProof/>
                <w:lang w:val="sr-Cyrl-CS"/>
              </w:rPr>
            </w:pPr>
            <w:r w:rsidRPr="00BF3CDE">
              <w:rPr>
                <w:rFonts w:ascii="Tahoma" w:eastAsia="Arial Unicode MS" w:hAnsi="Tahoma" w:cs="Tahoma"/>
                <w:noProof/>
                <w:lang w:val="sr-Cyrl-CS"/>
              </w:rPr>
              <w:t>127.180</w:t>
            </w:r>
          </w:p>
        </w:tc>
      </w:tr>
      <w:tr w:rsidR="0076189C" w:rsidRPr="00BF3CDE" w14:paraId="28D6A598" w14:textId="77777777" w:rsidTr="0076189C">
        <w:trPr>
          <w:tblCellSpacing w:w="20" w:type="dxa"/>
        </w:trPr>
        <w:tc>
          <w:tcPr>
            <w:tcW w:w="7205" w:type="dxa"/>
            <w:shd w:val="clear" w:color="auto" w:fill="auto"/>
            <w:noWrap/>
          </w:tcPr>
          <w:p w14:paraId="30BDE7DF" w14:textId="77777777" w:rsidR="0076189C" w:rsidRPr="00BF3CDE" w:rsidRDefault="0076189C" w:rsidP="0076189C">
            <w:pPr>
              <w:pStyle w:val="NoSpacing"/>
              <w:jc w:val="both"/>
              <w:rPr>
                <w:rFonts w:ascii="Tahoma" w:eastAsia="Arial Unicode MS" w:hAnsi="Tahoma" w:cs="Tahoma"/>
                <w:noProof/>
                <w:lang w:val="sr-Cyrl-CS"/>
              </w:rPr>
            </w:pPr>
            <w:r w:rsidRPr="00BF3CDE">
              <w:rPr>
                <w:rFonts w:ascii="Tahoma" w:eastAsia="Arial Unicode MS" w:hAnsi="Tahoma" w:cs="Tahoma"/>
                <w:noProof/>
                <w:lang w:val="sr-Cyrl-CS"/>
              </w:rPr>
              <w:t>Универзал банка</w:t>
            </w:r>
          </w:p>
        </w:tc>
        <w:tc>
          <w:tcPr>
            <w:tcW w:w="2031" w:type="dxa"/>
            <w:shd w:val="clear" w:color="auto" w:fill="auto"/>
          </w:tcPr>
          <w:p w14:paraId="00752344" w14:textId="77777777" w:rsidR="0076189C" w:rsidRPr="00BF3CDE" w:rsidRDefault="0076189C" w:rsidP="0076189C">
            <w:pPr>
              <w:pStyle w:val="NoSpacing"/>
              <w:jc w:val="right"/>
              <w:rPr>
                <w:rFonts w:ascii="Tahoma" w:eastAsia="Arial Unicode MS" w:hAnsi="Tahoma" w:cs="Tahoma"/>
                <w:noProof/>
                <w:lang w:val="sr-Cyrl-CS"/>
              </w:rPr>
            </w:pPr>
            <w:r w:rsidRPr="00BF3CDE">
              <w:rPr>
                <w:rFonts w:ascii="Tahoma" w:eastAsia="Arial Unicode MS" w:hAnsi="Tahoma" w:cs="Tahoma"/>
                <w:noProof/>
                <w:lang w:val="sr-Cyrl-CS"/>
              </w:rPr>
              <w:t>120.958</w:t>
            </w:r>
          </w:p>
        </w:tc>
      </w:tr>
      <w:tr w:rsidR="0076189C" w:rsidRPr="00BF3CDE" w14:paraId="26ACFBCC" w14:textId="77777777" w:rsidTr="0076189C">
        <w:trPr>
          <w:tblCellSpacing w:w="20" w:type="dxa"/>
        </w:trPr>
        <w:tc>
          <w:tcPr>
            <w:tcW w:w="7205" w:type="dxa"/>
            <w:shd w:val="clear" w:color="auto" w:fill="auto"/>
            <w:noWrap/>
          </w:tcPr>
          <w:p w14:paraId="4D9B9368" w14:textId="77777777" w:rsidR="0076189C" w:rsidRPr="00BF3CDE" w:rsidRDefault="0076189C" w:rsidP="0076189C">
            <w:pPr>
              <w:pStyle w:val="NoSpacing"/>
              <w:jc w:val="both"/>
              <w:rPr>
                <w:rFonts w:ascii="Tahoma" w:eastAsia="Arial Unicode MS" w:hAnsi="Tahoma" w:cs="Tahoma"/>
                <w:b/>
                <w:noProof/>
                <w:lang w:val="sr-Cyrl-CS"/>
              </w:rPr>
            </w:pPr>
            <w:r w:rsidRPr="00BF3CDE">
              <w:rPr>
                <w:rFonts w:ascii="Tahoma" w:eastAsia="Arial Unicode MS" w:hAnsi="Tahoma" w:cs="Tahoma"/>
                <w:noProof/>
                <w:lang w:val="sr-Cyrl-CS"/>
              </w:rPr>
              <w:t>Универзал банка (исправка вредност)</w:t>
            </w:r>
          </w:p>
        </w:tc>
        <w:tc>
          <w:tcPr>
            <w:tcW w:w="2031" w:type="dxa"/>
            <w:shd w:val="clear" w:color="auto" w:fill="auto"/>
          </w:tcPr>
          <w:p w14:paraId="6472E44B" w14:textId="77777777" w:rsidR="0076189C" w:rsidRPr="00BF3CDE" w:rsidRDefault="0076189C" w:rsidP="0076189C">
            <w:pPr>
              <w:pStyle w:val="NoSpacing"/>
              <w:jc w:val="right"/>
              <w:rPr>
                <w:rFonts w:ascii="Tahoma" w:eastAsia="Arial Unicode MS" w:hAnsi="Tahoma" w:cs="Tahoma"/>
                <w:noProof/>
                <w:lang w:val="sr-Cyrl-CS"/>
              </w:rPr>
            </w:pPr>
            <w:r w:rsidRPr="00BF3CDE">
              <w:rPr>
                <w:rFonts w:ascii="Tahoma" w:eastAsia="Arial Unicode MS" w:hAnsi="Tahoma" w:cs="Tahoma"/>
                <w:noProof/>
                <w:lang w:val="sr-Cyrl-CS"/>
              </w:rPr>
              <w:t>(120.958)</w:t>
            </w:r>
          </w:p>
        </w:tc>
      </w:tr>
      <w:tr w:rsidR="0076189C" w:rsidRPr="00BF3CDE" w14:paraId="59D2E03F" w14:textId="77777777" w:rsidTr="0076189C">
        <w:trPr>
          <w:tblCellSpacing w:w="20" w:type="dxa"/>
        </w:trPr>
        <w:tc>
          <w:tcPr>
            <w:tcW w:w="7205" w:type="dxa"/>
            <w:shd w:val="clear" w:color="auto" w:fill="auto"/>
            <w:noWrap/>
          </w:tcPr>
          <w:p w14:paraId="55447FD3" w14:textId="77777777" w:rsidR="0076189C" w:rsidRPr="00BF3CDE" w:rsidRDefault="0076189C" w:rsidP="0076189C">
            <w:pPr>
              <w:pStyle w:val="NoSpacing"/>
              <w:jc w:val="both"/>
              <w:rPr>
                <w:rFonts w:ascii="Tahoma" w:eastAsia="Arial Unicode MS" w:hAnsi="Tahoma" w:cs="Tahoma"/>
                <w:b/>
                <w:noProof/>
                <w:lang w:val="sr-Cyrl-CS"/>
              </w:rPr>
            </w:pPr>
            <w:r w:rsidRPr="00BF3CDE">
              <w:rPr>
                <w:rFonts w:ascii="Tahoma" w:eastAsia="Arial Unicode MS" w:hAnsi="Tahoma" w:cs="Tahoma"/>
                <w:b/>
                <w:noProof/>
                <w:lang w:val="sr-Cyrl-CS"/>
              </w:rPr>
              <w:t>Свега:</w:t>
            </w:r>
          </w:p>
        </w:tc>
        <w:tc>
          <w:tcPr>
            <w:tcW w:w="2031" w:type="dxa"/>
            <w:shd w:val="clear" w:color="auto" w:fill="auto"/>
          </w:tcPr>
          <w:p w14:paraId="3FE89CC4" w14:textId="77777777" w:rsidR="0076189C" w:rsidRPr="00BF3CDE" w:rsidRDefault="0076189C" w:rsidP="0076189C">
            <w:pPr>
              <w:pStyle w:val="NoSpacing"/>
              <w:jc w:val="right"/>
              <w:rPr>
                <w:rFonts w:ascii="Tahoma" w:eastAsia="Arial Unicode MS" w:hAnsi="Tahoma" w:cs="Tahoma"/>
                <w:b/>
                <w:noProof/>
                <w:lang w:val="sr-Cyrl-CS"/>
              </w:rPr>
            </w:pPr>
            <w:r w:rsidRPr="00BF3CDE">
              <w:rPr>
                <w:rFonts w:ascii="Tahoma" w:eastAsia="Arial Unicode MS" w:hAnsi="Tahoma" w:cs="Tahoma"/>
                <w:b/>
                <w:noProof/>
                <w:lang w:val="sr-Cyrl-CS"/>
              </w:rPr>
              <w:t>377.244</w:t>
            </w:r>
          </w:p>
        </w:tc>
      </w:tr>
    </w:tbl>
    <w:p w14:paraId="09F1B0F3" w14:textId="77777777" w:rsidR="0076189C" w:rsidRPr="00BF3CDE" w:rsidRDefault="0076189C" w:rsidP="00911099">
      <w:pPr>
        <w:spacing w:before="120" w:after="120"/>
        <w:ind w:firstLine="567"/>
        <w:rPr>
          <w:noProof/>
          <w:sz w:val="20"/>
          <w:szCs w:val="20"/>
          <w:lang w:val="sr-Cyrl-CS"/>
        </w:rPr>
      </w:pPr>
      <w:r w:rsidRPr="00BF3CDE">
        <w:rPr>
          <w:noProof/>
          <w:sz w:val="20"/>
          <w:szCs w:val="20"/>
          <w:lang w:val="sr-Cyrl-CS"/>
        </w:rPr>
        <w:t>На дан 31.12.2014. године Друштво има орочене  депозите:</w:t>
      </w:r>
    </w:p>
    <w:p w14:paraId="181E0883" w14:textId="77777777" w:rsidR="0076189C" w:rsidRPr="00BF3CDE" w:rsidRDefault="0076189C" w:rsidP="00911099">
      <w:pPr>
        <w:spacing w:before="120" w:after="120"/>
        <w:ind w:firstLine="567"/>
        <w:jc w:val="both"/>
        <w:rPr>
          <w:noProof/>
          <w:sz w:val="20"/>
          <w:szCs w:val="20"/>
          <w:lang w:val="sr-Cyrl-CS"/>
        </w:rPr>
      </w:pPr>
      <w:r w:rsidRPr="00BF3CDE">
        <w:rPr>
          <w:noProof/>
          <w:sz w:val="20"/>
          <w:szCs w:val="20"/>
          <w:lang w:val="sr-Cyrl-CS"/>
        </w:rPr>
        <w:t>•</w:t>
      </w:r>
      <w:r w:rsidRPr="00BF3CDE">
        <w:rPr>
          <w:noProof/>
          <w:sz w:val="20"/>
          <w:szCs w:val="20"/>
          <w:lang w:val="sr-Cyrl-CS"/>
        </w:rPr>
        <w:tab/>
        <w:t xml:space="preserve">Код ОТП банке 1.051.434,38 ЕУР-а. Средства су орочена на период од 6 месеци са каматном стопом од 2,0% и обезбеђена меницама и меничним овлашћењима. </w:t>
      </w:r>
    </w:p>
    <w:p w14:paraId="53393FD6" w14:textId="77777777" w:rsidR="0076189C" w:rsidRPr="00BF3CDE" w:rsidRDefault="0076189C" w:rsidP="00911099">
      <w:pPr>
        <w:spacing w:before="120" w:after="120"/>
        <w:ind w:firstLine="567"/>
        <w:jc w:val="both"/>
        <w:rPr>
          <w:noProof/>
          <w:sz w:val="20"/>
          <w:szCs w:val="20"/>
          <w:lang w:val="sr-Cyrl-CS"/>
        </w:rPr>
      </w:pPr>
      <w:r w:rsidRPr="00BF3CDE">
        <w:rPr>
          <w:noProof/>
          <w:sz w:val="20"/>
          <w:szCs w:val="20"/>
          <w:lang w:val="sr-Cyrl-CS"/>
        </w:rPr>
        <w:t>•</w:t>
      </w:r>
      <w:r w:rsidRPr="00BF3CDE">
        <w:rPr>
          <w:noProof/>
          <w:sz w:val="20"/>
          <w:szCs w:val="20"/>
          <w:lang w:val="sr-Cyrl-CS"/>
        </w:rPr>
        <w:tab/>
        <w:t>Код ЕФГ банке 2.067.358,76 ЕУР-а. Средства су орочена на период од 3 месеца са каматном стопом од 1,75% и обезбеђена су залогом на хартијама од вредности за које гарантује држава.</w:t>
      </w:r>
    </w:p>
    <w:p w14:paraId="5652E210" w14:textId="77777777" w:rsidR="0076189C" w:rsidRPr="00BF3CDE" w:rsidRDefault="0076189C" w:rsidP="0076189C">
      <w:pPr>
        <w:spacing w:before="120" w:after="120"/>
        <w:ind w:firstLine="567"/>
        <w:jc w:val="both"/>
        <w:rPr>
          <w:noProof/>
          <w:sz w:val="20"/>
          <w:szCs w:val="20"/>
          <w:lang w:val="sr-Cyrl-CS"/>
        </w:rPr>
      </w:pPr>
      <w:r w:rsidRPr="00BF3CDE">
        <w:rPr>
          <w:noProof/>
          <w:sz w:val="20"/>
          <w:szCs w:val="20"/>
          <w:lang w:val="sr-Cyrl-CS"/>
        </w:rPr>
        <w:t xml:space="preserve">С обзиром да је над Универзал банком покренут стечајни поступак дана 03.02.2014. године, Друштво је у законском року извршило пријаву потраживања Привредном суду у Београду за средства на текућим рачунима и орочени депозит. </w:t>
      </w:r>
    </w:p>
    <w:p w14:paraId="44B75A2D" w14:textId="49D9D19E" w:rsidR="0076189C" w:rsidRPr="00BF3CDE" w:rsidRDefault="000F27DF" w:rsidP="00911099">
      <w:pPr>
        <w:spacing w:before="240" w:after="240"/>
        <w:jc w:val="center"/>
        <w:rPr>
          <w:rFonts w:eastAsiaTheme="minorEastAsia"/>
          <w:b/>
          <w:i/>
          <w:noProof/>
          <w:color w:val="365F91" w:themeColor="accent1" w:themeShade="BF"/>
          <w:sz w:val="20"/>
          <w:lang w:val="sr-Cyrl-CS" w:eastAsia="ja-JP"/>
        </w:rPr>
      </w:pPr>
      <w:r>
        <w:rPr>
          <w:rFonts w:eastAsiaTheme="minorEastAsia"/>
          <w:b/>
          <w:i/>
          <w:noProof/>
          <w:color w:val="365F91" w:themeColor="accent1" w:themeShade="BF"/>
          <w:sz w:val="20"/>
          <w:lang w:val="sr-Cyrl-CS" w:eastAsia="ja-JP"/>
        </w:rPr>
        <w:t>Готовина и готовински еквибаленти</w:t>
      </w:r>
    </w:p>
    <w:tbl>
      <w:tblPr>
        <w:tblStyle w:val="LightShading-Accent14"/>
        <w:tblW w:w="9390" w:type="dxa"/>
        <w:tblLook w:val="04E0" w:firstRow="1" w:lastRow="1" w:firstColumn="1" w:lastColumn="0" w:noHBand="0" w:noVBand="1"/>
      </w:tblPr>
      <w:tblGrid>
        <w:gridCol w:w="4853"/>
        <w:gridCol w:w="1592"/>
        <w:gridCol w:w="1456"/>
        <w:gridCol w:w="1489"/>
      </w:tblGrid>
      <w:tr w:rsidR="0076189C" w:rsidRPr="00BF3CDE" w14:paraId="723E6CF4" w14:textId="77777777" w:rsidTr="00F37ECF">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853" w:type="dxa"/>
            <w:noWrap/>
            <w:vAlign w:val="center"/>
            <w:hideMark/>
          </w:tcPr>
          <w:p w14:paraId="490B4C6F" w14:textId="77777777" w:rsidR="0076189C" w:rsidRPr="00BF3CDE" w:rsidRDefault="0076189C" w:rsidP="00911099">
            <w:pPr>
              <w:jc w:val="center"/>
              <w:rPr>
                <w:rFonts w:ascii="Calibri" w:hAnsi="Calibri"/>
                <w:noProof/>
                <w:color w:val="000000"/>
                <w:lang w:val="sr-Cyrl-CS" w:eastAsia="sr-Latn-RS"/>
              </w:rPr>
            </w:pPr>
            <w:r w:rsidRPr="00BF3CDE">
              <w:rPr>
                <w:rFonts w:ascii="Calibri" w:hAnsi="Calibri"/>
                <w:noProof/>
                <w:color w:val="000000"/>
                <w:lang w:val="sr-Cyrl-CS" w:eastAsia="sr-Latn-RS"/>
              </w:rPr>
              <w:t>Позиција</w:t>
            </w:r>
          </w:p>
        </w:tc>
        <w:tc>
          <w:tcPr>
            <w:tcW w:w="1592" w:type="dxa"/>
            <w:noWrap/>
            <w:vAlign w:val="center"/>
            <w:hideMark/>
          </w:tcPr>
          <w:p w14:paraId="5180213B" w14:textId="77777777" w:rsidR="0076189C" w:rsidRPr="00BF3CDE" w:rsidRDefault="0076189C" w:rsidP="00911099">
            <w:pPr>
              <w:jc w:val="center"/>
              <w:cnfStyle w:val="100000000000" w:firstRow="1"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31.12.2014.</w:t>
            </w:r>
          </w:p>
        </w:tc>
        <w:tc>
          <w:tcPr>
            <w:tcW w:w="1456" w:type="dxa"/>
            <w:noWrap/>
            <w:vAlign w:val="center"/>
            <w:hideMark/>
          </w:tcPr>
          <w:p w14:paraId="3B87A548" w14:textId="77777777" w:rsidR="0076189C" w:rsidRPr="00BF3CDE" w:rsidRDefault="0076189C" w:rsidP="00911099">
            <w:pPr>
              <w:jc w:val="center"/>
              <w:cnfStyle w:val="100000000000" w:firstRow="1"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31.12.2013</w:t>
            </w:r>
          </w:p>
        </w:tc>
        <w:tc>
          <w:tcPr>
            <w:tcW w:w="1489" w:type="dxa"/>
            <w:noWrap/>
            <w:vAlign w:val="center"/>
            <w:hideMark/>
          </w:tcPr>
          <w:p w14:paraId="5DDC949E" w14:textId="77777777" w:rsidR="0076189C" w:rsidRPr="00BF3CDE" w:rsidRDefault="0076189C" w:rsidP="00911099">
            <w:pPr>
              <w:jc w:val="center"/>
              <w:cnfStyle w:val="100000000000" w:firstRow="1"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индекс</w:t>
            </w:r>
          </w:p>
        </w:tc>
      </w:tr>
      <w:tr w:rsidR="0076189C" w:rsidRPr="00BF3CDE" w14:paraId="44800460" w14:textId="77777777" w:rsidTr="00F37ECF">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853" w:type="dxa"/>
            <w:vAlign w:val="center"/>
            <w:hideMark/>
          </w:tcPr>
          <w:p w14:paraId="5FE6BAA2" w14:textId="77777777" w:rsidR="0076189C" w:rsidRPr="00BF3CDE" w:rsidRDefault="0076189C" w:rsidP="00911099">
            <w:pPr>
              <w:rPr>
                <w:rFonts w:ascii="Calibri" w:hAnsi="Calibri"/>
                <w:noProof/>
                <w:color w:val="000000"/>
                <w:lang w:val="sr-Cyrl-CS" w:eastAsia="sr-Latn-RS"/>
              </w:rPr>
            </w:pPr>
            <w:r w:rsidRPr="00BF3CDE">
              <w:rPr>
                <w:rFonts w:ascii="Calibri" w:hAnsi="Calibri"/>
                <w:noProof/>
                <w:color w:val="000000"/>
                <w:lang w:val="sr-Cyrl-CS" w:eastAsia="sr-Latn-RS"/>
              </w:rPr>
              <w:t>Девизни текући рачуни</w:t>
            </w:r>
          </w:p>
        </w:tc>
        <w:tc>
          <w:tcPr>
            <w:tcW w:w="1592" w:type="dxa"/>
            <w:noWrap/>
            <w:vAlign w:val="center"/>
            <w:hideMark/>
          </w:tcPr>
          <w:p w14:paraId="3192CB91" w14:textId="77777777" w:rsidR="0076189C" w:rsidRPr="00BF3CDE" w:rsidRDefault="0076189C" w:rsidP="00911099">
            <w:pPr>
              <w:jc w:val="right"/>
              <w:cnfStyle w:val="000000100000" w:firstRow="0" w:lastRow="0" w:firstColumn="0" w:lastColumn="0" w:oddVBand="0" w:evenVBand="0" w:oddHBand="1"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703,906</w:t>
            </w:r>
          </w:p>
        </w:tc>
        <w:tc>
          <w:tcPr>
            <w:tcW w:w="1456" w:type="dxa"/>
            <w:noWrap/>
            <w:vAlign w:val="center"/>
            <w:hideMark/>
          </w:tcPr>
          <w:p w14:paraId="67985709" w14:textId="77777777" w:rsidR="0076189C" w:rsidRPr="00BF3CDE" w:rsidRDefault="0076189C" w:rsidP="00911099">
            <w:pPr>
              <w:jc w:val="right"/>
              <w:cnfStyle w:val="000000100000" w:firstRow="0" w:lastRow="0" w:firstColumn="0" w:lastColumn="0" w:oddVBand="0" w:evenVBand="0" w:oddHBand="1"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1,150,921</w:t>
            </w:r>
          </w:p>
        </w:tc>
        <w:tc>
          <w:tcPr>
            <w:tcW w:w="1489" w:type="dxa"/>
            <w:noWrap/>
            <w:vAlign w:val="center"/>
            <w:hideMark/>
          </w:tcPr>
          <w:p w14:paraId="5A4FDA8C" w14:textId="77777777" w:rsidR="0076189C" w:rsidRPr="00BF3CDE" w:rsidRDefault="0076189C" w:rsidP="00911099">
            <w:pPr>
              <w:jc w:val="center"/>
              <w:cnfStyle w:val="000000100000" w:firstRow="0" w:lastRow="0" w:firstColumn="0" w:lastColumn="0" w:oddVBand="0" w:evenVBand="0" w:oddHBand="1"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61.16%</w:t>
            </w:r>
          </w:p>
        </w:tc>
      </w:tr>
      <w:tr w:rsidR="0076189C" w:rsidRPr="00BF3CDE" w14:paraId="65A25666" w14:textId="77777777" w:rsidTr="00F37ECF">
        <w:trPr>
          <w:trHeight w:val="283"/>
        </w:trPr>
        <w:tc>
          <w:tcPr>
            <w:cnfStyle w:val="001000000000" w:firstRow="0" w:lastRow="0" w:firstColumn="1" w:lastColumn="0" w:oddVBand="0" w:evenVBand="0" w:oddHBand="0" w:evenHBand="0" w:firstRowFirstColumn="0" w:firstRowLastColumn="0" w:lastRowFirstColumn="0" w:lastRowLastColumn="0"/>
            <w:tcW w:w="4853" w:type="dxa"/>
            <w:vAlign w:val="center"/>
            <w:hideMark/>
          </w:tcPr>
          <w:p w14:paraId="7E34B6B4" w14:textId="77777777" w:rsidR="0076189C" w:rsidRPr="00BF3CDE" w:rsidRDefault="0076189C" w:rsidP="00911099">
            <w:pPr>
              <w:rPr>
                <w:rFonts w:ascii="Calibri" w:hAnsi="Calibri"/>
                <w:noProof/>
                <w:color w:val="000000"/>
                <w:lang w:val="sr-Cyrl-CS" w:eastAsia="sr-Latn-RS"/>
              </w:rPr>
            </w:pPr>
            <w:r w:rsidRPr="00BF3CDE">
              <w:rPr>
                <w:rFonts w:ascii="Calibri" w:hAnsi="Calibri"/>
                <w:noProof/>
                <w:color w:val="000000"/>
                <w:lang w:val="sr-Cyrl-CS" w:eastAsia="sr-Latn-RS"/>
              </w:rPr>
              <w:t>Динарски текући рачуни</w:t>
            </w:r>
          </w:p>
        </w:tc>
        <w:tc>
          <w:tcPr>
            <w:tcW w:w="1592" w:type="dxa"/>
            <w:noWrap/>
            <w:vAlign w:val="center"/>
            <w:hideMark/>
          </w:tcPr>
          <w:p w14:paraId="475223CE" w14:textId="77777777" w:rsidR="0076189C" w:rsidRPr="00BF3CDE" w:rsidRDefault="0076189C" w:rsidP="00911099">
            <w:pPr>
              <w:jc w:val="right"/>
              <w:cnfStyle w:val="000000000000" w:firstRow="0"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70,195</w:t>
            </w:r>
          </w:p>
        </w:tc>
        <w:tc>
          <w:tcPr>
            <w:tcW w:w="1456" w:type="dxa"/>
            <w:noWrap/>
            <w:vAlign w:val="center"/>
            <w:hideMark/>
          </w:tcPr>
          <w:p w14:paraId="35347EF6" w14:textId="77777777" w:rsidR="0076189C" w:rsidRPr="00BF3CDE" w:rsidRDefault="0076189C" w:rsidP="00911099">
            <w:pPr>
              <w:jc w:val="right"/>
              <w:cnfStyle w:val="000000000000" w:firstRow="0"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24,591</w:t>
            </w:r>
          </w:p>
        </w:tc>
        <w:tc>
          <w:tcPr>
            <w:tcW w:w="1489" w:type="dxa"/>
            <w:noWrap/>
            <w:vAlign w:val="center"/>
            <w:hideMark/>
          </w:tcPr>
          <w:p w14:paraId="39F77723" w14:textId="77777777" w:rsidR="0076189C" w:rsidRPr="00BF3CDE" w:rsidRDefault="0076189C" w:rsidP="00911099">
            <w:pPr>
              <w:jc w:val="center"/>
              <w:cnfStyle w:val="000000000000" w:firstRow="0"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285.45%</w:t>
            </w:r>
          </w:p>
        </w:tc>
      </w:tr>
      <w:tr w:rsidR="0076189C" w:rsidRPr="00BF3CDE" w14:paraId="41B745A7" w14:textId="77777777" w:rsidTr="00F37ECF">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853" w:type="dxa"/>
            <w:vAlign w:val="center"/>
            <w:hideMark/>
          </w:tcPr>
          <w:p w14:paraId="1FD97B58" w14:textId="77777777" w:rsidR="0076189C" w:rsidRPr="00BF3CDE" w:rsidRDefault="0076189C" w:rsidP="00911099">
            <w:pPr>
              <w:rPr>
                <w:rFonts w:ascii="Calibri" w:hAnsi="Calibri"/>
                <w:noProof/>
                <w:color w:val="000000"/>
                <w:lang w:val="sr-Cyrl-CS" w:eastAsia="sr-Latn-RS"/>
              </w:rPr>
            </w:pPr>
            <w:r w:rsidRPr="00BF3CDE">
              <w:rPr>
                <w:rFonts w:ascii="Calibri" w:hAnsi="Calibri"/>
                <w:noProof/>
                <w:color w:val="000000"/>
                <w:lang w:val="sr-Cyrl-CS" w:eastAsia="sr-Latn-RS"/>
              </w:rPr>
              <w:t>Остала новчана средства</w:t>
            </w:r>
          </w:p>
        </w:tc>
        <w:tc>
          <w:tcPr>
            <w:tcW w:w="1592" w:type="dxa"/>
            <w:noWrap/>
            <w:vAlign w:val="center"/>
            <w:hideMark/>
          </w:tcPr>
          <w:p w14:paraId="755DB535" w14:textId="77777777" w:rsidR="0076189C" w:rsidRPr="00BF3CDE" w:rsidRDefault="0076189C" w:rsidP="00911099">
            <w:pPr>
              <w:jc w:val="right"/>
              <w:cnfStyle w:val="000000100000" w:firstRow="0" w:lastRow="0" w:firstColumn="0" w:lastColumn="0" w:oddVBand="0" w:evenVBand="0" w:oddHBand="1"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68,780</w:t>
            </w:r>
          </w:p>
        </w:tc>
        <w:tc>
          <w:tcPr>
            <w:tcW w:w="1456" w:type="dxa"/>
            <w:noWrap/>
            <w:vAlign w:val="center"/>
            <w:hideMark/>
          </w:tcPr>
          <w:p w14:paraId="26FDB515" w14:textId="77777777" w:rsidR="0076189C" w:rsidRPr="00BF3CDE" w:rsidRDefault="0076189C" w:rsidP="00911099">
            <w:pPr>
              <w:jc w:val="right"/>
              <w:cnfStyle w:val="000000100000" w:firstRow="0" w:lastRow="0" w:firstColumn="0" w:lastColumn="0" w:oddVBand="0" w:evenVBand="0" w:oddHBand="1"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0</w:t>
            </w:r>
          </w:p>
        </w:tc>
        <w:tc>
          <w:tcPr>
            <w:tcW w:w="1489" w:type="dxa"/>
            <w:noWrap/>
            <w:vAlign w:val="center"/>
            <w:hideMark/>
          </w:tcPr>
          <w:p w14:paraId="6E189FCC" w14:textId="77777777" w:rsidR="0076189C" w:rsidRPr="00BF3CDE" w:rsidRDefault="0076189C" w:rsidP="00911099">
            <w:pPr>
              <w:jc w:val="center"/>
              <w:cnfStyle w:val="000000100000" w:firstRow="0" w:lastRow="0" w:firstColumn="0" w:lastColumn="0" w:oddVBand="0" w:evenVBand="0" w:oddHBand="1" w:evenHBand="0" w:firstRowFirstColumn="0" w:firstRowLastColumn="0" w:lastRowFirstColumn="0" w:lastRowLastColumn="0"/>
              <w:rPr>
                <w:rFonts w:ascii="Calibri" w:hAnsi="Calibri"/>
                <w:noProof/>
                <w:color w:val="000000"/>
                <w:lang w:val="sr-Cyrl-CS" w:eastAsia="sr-Latn-RS"/>
              </w:rPr>
            </w:pPr>
          </w:p>
        </w:tc>
      </w:tr>
      <w:tr w:rsidR="0076189C" w:rsidRPr="00BF3CDE" w14:paraId="14E49F3C" w14:textId="77777777" w:rsidTr="00F37ECF">
        <w:trPr>
          <w:trHeight w:val="283"/>
        </w:trPr>
        <w:tc>
          <w:tcPr>
            <w:cnfStyle w:val="001000000000" w:firstRow="0" w:lastRow="0" w:firstColumn="1" w:lastColumn="0" w:oddVBand="0" w:evenVBand="0" w:oddHBand="0" w:evenHBand="0" w:firstRowFirstColumn="0" w:firstRowLastColumn="0" w:lastRowFirstColumn="0" w:lastRowLastColumn="0"/>
            <w:tcW w:w="4853" w:type="dxa"/>
            <w:vAlign w:val="center"/>
            <w:hideMark/>
          </w:tcPr>
          <w:p w14:paraId="2EF7EAEA" w14:textId="77777777" w:rsidR="0076189C" w:rsidRPr="00BF3CDE" w:rsidRDefault="0076189C" w:rsidP="00911099">
            <w:pPr>
              <w:rPr>
                <w:rFonts w:ascii="Calibri" w:hAnsi="Calibri"/>
                <w:noProof/>
                <w:color w:val="000000"/>
                <w:lang w:val="sr-Cyrl-CS" w:eastAsia="sr-Latn-RS"/>
              </w:rPr>
            </w:pPr>
            <w:r w:rsidRPr="00BF3CDE">
              <w:rPr>
                <w:rFonts w:ascii="Calibri" w:hAnsi="Calibri"/>
                <w:noProof/>
                <w:color w:val="000000"/>
                <w:lang w:val="sr-Cyrl-CS" w:eastAsia="sr-Latn-RS"/>
              </w:rPr>
              <w:t>Новчана средства чије је коришћење ограничено</w:t>
            </w:r>
          </w:p>
        </w:tc>
        <w:tc>
          <w:tcPr>
            <w:tcW w:w="1592" w:type="dxa"/>
            <w:noWrap/>
            <w:vAlign w:val="center"/>
            <w:hideMark/>
          </w:tcPr>
          <w:p w14:paraId="77FBE547" w14:textId="77777777" w:rsidR="0076189C" w:rsidRPr="00BF3CDE" w:rsidRDefault="0076189C" w:rsidP="00911099">
            <w:pPr>
              <w:jc w:val="right"/>
              <w:cnfStyle w:val="000000000000" w:firstRow="0"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0</w:t>
            </w:r>
          </w:p>
        </w:tc>
        <w:tc>
          <w:tcPr>
            <w:tcW w:w="1456" w:type="dxa"/>
            <w:noWrap/>
            <w:vAlign w:val="center"/>
            <w:hideMark/>
          </w:tcPr>
          <w:p w14:paraId="1597BF92" w14:textId="77777777" w:rsidR="0076189C" w:rsidRPr="00BF3CDE" w:rsidRDefault="0076189C" w:rsidP="00911099">
            <w:pPr>
              <w:jc w:val="right"/>
              <w:cnfStyle w:val="000000000000" w:firstRow="0"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-967</w:t>
            </w:r>
          </w:p>
        </w:tc>
        <w:tc>
          <w:tcPr>
            <w:tcW w:w="1489" w:type="dxa"/>
            <w:noWrap/>
            <w:vAlign w:val="center"/>
            <w:hideMark/>
          </w:tcPr>
          <w:p w14:paraId="799CF15E" w14:textId="77777777" w:rsidR="0076189C" w:rsidRPr="00BF3CDE" w:rsidRDefault="0076189C" w:rsidP="00911099">
            <w:pPr>
              <w:jc w:val="center"/>
              <w:cnfStyle w:val="000000000000" w:firstRow="0" w:lastRow="0"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0.00%</w:t>
            </w:r>
          </w:p>
        </w:tc>
      </w:tr>
      <w:tr w:rsidR="0076189C" w:rsidRPr="00BF3CDE" w14:paraId="7033C757" w14:textId="77777777" w:rsidTr="00F37ECF">
        <w:trPr>
          <w:cnfStyle w:val="010000000000" w:firstRow="0" w:lastRow="1"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853" w:type="dxa"/>
            <w:vAlign w:val="center"/>
            <w:hideMark/>
          </w:tcPr>
          <w:p w14:paraId="21BD6C7B" w14:textId="77777777" w:rsidR="0076189C" w:rsidRPr="00BF3CDE" w:rsidRDefault="0076189C" w:rsidP="00911099">
            <w:pPr>
              <w:rPr>
                <w:rFonts w:ascii="Calibri" w:hAnsi="Calibri"/>
                <w:noProof/>
                <w:color w:val="000000"/>
                <w:lang w:val="sr-Cyrl-CS" w:eastAsia="sr-Latn-RS"/>
              </w:rPr>
            </w:pPr>
            <w:r w:rsidRPr="00BF3CDE">
              <w:rPr>
                <w:rFonts w:ascii="Calibri" w:hAnsi="Calibri"/>
                <w:noProof/>
                <w:color w:val="000000"/>
                <w:lang w:val="sr-Cyrl-CS" w:eastAsia="sr-Latn-RS"/>
              </w:rPr>
              <w:t>Свега</w:t>
            </w:r>
          </w:p>
        </w:tc>
        <w:tc>
          <w:tcPr>
            <w:tcW w:w="1592" w:type="dxa"/>
            <w:noWrap/>
            <w:vAlign w:val="center"/>
            <w:hideMark/>
          </w:tcPr>
          <w:p w14:paraId="7AF7808C" w14:textId="77777777" w:rsidR="0076189C" w:rsidRPr="00BF3CDE" w:rsidRDefault="0076189C" w:rsidP="00911099">
            <w:pPr>
              <w:jc w:val="right"/>
              <w:cnfStyle w:val="010000000000" w:firstRow="0" w:lastRow="1"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842,881</w:t>
            </w:r>
          </w:p>
        </w:tc>
        <w:tc>
          <w:tcPr>
            <w:tcW w:w="1456" w:type="dxa"/>
            <w:noWrap/>
            <w:vAlign w:val="center"/>
            <w:hideMark/>
          </w:tcPr>
          <w:p w14:paraId="040B8136" w14:textId="77777777" w:rsidR="0076189C" w:rsidRPr="00BF3CDE" w:rsidRDefault="0076189C" w:rsidP="00911099">
            <w:pPr>
              <w:jc w:val="right"/>
              <w:cnfStyle w:val="010000000000" w:firstRow="0" w:lastRow="1"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1,174,545</w:t>
            </w:r>
          </w:p>
        </w:tc>
        <w:tc>
          <w:tcPr>
            <w:tcW w:w="1489" w:type="dxa"/>
            <w:noWrap/>
            <w:vAlign w:val="center"/>
            <w:hideMark/>
          </w:tcPr>
          <w:p w14:paraId="48689BF4" w14:textId="77777777" w:rsidR="0076189C" w:rsidRPr="00BF3CDE" w:rsidRDefault="0076189C" w:rsidP="00911099">
            <w:pPr>
              <w:jc w:val="center"/>
              <w:cnfStyle w:val="010000000000" w:firstRow="0" w:lastRow="1" w:firstColumn="0" w:lastColumn="0" w:oddVBand="0" w:evenVBand="0" w:oddHBand="0" w:evenHBand="0" w:firstRowFirstColumn="0" w:firstRowLastColumn="0" w:lastRowFirstColumn="0" w:lastRowLastColumn="0"/>
              <w:rPr>
                <w:rFonts w:ascii="Calibri" w:hAnsi="Calibri"/>
                <w:noProof/>
                <w:color w:val="000000"/>
                <w:lang w:val="sr-Cyrl-CS" w:eastAsia="sr-Latn-RS"/>
              </w:rPr>
            </w:pPr>
            <w:r w:rsidRPr="00BF3CDE">
              <w:rPr>
                <w:rFonts w:ascii="Calibri" w:hAnsi="Calibri"/>
                <w:noProof/>
                <w:color w:val="000000"/>
                <w:lang w:val="sr-Cyrl-CS" w:eastAsia="sr-Latn-RS"/>
              </w:rPr>
              <w:t>71.76%</w:t>
            </w:r>
          </w:p>
        </w:tc>
      </w:tr>
    </w:tbl>
    <w:p w14:paraId="0D733D6F" w14:textId="77777777" w:rsidR="0076189C" w:rsidRPr="00BF3CDE" w:rsidRDefault="0076189C" w:rsidP="00911099">
      <w:pPr>
        <w:spacing w:before="120" w:after="120"/>
        <w:ind w:firstLine="567"/>
        <w:jc w:val="both"/>
        <w:rPr>
          <w:noProof/>
          <w:sz w:val="20"/>
          <w:szCs w:val="20"/>
          <w:lang w:val="sr-Cyrl-CS"/>
        </w:rPr>
      </w:pPr>
      <w:r w:rsidRPr="00BF3CDE">
        <w:rPr>
          <w:noProof/>
          <w:sz w:val="20"/>
          <w:szCs w:val="20"/>
          <w:lang w:val="sr-Cyrl-CS"/>
        </w:rPr>
        <w:t>У 2014. години је забележен пад депозита по виђењу за 28,24%, највећим делом због улагања у хартије од вредности, а другим делом због смањеног прилива готовине услед пада премије у самопридржају.</w:t>
      </w:r>
    </w:p>
    <w:p w14:paraId="1908834C" w14:textId="77777777" w:rsidR="0076189C" w:rsidRPr="00BF3CDE" w:rsidRDefault="0076189C" w:rsidP="00911099">
      <w:pPr>
        <w:spacing w:before="120" w:after="120"/>
        <w:ind w:firstLine="567"/>
        <w:jc w:val="both"/>
        <w:rPr>
          <w:noProof/>
          <w:sz w:val="20"/>
          <w:szCs w:val="20"/>
          <w:lang w:val="sr-Cyrl-CS"/>
        </w:rPr>
      </w:pPr>
      <w:r w:rsidRPr="00BF3CDE">
        <w:rPr>
          <w:noProof/>
          <w:sz w:val="20"/>
          <w:szCs w:val="20"/>
          <w:lang w:val="sr-Cyrl-CS"/>
        </w:rPr>
        <w:t>Друштво је у 2014. години остваривало камату на средства по виђењу за динарска средства до РЕПО- 2 %, за ЕУРе до 1,75% и уСД до 1,20%.</w:t>
      </w:r>
    </w:p>
    <w:p w14:paraId="37914646" w14:textId="77777777" w:rsidR="0076189C" w:rsidRPr="00BF3CDE" w:rsidRDefault="0076189C" w:rsidP="0076189C">
      <w:pPr>
        <w:pStyle w:val="Heading1"/>
        <w:numPr>
          <w:ilvl w:val="2"/>
          <w:numId w:val="7"/>
        </w:numPr>
        <w:jc w:val="left"/>
        <w:rPr>
          <w:rFonts w:asciiTheme="majorHAnsi" w:hAnsiTheme="majorHAnsi" w:cs="Tahoma"/>
          <w:i/>
          <w:noProof/>
          <w:color w:val="4F81BD"/>
          <w:sz w:val="22"/>
          <w:szCs w:val="18"/>
          <w:lang w:val="sr-Cyrl-CS"/>
        </w:rPr>
      </w:pPr>
      <w:bookmarkStart w:id="48" w:name="_Toc414356828"/>
      <w:r w:rsidRPr="00BF3CDE">
        <w:rPr>
          <w:rFonts w:asciiTheme="majorHAnsi" w:hAnsiTheme="majorHAnsi" w:cs="Tahoma"/>
          <w:i/>
          <w:noProof/>
          <w:color w:val="4F81BD"/>
          <w:sz w:val="22"/>
          <w:szCs w:val="18"/>
          <w:lang w:val="sr-Cyrl-CS"/>
        </w:rPr>
        <w:t>Остварени приходи од инвестирања</w:t>
      </w:r>
      <w:bookmarkEnd w:id="48"/>
    </w:p>
    <w:p w14:paraId="5B41A9D8" w14:textId="77777777" w:rsidR="0076189C" w:rsidRPr="00BF3CDE" w:rsidRDefault="0076189C" w:rsidP="0076189C">
      <w:pPr>
        <w:jc w:val="right"/>
        <w:rPr>
          <w:noProof/>
          <w:lang w:val="sr-Cyrl-CS" w:eastAsia="ar-SA"/>
        </w:rPr>
      </w:pPr>
      <w:r w:rsidRPr="00BF3CDE">
        <w:rPr>
          <w:noProof/>
          <w:lang w:val="sr-Cyrl-CS" w:eastAsia="ar-SA"/>
        </w:rPr>
        <w:t>у 000</w:t>
      </w:r>
      <w:r w:rsidR="00911099" w:rsidRPr="00BF3CDE">
        <w:rPr>
          <w:noProof/>
          <w:lang w:val="sr-Cyrl-CS" w:eastAsia="ar-SA"/>
        </w:rPr>
        <w:t xml:space="preserve"> </w:t>
      </w:r>
      <w:r w:rsidRPr="00BF3CDE">
        <w:rPr>
          <w:noProof/>
          <w:lang w:val="sr-Cyrl-CS" w:eastAsia="ar-SA"/>
        </w:rPr>
        <w:t>РСД</w:t>
      </w:r>
    </w:p>
    <w:tbl>
      <w:tblPr>
        <w:tblStyle w:val="LightShading-Accent11"/>
        <w:tblW w:w="9440" w:type="dxa"/>
        <w:tblLook w:val="04E0" w:firstRow="1" w:lastRow="1" w:firstColumn="1" w:lastColumn="0" w:noHBand="0" w:noVBand="1"/>
      </w:tblPr>
      <w:tblGrid>
        <w:gridCol w:w="3554"/>
        <w:gridCol w:w="1285"/>
        <w:gridCol w:w="1142"/>
        <w:gridCol w:w="1226"/>
        <w:gridCol w:w="1240"/>
        <w:gridCol w:w="993"/>
      </w:tblGrid>
      <w:tr w:rsidR="0076189C" w:rsidRPr="00BF3CDE" w14:paraId="79E85C3B" w14:textId="77777777" w:rsidTr="00F37ECF">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780" w:type="dxa"/>
            <w:vAlign w:val="center"/>
            <w:hideMark/>
          </w:tcPr>
          <w:p w14:paraId="011DA913" w14:textId="77777777" w:rsidR="0076189C" w:rsidRPr="00BF3CDE" w:rsidRDefault="0076189C" w:rsidP="00911099">
            <w:pPr>
              <w:jc w:val="center"/>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Позиција</w:t>
            </w:r>
          </w:p>
        </w:tc>
        <w:tc>
          <w:tcPr>
            <w:tcW w:w="1240" w:type="dxa"/>
            <w:vAlign w:val="center"/>
            <w:hideMark/>
          </w:tcPr>
          <w:p w14:paraId="69EBFD11" w14:textId="77777777" w:rsidR="0076189C" w:rsidRPr="00BF3CDE" w:rsidRDefault="0076189C" w:rsidP="0091109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31.12.2014.</w:t>
            </w:r>
          </w:p>
        </w:tc>
        <w:tc>
          <w:tcPr>
            <w:tcW w:w="1060" w:type="dxa"/>
            <w:vAlign w:val="center"/>
            <w:hideMark/>
          </w:tcPr>
          <w:p w14:paraId="1D5853BD" w14:textId="77777777" w:rsidR="0076189C" w:rsidRPr="00BF3CDE" w:rsidRDefault="0076189C" w:rsidP="0091109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структура у %</w:t>
            </w:r>
          </w:p>
        </w:tc>
        <w:tc>
          <w:tcPr>
            <w:tcW w:w="1160" w:type="dxa"/>
            <w:vAlign w:val="center"/>
            <w:hideMark/>
          </w:tcPr>
          <w:p w14:paraId="60914171" w14:textId="77777777" w:rsidR="0076189C" w:rsidRPr="00BF3CDE" w:rsidRDefault="0076189C" w:rsidP="0091109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31.12.2013</w:t>
            </w:r>
          </w:p>
        </w:tc>
        <w:tc>
          <w:tcPr>
            <w:tcW w:w="1240" w:type="dxa"/>
            <w:vAlign w:val="center"/>
            <w:hideMark/>
          </w:tcPr>
          <w:p w14:paraId="3F886657" w14:textId="77777777" w:rsidR="0076189C" w:rsidRPr="00BF3CDE" w:rsidRDefault="0076189C" w:rsidP="0091109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структура у %</w:t>
            </w:r>
          </w:p>
        </w:tc>
        <w:tc>
          <w:tcPr>
            <w:tcW w:w="960" w:type="dxa"/>
            <w:vAlign w:val="center"/>
            <w:hideMark/>
          </w:tcPr>
          <w:p w14:paraId="6ECAECB9" w14:textId="77777777" w:rsidR="0076189C" w:rsidRPr="00BF3CDE" w:rsidRDefault="0076189C" w:rsidP="0091109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Индекс</w:t>
            </w:r>
          </w:p>
        </w:tc>
      </w:tr>
      <w:tr w:rsidR="0076189C" w:rsidRPr="00BF3CDE" w14:paraId="5AA542EA" w14:textId="77777777" w:rsidTr="00F37ECF">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3780" w:type="dxa"/>
            <w:vAlign w:val="center"/>
            <w:hideMark/>
          </w:tcPr>
          <w:p w14:paraId="62273A58" w14:textId="77777777" w:rsidR="0076189C" w:rsidRPr="00BF3CDE" w:rsidRDefault="00911099" w:rsidP="00911099">
            <w:pPr>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К</w:t>
            </w:r>
            <w:r w:rsidR="0076189C" w:rsidRPr="00BF3CDE">
              <w:rPr>
                <w:rFonts w:ascii="Calibri" w:eastAsia="Times New Roman" w:hAnsi="Calibri" w:cs="Times New Roman"/>
                <w:noProof/>
                <w:color w:val="000000"/>
                <w:lang w:val="sr-Cyrl-CS" w:eastAsia="sr-Latn-RS"/>
              </w:rPr>
              <w:t>амата</w:t>
            </w:r>
          </w:p>
        </w:tc>
        <w:tc>
          <w:tcPr>
            <w:tcW w:w="1240" w:type="dxa"/>
            <w:noWrap/>
            <w:vAlign w:val="center"/>
            <w:hideMark/>
          </w:tcPr>
          <w:p w14:paraId="15F62600" w14:textId="77777777" w:rsidR="0076189C" w:rsidRPr="00BF3CDE" w:rsidRDefault="0076189C" w:rsidP="0091109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49,996</w:t>
            </w:r>
          </w:p>
        </w:tc>
        <w:tc>
          <w:tcPr>
            <w:tcW w:w="1060" w:type="dxa"/>
            <w:noWrap/>
            <w:vAlign w:val="center"/>
            <w:hideMark/>
          </w:tcPr>
          <w:p w14:paraId="1F1C9449" w14:textId="77777777" w:rsidR="0076189C" w:rsidRPr="00BF3CDE" w:rsidRDefault="0076189C" w:rsidP="0091109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32.11%</w:t>
            </w:r>
          </w:p>
        </w:tc>
        <w:tc>
          <w:tcPr>
            <w:tcW w:w="1160" w:type="dxa"/>
            <w:noWrap/>
            <w:vAlign w:val="center"/>
            <w:hideMark/>
          </w:tcPr>
          <w:p w14:paraId="26717689" w14:textId="77777777" w:rsidR="0076189C" w:rsidRPr="00BF3CDE" w:rsidRDefault="0076189C" w:rsidP="0091109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88,931</w:t>
            </w:r>
          </w:p>
        </w:tc>
        <w:tc>
          <w:tcPr>
            <w:tcW w:w="1240" w:type="dxa"/>
            <w:noWrap/>
            <w:vAlign w:val="center"/>
            <w:hideMark/>
          </w:tcPr>
          <w:p w14:paraId="69DD1A38" w14:textId="77777777" w:rsidR="0076189C" w:rsidRPr="00BF3CDE" w:rsidRDefault="0076189C" w:rsidP="0091109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64.88%</w:t>
            </w:r>
          </w:p>
        </w:tc>
        <w:tc>
          <w:tcPr>
            <w:tcW w:w="960" w:type="dxa"/>
            <w:noWrap/>
            <w:vAlign w:val="center"/>
            <w:hideMark/>
          </w:tcPr>
          <w:p w14:paraId="6243B5E0" w14:textId="77777777" w:rsidR="0076189C" w:rsidRPr="00BF3CDE" w:rsidRDefault="0076189C" w:rsidP="0091109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56.22%</w:t>
            </w:r>
          </w:p>
        </w:tc>
      </w:tr>
      <w:tr w:rsidR="0076189C" w:rsidRPr="00BF3CDE" w14:paraId="042F729F" w14:textId="77777777" w:rsidTr="00F37ECF">
        <w:trPr>
          <w:trHeight w:val="283"/>
        </w:trPr>
        <w:tc>
          <w:tcPr>
            <w:cnfStyle w:val="001000000000" w:firstRow="0" w:lastRow="0" w:firstColumn="1" w:lastColumn="0" w:oddVBand="0" w:evenVBand="0" w:oddHBand="0" w:evenHBand="0" w:firstRowFirstColumn="0" w:firstRowLastColumn="0" w:lastRowFirstColumn="0" w:lastRowLastColumn="0"/>
            <w:tcW w:w="3780" w:type="dxa"/>
            <w:vAlign w:val="center"/>
            <w:hideMark/>
          </w:tcPr>
          <w:p w14:paraId="11050478" w14:textId="77777777" w:rsidR="0076189C" w:rsidRPr="00BF3CDE" w:rsidRDefault="00911099" w:rsidP="00911099">
            <w:pPr>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П</w:t>
            </w:r>
            <w:r w:rsidR="0076189C" w:rsidRPr="00BF3CDE">
              <w:rPr>
                <w:rFonts w:ascii="Calibri" w:eastAsia="Times New Roman" w:hAnsi="Calibri" w:cs="Times New Roman"/>
                <w:noProof/>
                <w:color w:val="000000"/>
                <w:lang w:val="sr-Cyrl-CS" w:eastAsia="sr-Latn-RS"/>
              </w:rPr>
              <w:t>озитивне курсне разлике</w:t>
            </w:r>
          </w:p>
        </w:tc>
        <w:tc>
          <w:tcPr>
            <w:tcW w:w="1240" w:type="dxa"/>
            <w:noWrap/>
            <w:vAlign w:val="center"/>
            <w:hideMark/>
          </w:tcPr>
          <w:p w14:paraId="088933EF" w14:textId="77777777" w:rsidR="0076189C" w:rsidRPr="00BF3CDE" w:rsidRDefault="0076189C" w:rsidP="0091109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105,706</w:t>
            </w:r>
          </w:p>
        </w:tc>
        <w:tc>
          <w:tcPr>
            <w:tcW w:w="1060" w:type="dxa"/>
            <w:noWrap/>
            <w:vAlign w:val="center"/>
            <w:hideMark/>
          </w:tcPr>
          <w:p w14:paraId="1299FE1E" w14:textId="77777777" w:rsidR="0076189C" w:rsidRPr="00BF3CDE" w:rsidRDefault="0076189C" w:rsidP="0091109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67.89%</w:t>
            </w:r>
          </w:p>
        </w:tc>
        <w:tc>
          <w:tcPr>
            <w:tcW w:w="1160" w:type="dxa"/>
            <w:noWrap/>
            <w:vAlign w:val="center"/>
            <w:hideMark/>
          </w:tcPr>
          <w:p w14:paraId="38B67168" w14:textId="77777777" w:rsidR="0076189C" w:rsidRPr="00BF3CDE" w:rsidRDefault="0076189C" w:rsidP="0091109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48,132</w:t>
            </w:r>
          </w:p>
        </w:tc>
        <w:tc>
          <w:tcPr>
            <w:tcW w:w="1240" w:type="dxa"/>
            <w:noWrap/>
            <w:vAlign w:val="center"/>
            <w:hideMark/>
          </w:tcPr>
          <w:p w14:paraId="4A297893" w14:textId="77777777" w:rsidR="0076189C" w:rsidRPr="00BF3CDE" w:rsidRDefault="0076189C" w:rsidP="0091109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35.12%</w:t>
            </w:r>
          </w:p>
        </w:tc>
        <w:tc>
          <w:tcPr>
            <w:tcW w:w="960" w:type="dxa"/>
            <w:noWrap/>
            <w:vAlign w:val="center"/>
            <w:hideMark/>
          </w:tcPr>
          <w:p w14:paraId="3403786B" w14:textId="77777777" w:rsidR="0076189C" w:rsidRPr="00BF3CDE" w:rsidRDefault="0076189C" w:rsidP="0091109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219.62%</w:t>
            </w:r>
          </w:p>
        </w:tc>
      </w:tr>
      <w:tr w:rsidR="0076189C" w:rsidRPr="00BF3CDE" w14:paraId="2F1674A4" w14:textId="77777777" w:rsidTr="00F37ECF">
        <w:trPr>
          <w:cnfStyle w:val="010000000000" w:firstRow="0" w:lastRow="1"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3780" w:type="dxa"/>
            <w:vAlign w:val="center"/>
            <w:hideMark/>
          </w:tcPr>
          <w:p w14:paraId="2B4CF7C2" w14:textId="77777777" w:rsidR="0076189C" w:rsidRPr="00BF3CDE" w:rsidRDefault="0076189C" w:rsidP="00911099">
            <w:pPr>
              <w:jc w:val="center"/>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Укупно</w:t>
            </w:r>
          </w:p>
        </w:tc>
        <w:tc>
          <w:tcPr>
            <w:tcW w:w="1240" w:type="dxa"/>
            <w:noWrap/>
            <w:vAlign w:val="center"/>
            <w:hideMark/>
          </w:tcPr>
          <w:p w14:paraId="42C99795" w14:textId="77777777" w:rsidR="0076189C" w:rsidRPr="00BF3CDE" w:rsidRDefault="0076189C" w:rsidP="00911099">
            <w:pPr>
              <w:jc w:val="center"/>
              <w:cnfStyle w:val="010000000000" w:firstRow="0" w:lastRow="1"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155,702</w:t>
            </w:r>
          </w:p>
        </w:tc>
        <w:tc>
          <w:tcPr>
            <w:tcW w:w="1060" w:type="dxa"/>
            <w:noWrap/>
            <w:vAlign w:val="center"/>
            <w:hideMark/>
          </w:tcPr>
          <w:p w14:paraId="4AC8FB41" w14:textId="77777777" w:rsidR="0076189C" w:rsidRPr="00BF3CDE" w:rsidRDefault="0076189C" w:rsidP="00911099">
            <w:pPr>
              <w:jc w:val="center"/>
              <w:cnfStyle w:val="010000000000" w:firstRow="0" w:lastRow="1"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100.00%</w:t>
            </w:r>
          </w:p>
        </w:tc>
        <w:tc>
          <w:tcPr>
            <w:tcW w:w="1160" w:type="dxa"/>
            <w:noWrap/>
            <w:vAlign w:val="center"/>
            <w:hideMark/>
          </w:tcPr>
          <w:p w14:paraId="1B5BDB6F" w14:textId="77777777" w:rsidR="0076189C" w:rsidRPr="00BF3CDE" w:rsidRDefault="0076189C" w:rsidP="00911099">
            <w:pPr>
              <w:jc w:val="center"/>
              <w:cnfStyle w:val="010000000000" w:firstRow="0" w:lastRow="1"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137,063</w:t>
            </w:r>
          </w:p>
        </w:tc>
        <w:tc>
          <w:tcPr>
            <w:tcW w:w="1240" w:type="dxa"/>
            <w:noWrap/>
            <w:vAlign w:val="center"/>
            <w:hideMark/>
          </w:tcPr>
          <w:p w14:paraId="2DFDFD9A" w14:textId="77777777" w:rsidR="0076189C" w:rsidRPr="00BF3CDE" w:rsidRDefault="0076189C" w:rsidP="00911099">
            <w:pPr>
              <w:jc w:val="center"/>
              <w:cnfStyle w:val="010000000000" w:firstRow="0" w:lastRow="1"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100.00%</w:t>
            </w:r>
          </w:p>
        </w:tc>
        <w:tc>
          <w:tcPr>
            <w:tcW w:w="960" w:type="dxa"/>
            <w:noWrap/>
            <w:vAlign w:val="center"/>
            <w:hideMark/>
          </w:tcPr>
          <w:p w14:paraId="03F6D357" w14:textId="77777777" w:rsidR="0076189C" w:rsidRPr="00BF3CDE" w:rsidRDefault="0076189C" w:rsidP="00911099">
            <w:pPr>
              <w:jc w:val="center"/>
              <w:cnfStyle w:val="010000000000" w:firstRow="0" w:lastRow="1"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113.60%</w:t>
            </w:r>
          </w:p>
        </w:tc>
      </w:tr>
    </w:tbl>
    <w:p w14:paraId="0B858EB9" w14:textId="77777777" w:rsidR="0076189C" w:rsidRPr="00BF3CDE" w:rsidRDefault="0076189C" w:rsidP="00911099">
      <w:pPr>
        <w:spacing w:before="200"/>
        <w:jc w:val="both"/>
        <w:rPr>
          <w:noProof/>
          <w:sz w:val="20"/>
          <w:szCs w:val="20"/>
          <w:lang w:val="sr-Cyrl-CS"/>
        </w:rPr>
      </w:pPr>
      <w:r w:rsidRPr="00BF3CDE">
        <w:rPr>
          <w:noProof/>
          <w:sz w:val="20"/>
          <w:szCs w:val="20"/>
          <w:lang w:val="sr-Cyrl-CS"/>
        </w:rPr>
        <w:tab/>
        <w:t>Остварени приходи од инвестирања су у односу на 2013. годину већи за 13,60%, међутим ако посматрамо структуру она је значајно неоповољнија јер је учешће прихода од камата мање за скоро 32%</w:t>
      </w:r>
      <w:r w:rsidR="00911099" w:rsidRPr="00BF3CDE">
        <w:rPr>
          <w:noProof/>
          <w:sz w:val="20"/>
          <w:szCs w:val="20"/>
          <w:lang w:val="sr-Cyrl-CS"/>
        </w:rPr>
        <w:t>.</w:t>
      </w:r>
    </w:p>
    <w:p w14:paraId="1DC10C33" w14:textId="77777777" w:rsidR="0076189C" w:rsidRPr="00BF3CDE" w:rsidRDefault="0076189C" w:rsidP="0076189C">
      <w:pPr>
        <w:spacing w:before="120" w:after="120"/>
        <w:jc w:val="both"/>
        <w:rPr>
          <w:b/>
          <w:i/>
          <w:noProof/>
          <w:color w:val="365F91" w:themeColor="accent1" w:themeShade="BF"/>
          <w:sz w:val="20"/>
          <w:lang w:val="sr-Cyrl-CS"/>
        </w:rPr>
      </w:pPr>
      <w:r w:rsidRPr="00BF3CDE">
        <w:rPr>
          <w:b/>
          <w:i/>
          <w:noProof/>
          <w:color w:val="365F91" w:themeColor="accent1" w:themeShade="BF"/>
          <w:sz w:val="20"/>
          <w:lang w:val="sr-Cyrl-CS"/>
        </w:rPr>
        <w:lastRenderedPageBreak/>
        <w:t>Приходи од камате</w:t>
      </w:r>
    </w:p>
    <w:p w14:paraId="11FDD4D3" w14:textId="77777777" w:rsidR="0076189C" w:rsidRPr="00BF3CDE" w:rsidRDefault="0076189C" w:rsidP="008148F4">
      <w:pPr>
        <w:spacing w:after="60"/>
        <w:jc w:val="right"/>
        <w:rPr>
          <w:noProof/>
          <w:lang w:val="sr-Cyrl-CS" w:eastAsia="ar-SA"/>
        </w:rPr>
      </w:pPr>
      <w:r w:rsidRPr="00BF3CDE">
        <w:rPr>
          <w:noProof/>
          <w:lang w:val="sr-Cyrl-CS" w:eastAsia="ar-SA"/>
        </w:rPr>
        <w:t>У 000</w:t>
      </w:r>
      <w:r w:rsidR="00911099" w:rsidRPr="00BF3CDE">
        <w:rPr>
          <w:noProof/>
          <w:lang w:val="sr-Cyrl-CS" w:eastAsia="ar-SA"/>
        </w:rPr>
        <w:t xml:space="preserve"> </w:t>
      </w:r>
      <w:r w:rsidRPr="00BF3CDE">
        <w:rPr>
          <w:noProof/>
          <w:lang w:val="sr-Cyrl-CS" w:eastAsia="ar-SA"/>
        </w:rPr>
        <w:t>РСД</w:t>
      </w:r>
    </w:p>
    <w:tbl>
      <w:tblPr>
        <w:tblStyle w:val="LightShading-Accent11"/>
        <w:tblW w:w="9346" w:type="dxa"/>
        <w:tblLayout w:type="fixed"/>
        <w:tblLook w:val="04E0" w:firstRow="1" w:lastRow="1" w:firstColumn="1" w:lastColumn="0" w:noHBand="0" w:noVBand="1"/>
      </w:tblPr>
      <w:tblGrid>
        <w:gridCol w:w="3936"/>
        <w:gridCol w:w="975"/>
        <w:gridCol w:w="1142"/>
        <w:gridCol w:w="842"/>
        <w:gridCol w:w="1206"/>
        <w:gridCol w:w="1245"/>
      </w:tblGrid>
      <w:tr w:rsidR="0076189C" w:rsidRPr="00BF3CDE" w14:paraId="22E486B3" w14:textId="77777777" w:rsidTr="00911099">
        <w:trPr>
          <w:cnfStyle w:val="100000000000" w:firstRow="1" w:lastRow="0" w:firstColumn="0" w:lastColumn="0" w:oddVBand="0" w:evenVBand="0" w:oddHBand="0"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3936" w:type="dxa"/>
            <w:vAlign w:val="center"/>
            <w:hideMark/>
          </w:tcPr>
          <w:p w14:paraId="51DA6364" w14:textId="77777777" w:rsidR="0076189C" w:rsidRPr="00BF3CDE" w:rsidRDefault="0076189C" w:rsidP="00911099">
            <w:pPr>
              <w:jc w:val="center"/>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Позиција</w:t>
            </w:r>
          </w:p>
        </w:tc>
        <w:tc>
          <w:tcPr>
            <w:tcW w:w="975" w:type="dxa"/>
            <w:vAlign w:val="center"/>
            <w:hideMark/>
          </w:tcPr>
          <w:p w14:paraId="4223CAC5" w14:textId="77777777" w:rsidR="0076189C" w:rsidRPr="00BF3CDE" w:rsidRDefault="0076189C" w:rsidP="0091109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31.12.</w:t>
            </w:r>
            <w:r w:rsidR="00911099" w:rsidRPr="00BF3CDE">
              <w:rPr>
                <w:rFonts w:ascii="Calibri" w:eastAsia="Times New Roman" w:hAnsi="Calibri" w:cs="Times New Roman"/>
                <w:noProof/>
                <w:color w:val="000000"/>
                <w:lang w:val="sr-Cyrl-CS" w:eastAsia="sr-Latn-RS"/>
              </w:rPr>
              <w:t xml:space="preserve"> </w:t>
            </w:r>
            <w:r w:rsidRPr="00BF3CDE">
              <w:rPr>
                <w:rFonts w:ascii="Calibri" w:eastAsia="Times New Roman" w:hAnsi="Calibri" w:cs="Times New Roman"/>
                <w:noProof/>
                <w:color w:val="000000"/>
                <w:lang w:val="sr-Cyrl-CS" w:eastAsia="sr-Latn-RS"/>
              </w:rPr>
              <w:t>2014.</w:t>
            </w:r>
          </w:p>
        </w:tc>
        <w:tc>
          <w:tcPr>
            <w:tcW w:w="1142" w:type="dxa"/>
            <w:vAlign w:val="center"/>
            <w:hideMark/>
          </w:tcPr>
          <w:p w14:paraId="7226C06E" w14:textId="77777777" w:rsidR="0076189C" w:rsidRPr="00BF3CDE" w:rsidRDefault="0076189C" w:rsidP="0091109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структура у %</w:t>
            </w:r>
          </w:p>
        </w:tc>
        <w:tc>
          <w:tcPr>
            <w:tcW w:w="842" w:type="dxa"/>
            <w:vAlign w:val="center"/>
            <w:hideMark/>
          </w:tcPr>
          <w:p w14:paraId="53B12622" w14:textId="77777777" w:rsidR="0076189C" w:rsidRPr="00BF3CDE" w:rsidRDefault="0076189C" w:rsidP="0091109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31.12.2013</w:t>
            </w:r>
            <w:r w:rsidR="00911099" w:rsidRPr="00BF3CDE">
              <w:rPr>
                <w:rFonts w:ascii="Calibri" w:eastAsia="Times New Roman" w:hAnsi="Calibri" w:cs="Times New Roman"/>
                <w:noProof/>
                <w:color w:val="000000"/>
                <w:lang w:val="sr-Cyrl-CS" w:eastAsia="sr-Latn-RS"/>
              </w:rPr>
              <w:t>.</w:t>
            </w:r>
          </w:p>
        </w:tc>
        <w:tc>
          <w:tcPr>
            <w:tcW w:w="1206" w:type="dxa"/>
            <w:vAlign w:val="center"/>
            <w:hideMark/>
          </w:tcPr>
          <w:p w14:paraId="4E10CF07" w14:textId="77777777" w:rsidR="0076189C" w:rsidRPr="00BF3CDE" w:rsidRDefault="0076189C" w:rsidP="0091109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структура у %</w:t>
            </w:r>
          </w:p>
        </w:tc>
        <w:tc>
          <w:tcPr>
            <w:tcW w:w="1245" w:type="dxa"/>
            <w:vAlign w:val="center"/>
            <w:hideMark/>
          </w:tcPr>
          <w:p w14:paraId="75E30FDD" w14:textId="77777777" w:rsidR="0076189C" w:rsidRPr="00BF3CDE" w:rsidRDefault="0076189C" w:rsidP="0091109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Индекс</w:t>
            </w:r>
          </w:p>
        </w:tc>
      </w:tr>
      <w:tr w:rsidR="0076189C" w:rsidRPr="00BF3CDE" w14:paraId="36EBFC0F" w14:textId="77777777" w:rsidTr="0091109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936" w:type="dxa"/>
            <w:vAlign w:val="center"/>
            <w:hideMark/>
          </w:tcPr>
          <w:p w14:paraId="34104CC8" w14:textId="77777777" w:rsidR="0076189C" w:rsidRPr="00BF3CDE" w:rsidRDefault="0076189C" w:rsidP="00911099">
            <w:pPr>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Камата на динарске деп</w:t>
            </w:r>
            <w:r w:rsidR="00911099" w:rsidRPr="00BF3CDE">
              <w:rPr>
                <w:rFonts w:ascii="Calibri" w:eastAsia="Times New Roman" w:hAnsi="Calibri" w:cs="Times New Roman"/>
                <w:noProof/>
                <w:color w:val="000000"/>
                <w:lang w:val="sr-Cyrl-CS" w:eastAsia="sr-Latn-RS"/>
              </w:rPr>
              <w:t>.</w:t>
            </w:r>
            <w:r w:rsidRPr="00BF3CDE">
              <w:rPr>
                <w:rFonts w:ascii="Calibri" w:eastAsia="Times New Roman" w:hAnsi="Calibri" w:cs="Times New Roman"/>
                <w:noProof/>
                <w:color w:val="000000"/>
                <w:lang w:val="sr-Cyrl-CS" w:eastAsia="sr-Latn-RS"/>
              </w:rPr>
              <w:t xml:space="preserve"> по виђењу</w:t>
            </w:r>
          </w:p>
        </w:tc>
        <w:tc>
          <w:tcPr>
            <w:tcW w:w="975" w:type="dxa"/>
            <w:noWrap/>
            <w:vAlign w:val="center"/>
            <w:hideMark/>
          </w:tcPr>
          <w:p w14:paraId="705E60A2" w14:textId="77777777" w:rsidR="0076189C" w:rsidRPr="00BF3CDE" w:rsidRDefault="0076189C" w:rsidP="0091109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3,263</w:t>
            </w:r>
          </w:p>
        </w:tc>
        <w:tc>
          <w:tcPr>
            <w:tcW w:w="1142" w:type="dxa"/>
            <w:noWrap/>
            <w:vAlign w:val="center"/>
            <w:hideMark/>
          </w:tcPr>
          <w:p w14:paraId="6FAE07BB" w14:textId="77777777" w:rsidR="0076189C" w:rsidRPr="00BF3CDE" w:rsidRDefault="0076189C" w:rsidP="0091109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6.53%</w:t>
            </w:r>
          </w:p>
        </w:tc>
        <w:tc>
          <w:tcPr>
            <w:tcW w:w="842" w:type="dxa"/>
            <w:noWrap/>
            <w:vAlign w:val="center"/>
            <w:hideMark/>
          </w:tcPr>
          <w:p w14:paraId="026B8BE5" w14:textId="77777777" w:rsidR="0076189C" w:rsidRPr="00BF3CDE" w:rsidRDefault="0076189C" w:rsidP="0091109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12,832</w:t>
            </w:r>
          </w:p>
        </w:tc>
        <w:tc>
          <w:tcPr>
            <w:tcW w:w="1206" w:type="dxa"/>
            <w:noWrap/>
            <w:vAlign w:val="center"/>
            <w:hideMark/>
          </w:tcPr>
          <w:p w14:paraId="72E28683" w14:textId="77777777" w:rsidR="0076189C" w:rsidRPr="00BF3CDE" w:rsidRDefault="0076189C" w:rsidP="0091109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14.43%</w:t>
            </w:r>
          </w:p>
        </w:tc>
        <w:tc>
          <w:tcPr>
            <w:tcW w:w="1245" w:type="dxa"/>
            <w:noWrap/>
            <w:vAlign w:val="center"/>
            <w:hideMark/>
          </w:tcPr>
          <w:p w14:paraId="774F43E1" w14:textId="77777777" w:rsidR="0076189C" w:rsidRPr="00BF3CDE" w:rsidRDefault="0076189C" w:rsidP="0091109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25.43%</w:t>
            </w:r>
          </w:p>
        </w:tc>
      </w:tr>
      <w:tr w:rsidR="0076189C" w:rsidRPr="00BF3CDE" w14:paraId="5D104DB5" w14:textId="77777777" w:rsidTr="00911099">
        <w:trPr>
          <w:trHeight w:val="397"/>
        </w:trPr>
        <w:tc>
          <w:tcPr>
            <w:cnfStyle w:val="001000000000" w:firstRow="0" w:lastRow="0" w:firstColumn="1" w:lastColumn="0" w:oddVBand="0" w:evenVBand="0" w:oddHBand="0" w:evenHBand="0" w:firstRowFirstColumn="0" w:firstRowLastColumn="0" w:lastRowFirstColumn="0" w:lastRowLastColumn="0"/>
            <w:tcW w:w="3936" w:type="dxa"/>
            <w:vAlign w:val="center"/>
            <w:hideMark/>
          </w:tcPr>
          <w:p w14:paraId="1631A5E4" w14:textId="77777777" w:rsidR="0076189C" w:rsidRPr="00BF3CDE" w:rsidRDefault="0076189C" w:rsidP="00911099">
            <w:pPr>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Камата на девизне деп</w:t>
            </w:r>
            <w:r w:rsidR="00911099" w:rsidRPr="00BF3CDE">
              <w:rPr>
                <w:rFonts w:ascii="Calibri" w:eastAsia="Times New Roman" w:hAnsi="Calibri" w:cs="Times New Roman"/>
                <w:noProof/>
                <w:color w:val="000000"/>
                <w:lang w:val="sr-Cyrl-CS" w:eastAsia="sr-Latn-RS"/>
              </w:rPr>
              <w:t>.</w:t>
            </w:r>
            <w:r w:rsidRPr="00BF3CDE">
              <w:rPr>
                <w:rFonts w:ascii="Calibri" w:eastAsia="Times New Roman" w:hAnsi="Calibri" w:cs="Times New Roman"/>
                <w:noProof/>
                <w:color w:val="000000"/>
                <w:lang w:val="sr-Cyrl-CS" w:eastAsia="sr-Latn-RS"/>
              </w:rPr>
              <w:t xml:space="preserve"> по виђењу</w:t>
            </w:r>
          </w:p>
        </w:tc>
        <w:tc>
          <w:tcPr>
            <w:tcW w:w="975" w:type="dxa"/>
            <w:noWrap/>
            <w:vAlign w:val="center"/>
            <w:hideMark/>
          </w:tcPr>
          <w:p w14:paraId="09B5D886" w14:textId="77777777" w:rsidR="0076189C" w:rsidRPr="00BF3CDE" w:rsidRDefault="0076189C" w:rsidP="0091109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11,552</w:t>
            </w:r>
          </w:p>
        </w:tc>
        <w:tc>
          <w:tcPr>
            <w:tcW w:w="1142" w:type="dxa"/>
            <w:noWrap/>
            <w:vAlign w:val="center"/>
            <w:hideMark/>
          </w:tcPr>
          <w:p w14:paraId="2040451A" w14:textId="77777777" w:rsidR="0076189C" w:rsidRPr="00BF3CDE" w:rsidRDefault="0076189C" w:rsidP="0091109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23.11%</w:t>
            </w:r>
          </w:p>
        </w:tc>
        <w:tc>
          <w:tcPr>
            <w:tcW w:w="842" w:type="dxa"/>
            <w:noWrap/>
            <w:vAlign w:val="center"/>
            <w:hideMark/>
          </w:tcPr>
          <w:p w14:paraId="5CA7C7AB" w14:textId="77777777" w:rsidR="0076189C" w:rsidRPr="00BF3CDE" w:rsidRDefault="0076189C" w:rsidP="0091109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42,974</w:t>
            </w:r>
          </w:p>
        </w:tc>
        <w:tc>
          <w:tcPr>
            <w:tcW w:w="1206" w:type="dxa"/>
            <w:noWrap/>
            <w:vAlign w:val="center"/>
            <w:hideMark/>
          </w:tcPr>
          <w:p w14:paraId="2BA3C111" w14:textId="77777777" w:rsidR="0076189C" w:rsidRPr="00BF3CDE" w:rsidRDefault="0076189C" w:rsidP="0091109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48.32%</w:t>
            </w:r>
          </w:p>
        </w:tc>
        <w:tc>
          <w:tcPr>
            <w:tcW w:w="1245" w:type="dxa"/>
            <w:noWrap/>
            <w:vAlign w:val="center"/>
            <w:hideMark/>
          </w:tcPr>
          <w:p w14:paraId="443269C4" w14:textId="77777777" w:rsidR="0076189C" w:rsidRPr="00BF3CDE" w:rsidRDefault="0076189C" w:rsidP="0091109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26.88%</w:t>
            </w:r>
          </w:p>
        </w:tc>
      </w:tr>
      <w:tr w:rsidR="0076189C" w:rsidRPr="00BF3CDE" w14:paraId="6D0CA87A" w14:textId="77777777" w:rsidTr="0091109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936" w:type="dxa"/>
            <w:vAlign w:val="center"/>
            <w:hideMark/>
          </w:tcPr>
          <w:p w14:paraId="5581F9DC" w14:textId="77777777" w:rsidR="0076189C" w:rsidRPr="00BF3CDE" w:rsidRDefault="0076189C" w:rsidP="00911099">
            <w:pPr>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Камата на орочене динарске депозите</w:t>
            </w:r>
          </w:p>
        </w:tc>
        <w:tc>
          <w:tcPr>
            <w:tcW w:w="975" w:type="dxa"/>
            <w:noWrap/>
            <w:vAlign w:val="center"/>
            <w:hideMark/>
          </w:tcPr>
          <w:p w14:paraId="765B5658" w14:textId="77777777" w:rsidR="0076189C" w:rsidRPr="00BF3CDE" w:rsidRDefault="0076189C" w:rsidP="0091109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2,524</w:t>
            </w:r>
          </w:p>
        </w:tc>
        <w:tc>
          <w:tcPr>
            <w:tcW w:w="1142" w:type="dxa"/>
            <w:noWrap/>
            <w:vAlign w:val="center"/>
            <w:hideMark/>
          </w:tcPr>
          <w:p w14:paraId="290C5D9D" w14:textId="77777777" w:rsidR="0076189C" w:rsidRPr="00BF3CDE" w:rsidRDefault="0076189C" w:rsidP="0091109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5.05%</w:t>
            </w:r>
          </w:p>
        </w:tc>
        <w:tc>
          <w:tcPr>
            <w:tcW w:w="842" w:type="dxa"/>
            <w:noWrap/>
            <w:vAlign w:val="center"/>
            <w:hideMark/>
          </w:tcPr>
          <w:p w14:paraId="5A701C63" w14:textId="77777777" w:rsidR="0076189C" w:rsidRPr="00BF3CDE" w:rsidRDefault="0076189C" w:rsidP="0091109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11,313</w:t>
            </w:r>
          </w:p>
        </w:tc>
        <w:tc>
          <w:tcPr>
            <w:tcW w:w="1206" w:type="dxa"/>
            <w:noWrap/>
            <w:vAlign w:val="center"/>
            <w:hideMark/>
          </w:tcPr>
          <w:p w14:paraId="19FDDF54" w14:textId="77777777" w:rsidR="0076189C" w:rsidRPr="00BF3CDE" w:rsidRDefault="0076189C" w:rsidP="0091109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12.72%</w:t>
            </w:r>
          </w:p>
        </w:tc>
        <w:tc>
          <w:tcPr>
            <w:tcW w:w="1245" w:type="dxa"/>
            <w:noWrap/>
            <w:vAlign w:val="center"/>
            <w:hideMark/>
          </w:tcPr>
          <w:p w14:paraId="3B6D596E" w14:textId="77777777" w:rsidR="0076189C" w:rsidRPr="00BF3CDE" w:rsidRDefault="0076189C" w:rsidP="0091109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22.31%</w:t>
            </w:r>
          </w:p>
        </w:tc>
      </w:tr>
      <w:tr w:rsidR="0076189C" w:rsidRPr="00BF3CDE" w14:paraId="21AFC584" w14:textId="77777777" w:rsidTr="00911099">
        <w:trPr>
          <w:trHeight w:val="397"/>
        </w:trPr>
        <w:tc>
          <w:tcPr>
            <w:cnfStyle w:val="001000000000" w:firstRow="0" w:lastRow="0" w:firstColumn="1" w:lastColumn="0" w:oddVBand="0" w:evenVBand="0" w:oddHBand="0" w:evenHBand="0" w:firstRowFirstColumn="0" w:firstRowLastColumn="0" w:lastRowFirstColumn="0" w:lastRowLastColumn="0"/>
            <w:tcW w:w="3936" w:type="dxa"/>
            <w:vAlign w:val="center"/>
            <w:hideMark/>
          </w:tcPr>
          <w:p w14:paraId="19A83028" w14:textId="77777777" w:rsidR="0076189C" w:rsidRPr="00BF3CDE" w:rsidRDefault="0076189C" w:rsidP="00911099">
            <w:pPr>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Камата на орочене девизне депозите</w:t>
            </w:r>
          </w:p>
        </w:tc>
        <w:tc>
          <w:tcPr>
            <w:tcW w:w="975" w:type="dxa"/>
            <w:noWrap/>
            <w:vAlign w:val="center"/>
            <w:hideMark/>
          </w:tcPr>
          <w:p w14:paraId="644C2E4B" w14:textId="77777777" w:rsidR="0076189C" w:rsidRPr="00BF3CDE" w:rsidRDefault="0076189C" w:rsidP="0091109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11,062</w:t>
            </w:r>
          </w:p>
        </w:tc>
        <w:tc>
          <w:tcPr>
            <w:tcW w:w="1142" w:type="dxa"/>
            <w:noWrap/>
            <w:vAlign w:val="center"/>
            <w:hideMark/>
          </w:tcPr>
          <w:p w14:paraId="5998E330" w14:textId="77777777" w:rsidR="0076189C" w:rsidRPr="00BF3CDE" w:rsidRDefault="0076189C" w:rsidP="0091109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22.13%</w:t>
            </w:r>
          </w:p>
        </w:tc>
        <w:tc>
          <w:tcPr>
            <w:tcW w:w="842" w:type="dxa"/>
            <w:noWrap/>
            <w:vAlign w:val="center"/>
            <w:hideMark/>
          </w:tcPr>
          <w:p w14:paraId="59509083" w14:textId="77777777" w:rsidR="0076189C" w:rsidRPr="00BF3CDE" w:rsidRDefault="0076189C" w:rsidP="0091109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19,950</w:t>
            </w:r>
          </w:p>
        </w:tc>
        <w:tc>
          <w:tcPr>
            <w:tcW w:w="1206" w:type="dxa"/>
            <w:noWrap/>
            <w:vAlign w:val="center"/>
            <w:hideMark/>
          </w:tcPr>
          <w:p w14:paraId="02C4D6E6" w14:textId="77777777" w:rsidR="0076189C" w:rsidRPr="00BF3CDE" w:rsidRDefault="0076189C" w:rsidP="0091109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22.43%</w:t>
            </w:r>
          </w:p>
        </w:tc>
        <w:tc>
          <w:tcPr>
            <w:tcW w:w="1245" w:type="dxa"/>
            <w:noWrap/>
            <w:vAlign w:val="center"/>
            <w:hideMark/>
          </w:tcPr>
          <w:p w14:paraId="5474D8D8" w14:textId="77777777" w:rsidR="0076189C" w:rsidRPr="00BF3CDE" w:rsidRDefault="0076189C" w:rsidP="0091109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55.45%</w:t>
            </w:r>
          </w:p>
        </w:tc>
      </w:tr>
      <w:tr w:rsidR="0076189C" w:rsidRPr="00BF3CDE" w14:paraId="4165C51D" w14:textId="77777777" w:rsidTr="0091109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936" w:type="dxa"/>
            <w:vAlign w:val="center"/>
            <w:hideMark/>
          </w:tcPr>
          <w:p w14:paraId="6F392AC6" w14:textId="77777777" w:rsidR="0076189C" w:rsidRPr="00BF3CDE" w:rsidRDefault="0076189C" w:rsidP="00911099">
            <w:pPr>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Камата на државне записе</w:t>
            </w:r>
          </w:p>
        </w:tc>
        <w:tc>
          <w:tcPr>
            <w:tcW w:w="975" w:type="dxa"/>
            <w:noWrap/>
            <w:vAlign w:val="center"/>
            <w:hideMark/>
          </w:tcPr>
          <w:p w14:paraId="7F2AD541" w14:textId="77777777" w:rsidR="0076189C" w:rsidRPr="00BF3CDE" w:rsidRDefault="0076189C" w:rsidP="0091109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9,928</w:t>
            </w:r>
          </w:p>
        </w:tc>
        <w:tc>
          <w:tcPr>
            <w:tcW w:w="1142" w:type="dxa"/>
            <w:noWrap/>
            <w:vAlign w:val="center"/>
            <w:hideMark/>
          </w:tcPr>
          <w:p w14:paraId="29440B09" w14:textId="77777777" w:rsidR="0076189C" w:rsidRPr="00BF3CDE" w:rsidRDefault="0076189C" w:rsidP="0091109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19.86%</w:t>
            </w:r>
          </w:p>
        </w:tc>
        <w:tc>
          <w:tcPr>
            <w:tcW w:w="842" w:type="dxa"/>
            <w:noWrap/>
            <w:vAlign w:val="center"/>
            <w:hideMark/>
          </w:tcPr>
          <w:p w14:paraId="32682BD1" w14:textId="77777777" w:rsidR="0076189C" w:rsidRPr="00BF3CDE" w:rsidRDefault="0076189C" w:rsidP="0091109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531</w:t>
            </w:r>
          </w:p>
        </w:tc>
        <w:tc>
          <w:tcPr>
            <w:tcW w:w="1206" w:type="dxa"/>
            <w:noWrap/>
            <w:vAlign w:val="center"/>
            <w:hideMark/>
          </w:tcPr>
          <w:p w14:paraId="6165B8B5" w14:textId="77777777" w:rsidR="0076189C" w:rsidRPr="00BF3CDE" w:rsidRDefault="0076189C" w:rsidP="0091109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0.60%</w:t>
            </w:r>
          </w:p>
        </w:tc>
        <w:tc>
          <w:tcPr>
            <w:tcW w:w="1245" w:type="dxa"/>
            <w:noWrap/>
            <w:vAlign w:val="center"/>
            <w:hideMark/>
          </w:tcPr>
          <w:p w14:paraId="166BD20C" w14:textId="77777777" w:rsidR="0076189C" w:rsidRPr="00BF3CDE" w:rsidRDefault="0076189C" w:rsidP="0091109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1869.68%</w:t>
            </w:r>
          </w:p>
        </w:tc>
      </w:tr>
      <w:tr w:rsidR="0076189C" w:rsidRPr="00BF3CDE" w14:paraId="694536BE" w14:textId="77777777" w:rsidTr="00911099">
        <w:trPr>
          <w:trHeight w:val="397"/>
        </w:trPr>
        <w:tc>
          <w:tcPr>
            <w:cnfStyle w:val="001000000000" w:firstRow="0" w:lastRow="0" w:firstColumn="1" w:lastColumn="0" w:oddVBand="0" w:evenVBand="0" w:oddHBand="0" w:evenHBand="0" w:firstRowFirstColumn="0" w:firstRowLastColumn="0" w:lastRowFirstColumn="0" w:lastRowLastColumn="0"/>
            <w:tcW w:w="3936" w:type="dxa"/>
            <w:vAlign w:val="center"/>
            <w:hideMark/>
          </w:tcPr>
          <w:p w14:paraId="7847D08F" w14:textId="77777777" w:rsidR="0076189C" w:rsidRPr="00BF3CDE" w:rsidRDefault="0076189C" w:rsidP="00911099">
            <w:pPr>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Камата на обвезнице</w:t>
            </w:r>
          </w:p>
        </w:tc>
        <w:tc>
          <w:tcPr>
            <w:tcW w:w="975" w:type="dxa"/>
            <w:noWrap/>
            <w:vAlign w:val="center"/>
            <w:hideMark/>
          </w:tcPr>
          <w:p w14:paraId="7618F4C8" w14:textId="77777777" w:rsidR="0076189C" w:rsidRPr="00BF3CDE" w:rsidRDefault="0076189C" w:rsidP="0091109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11,667</w:t>
            </w:r>
          </w:p>
        </w:tc>
        <w:tc>
          <w:tcPr>
            <w:tcW w:w="1142" w:type="dxa"/>
            <w:noWrap/>
            <w:vAlign w:val="center"/>
            <w:hideMark/>
          </w:tcPr>
          <w:p w14:paraId="3673A028" w14:textId="77777777" w:rsidR="0076189C" w:rsidRPr="00BF3CDE" w:rsidRDefault="0076189C" w:rsidP="0091109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23.34%</w:t>
            </w:r>
          </w:p>
        </w:tc>
        <w:tc>
          <w:tcPr>
            <w:tcW w:w="842" w:type="dxa"/>
            <w:noWrap/>
            <w:vAlign w:val="center"/>
            <w:hideMark/>
          </w:tcPr>
          <w:p w14:paraId="0CD3EFFB" w14:textId="77777777" w:rsidR="0076189C" w:rsidRPr="00BF3CDE" w:rsidRDefault="0076189C" w:rsidP="0091109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1,331</w:t>
            </w:r>
          </w:p>
        </w:tc>
        <w:tc>
          <w:tcPr>
            <w:tcW w:w="1206" w:type="dxa"/>
            <w:noWrap/>
            <w:vAlign w:val="center"/>
            <w:hideMark/>
          </w:tcPr>
          <w:p w14:paraId="39AA34AB" w14:textId="77777777" w:rsidR="0076189C" w:rsidRPr="00BF3CDE" w:rsidRDefault="0076189C" w:rsidP="0091109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1.50%</w:t>
            </w:r>
          </w:p>
        </w:tc>
        <w:tc>
          <w:tcPr>
            <w:tcW w:w="1245" w:type="dxa"/>
            <w:noWrap/>
            <w:vAlign w:val="center"/>
            <w:hideMark/>
          </w:tcPr>
          <w:p w14:paraId="51B35EB5" w14:textId="77777777" w:rsidR="0076189C" w:rsidRPr="00BF3CDE" w:rsidRDefault="0076189C" w:rsidP="0091109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876.56%</w:t>
            </w:r>
          </w:p>
        </w:tc>
      </w:tr>
      <w:tr w:rsidR="0076189C" w:rsidRPr="00BF3CDE" w14:paraId="0F47661E" w14:textId="77777777" w:rsidTr="00911099">
        <w:trPr>
          <w:cnfStyle w:val="010000000000" w:firstRow="0" w:lastRow="1"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936" w:type="dxa"/>
            <w:vAlign w:val="center"/>
            <w:hideMark/>
          </w:tcPr>
          <w:p w14:paraId="1F5213EE" w14:textId="77777777" w:rsidR="0076189C" w:rsidRPr="00BF3CDE" w:rsidRDefault="0076189C" w:rsidP="00911099">
            <w:pPr>
              <w:jc w:val="center"/>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Укупно</w:t>
            </w:r>
          </w:p>
        </w:tc>
        <w:tc>
          <w:tcPr>
            <w:tcW w:w="975" w:type="dxa"/>
            <w:noWrap/>
            <w:vAlign w:val="center"/>
            <w:hideMark/>
          </w:tcPr>
          <w:p w14:paraId="2AD3636F" w14:textId="77777777" w:rsidR="0076189C" w:rsidRPr="00BF3CDE" w:rsidRDefault="0076189C" w:rsidP="00911099">
            <w:pPr>
              <w:jc w:val="right"/>
              <w:cnfStyle w:val="010000000000" w:firstRow="0" w:lastRow="1"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49,996</w:t>
            </w:r>
          </w:p>
        </w:tc>
        <w:tc>
          <w:tcPr>
            <w:tcW w:w="1142" w:type="dxa"/>
            <w:noWrap/>
            <w:vAlign w:val="center"/>
            <w:hideMark/>
          </w:tcPr>
          <w:p w14:paraId="0A9A683A" w14:textId="77777777" w:rsidR="0076189C" w:rsidRPr="00BF3CDE" w:rsidRDefault="0076189C" w:rsidP="00911099">
            <w:pPr>
              <w:jc w:val="right"/>
              <w:cnfStyle w:val="010000000000" w:firstRow="0" w:lastRow="1"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100.00%</w:t>
            </w:r>
          </w:p>
        </w:tc>
        <w:tc>
          <w:tcPr>
            <w:tcW w:w="842" w:type="dxa"/>
            <w:noWrap/>
            <w:vAlign w:val="center"/>
            <w:hideMark/>
          </w:tcPr>
          <w:p w14:paraId="609D36CF" w14:textId="77777777" w:rsidR="0076189C" w:rsidRPr="00BF3CDE" w:rsidRDefault="0076189C" w:rsidP="00911099">
            <w:pPr>
              <w:jc w:val="right"/>
              <w:cnfStyle w:val="010000000000" w:firstRow="0" w:lastRow="1"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88,931</w:t>
            </w:r>
          </w:p>
        </w:tc>
        <w:tc>
          <w:tcPr>
            <w:tcW w:w="1206" w:type="dxa"/>
            <w:noWrap/>
            <w:vAlign w:val="center"/>
            <w:hideMark/>
          </w:tcPr>
          <w:p w14:paraId="0A4C96D1" w14:textId="77777777" w:rsidR="0076189C" w:rsidRPr="00BF3CDE" w:rsidRDefault="0076189C" w:rsidP="00911099">
            <w:pPr>
              <w:jc w:val="right"/>
              <w:cnfStyle w:val="010000000000" w:firstRow="0" w:lastRow="1"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100.00%</w:t>
            </w:r>
          </w:p>
        </w:tc>
        <w:tc>
          <w:tcPr>
            <w:tcW w:w="1245" w:type="dxa"/>
            <w:noWrap/>
            <w:vAlign w:val="center"/>
            <w:hideMark/>
          </w:tcPr>
          <w:p w14:paraId="37428DD1" w14:textId="77777777" w:rsidR="0076189C" w:rsidRPr="00BF3CDE" w:rsidRDefault="0076189C" w:rsidP="00911099">
            <w:pPr>
              <w:jc w:val="right"/>
              <w:cnfStyle w:val="010000000000" w:firstRow="0" w:lastRow="1"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56.22%</w:t>
            </w:r>
          </w:p>
        </w:tc>
      </w:tr>
    </w:tbl>
    <w:p w14:paraId="4125428C" w14:textId="77777777" w:rsidR="0076189C" w:rsidRPr="00BF3CDE" w:rsidRDefault="0076189C" w:rsidP="0076189C">
      <w:pPr>
        <w:jc w:val="both"/>
        <w:rPr>
          <w:noProof/>
          <w:sz w:val="6"/>
          <w:szCs w:val="6"/>
          <w:lang w:val="sr-Cyrl-CS"/>
        </w:rPr>
      </w:pPr>
    </w:p>
    <w:p w14:paraId="4D76D0CC" w14:textId="77777777" w:rsidR="0076189C" w:rsidRPr="00BF3CDE" w:rsidRDefault="0076189C" w:rsidP="00D50EE5">
      <w:pPr>
        <w:spacing w:before="240" w:after="240"/>
        <w:ind w:firstLine="709"/>
        <w:jc w:val="both"/>
        <w:rPr>
          <w:noProof/>
          <w:sz w:val="20"/>
          <w:szCs w:val="20"/>
          <w:lang w:val="sr-Cyrl-CS"/>
        </w:rPr>
      </w:pPr>
      <w:r w:rsidRPr="00BF3CDE">
        <w:rPr>
          <w:noProof/>
          <w:sz w:val="20"/>
          <w:szCs w:val="20"/>
          <w:lang w:val="sr-Cyrl-CS"/>
        </w:rPr>
        <w:t>Остварени приходи од камате су мањи у односу на претходну годину за 43,78% што је последица наставка негативног тренда пада каматних стопа из претходних година, као и смањења расположивих средстава за улагање.</w:t>
      </w:r>
    </w:p>
    <w:p w14:paraId="6234F714" w14:textId="77777777" w:rsidR="0076189C" w:rsidRPr="00BF3CDE" w:rsidRDefault="0076189C" w:rsidP="00D50EE5">
      <w:pPr>
        <w:spacing w:before="240" w:after="240"/>
        <w:ind w:firstLine="709"/>
        <w:jc w:val="both"/>
        <w:rPr>
          <w:noProof/>
          <w:sz w:val="20"/>
          <w:szCs w:val="20"/>
          <w:lang w:val="sr-Cyrl-CS"/>
        </w:rPr>
      </w:pPr>
      <w:r w:rsidRPr="00BF3CDE">
        <w:rPr>
          <w:noProof/>
          <w:sz w:val="20"/>
          <w:szCs w:val="20"/>
          <w:lang w:val="sr-Cyrl-CS"/>
        </w:rPr>
        <w:t>Друштво је у зависности од расположивих средстава и кретања каматних стопа, вршило дисперзију улагања из депозита у хартије од вредности које су имале веће стопе приноса.</w:t>
      </w:r>
    </w:p>
    <w:p w14:paraId="24F7935B" w14:textId="77777777" w:rsidR="0076189C" w:rsidRPr="00BF3CDE" w:rsidRDefault="0076189C" w:rsidP="00D50EE5">
      <w:pPr>
        <w:pStyle w:val="Heading1"/>
        <w:numPr>
          <w:ilvl w:val="2"/>
          <w:numId w:val="7"/>
        </w:numPr>
        <w:spacing w:before="360" w:after="360"/>
        <w:ind w:left="1077" w:hanging="1077"/>
        <w:jc w:val="left"/>
        <w:rPr>
          <w:rFonts w:asciiTheme="majorHAnsi" w:hAnsiTheme="majorHAnsi" w:cs="Tahoma"/>
          <w:i/>
          <w:noProof/>
          <w:color w:val="4F81BD"/>
          <w:sz w:val="22"/>
          <w:szCs w:val="18"/>
          <w:lang w:val="sr-Cyrl-CS"/>
        </w:rPr>
      </w:pPr>
      <w:bookmarkStart w:id="49" w:name="_Toc414356829"/>
      <w:r w:rsidRPr="00BF3CDE">
        <w:rPr>
          <w:rFonts w:asciiTheme="majorHAnsi" w:hAnsiTheme="majorHAnsi" w:cs="Tahoma"/>
          <w:i/>
          <w:noProof/>
          <w:color w:val="4F81BD"/>
          <w:sz w:val="22"/>
          <w:szCs w:val="18"/>
          <w:lang w:val="sr-Cyrl-CS"/>
        </w:rPr>
        <w:t>Остварени расходи од инвестирања</w:t>
      </w:r>
      <w:bookmarkEnd w:id="49"/>
    </w:p>
    <w:p w14:paraId="48DCE2C6" w14:textId="77777777" w:rsidR="0076189C" w:rsidRPr="00BF3CDE" w:rsidRDefault="0076189C" w:rsidP="0076189C">
      <w:pPr>
        <w:jc w:val="right"/>
        <w:rPr>
          <w:noProof/>
          <w:lang w:val="sr-Cyrl-CS" w:eastAsia="ar-SA"/>
        </w:rPr>
      </w:pPr>
      <w:r w:rsidRPr="00BF3CDE">
        <w:rPr>
          <w:noProof/>
          <w:lang w:val="sr-Cyrl-CS" w:eastAsia="ar-SA"/>
        </w:rPr>
        <w:t>у 000 РСД</w:t>
      </w:r>
    </w:p>
    <w:tbl>
      <w:tblPr>
        <w:tblStyle w:val="LightShading-Accent11"/>
        <w:tblW w:w="9340" w:type="dxa"/>
        <w:tblLook w:val="04E0" w:firstRow="1" w:lastRow="1" w:firstColumn="1" w:lastColumn="0" w:noHBand="0" w:noVBand="1"/>
      </w:tblPr>
      <w:tblGrid>
        <w:gridCol w:w="3275"/>
        <w:gridCol w:w="1285"/>
        <w:gridCol w:w="1142"/>
        <w:gridCol w:w="1226"/>
        <w:gridCol w:w="1187"/>
        <w:gridCol w:w="1225"/>
      </w:tblGrid>
      <w:tr w:rsidR="0076189C" w:rsidRPr="00BF3CDE" w14:paraId="6177B76D" w14:textId="77777777" w:rsidTr="008148F4">
        <w:trPr>
          <w:cnfStyle w:val="100000000000" w:firstRow="1" w:lastRow="0" w:firstColumn="0" w:lastColumn="0" w:oddVBand="0" w:evenVBand="0" w:oddHBand="0" w:evenHBand="0" w:firstRowFirstColumn="0" w:firstRowLastColumn="0" w:lastRowFirstColumn="0" w:lastRowLastColumn="0"/>
          <w:trHeight w:val="607"/>
        </w:trPr>
        <w:tc>
          <w:tcPr>
            <w:cnfStyle w:val="001000000000" w:firstRow="0" w:lastRow="0" w:firstColumn="1" w:lastColumn="0" w:oddVBand="0" w:evenVBand="0" w:oddHBand="0" w:evenHBand="0" w:firstRowFirstColumn="0" w:firstRowLastColumn="0" w:lastRowFirstColumn="0" w:lastRowLastColumn="0"/>
            <w:tcW w:w="3432" w:type="dxa"/>
            <w:vAlign w:val="center"/>
            <w:hideMark/>
          </w:tcPr>
          <w:p w14:paraId="5CF4A22A" w14:textId="77777777" w:rsidR="0076189C" w:rsidRPr="00BF3CDE" w:rsidRDefault="0076189C" w:rsidP="008148F4">
            <w:pPr>
              <w:jc w:val="center"/>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Позиција</w:t>
            </w:r>
          </w:p>
        </w:tc>
        <w:tc>
          <w:tcPr>
            <w:tcW w:w="1230" w:type="dxa"/>
            <w:vAlign w:val="center"/>
            <w:hideMark/>
          </w:tcPr>
          <w:p w14:paraId="2FFE161A" w14:textId="77777777" w:rsidR="0076189C" w:rsidRPr="00BF3CDE" w:rsidRDefault="0076189C" w:rsidP="008148F4">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31.12.2014.</w:t>
            </w:r>
          </w:p>
        </w:tc>
        <w:tc>
          <w:tcPr>
            <w:tcW w:w="1093" w:type="dxa"/>
            <w:vAlign w:val="center"/>
            <w:hideMark/>
          </w:tcPr>
          <w:p w14:paraId="41A2AC0D" w14:textId="77777777" w:rsidR="0076189C" w:rsidRPr="00BF3CDE" w:rsidRDefault="0076189C" w:rsidP="008148F4">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структура у %</w:t>
            </w:r>
          </w:p>
        </w:tc>
        <w:tc>
          <w:tcPr>
            <w:tcW w:w="1173" w:type="dxa"/>
            <w:vAlign w:val="center"/>
            <w:hideMark/>
          </w:tcPr>
          <w:p w14:paraId="18AF48F0" w14:textId="77777777" w:rsidR="0076189C" w:rsidRPr="00BF3CDE" w:rsidRDefault="0076189C" w:rsidP="008148F4">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31.12.2013</w:t>
            </w:r>
          </w:p>
        </w:tc>
        <w:tc>
          <w:tcPr>
            <w:tcW w:w="1187" w:type="dxa"/>
            <w:vAlign w:val="center"/>
            <w:hideMark/>
          </w:tcPr>
          <w:p w14:paraId="178DED57" w14:textId="77777777" w:rsidR="0076189C" w:rsidRPr="00BF3CDE" w:rsidRDefault="0076189C" w:rsidP="008148F4">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структура у %</w:t>
            </w:r>
          </w:p>
        </w:tc>
        <w:tc>
          <w:tcPr>
            <w:tcW w:w="1225" w:type="dxa"/>
            <w:vAlign w:val="center"/>
            <w:hideMark/>
          </w:tcPr>
          <w:p w14:paraId="3AD6E764" w14:textId="77777777" w:rsidR="0076189C" w:rsidRPr="00BF3CDE" w:rsidRDefault="0076189C" w:rsidP="008148F4">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Индекс</w:t>
            </w:r>
          </w:p>
        </w:tc>
      </w:tr>
      <w:tr w:rsidR="0076189C" w:rsidRPr="00BF3CDE" w14:paraId="27E97B02" w14:textId="77777777" w:rsidTr="00D50EE5">
        <w:trPr>
          <w:cnfStyle w:val="000000100000" w:firstRow="0" w:lastRow="0" w:firstColumn="0" w:lastColumn="0" w:oddVBand="0" w:evenVBand="0" w:oddHBand="1"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3432" w:type="dxa"/>
            <w:vAlign w:val="center"/>
            <w:hideMark/>
          </w:tcPr>
          <w:p w14:paraId="48C4B11B" w14:textId="77777777" w:rsidR="0076189C" w:rsidRPr="00BF3CDE" w:rsidRDefault="008148F4" w:rsidP="008148F4">
            <w:pPr>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Р</w:t>
            </w:r>
            <w:r w:rsidR="0076189C" w:rsidRPr="00BF3CDE">
              <w:rPr>
                <w:rFonts w:ascii="Calibri" w:eastAsia="Times New Roman" w:hAnsi="Calibri" w:cs="Times New Roman"/>
                <w:noProof/>
                <w:color w:val="000000"/>
                <w:lang w:val="sr-Cyrl-CS" w:eastAsia="sr-Latn-RS"/>
              </w:rPr>
              <w:t>асходи по основу усклађивања вредности</w:t>
            </w:r>
          </w:p>
        </w:tc>
        <w:tc>
          <w:tcPr>
            <w:tcW w:w="1230" w:type="dxa"/>
            <w:noWrap/>
            <w:vAlign w:val="center"/>
            <w:hideMark/>
          </w:tcPr>
          <w:p w14:paraId="3CCB30DA" w14:textId="77777777" w:rsidR="0076189C" w:rsidRPr="00BF3CDE" w:rsidRDefault="0076189C" w:rsidP="008148F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172,074</w:t>
            </w:r>
          </w:p>
        </w:tc>
        <w:tc>
          <w:tcPr>
            <w:tcW w:w="1093" w:type="dxa"/>
            <w:noWrap/>
            <w:vAlign w:val="center"/>
            <w:hideMark/>
          </w:tcPr>
          <w:p w14:paraId="5A1DDF14" w14:textId="77777777" w:rsidR="0076189C" w:rsidRPr="00BF3CDE" w:rsidRDefault="0076189C" w:rsidP="008148F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95.78%</w:t>
            </w:r>
          </w:p>
        </w:tc>
        <w:tc>
          <w:tcPr>
            <w:tcW w:w="1173" w:type="dxa"/>
            <w:noWrap/>
            <w:vAlign w:val="center"/>
            <w:hideMark/>
          </w:tcPr>
          <w:p w14:paraId="4703F1D5" w14:textId="77777777" w:rsidR="0076189C" w:rsidRPr="00BF3CDE" w:rsidRDefault="0076189C" w:rsidP="008148F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117,291</w:t>
            </w:r>
          </w:p>
        </w:tc>
        <w:tc>
          <w:tcPr>
            <w:tcW w:w="1187" w:type="dxa"/>
            <w:noWrap/>
            <w:vAlign w:val="center"/>
            <w:hideMark/>
          </w:tcPr>
          <w:p w14:paraId="7D6163F9" w14:textId="77777777" w:rsidR="0076189C" w:rsidRPr="00BF3CDE" w:rsidRDefault="0076189C" w:rsidP="008148F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84.02%</w:t>
            </w:r>
          </w:p>
        </w:tc>
        <w:tc>
          <w:tcPr>
            <w:tcW w:w="1225" w:type="dxa"/>
            <w:noWrap/>
            <w:vAlign w:val="center"/>
            <w:hideMark/>
          </w:tcPr>
          <w:p w14:paraId="1C45415E" w14:textId="77777777" w:rsidR="0076189C" w:rsidRPr="00BF3CDE" w:rsidRDefault="0076189C" w:rsidP="008148F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146.71%</w:t>
            </w:r>
          </w:p>
        </w:tc>
      </w:tr>
      <w:tr w:rsidR="0076189C" w:rsidRPr="00BF3CDE" w14:paraId="5768B39D" w14:textId="77777777" w:rsidTr="00D50EE5">
        <w:trPr>
          <w:trHeight w:val="737"/>
        </w:trPr>
        <w:tc>
          <w:tcPr>
            <w:cnfStyle w:val="001000000000" w:firstRow="0" w:lastRow="0" w:firstColumn="1" w:lastColumn="0" w:oddVBand="0" w:evenVBand="0" w:oddHBand="0" w:evenHBand="0" w:firstRowFirstColumn="0" w:firstRowLastColumn="0" w:lastRowFirstColumn="0" w:lastRowLastColumn="0"/>
            <w:tcW w:w="3432" w:type="dxa"/>
            <w:vAlign w:val="center"/>
            <w:hideMark/>
          </w:tcPr>
          <w:p w14:paraId="4320B69F" w14:textId="77777777" w:rsidR="0076189C" w:rsidRPr="00BF3CDE" w:rsidRDefault="008148F4" w:rsidP="008148F4">
            <w:pPr>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Н</w:t>
            </w:r>
            <w:r w:rsidR="0076189C" w:rsidRPr="00BF3CDE">
              <w:rPr>
                <w:rFonts w:ascii="Calibri" w:eastAsia="Times New Roman" w:hAnsi="Calibri" w:cs="Times New Roman"/>
                <w:noProof/>
                <w:color w:val="000000"/>
                <w:lang w:val="sr-Cyrl-CS" w:eastAsia="sr-Latn-RS"/>
              </w:rPr>
              <w:t>егативне курсне разлике из активности инвестирања</w:t>
            </w:r>
          </w:p>
        </w:tc>
        <w:tc>
          <w:tcPr>
            <w:tcW w:w="1230" w:type="dxa"/>
            <w:noWrap/>
            <w:vAlign w:val="center"/>
            <w:hideMark/>
          </w:tcPr>
          <w:p w14:paraId="590AC2C2" w14:textId="77777777" w:rsidR="0076189C" w:rsidRPr="00BF3CDE" w:rsidRDefault="0076189C" w:rsidP="008148F4">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5,190</w:t>
            </w:r>
          </w:p>
        </w:tc>
        <w:tc>
          <w:tcPr>
            <w:tcW w:w="1093" w:type="dxa"/>
            <w:noWrap/>
            <w:vAlign w:val="center"/>
            <w:hideMark/>
          </w:tcPr>
          <w:p w14:paraId="0CDE73E2" w14:textId="77777777" w:rsidR="0076189C" w:rsidRPr="00BF3CDE" w:rsidRDefault="0076189C" w:rsidP="008148F4">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2.89%</w:t>
            </w:r>
          </w:p>
        </w:tc>
        <w:tc>
          <w:tcPr>
            <w:tcW w:w="1173" w:type="dxa"/>
            <w:noWrap/>
            <w:vAlign w:val="center"/>
            <w:hideMark/>
          </w:tcPr>
          <w:p w14:paraId="4D104BB0" w14:textId="77777777" w:rsidR="0076189C" w:rsidRPr="00BF3CDE" w:rsidRDefault="0076189C" w:rsidP="008148F4">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19,540</w:t>
            </w:r>
          </w:p>
        </w:tc>
        <w:tc>
          <w:tcPr>
            <w:tcW w:w="1187" w:type="dxa"/>
            <w:noWrap/>
            <w:vAlign w:val="center"/>
            <w:hideMark/>
          </w:tcPr>
          <w:p w14:paraId="05348DAF" w14:textId="77777777" w:rsidR="0076189C" w:rsidRPr="00BF3CDE" w:rsidRDefault="0076189C" w:rsidP="008148F4">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14.00%</w:t>
            </w:r>
          </w:p>
        </w:tc>
        <w:tc>
          <w:tcPr>
            <w:tcW w:w="1225" w:type="dxa"/>
            <w:noWrap/>
            <w:vAlign w:val="center"/>
            <w:hideMark/>
          </w:tcPr>
          <w:p w14:paraId="4C2C37E2" w14:textId="77777777" w:rsidR="0076189C" w:rsidRPr="00BF3CDE" w:rsidRDefault="0076189C" w:rsidP="008148F4">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26.56%</w:t>
            </w:r>
          </w:p>
        </w:tc>
      </w:tr>
      <w:tr w:rsidR="0076189C" w:rsidRPr="00BF3CDE" w14:paraId="09CC4E7D" w14:textId="77777777" w:rsidTr="00D50EE5">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432" w:type="dxa"/>
            <w:vAlign w:val="center"/>
            <w:hideMark/>
          </w:tcPr>
          <w:p w14:paraId="66BF780F" w14:textId="77777777" w:rsidR="0076189C" w:rsidRPr="00BF3CDE" w:rsidRDefault="008148F4" w:rsidP="008148F4">
            <w:pPr>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О</w:t>
            </w:r>
            <w:r w:rsidR="0076189C" w:rsidRPr="00BF3CDE">
              <w:rPr>
                <w:rFonts w:ascii="Calibri" w:eastAsia="Times New Roman" w:hAnsi="Calibri" w:cs="Times New Roman"/>
                <w:noProof/>
                <w:color w:val="000000"/>
                <w:lang w:val="sr-Cyrl-CS" w:eastAsia="sr-Latn-RS"/>
              </w:rPr>
              <w:t>стали расходи</w:t>
            </w:r>
          </w:p>
        </w:tc>
        <w:tc>
          <w:tcPr>
            <w:tcW w:w="1230" w:type="dxa"/>
            <w:noWrap/>
            <w:vAlign w:val="center"/>
            <w:hideMark/>
          </w:tcPr>
          <w:p w14:paraId="5A6DB21C" w14:textId="77777777" w:rsidR="0076189C" w:rsidRPr="00BF3CDE" w:rsidRDefault="0076189C" w:rsidP="008148F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2,383</w:t>
            </w:r>
          </w:p>
        </w:tc>
        <w:tc>
          <w:tcPr>
            <w:tcW w:w="1093" w:type="dxa"/>
            <w:noWrap/>
            <w:vAlign w:val="center"/>
            <w:hideMark/>
          </w:tcPr>
          <w:p w14:paraId="3D56D422" w14:textId="77777777" w:rsidR="0076189C" w:rsidRPr="00BF3CDE" w:rsidRDefault="0076189C" w:rsidP="008148F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1.33%</w:t>
            </w:r>
          </w:p>
        </w:tc>
        <w:tc>
          <w:tcPr>
            <w:tcW w:w="1173" w:type="dxa"/>
            <w:noWrap/>
            <w:vAlign w:val="center"/>
            <w:hideMark/>
          </w:tcPr>
          <w:p w14:paraId="4714EEC6" w14:textId="77777777" w:rsidR="0076189C" w:rsidRPr="00BF3CDE" w:rsidRDefault="0076189C" w:rsidP="008148F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2,763</w:t>
            </w:r>
          </w:p>
        </w:tc>
        <w:tc>
          <w:tcPr>
            <w:tcW w:w="1187" w:type="dxa"/>
            <w:noWrap/>
            <w:vAlign w:val="center"/>
            <w:hideMark/>
          </w:tcPr>
          <w:p w14:paraId="0918F448" w14:textId="77777777" w:rsidR="0076189C" w:rsidRPr="00BF3CDE" w:rsidRDefault="0076189C" w:rsidP="008148F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1.98%</w:t>
            </w:r>
          </w:p>
        </w:tc>
        <w:tc>
          <w:tcPr>
            <w:tcW w:w="1225" w:type="dxa"/>
            <w:noWrap/>
            <w:vAlign w:val="center"/>
            <w:hideMark/>
          </w:tcPr>
          <w:p w14:paraId="1D60132C" w14:textId="77777777" w:rsidR="0076189C" w:rsidRPr="00BF3CDE" w:rsidRDefault="0076189C" w:rsidP="008148F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86.25%</w:t>
            </w:r>
          </w:p>
        </w:tc>
      </w:tr>
      <w:tr w:rsidR="0076189C" w:rsidRPr="00BF3CDE" w14:paraId="5857077A" w14:textId="77777777" w:rsidTr="00D50EE5">
        <w:trPr>
          <w:cnfStyle w:val="010000000000" w:firstRow="0" w:lastRow="1"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432" w:type="dxa"/>
            <w:vAlign w:val="center"/>
            <w:hideMark/>
          </w:tcPr>
          <w:p w14:paraId="7DEBBA2B" w14:textId="77777777" w:rsidR="0076189C" w:rsidRPr="00BF3CDE" w:rsidRDefault="0076189C" w:rsidP="008148F4">
            <w:pPr>
              <w:jc w:val="center"/>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Укупно</w:t>
            </w:r>
          </w:p>
        </w:tc>
        <w:tc>
          <w:tcPr>
            <w:tcW w:w="1230" w:type="dxa"/>
            <w:noWrap/>
            <w:vAlign w:val="center"/>
            <w:hideMark/>
          </w:tcPr>
          <w:p w14:paraId="5751FCA1" w14:textId="77777777" w:rsidR="0076189C" w:rsidRPr="00BF3CDE" w:rsidRDefault="0076189C" w:rsidP="008148F4">
            <w:pPr>
              <w:jc w:val="right"/>
              <w:cnfStyle w:val="010000000000" w:firstRow="0" w:lastRow="1"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179,647</w:t>
            </w:r>
          </w:p>
        </w:tc>
        <w:tc>
          <w:tcPr>
            <w:tcW w:w="1093" w:type="dxa"/>
            <w:noWrap/>
            <w:vAlign w:val="center"/>
            <w:hideMark/>
          </w:tcPr>
          <w:p w14:paraId="7F5593D0" w14:textId="77777777" w:rsidR="0076189C" w:rsidRPr="00BF3CDE" w:rsidRDefault="0076189C" w:rsidP="008148F4">
            <w:pPr>
              <w:jc w:val="right"/>
              <w:cnfStyle w:val="010000000000" w:firstRow="0" w:lastRow="1"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100.00%</w:t>
            </w:r>
          </w:p>
        </w:tc>
        <w:tc>
          <w:tcPr>
            <w:tcW w:w="1173" w:type="dxa"/>
            <w:noWrap/>
            <w:vAlign w:val="center"/>
            <w:hideMark/>
          </w:tcPr>
          <w:p w14:paraId="11147EE9" w14:textId="77777777" w:rsidR="0076189C" w:rsidRPr="00BF3CDE" w:rsidRDefault="0076189C" w:rsidP="008148F4">
            <w:pPr>
              <w:jc w:val="right"/>
              <w:cnfStyle w:val="010000000000" w:firstRow="0" w:lastRow="1"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139,594</w:t>
            </w:r>
          </w:p>
        </w:tc>
        <w:tc>
          <w:tcPr>
            <w:tcW w:w="1187" w:type="dxa"/>
            <w:noWrap/>
            <w:vAlign w:val="center"/>
            <w:hideMark/>
          </w:tcPr>
          <w:p w14:paraId="5A557D4B" w14:textId="77777777" w:rsidR="0076189C" w:rsidRPr="00BF3CDE" w:rsidRDefault="0076189C" w:rsidP="008148F4">
            <w:pPr>
              <w:jc w:val="right"/>
              <w:cnfStyle w:val="010000000000" w:firstRow="0" w:lastRow="1"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100.00%</w:t>
            </w:r>
          </w:p>
        </w:tc>
        <w:tc>
          <w:tcPr>
            <w:tcW w:w="1225" w:type="dxa"/>
            <w:noWrap/>
            <w:vAlign w:val="center"/>
            <w:hideMark/>
          </w:tcPr>
          <w:p w14:paraId="1CB49F7C" w14:textId="77777777" w:rsidR="0076189C" w:rsidRPr="00BF3CDE" w:rsidRDefault="0076189C" w:rsidP="008148F4">
            <w:pPr>
              <w:jc w:val="right"/>
              <w:cnfStyle w:val="010000000000" w:firstRow="0" w:lastRow="1"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128.69%</w:t>
            </w:r>
          </w:p>
        </w:tc>
      </w:tr>
    </w:tbl>
    <w:p w14:paraId="1DC6AC56" w14:textId="77777777" w:rsidR="0076189C" w:rsidRPr="00BF3CDE" w:rsidRDefault="0076189C" w:rsidP="0076189C">
      <w:pPr>
        <w:rPr>
          <w:noProof/>
          <w:sz w:val="6"/>
          <w:szCs w:val="6"/>
          <w:lang w:val="sr-Cyrl-CS" w:eastAsia="ar-SA"/>
        </w:rPr>
      </w:pPr>
    </w:p>
    <w:p w14:paraId="69CE30FD" w14:textId="77777777" w:rsidR="0076189C" w:rsidRPr="00BF3CDE" w:rsidRDefault="0076189C" w:rsidP="008148F4">
      <w:pPr>
        <w:ind w:firstLine="708"/>
        <w:jc w:val="both"/>
        <w:rPr>
          <w:noProof/>
          <w:sz w:val="20"/>
          <w:szCs w:val="20"/>
          <w:lang w:val="sr-Cyrl-CS"/>
        </w:rPr>
      </w:pPr>
      <w:r w:rsidRPr="00BF3CDE">
        <w:rPr>
          <w:noProof/>
          <w:sz w:val="20"/>
          <w:szCs w:val="20"/>
          <w:lang w:val="sr-Cyrl-CS"/>
        </w:rPr>
        <w:t>Расходи од инвестирања су већи за 28,69% у односу на претходну годину. У структури највеће учешће имају расходи по основу  обезвређења акција Дунав банке, а у претходној години обезвређење пласмана у Универзал банци.</w:t>
      </w:r>
    </w:p>
    <w:p w14:paraId="263A3A45" w14:textId="77777777" w:rsidR="00492321" w:rsidRPr="00BF3CDE" w:rsidRDefault="00492321" w:rsidP="002510CA">
      <w:pPr>
        <w:pStyle w:val="Heading1"/>
        <w:numPr>
          <w:ilvl w:val="0"/>
          <w:numId w:val="0"/>
        </w:numPr>
        <w:ind w:left="720"/>
        <w:jc w:val="left"/>
        <w:rPr>
          <w:rFonts w:asciiTheme="majorHAnsi" w:hAnsiTheme="majorHAnsi" w:cs="Tahoma"/>
          <w:i/>
          <w:noProof/>
          <w:color w:val="4F81BD"/>
          <w:sz w:val="22"/>
          <w:szCs w:val="18"/>
          <w:lang w:val="sr-Cyrl-CS"/>
        </w:rPr>
      </w:pPr>
    </w:p>
    <w:p w14:paraId="22DA332C" w14:textId="77777777" w:rsidR="00011135" w:rsidRPr="00BF3CDE" w:rsidRDefault="00011135" w:rsidP="00011135">
      <w:pPr>
        <w:rPr>
          <w:noProof/>
          <w:lang w:val="sr-Cyrl-CS" w:eastAsia="ar-SA"/>
        </w:rPr>
      </w:pPr>
    </w:p>
    <w:p w14:paraId="27E9EB1D" w14:textId="77777777" w:rsidR="00011135" w:rsidRPr="00BF3CDE" w:rsidRDefault="00011135" w:rsidP="00011135">
      <w:pPr>
        <w:rPr>
          <w:noProof/>
          <w:lang w:val="sr-Cyrl-CS" w:eastAsia="ar-SA"/>
        </w:rPr>
      </w:pPr>
    </w:p>
    <w:p w14:paraId="53ED7FFD" w14:textId="77777777" w:rsidR="00492321" w:rsidRPr="00BF3CDE" w:rsidRDefault="00492321" w:rsidP="00BD65A1">
      <w:pPr>
        <w:pStyle w:val="Heading1"/>
        <w:numPr>
          <w:ilvl w:val="1"/>
          <w:numId w:val="7"/>
        </w:numPr>
        <w:jc w:val="left"/>
        <w:rPr>
          <w:rFonts w:asciiTheme="majorHAnsi" w:hAnsiTheme="majorHAnsi" w:cs="Tahoma"/>
          <w:i/>
          <w:noProof/>
          <w:color w:val="4F81BD"/>
          <w:sz w:val="22"/>
          <w:szCs w:val="18"/>
          <w:lang w:val="sr-Cyrl-CS"/>
        </w:rPr>
      </w:pPr>
      <w:bookmarkStart w:id="50" w:name="_Toc414356830"/>
      <w:r w:rsidRPr="00BF3CDE">
        <w:rPr>
          <w:rFonts w:asciiTheme="majorHAnsi" w:hAnsiTheme="majorHAnsi" w:cs="Tahoma"/>
          <w:i/>
          <w:noProof/>
          <w:color w:val="4F81BD"/>
          <w:sz w:val="22"/>
          <w:szCs w:val="18"/>
          <w:lang w:val="sr-Cyrl-CS"/>
        </w:rPr>
        <w:lastRenderedPageBreak/>
        <w:t>ОСТВАРЕНИ РЕЗУЛТАТИ У ПЕРИОДУ 01.01. - 31.12.201</w:t>
      </w:r>
      <w:r w:rsidR="00875B15" w:rsidRPr="00BF3CDE">
        <w:rPr>
          <w:rFonts w:asciiTheme="majorHAnsi" w:hAnsiTheme="majorHAnsi" w:cs="Tahoma"/>
          <w:i/>
          <w:noProof/>
          <w:color w:val="4F81BD"/>
          <w:sz w:val="22"/>
          <w:szCs w:val="18"/>
          <w:lang w:val="sr-Cyrl-CS"/>
        </w:rPr>
        <w:t>4</w:t>
      </w:r>
      <w:r w:rsidRPr="00BF3CDE">
        <w:rPr>
          <w:rFonts w:asciiTheme="majorHAnsi" w:hAnsiTheme="majorHAnsi" w:cs="Tahoma"/>
          <w:i/>
          <w:noProof/>
          <w:color w:val="4F81BD"/>
          <w:sz w:val="22"/>
          <w:szCs w:val="18"/>
          <w:lang w:val="sr-Cyrl-CS"/>
        </w:rPr>
        <w:t>.</w:t>
      </w:r>
      <w:bookmarkEnd w:id="50"/>
      <w:r w:rsidRPr="00BF3CDE">
        <w:rPr>
          <w:rFonts w:asciiTheme="majorHAnsi" w:hAnsiTheme="majorHAnsi" w:cs="Tahoma"/>
          <w:i/>
          <w:noProof/>
          <w:color w:val="4F81BD"/>
          <w:sz w:val="22"/>
          <w:szCs w:val="18"/>
          <w:lang w:val="sr-Cyrl-CS"/>
        </w:rPr>
        <w:t xml:space="preserve"> </w:t>
      </w:r>
    </w:p>
    <w:p w14:paraId="5953FF8D" w14:textId="77777777" w:rsidR="006C1E1A" w:rsidRDefault="0019190C" w:rsidP="00BD65A1">
      <w:pPr>
        <w:pStyle w:val="NoSpacing"/>
        <w:jc w:val="right"/>
        <w:rPr>
          <w:noProof/>
          <w:sz w:val="20"/>
          <w:lang w:val="sr-Cyrl-CS"/>
        </w:rPr>
      </w:pPr>
      <w:r w:rsidRPr="00BD65A1">
        <w:rPr>
          <w:noProof/>
          <w:sz w:val="20"/>
          <w:lang w:val="sr-Cyrl-CS"/>
        </w:rPr>
        <w:t>у 000 РСД</w:t>
      </w:r>
    </w:p>
    <w:tbl>
      <w:tblPr>
        <w:tblW w:w="10770" w:type="dxa"/>
        <w:jc w:val="center"/>
        <w:tblInd w:w="-743" w:type="dxa"/>
        <w:tblLayout w:type="fixed"/>
        <w:tblLook w:val="04A0" w:firstRow="1" w:lastRow="0" w:firstColumn="1" w:lastColumn="0" w:noHBand="0" w:noVBand="1"/>
      </w:tblPr>
      <w:tblGrid>
        <w:gridCol w:w="634"/>
        <w:gridCol w:w="4209"/>
        <w:gridCol w:w="1134"/>
        <w:gridCol w:w="1134"/>
        <w:gridCol w:w="1119"/>
        <w:gridCol w:w="1270"/>
        <w:gridCol w:w="1270"/>
      </w:tblGrid>
      <w:tr w:rsidR="004E6E16" w:rsidRPr="006C0D6C" w14:paraId="4C2ECF35" w14:textId="77777777" w:rsidTr="004E6E16">
        <w:trPr>
          <w:trHeight w:val="907"/>
          <w:jc w:val="center"/>
        </w:trPr>
        <w:tc>
          <w:tcPr>
            <w:tcW w:w="634" w:type="dxa"/>
            <w:tcBorders>
              <w:top w:val="double" w:sz="6" w:space="0" w:color="auto"/>
              <w:left w:val="nil"/>
              <w:bottom w:val="double" w:sz="6" w:space="0" w:color="auto"/>
              <w:right w:val="nil"/>
            </w:tcBorders>
            <w:shd w:val="clear" w:color="auto" w:fill="auto"/>
            <w:vAlign w:val="center"/>
            <w:hideMark/>
          </w:tcPr>
          <w:p w14:paraId="342C8504" w14:textId="77777777" w:rsidR="004E6E16" w:rsidRPr="006C0D6C" w:rsidRDefault="004E6E16" w:rsidP="004E6E16">
            <w:pPr>
              <w:spacing w:after="0" w:line="240" w:lineRule="auto"/>
              <w:jc w:val="center"/>
              <w:rPr>
                <w:rFonts w:ascii="Verdana" w:eastAsia="Times New Roman" w:hAnsi="Verdana" w:cs="Calibri"/>
                <w:b/>
                <w:bCs/>
                <w:noProof/>
                <w:color w:val="000000"/>
                <w:sz w:val="16"/>
                <w:szCs w:val="16"/>
                <w:lang w:val="sr-Cyrl-RS" w:eastAsia="sr-Latn-RS"/>
              </w:rPr>
            </w:pPr>
            <w:r w:rsidRPr="006C0D6C">
              <w:rPr>
                <w:rFonts w:ascii="Verdana" w:eastAsia="Times New Roman" w:hAnsi="Verdana" w:cs="Calibri"/>
                <w:b/>
                <w:bCs/>
                <w:noProof/>
                <w:color w:val="000000"/>
                <w:sz w:val="16"/>
                <w:szCs w:val="16"/>
                <w:lang w:val="sr-Cyrl-RS" w:eastAsia="sr-Latn-RS"/>
              </w:rPr>
              <w:t>Р. Бр.</w:t>
            </w:r>
          </w:p>
        </w:tc>
        <w:tc>
          <w:tcPr>
            <w:tcW w:w="4209" w:type="dxa"/>
            <w:tcBorders>
              <w:top w:val="double" w:sz="6" w:space="0" w:color="auto"/>
              <w:left w:val="nil"/>
              <w:bottom w:val="double" w:sz="6" w:space="0" w:color="auto"/>
              <w:right w:val="nil"/>
            </w:tcBorders>
            <w:shd w:val="clear" w:color="auto" w:fill="auto"/>
            <w:vAlign w:val="center"/>
            <w:hideMark/>
          </w:tcPr>
          <w:p w14:paraId="2AF7C917" w14:textId="77777777" w:rsidR="004E6E16" w:rsidRPr="006C0D6C" w:rsidRDefault="004E6E16" w:rsidP="004E6E16">
            <w:pPr>
              <w:spacing w:after="0" w:line="240" w:lineRule="auto"/>
              <w:jc w:val="center"/>
              <w:rPr>
                <w:rFonts w:ascii="Verdana" w:eastAsia="Times New Roman" w:hAnsi="Verdana" w:cs="Calibri"/>
                <w:b/>
                <w:bCs/>
                <w:noProof/>
                <w:color w:val="000000"/>
                <w:sz w:val="16"/>
                <w:szCs w:val="16"/>
                <w:lang w:val="sr-Cyrl-RS" w:eastAsia="sr-Latn-RS"/>
              </w:rPr>
            </w:pPr>
            <w:r w:rsidRPr="006C0D6C">
              <w:rPr>
                <w:rFonts w:ascii="Verdana" w:eastAsia="Times New Roman" w:hAnsi="Verdana" w:cs="Calibri"/>
                <w:b/>
                <w:bCs/>
                <w:noProof/>
                <w:color w:val="000000"/>
                <w:sz w:val="16"/>
                <w:szCs w:val="16"/>
                <w:lang w:val="sr-Cyrl-RS" w:eastAsia="sr-Latn-RS"/>
              </w:rPr>
              <w:t>КАТЕГОРИЈА</w:t>
            </w:r>
          </w:p>
        </w:tc>
        <w:tc>
          <w:tcPr>
            <w:tcW w:w="1134" w:type="dxa"/>
            <w:tcBorders>
              <w:top w:val="double" w:sz="6" w:space="0" w:color="auto"/>
              <w:left w:val="nil"/>
              <w:bottom w:val="double" w:sz="6" w:space="0" w:color="auto"/>
              <w:right w:val="nil"/>
            </w:tcBorders>
            <w:shd w:val="clear" w:color="auto" w:fill="auto"/>
            <w:vAlign w:val="center"/>
            <w:hideMark/>
          </w:tcPr>
          <w:p w14:paraId="7EEA3AA3" w14:textId="77777777" w:rsidR="004E6E16" w:rsidRPr="006C0D6C" w:rsidRDefault="004E6E16" w:rsidP="004E6E16">
            <w:pPr>
              <w:spacing w:after="0" w:line="240" w:lineRule="auto"/>
              <w:jc w:val="center"/>
              <w:rPr>
                <w:rFonts w:ascii="Verdana" w:eastAsia="Times New Roman" w:hAnsi="Verdana" w:cs="Calibri"/>
                <w:b/>
                <w:bCs/>
                <w:noProof/>
                <w:color w:val="000000"/>
                <w:sz w:val="16"/>
                <w:szCs w:val="16"/>
                <w:lang w:val="sr-Cyrl-RS" w:eastAsia="sr-Latn-RS"/>
              </w:rPr>
            </w:pPr>
            <w:r w:rsidRPr="006C0D6C">
              <w:rPr>
                <w:rFonts w:ascii="Verdana" w:eastAsia="Times New Roman" w:hAnsi="Verdana" w:cs="Calibri"/>
                <w:b/>
                <w:bCs/>
                <w:noProof/>
                <w:color w:val="000000"/>
                <w:sz w:val="16"/>
                <w:szCs w:val="16"/>
                <w:lang w:val="sr-Cyrl-RS" w:eastAsia="sr-Latn-RS"/>
              </w:rPr>
              <w:t>Изврш. у 2013</w:t>
            </w:r>
          </w:p>
        </w:tc>
        <w:tc>
          <w:tcPr>
            <w:tcW w:w="1134" w:type="dxa"/>
            <w:tcBorders>
              <w:top w:val="double" w:sz="6" w:space="0" w:color="auto"/>
              <w:left w:val="nil"/>
              <w:bottom w:val="double" w:sz="6" w:space="0" w:color="auto"/>
              <w:right w:val="nil"/>
            </w:tcBorders>
            <w:shd w:val="clear" w:color="auto" w:fill="auto"/>
            <w:vAlign w:val="center"/>
            <w:hideMark/>
          </w:tcPr>
          <w:p w14:paraId="7AD883C2" w14:textId="77777777" w:rsidR="004E6E16" w:rsidRPr="006C0D6C" w:rsidRDefault="004E6E16" w:rsidP="004E6E16">
            <w:pPr>
              <w:spacing w:after="0" w:line="240" w:lineRule="auto"/>
              <w:jc w:val="center"/>
              <w:rPr>
                <w:rFonts w:ascii="Verdana" w:eastAsia="Times New Roman" w:hAnsi="Verdana" w:cs="Calibri"/>
                <w:b/>
                <w:bCs/>
                <w:noProof/>
                <w:color w:val="000000"/>
                <w:sz w:val="16"/>
                <w:szCs w:val="16"/>
                <w:lang w:val="sr-Cyrl-RS" w:eastAsia="sr-Latn-RS"/>
              </w:rPr>
            </w:pPr>
            <w:r w:rsidRPr="006C0D6C">
              <w:rPr>
                <w:rFonts w:ascii="Verdana" w:eastAsia="Times New Roman" w:hAnsi="Verdana" w:cs="Calibri"/>
                <w:b/>
                <w:bCs/>
                <w:noProof/>
                <w:color w:val="000000"/>
                <w:sz w:val="16"/>
                <w:szCs w:val="16"/>
                <w:lang w:val="sr-Cyrl-RS" w:eastAsia="sr-Latn-RS"/>
              </w:rPr>
              <w:t>План за 2014.</w:t>
            </w:r>
          </w:p>
        </w:tc>
        <w:tc>
          <w:tcPr>
            <w:tcW w:w="1119" w:type="dxa"/>
            <w:tcBorders>
              <w:top w:val="double" w:sz="6" w:space="0" w:color="auto"/>
              <w:left w:val="nil"/>
              <w:bottom w:val="double" w:sz="6" w:space="0" w:color="auto"/>
              <w:right w:val="nil"/>
            </w:tcBorders>
            <w:shd w:val="clear" w:color="auto" w:fill="auto"/>
            <w:vAlign w:val="center"/>
            <w:hideMark/>
          </w:tcPr>
          <w:p w14:paraId="5F43B61E" w14:textId="77777777" w:rsidR="004E6E16" w:rsidRPr="006C0D6C" w:rsidRDefault="004E6E16" w:rsidP="004E6E16">
            <w:pPr>
              <w:spacing w:after="0" w:line="240" w:lineRule="auto"/>
              <w:jc w:val="center"/>
              <w:rPr>
                <w:rFonts w:ascii="Verdana" w:eastAsia="Times New Roman" w:hAnsi="Verdana" w:cs="Calibri"/>
                <w:b/>
                <w:bCs/>
                <w:noProof/>
                <w:color w:val="000000"/>
                <w:sz w:val="16"/>
                <w:szCs w:val="16"/>
                <w:lang w:val="sr-Cyrl-RS" w:eastAsia="sr-Latn-RS"/>
              </w:rPr>
            </w:pPr>
            <w:r w:rsidRPr="006C0D6C">
              <w:rPr>
                <w:rFonts w:ascii="Verdana" w:eastAsia="Times New Roman" w:hAnsi="Verdana" w:cs="Calibri"/>
                <w:b/>
                <w:bCs/>
                <w:noProof/>
                <w:color w:val="000000"/>
                <w:sz w:val="16"/>
                <w:szCs w:val="16"/>
                <w:lang w:val="sr-Cyrl-RS" w:eastAsia="sr-Latn-RS"/>
              </w:rPr>
              <w:t>Изврш. у 2014.</w:t>
            </w:r>
          </w:p>
        </w:tc>
        <w:tc>
          <w:tcPr>
            <w:tcW w:w="1270" w:type="dxa"/>
            <w:tcBorders>
              <w:top w:val="double" w:sz="6" w:space="0" w:color="auto"/>
              <w:left w:val="nil"/>
              <w:bottom w:val="double" w:sz="6" w:space="0" w:color="auto"/>
              <w:right w:val="nil"/>
            </w:tcBorders>
            <w:shd w:val="clear" w:color="auto" w:fill="auto"/>
            <w:vAlign w:val="center"/>
            <w:hideMark/>
          </w:tcPr>
          <w:p w14:paraId="43AE747D" w14:textId="77777777" w:rsidR="004E6E16" w:rsidRDefault="004E6E16" w:rsidP="004E6E16">
            <w:pPr>
              <w:spacing w:after="0" w:line="240" w:lineRule="auto"/>
              <w:jc w:val="center"/>
              <w:rPr>
                <w:rFonts w:ascii="Verdana" w:eastAsia="Times New Roman" w:hAnsi="Verdana" w:cs="Calibri"/>
                <w:b/>
                <w:bCs/>
                <w:noProof/>
                <w:color w:val="000000"/>
                <w:sz w:val="16"/>
                <w:szCs w:val="16"/>
                <w:lang w:val="sr-Cyrl-RS" w:eastAsia="sr-Latn-RS"/>
              </w:rPr>
            </w:pPr>
          </w:p>
          <w:p w14:paraId="16B7C637" w14:textId="77777777" w:rsidR="004E6E16" w:rsidRPr="006C0D6C" w:rsidRDefault="004E6E16" w:rsidP="004E6E16">
            <w:pPr>
              <w:spacing w:after="0" w:line="240" w:lineRule="auto"/>
              <w:jc w:val="center"/>
              <w:rPr>
                <w:rFonts w:ascii="Verdana" w:eastAsia="Times New Roman" w:hAnsi="Verdana" w:cs="Calibri"/>
                <w:b/>
                <w:bCs/>
                <w:noProof/>
                <w:color w:val="000000"/>
                <w:sz w:val="16"/>
                <w:szCs w:val="16"/>
                <w:lang w:val="sr-Cyrl-RS" w:eastAsia="sr-Latn-RS"/>
              </w:rPr>
            </w:pPr>
            <w:r w:rsidRPr="006C0D6C">
              <w:rPr>
                <w:rFonts w:ascii="Verdana" w:eastAsia="Times New Roman" w:hAnsi="Verdana" w:cs="Calibri"/>
                <w:b/>
                <w:bCs/>
                <w:noProof/>
                <w:color w:val="000000"/>
                <w:sz w:val="16"/>
                <w:szCs w:val="16"/>
                <w:lang w:val="sr-Cyrl-RS" w:eastAsia="sr-Latn-RS"/>
              </w:rPr>
              <w:t>Индекс (извршења у 201</w:t>
            </w:r>
            <w:r>
              <w:rPr>
                <w:rFonts w:ascii="Verdana" w:eastAsia="Times New Roman" w:hAnsi="Verdana" w:cs="Calibri"/>
                <w:b/>
                <w:bCs/>
                <w:noProof/>
                <w:color w:val="000000"/>
                <w:sz w:val="16"/>
                <w:szCs w:val="16"/>
                <w:lang w:val="sr-Cyrl-RS" w:eastAsia="sr-Latn-RS"/>
              </w:rPr>
              <w:t>4</w:t>
            </w:r>
            <w:r w:rsidRPr="006C0D6C">
              <w:rPr>
                <w:rFonts w:ascii="Verdana" w:eastAsia="Times New Roman" w:hAnsi="Verdana" w:cs="Calibri"/>
                <w:b/>
                <w:bCs/>
                <w:noProof/>
                <w:color w:val="000000"/>
                <w:sz w:val="16"/>
                <w:szCs w:val="16"/>
                <w:lang w:val="sr-Cyrl-RS" w:eastAsia="sr-Latn-RS"/>
              </w:rPr>
              <w:t>/ извршења у 201</w:t>
            </w:r>
            <w:r>
              <w:rPr>
                <w:rFonts w:ascii="Verdana" w:eastAsia="Times New Roman" w:hAnsi="Verdana" w:cs="Calibri"/>
                <w:b/>
                <w:bCs/>
                <w:noProof/>
                <w:color w:val="000000"/>
                <w:sz w:val="16"/>
                <w:szCs w:val="16"/>
                <w:lang w:val="sr-Cyrl-RS" w:eastAsia="sr-Latn-RS"/>
              </w:rPr>
              <w:t>3</w:t>
            </w:r>
          </w:p>
        </w:tc>
        <w:tc>
          <w:tcPr>
            <w:tcW w:w="1270" w:type="dxa"/>
            <w:tcBorders>
              <w:top w:val="double" w:sz="6" w:space="0" w:color="auto"/>
              <w:left w:val="nil"/>
              <w:bottom w:val="double" w:sz="6" w:space="0" w:color="auto"/>
              <w:right w:val="nil"/>
            </w:tcBorders>
            <w:shd w:val="clear" w:color="auto" w:fill="auto"/>
            <w:vAlign w:val="center"/>
            <w:hideMark/>
          </w:tcPr>
          <w:p w14:paraId="233BE78D" w14:textId="77777777" w:rsidR="004E6E16" w:rsidRPr="006C0D6C" w:rsidRDefault="004E6E16" w:rsidP="004E6E16">
            <w:pPr>
              <w:spacing w:after="0" w:line="240" w:lineRule="auto"/>
              <w:jc w:val="center"/>
              <w:rPr>
                <w:rFonts w:ascii="Verdana" w:eastAsia="Times New Roman" w:hAnsi="Verdana" w:cs="Calibri"/>
                <w:b/>
                <w:bCs/>
                <w:noProof/>
                <w:color w:val="000000"/>
                <w:sz w:val="16"/>
                <w:szCs w:val="16"/>
                <w:lang w:val="sr-Cyrl-RS" w:eastAsia="sr-Latn-RS"/>
              </w:rPr>
            </w:pPr>
            <w:r w:rsidRPr="006C0D6C">
              <w:rPr>
                <w:rFonts w:ascii="Verdana" w:eastAsia="Times New Roman" w:hAnsi="Verdana" w:cs="Calibri"/>
                <w:b/>
                <w:bCs/>
                <w:noProof/>
                <w:color w:val="000000"/>
                <w:sz w:val="16"/>
                <w:szCs w:val="16"/>
                <w:lang w:val="sr-Cyrl-RS" w:eastAsia="sr-Latn-RS"/>
              </w:rPr>
              <w:t>Индекс (извршења у 201</w:t>
            </w:r>
            <w:r>
              <w:rPr>
                <w:rFonts w:ascii="Verdana" w:eastAsia="Times New Roman" w:hAnsi="Verdana" w:cs="Calibri"/>
                <w:b/>
                <w:bCs/>
                <w:noProof/>
                <w:color w:val="000000"/>
                <w:sz w:val="16"/>
                <w:szCs w:val="16"/>
                <w:lang w:val="sr-Cyrl-RS" w:eastAsia="sr-Latn-RS"/>
              </w:rPr>
              <w:t>4</w:t>
            </w:r>
            <w:r w:rsidRPr="006C0D6C">
              <w:rPr>
                <w:rFonts w:ascii="Verdana" w:eastAsia="Times New Roman" w:hAnsi="Verdana" w:cs="Calibri"/>
                <w:b/>
                <w:bCs/>
                <w:noProof/>
                <w:color w:val="000000"/>
                <w:sz w:val="16"/>
                <w:szCs w:val="16"/>
                <w:lang w:val="sr-Cyrl-RS" w:eastAsia="sr-Latn-RS"/>
              </w:rPr>
              <w:t xml:space="preserve">/ </w:t>
            </w:r>
            <w:r>
              <w:rPr>
                <w:rFonts w:ascii="Verdana" w:eastAsia="Times New Roman" w:hAnsi="Verdana" w:cs="Calibri"/>
                <w:b/>
                <w:bCs/>
                <w:noProof/>
                <w:color w:val="000000"/>
                <w:sz w:val="16"/>
                <w:szCs w:val="16"/>
                <w:lang w:val="sr-Cyrl-RS" w:eastAsia="sr-Latn-RS"/>
              </w:rPr>
              <w:t>план 2014</w:t>
            </w:r>
            <w:r w:rsidRPr="006C0D6C">
              <w:rPr>
                <w:rFonts w:ascii="Verdana" w:eastAsia="Times New Roman" w:hAnsi="Verdana" w:cs="Calibri"/>
                <w:b/>
                <w:bCs/>
                <w:noProof/>
                <w:color w:val="000000"/>
                <w:sz w:val="16"/>
                <w:szCs w:val="16"/>
                <w:lang w:val="sr-Cyrl-RS" w:eastAsia="sr-Latn-RS"/>
              </w:rPr>
              <w:t>)</w:t>
            </w:r>
          </w:p>
        </w:tc>
      </w:tr>
      <w:tr w:rsidR="004E6E16" w:rsidRPr="006C0D6C" w14:paraId="4E894327" w14:textId="77777777" w:rsidTr="004E6E16">
        <w:trPr>
          <w:trHeight w:val="227"/>
          <w:jc w:val="center"/>
        </w:trPr>
        <w:tc>
          <w:tcPr>
            <w:tcW w:w="634" w:type="dxa"/>
            <w:tcBorders>
              <w:top w:val="nil"/>
              <w:left w:val="nil"/>
              <w:bottom w:val="double" w:sz="6" w:space="0" w:color="auto"/>
              <w:right w:val="nil"/>
            </w:tcBorders>
            <w:shd w:val="clear" w:color="auto" w:fill="auto"/>
            <w:vAlign w:val="center"/>
            <w:hideMark/>
          </w:tcPr>
          <w:p w14:paraId="3AD00CEE" w14:textId="77777777" w:rsidR="004E6E16" w:rsidRPr="006C0D6C" w:rsidRDefault="004E6E16" w:rsidP="004E6E16">
            <w:pPr>
              <w:spacing w:after="0" w:line="240" w:lineRule="auto"/>
              <w:jc w:val="center"/>
              <w:rPr>
                <w:rFonts w:ascii="Verdana" w:eastAsia="Times New Roman" w:hAnsi="Verdana" w:cs="Calibri"/>
                <w:noProof/>
                <w:color w:val="000000"/>
                <w:sz w:val="16"/>
                <w:szCs w:val="16"/>
                <w:lang w:val="sr-Cyrl-RS" w:eastAsia="sr-Latn-RS"/>
              </w:rPr>
            </w:pPr>
            <w:r w:rsidRPr="006C0D6C">
              <w:rPr>
                <w:rFonts w:ascii="Verdana" w:eastAsia="Times New Roman" w:hAnsi="Verdana" w:cs="Calibri"/>
                <w:noProof/>
                <w:color w:val="000000"/>
                <w:sz w:val="16"/>
                <w:szCs w:val="16"/>
                <w:lang w:val="sr-Cyrl-RS" w:eastAsia="sr-Latn-RS"/>
              </w:rPr>
              <w:t>1</w:t>
            </w:r>
          </w:p>
        </w:tc>
        <w:tc>
          <w:tcPr>
            <w:tcW w:w="4209" w:type="dxa"/>
            <w:tcBorders>
              <w:top w:val="nil"/>
              <w:left w:val="nil"/>
              <w:bottom w:val="double" w:sz="6" w:space="0" w:color="auto"/>
              <w:right w:val="nil"/>
            </w:tcBorders>
            <w:shd w:val="clear" w:color="auto" w:fill="auto"/>
            <w:vAlign w:val="center"/>
            <w:hideMark/>
          </w:tcPr>
          <w:p w14:paraId="5A8CD6C8" w14:textId="77777777" w:rsidR="004E6E16" w:rsidRPr="006C0D6C" w:rsidRDefault="004E6E16" w:rsidP="004E6E16">
            <w:pPr>
              <w:spacing w:after="0" w:line="240" w:lineRule="auto"/>
              <w:jc w:val="center"/>
              <w:rPr>
                <w:rFonts w:ascii="Verdana" w:eastAsia="Times New Roman" w:hAnsi="Verdana" w:cs="Calibri"/>
                <w:noProof/>
                <w:color w:val="000000"/>
                <w:sz w:val="16"/>
                <w:szCs w:val="16"/>
                <w:lang w:val="sr-Cyrl-RS" w:eastAsia="sr-Latn-RS"/>
              </w:rPr>
            </w:pPr>
            <w:r w:rsidRPr="006C0D6C">
              <w:rPr>
                <w:rFonts w:ascii="Verdana" w:eastAsia="Times New Roman" w:hAnsi="Verdana" w:cs="Calibri"/>
                <w:noProof/>
                <w:color w:val="000000"/>
                <w:sz w:val="16"/>
                <w:szCs w:val="16"/>
                <w:lang w:val="sr-Cyrl-RS" w:eastAsia="sr-Latn-RS"/>
              </w:rPr>
              <w:t>2</w:t>
            </w:r>
          </w:p>
        </w:tc>
        <w:tc>
          <w:tcPr>
            <w:tcW w:w="1134" w:type="dxa"/>
            <w:tcBorders>
              <w:top w:val="nil"/>
              <w:left w:val="nil"/>
              <w:bottom w:val="double" w:sz="6" w:space="0" w:color="auto"/>
              <w:right w:val="nil"/>
            </w:tcBorders>
            <w:shd w:val="clear" w:color="auto" w:fill="auto"/>
            <w:vAlign w:val="center"/>
            <w:hideMark/>
          </w:tcPr>
          <w:p w14:paraId="6818AC11" w14:textId="77777777" w:rsidR="004E6E16" w:rsidRPr="006C0D6C" w:rsidRDefault="004E6E16" w:rsidP="004E6E16">
            <w:pPr>
              <w:spacing w:after="0" w:line="240" w:lineRule="auto"/>
              <w:jc w:val="center"/>
              <w:rPr>
                <w:rFonts w:ascii="Verdana" w:eastAsia="Times New Roman" w:hAnsi="Verdana" w:cs="Calibri"/>
                <w:noProof/>
                <w:color w:val="000000"/>
                <w:sz w:val="16"/>
                <w:szCs w:val="16"/>
                <w:lang w:val="sr-Cyrl-RS" w:eastAsia="sr-Latn-RS"/>
              </w:rPr>
            </w:pPr>
            <w:r w:rsidRPr="006C0D6C">
              <w:rPr>
                <w:rFonts w:ascii="Verdana" w:eastAsia="Times New Roman" w:hAnsi="Verdana" w:cs="Calibri"/>
                <w:noProof/>
                <w:color w:val="000000"/>
                <w:sz w:val="16"/>
                <w:szCs w:val="16"/>
                <w:lang w:val="sr-Cyrl-RS" w:eastAsia="sr-Latn-RS"/>
              </w:rPr>
              <w:t>3</w:t>
            </w:r>
          </w:p>
        </w:tc>
        <w:tc>
          <w:tcPr>
            <w:tcW w:w="1134" w:type="dxa"/>
            <w:tcBorders>
              <w:top w:val="nil"/>
              <w:left w:val="nil"/>
              <w:bottom w:val="double" w:sz="6" w:space="0" w:color="auto"/>
              <w:right w:val="nil"/>
            </w:tcBorders>
            <w:shd w:val="clear" w:color="auto" w:fill="auto"/>
            <w:vAlign w:val="center"/>
            <w:hideMark/>
          </w:tcPr>
          <w:p w14:paraId="158DFA38" w14:textId="77777777" w:rsidR="004E6E16" w:rsidRPr="006C0D6C" w:rsidRDefault="004E6E16" w:rsidP="004E6E16">
            <w:pPr>
              <w:spacing w:after="0" w:line="240" w:lineRule="auto"/>
              <w:jc w:val="center"/>
              <w:rPr>
                <w:rFonts w:ascii="Verdana" w:eastAsia="Times New Roman" w:hAnsi="Verdana" w:cs="Calibri"/>
                <w:noProof/>
                <w:color w:val="000000"/>
                <w:sz w:val="16"/>
                <w:szCs w:val="16"/>
                <w:lang w:val="sr-Cyrl-RS" w:eastAsia="sr-Latn-RS"/>
              </w:rPr>
            </w:pPr>
            <w:r w:rsidRPr="006C0D6C">
              <w:rPr>
                <w:rFonts w:ascii="Verdana" w:eastAsia="Times New Roman" w:hAnsi="Verdana" w:cs="Calibri"/>
                <w:noProof/>
                <w:color w:val="000000"/>
                <w:sz w:val="16"/>
                <w:szCs w:val="16"/>
                <w:lang w:val="sr-Cyrl-RS" w:eastAsia="sr-Latn-RS"/>
              </w:rPr>
              <w:t>4</w:t>
            </w:r>
          </w:p>
        </w:tc>
        <w:tc>
          <w:tcPr>
            <w:tcW w:w="1119" w:type="dxa"/>
            <w:tcBorders>
              <w:top w:val="nil"/>
              <w:left w:val="nil"/>
              <w:bottom w:val="double" w:sz="6" w:space="0" w:color="auto"/>
              <w:right w:val="nil"/>
            </w:tcBorders>
            <w:shd w:val="clear" w:color="auto" w:fill="auto"/>
            <w:vAlign w:val="center"/>
            <w:hideMark/>
          </w:tcPr>
          <w:p w14:paraId="02C4FB5B" w14:textId="77777777" w:rsidR="004E6E16" w:rsidRPr="006C0D6C" w:rsidRDefault="004E6E16" w:rsidP="004E6E16">
            <w:pPr>
              <w:spacing w:after="0" w:line="240" w:lineRule="auto"/>
              <w:jc w:val="center"/>
              <w:rPr>
                <w:rFonts w:ascii="Verdana" w:eastAsia="Times New Roman" w:hAnsi="Verdana" w:cs="Calibri"/>
                <w:noProof/>
                <w:color w:val="000000"/>
                <w:sz w:val="16"/>
                <w:szCs w:val="16"/>
                <w:lang w:val="sr-Cyrl-RS" w:eastAsia="sr-Latn-RS"/>
              </w:rPr>
            </w:pPr>
            <w:r w:rsidRPr="006C0D6C">
              <w:rPr>
                <w:rFonts w:ascii="Verdana" w:eastAsia="Times New Roman" w:hAnsi="Verdana" w:cs="Calibri"/>
                <w:noProof/>
                <w:color w:val="000000"/>
                <w:sz w:val="16"/>
                <w:szCs w:val="16"/>
                <w:lang w:val="sr-Cyrl-RS" w:eastAsia="sr-Latn-RS"/>
              </w:rPr>
              <w:t>5</w:t>
            </w:r>
          </w:p>
        </w:tc>
        <w:tc>
          <w:tcPr>
            <w:tcW w:w="1270" w:type="dxa"/>
            <w:tcBorders>
              <w:top w:val="nil"/>
              <w:left w:val="nil"/>
              <w:bottom w:val="double" w:sz="6" w:space="0" w:color="auto"/>
              <w:right w:val="nil"/>
            </w:tcBorders>
            <w:shd w:val="clear" w:color="auto" w:fill="auto"/>
            <w:vAlign w:val="center"/>
            <w:hideMark/>
          </w:tcPr>
          <w:p w14:paraId="59EB90B3" w14:textId="77777777" w:rsidR="004E6E16" w:rsidRPr="006C0D6C" w:rsidRDefault="004E6E16" w:rsidP="004E6E16">
            <w:pPr>
              <w:spacing w:after="0" w:line="240" w:lineRule="auto"/>
              <w:jc w:val="center"/>
              <w:rPr>
                <w:rFonts w:ascii="Verdana" w:eastAsia="Times New Roman" w:hAnsi="Verdana" w:cs="Calibri"/>
                <w:noProof/>
                <w:color w:val="000000"/>
                <w:sz w:val="16"/>
                <w:szCs w:val="16"/>
                <w:lang w:val="sr-Cyrl-RS" w:eastAsia="sr-Latn-RS"/>
              </w:rPr>
            </w:pPr>
            <w:r w:rsidRPr="006C0D6C">
              <w:rPr>
                <w:rFonts w:ascii="Verdana" w:eastAsia="Times New Roman" w:hAnsi="Verdana" w:cs="Calibri"/>
                <w:noProof/>
                <w:color w:val="000000"/>
                <w:sz w:val="16"/>
                <w:szCs w:val="16"/>
                <w:lang w:val="sr-Cyrl-RS" w:eastAsia="sr-Latn-RS"/>
              </w:rPr>
              <w:t>7(5/4)</w:t>
            </w:r>
          </w:p>
        </w:tc>
        <w:tc>
          <w:tcPr>
            <w:tcW w:w="1270" w:type="dxa"/>
            <w:tcBorders>
              <w:top w:val="nil"/>
              <w:left w:val="nil"/>
              <w:bottom w:val="double" w:sz="6" w:space="0" w:color="auto"/>
              <w:right w:val="nil"/>
            </w:tcBorders>
            <w:shd w:val="clear" w:color="auto" w:fill="auto"/>
            <w:vAlign w:val="center"/>
            <w:hideMark/>
          </w:tcPr>
          <w:p w14:paraId="3D1AF72D" w14:textId="77777777" w:rsidR="004E6E16" w:rsidRPr="006C0D6C" w:rsidRDefault="004E6E16" w:rsidP="004E6E16">
            <w:pPr>
              <w:spacing w:after="0" w:line="240" w:lineRule="auto"/>
              <w:jc w:val="center"/>
              <w:rPr>
                <w:rFonts w:ascii="Verdana" w:eastAsia="Times New Roman" w:hAnsi="Verdana" w:cs="Calibri"/>
                <w:noProof/>
                <w:color w:val="000000"/>
                <w:sz w:val="16"/>
                <w:szCs w:val="16"/>
                <w:lang w:val="sr-Cyrl-RS" w:eastAsia="sr-Latn-RS"/>
              </w:rPr>
            </w:pPr>
            <w:r w:rsidRPr="006C0D6C">
              <w:rPr>
                <w:rFonts w:ascii="Verdana" w:eastAsia="Times New Roman" w:hAnsi="Verdana" w:cs="Calibri"/>
                <w:noProof/>
                <w:color w:val="000000"/>
                <w:sz w:val="16"/>
                <w:szCs w:val="16"/>
                <w:lang w:val="sr-Cyrl-RS" w:eastAsia="sr-Latn-RS"/>
              </w:rPr>
              <w:t>8</w:t>
            </w:r>
          </w:p>
        </w:tc>
      </w:tr>
      <w:tr w:rsidR="004E6E16" w:rsidRPr="006C0D6C" w14:paraId="6FC92D0C" w14:textId="77777777" w:rsidTr="004E6E16">
        <w:trPr>
          <w:trHeight w:val="227"/>
          <w:jc w:val="center"/>
        </w:trPr>
        <w:tc>
          <w:tcPr>
            <w:tcW w:w="634" w:type="dxa"/>
            <w:tcBorders>
              <w:top w:val="nil"/>
              <w:left w:val="nil"/>
              <w:bottom w:val="single" w:sz="8" w:space="0" w:color="7F7F7F"/>
              <w:right w:val="nil"/>
            </w:tcBorders>
            <w:shd w:val="clear" w:color="auto" w:fill="auto"/>
            <w:vAlign w:val="center"/>
          </w:tcPr>
          <w:p w14:paraId="02E205CA"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1</w:t>
            </w:r>
          </w:p>
        </w:tc>
        <w:tc>
          <w:tcPr>
            <w:tcW w:w="4209" w:type="dxa"/>
            <w:tcBorders>
              <w:top w:val="nil"/>
              <w:left w:val="nil"/>
              <w:bottom w:val="single" w:sz="8" w:space="0" w:color="7F7F7F"/>
              <w:right w:val="nil"/>
            </w:tcBorders>
            <w:shd w:val="clear" w:color="auto" w:fill="auto"/>
            <w:vAlign w:val="center"/>
          </w:tcPr>
          <w:p w14:paraId="3404C8F6" w14:textId="77777777" w:rsidR="004E6E16" w:rsidRPr="002D03B5" w:rsidRDefault="004E6E16" w:rsidP="004E6E16">
            <w:pPr>
              <w:pStyle w:val="NoSpacing"/>
              <w:rPr>
                <w:noProof/>
                <w:sz w:val="16"/>
                <w:szCs w:val="16"/>
                <w:lang w:val="sr-Cyrl-RS"/>
              </w:rPr>
            </w:pPr>
            <w:r w:rsidRPr="002D03B5">
              <w:rPr>
                <w:noProof/>
                <w:sz w:val="16"/>
                <w:szCs w:val="16"/>
                <w:lang w:val="sr-Cyrl-RS"/>
              </w:rPr>
              <w:t>Приходи од премије реосигурања</w:t>
            </w:r>
          </w:p>
        </w:tc>
        <w:tc>
          <w:tcPr>
            <w:tcW w:w="1134" w:type="dxa"/>
            <w:tcBorders>
              <w:top w:val="nil"/>
              <w:left w:val="nil"/>
              <w:bottom w:val="single" w:sz="8" w:space="0" w:color="7F7F7F"/>
              <w:right w:val="nil"/>
            </w:tcBorders>
            <w:shd w:val="clear" w:color="auto" w:fill="auto"/>
            <w:vAlign w:val="center"/>
          </w:tcPr>
          <w:p w14:paraId="369E5026"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2,631,251</w:t>
            </w:r>
          </w:p>
        </w:tc>
        <w:tc>
          <w:tcPr>
            <w:tcW w:w="1134" w:type="dxa"/>
            <w:tcBorders>
              <w:top w:val="nil"/>
              <w:left w:val="nil"/>
              <w:bottom w:val="single" w:sz="8" w:space="0" w:color="7F7F7F"/>
              <w:right w:val="nil"/>
            </w:tcBorders>
            <w:shd w:val="clear" w:color="auto" w:fill="auto"/>
            <w:vAlign w:val="center"/>
          </w:tcPr>
          <w:p w14:paraId="727596EC"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2,600,000</w:t>
            </w:r>
          </w:p>
        </w:tc>
        <w:tc>
          <w:tcPr>
            <w:tcW w:w="1119" w:type="dxa"/>
            <w:tcBorders>
              <w:top w:val="nil"/>
              <w:left w:val="nil"/>
              <w:bottom w:val="single" w:sz="8" w:space="0" w:color="7F7F7F"/>
              <w:right w:val="nil"/>
            </w:tcBorders>
            <w:shd w:val="clear" w:color="auto" w:fill="auto"/>
            <w:vAlign w:val="center"/>
          </w:tcPr>
          <w:p w14:paraId="242BC2C3"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2,272,490</w:t>
            </w:r>
          </w:p>
        </w:tc>
        <w:tc>
          <w:tcPr>
            <w:tcW w:w="1270" w:type="dxa"/>
            <w:tcBorders>
              <w:top w:val="nil"/>
              <w:left w:val="nil"/>
              <w:bottom w:val="single" w:sz="8" w:space="0" w:color="7F7F7F"/>
              <w:right w:val="nil"/>
            </w:tcBorders>
            <w:shd w:val="clear" w:color="auto" w:fill="auto"/>
            <w:vAlign w:val="center"/>
          </w:tcPr>
          <w:p w14:paraId="3DDB8363"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86.37%</w:t>
            </w:r>
          </w:p>
        </w:tc>
        <w:tc>
          <w:tcPr>
            <w:tcW w:w="1270" w:type="dxa"/>
            <w:tcBorders>
              <w:top w:val="nil"/>
              <w:left w:val="nil"/>
              <w:bottom w:val="single" w:sz="8" w:space="0" w:color="7F7F7F"/>
              <w:right w:val="nil"/>
            </w:tcBorders>
            <w:shd w:val="clear" w:color="auto" w:fill="auto"/>
            <w:vAlign w:val="center"/>
          </w:tcPr>
          <w:p w14:paraId="294C50EC"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87.40%</w:t>
            </w:r>
          </w:p>
        </w:tc>
      </w:tr>
      <w:tr w:rsidR="004E6E16" w:rsidRPr="006C0D6C" w14:paraId="0EAA0B72" w14:textId="77777777" w:rsidTr="004E6E16">
        <w:trPr>
          <w:trHeight w:val="227"/>
          <w:jc w:val="center"/>
        </w:trPr>
        <w:tc>
          <w:tcPr>
            <w:tcW w:w="634" w:type="dxa"/>
            <w:tcBorders>
              <w:top w:val="nil"/>
              <w:left w:val="nil"/>
              <w:bottom w:val="single" w:sz="8" w:space="0" w:color="7F7F7F"/>
              <w:right w:val="nil"/>
            </w:tcBorders>
            <w:shd w:val="clear" w:color="auto" w:fill="auto"/>
            <w:vAlign w:val="center"/>
          </w:tcPr>
          <w:p w14:paraId="13D211DC"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2</w:t>
            </w:r>
          </w:p>
        </w:tc>
        <w:tc>
          <w:tcPr>
            <w:tcW w:w="4209" w:type="dxa"/>
            <w:tcBorders>
              <w:top w:val="nil"/>
              <w:left w:val="nil"/>
              <w:bottom w:val="single" w:sz="8" w:space="0" w:color="7F7F7F"/>
              <w:right w:val="nil"/>
            </w:tcBorders>
            <w:shd w:val="clear" w:color="auto" w:fill="auto"/>
            <w:vAlign w:val="center"/>
          </w:tcPr>
          <w:p w14:paraId="7D03D8FE" w14:textId="77777777" w:rsidR="004E6E16" w:rsidRPr="002D03B5" w:rsidRDefault="004E6E16" w:rsidP="004E6E16">
            <w:pPr>
              <w:pStyle w:val="NoSpacing"/>
              <w:rPr>
                <w:noProof/>
                <w:sz w:val="16"/>
                <w:szCs w:val="16"/>
                <w:lang w:val="sr-Cyrl-RS"/>
              </w:rPr>
            </w:pPr>
            <w:r w:rsidRPr="002D03B5">
              <w:rPr>
                <w:noProof/>
                <w:sz w:val="16"/>
                <w:szCs w:val="16"/>
                <w:lang w:val="sr-Cyrl-RS"/>
              </w:rPr>
              <w:t>Расходи по оснoву премије реосигурања</w:t>
            </w:r>
          </w:p>
        </w:tc>
        <w:tc>
          <w:tcPr>
            <w:tcW w:w="1134" w:type="dxa"/>
            <w:tcBorders>
              <w:top w:val="nil"/>
              <w:left w:val="nil"/>
              <w:bottom w:val="single" w:sz="8" w:space="0" w:color="7F7F7F"/>
              <w:right w:val="nil"/>
            </w:tcBorders>
            <w:shd w:val="clear" w:color="auto" w:fill="auto"/>
            <w:vAlign w:val="center"/>
          </w:tcPr>
          <w:p w14:paraId="17A891B2" w14:textId="785F0783" w:rsidR="004E6E16" w:rsidRPr="002D03B5" w:rsidRDefault="00352E9D" w:rsidP="004E6E16">
            <w:pPr>
              <w:pStyle w:val="NoSpacing"/>
              <w:jc w:val="right"/>
              <w:rPr>
                <w:noProof/>
                <w:sz w:val="16"/>
                <w:szCs w:val="16"/>
                <w:lang w:val="sr-Cyrl-RS"/>
              </w:rPr>
            </w:pPr>
            <w:r>
              <w:rPr>
                <w:noProof/>
                <w:sz w:val="16"/>
                <w:szCs w:val="16"/>
                <w:lang w:val="sr-Cyrl-RS"/>
              </w:rPr>
              <w:t>-2,346,829</w:t>
            </w:r>
          </w:p>
        </w:tc>
        <w:tc>
          <w:tcPr>
            <w:tcW w:w="1134" w:type="dxa"/>
            <w:tcBorders>
              <w:top w:val="nil"/>
              <w:left w:val="nil"/>
              <w:bottom w:val="single" w:sz="8" w:space="0" w:color="7F7F7F"/>
              <w:right w:val="nil"/>
            </w:tcBorders>
            <w:shd w:val="clear" w:color="auto" w:fill="auto"/>
            <w:vAlign w:val="center"/>
          </w:tcPr>
          <w:p w14:paraId="38EA1216"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-2,010,000</w:t>
            </w:r>
          </w:p>
        </w:tc>
        <w:tc>
          <w:tcPr>
            <w:tcW w:w="1119" w:type="dxa"/>
            <w:tcBorders>
              <w:top w:val="nil"/>
              <w:left w:val="nil"/>
              <w:bottom w:val="single" w:sz="8" w:space="0" w:color="7F7F7F"/>
              <w:right w:val="nil"/>
            </w:tcBorders>
            <w:shd w:val="clear" w:color="auto" w:fill="auto"/>
            <w:vAlign w:val="center"/>
          </w:tcPr>
          <w:p w14:paraId="06C4A738"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-1,906,199</w:t>
            </w:r>
          </w:p>
        </w:tc>
        <w:tc>
          <w:tcPr>
            <w:tcW w:w="1270" w:type="dxa"/>
            <w:tcBorders>
              <w:top w:val="nil"/>
              <w:left w:val="nil"/>
              <w:bottom w:val="single" w:sz="8" w:space="0" w:color="7F7F7F"/>
              <w:right w:val="nil"/>
            </w:tcBorders>
            <w:shd w:val="clear" w:color="auto" w:fill="auto"/>
            <w:vAlign w:val="center"/>
          </w:tcPr>
          <w:p w14:paraId="414FBEEC" w14:textId="42F5C829" w:rsidR="004E6E16" w:rsidRPr="002D03B5" w:rsidRDefault="004E6E16" w:rsidP="00352E9D">
            <w:pPr>
              <w:pStyle w:val="NoSpacing"/>
              <w:jc w:val="center"/>
              <w:rPr>
                <w:noProof/>
                <w:sz w:val="16"/>
                <w:szCs w:val="16"/>
                <w:lang w:val="sr-Cyrl-RS"/>
              </w:rPr>
            </w:pPr>
            <w:r w:rsidRPr="002D03B5">
              <w:rPr>
                <w:noProof/>
                <w:sz w:val="16"/>
                <w:szCs w:val="16"/>
                <w:lang w:val="sr-Cyrl-RS"/>
              </w:rPr>
              <w:t>8</w:t>
            </w:r>
            <w:r w:rsidR="00352E9D">
              <w:rPr>
                <w:noProof/>
                <w:sz w:val="16"/>
                <w:szCs w:val="16"/>
                <w:lang w:val="sr-Cyrl-RS"/>
              </w:rPr>
              <w:t>1</w:t>
            </w:r>
            <w:r w:rsidRPr="002D03B5">
              <w:rPr>
                <w:noProof/>
                <w:sz w:val="16"/>
                <w:szCs w:val="16"/>
                <w:lang w:val="sr-Cyrl-RS"/>
              </w:rPr>
              <w:t>.</w:t>
            </w:r>
            <w:r w:rsidR="00352E9D">
              <w:rPr>
                <w:noProof/>
                <w:sz w:val="16"/>
                <w:szCs w:val="16"/>
                <w:lang w:val="sr-Cyrl-RS"/>
              </w:rPr>
              <w:t>22</w:t>
            </w:r>
            <w:r w:rsidRPr="002D03B5">
              <w:rPr>
                <w:noProof/>
                <w:sz w:val="16"/>
                <w:szCs w:val="16"/>
                <w:lang w:val="sr-Cyrl-RS"/>
              </w:rPr>
              <w:t>%</w:t>
            </w:r>
          </w:p>
        </w:tc>
        <w:tc>
          <w:tcPr>
            <w:tcW w:w="1270" w:type="dxa"/>
            <w:tcBorders>
              <w:top w:val="nil"/>
              <w:left w:val="nil"/>
              <w:bottom w:val="single" w:sz="8" w:space="0" w:color="7F7F7F"/>
              <w:right w:val="nil"/>
            </w:tcBorders>
            <w:shd w:val="clear" w:color="auto" w:fill="auto"/>
            <w:vAlign w:val="center"/>
          </w:tcPr>
          <w:p w14:paraId="2B5C4AB0"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94.84%</w:t>
            </w:r>
          </w:p>
        </w:tc>
      </w:tr>
      <w:tr w:rsidR="004E6E16" w:rsidRPr="006C0D6C" w14:paraId="33D5C4DB" w14:textId="77777777" w:rsidTr="004E6E16">
        <w:trPr>
          <w:trHeight w:val="227"/>
          <w:jc w:val="center"/>
        </w:trPr>
        <w:tc>
          <w:tcPr>
            <w:tcW w:w="634" w:type="dxa"/>
            <w:tcBorders>
              <w:top w:val="nil"/>
              <w:left w:val="nil"/>
              <w:bottom w:val="single" w:sz="8" w:space="0" w:color="7F7F7F"/>
              <w:right w:val="nil"/>
            </w:tcBorders>
            <w:shd w:val="clear" w:color="auto" w:fill="DBE5F1" w:themeFill="accent1" w:themeFillTint="33"/>
            <w:vAlign w:val="center"/>
          </w:tcPr>
          <w:p w14:paraId="2C85CF29" w14:textId="77777777" w:rsidR="004E6E16" w:rsidRPr="002D03B5" w:rsidRDefault="004E6E16" w:rsidP="004E6E16">
            <w:pPr>
              <w:pStyle w:val="NoSpacing"/>
              <w:jc w:val="center"/>
              <w:rPr>
                <w:b/>
                <w:noProof/>
                <w:sz w:val="16"/>
                <w:szCs w:val="16"/>
                <w:lang w:val="sr-Cyrl-RS"/>
              </w:rPr>
            </w:pPr>
            <w:r w:rsidRPr="002D03B5">
              <w:rPr>
                <w:b/>
                <w:noProof/>
                <w:sz w:val="16"/>
                <w:szCs w:val="16"/>
                <w:lang w:val="sr-Cyrl-RS"/>
              </w:rPr>
              <w:t>3</w:t>
            </w:r>
          </w:p>
        </w:tc>
        <w:tc>
          <w:tcPr>
            <w:tcW w:w="4209" w:type="dxa"/>
            <w:tcBorders>
              <w:top w:val="nil"/>
              <w:left w:val="nil"/>
              <w:bottom w:val="single" w:sz="8" w:space="0" w:color="7F7F7F"/>
              <w:right w:val="nil"/>
            </w:tcBorders>
            <w:shd w:val="clear" w:color="auto" w:fill="DBE5F1" w:themeFill="accent1" w:themeFillTint="33"/>
            <w:vAlign w:val="center"/>
          </w:tcPr>
          <w:p w14:paraId="24691AF5" w14:textId="77777777" w:rsidR="004E6E16" w:rsidRPr="002D03B5" w:rsidRDefault="004E6E16" w:rsidP="004E6E16">
            <w:pPr>
              <w:pStyle w:val="NoSpacing"/>
              <w:rPr>
                <w:b/>
                <w:noProof/>
                <w:sz w:val="16"/>
                <w:szCs w:val="16"/>
                <w:lang w:val="sr-Cyrl-RS"/>
              </w:rPr>
            </w:pPr>
            <w:r w:rsidRPr="002D03B5">
              <w:rPr>
                <w:b/>
                <w:noProof/>
                <w:sz w:val="16"/>
                <w:szCs w:val="16"/>
                <w:lang w:val="sr-Cyrl-RS"/>
              </w:rPr>
              <w:t>Премија у самопридржају (1+2)</w:t>
            </w:r>
          </w:p>
        </w:tc>
        <w:tc>
          <w:tcPr>
            <w:tcW w:w="1134" w:type="dxa"/>
            <w:tcBorders>
              <w:top w:val="nil"/>
              <w:left w:val="nil"/>
              <w:bottom w:val="single" w:sz="8" w:space="0" w:color="7F7F7F"/>
              <w:right w:val="nil"/>
            </w:tcBorders>
            <w:shd w:val="clear" w:color="auto" w:fill="DBE5F1" w:themeFill="accent1" w:themeFillTint="33"/>
            <w:vAlign w:val="center"/>
          </w:tcPr>
          <w:p w14:paraId="6F3BF248" w14:textId="01121B3C" w:rsidR="004E6E16" w:rsidRPr="002D03B5" w:rsidRDefault="00352E9D" w:rsidP="004E6E16">
            <w:pPr>
              <w:pStyle w:val="NoSpacing"/>
              <w:jc w:val="right"/>
              <w:rPr>
                <w:b/>
                <w:noProof/>
                <w:sz w:val="16"/>
                <w:szCs w:val="16"/>
                <w:lang w:val="sr-Cyrl-RS"/>
              </w:rPr>
            </w:pPr>
            <w:r>
              <w:rPr>
                <w:b/>
                <w:noProof/>
                <w:sz w:val="16"/>
                <w:szCs w:val="16"/>
                <w:lang w:val="sr-Cyrl-RS"/>
              </w:rPr>
              <w:t>284,422</w:t>
            </w:r>
          </w:p>
        </w:tc>
        <w:tc>
          <w:tcPr>
            <w:tcW w:w="1134" w:type="dxa"/>
            <w:tcBorders>
              <w:top w:val="nil"/>
              <w:left w:val="nil"/>
              <w:bottom w:val="single" w:sz="8" w:space="0" w:color="7F7F7F"/>
              <w:right w:val="nil"/>
            </w:tcBorders>
            <w:shd w:val="clear" w:color="auto" w:fill="DBE5F1" w:themeFill="accent1" w:themeFillTint="33"/>
            <w:vAlign w:val="center"/>
          </w:tcPr>
          <w:p w14:paraId="69CAA6B8" w14:textId="77777777" w:rsidR="004E6E16" w:rsidRPr="002D03B5" w:rsidRDefault="004E6E16" w:rsidP="004E6E16">
            <w:pPr>
              <w:pStyle w:val="NoSpacing"/>
              <w:jc w:val="right"/>
              <w:rPr>
                <w:b/>
                <w:noProof/>
                <w:sz w:val="16"/>
                <w:szCs w:val="16"/>
                <w:lang w:val="sr-Cyrl-RS"/>
              </w:rPr>
            </w:pPr>
            <w:r w:rsidRPr="002D03B5">
              <w:rPr>
                <w:b/>
                <w:noProof/>
                <w:sz w:val="16"/>
                <w:szCs w:val="16"/>
                <w:lang w:val="sr-Cyrl-RS"/>
              </w:rPr>
              <w:t>590,000</w:t>
            </w:r>
          </w:p>
        </w:tc>
        <w:tc>
          <w:tcPr>
            <w:tcW w:w="1119" w:type="dxa"/>
            <w:tcBorders>
              <w:top w:val="nil"/>
              <w:left w:val="nil"/>
              <w:bottom w:val="single" w:sz="8" w:space="0" w:color="7F7F7F"/>
              <w:right w:val="nil"/>
            </w:tcBorders>
            <w:shd w:val="clear" w:color="auto" w:fill="DBE5F1" w:themeFill="accent1" w:themeFillTint="33"/>
            <w:vAlign w:val="center"/>
          </w:tcPr>
          <w:p w14:paraId="1E6AD6B5" w14:textId="77777777" w:rsidR="004E6E16" w:rsidRPr="002D03B5" w:rsidRDefault="004E6E16" w:rsidP="004E6E16">
            <w:pPr>
              <w:pStyle w:val="NoSpacing"/>
              <w:jc w:val="right"/>
              <w:rPr>
                <w:b/>
                <w:noProof/>
                <w:sz w:val="16"/>
                <w:szCs w:val="16"/>
                <w:lang w:val="sr-Cyrl-RS"/>
              </w:rPr>
            </w:pPr>
            <w:r w:rsidRPr="002D03B5">
              <w:rPr>
                <w:b/>
                <w:noProof/>
                <w:sz w:val="16"/>
                <w:szCs w:val="16"/>
                <w:lang w:val="sr-Cyrl-RS"/>
              </w:rPr>
              <w:t>366,291</w:t>
            </w:r>
          </w:p>
        </w:tc>
        <w:tc>
          <w:tcPr>
            <w:tcW w:w="1270" w:type="dxa"/>
            <w:tcBorders>
              <w:top w:val="nil"/>
              <w:left w:val="nil"/>
              <w:bottom w:val="single" w:sz="8" w:space="0" w:color="7F7F7F"/>
              <w:right w:val="nil"/>
            </w:tcBorders>
            <w:shd w:val="clear" w:color="auto" w:fill="DBE5F1" w:themeFill="accent1" w:themeFillTint="33"/>
            <w:vAlign w:val="center"/>
          </w:tcPr>
          <w:p w14:paraId="03BBACE2" w14:textId="0276655A" w:rsidR="004E6E16" w:rsidRPr="002D03B5" w:rsidRDefault="00352E9D" w:rsidP="004E6E16">
            <w:pPr>
              <w:pStyle w:val="NoSpacing"/>
              <w:jc w:val="center"/>
              <w:rPr>
                <w:b/>
                <w:noProof/>
                <w:sz w:val="16"/>
                <w:szCs w:val="16"/>
                <w:lang w:val="sr-Cyrl-RS"/>
              </w:rPr>
            </w:pPr>
            <w:r>
              <w:rPr>
                <w:b/>
                <w:noProof/>
                <w:sz w:val="16"/>
                <w:szCs w:val="16"/>
                <w:lang w:val="sr-Cyrl-RS"/>
              </w:rPr>
              <w:t>128,78</w:t>
            </w:r>
            <w:r w:rsidR="004E6E16" w:rsidRPr="002D03B5">
              <w:rPr>
                <w:b/>
                <w:noProof/>
                <w:sz w:val="16"/>
                <w:szCs w:val="16"/>
                <w:lang w:val="sr-Cyrl-RS"/>
              </w:rPr>
              <w:t>%</w:t>
            </w:r>
          </w:p>
        </w:tc>
        <w:tc>
          <w:tcPr>
            <w:tcW w:w="1270" w:type="dxa"/>
            <w:tcBorders>
              <w:top w:val="nil"/>
              <w:left w:val="nil"/>
              <w:bottom w:val="single" w:sz="8" w:space="0" w:color="7F7F7F"/>
              <w:right w:val="nil"/>
            </w:tcBorders>
            <w:shd w:val="clear" w:color="auto" w:fill="DBE5F1" w:themeFill="accent1" w:themeFillTint="33"/>
            <w:vAlign w:val="center"/>
          </w:tcPr>
          <w:p w14:paraId="51E40662" w14:textId="77777777" w:rsidR="004E6E16" w:rsidRPr="002D03B5" w:rsidRDefault="004E6E16" w:rsidP="004E6E16">
            <w:pPr>
              <w:pStyle w:val="NoSpacing"/>
              <w:jc w:val="center"/>
              <w:rPr>
                <w:b/>
                <w:noProof/>
                <w:sz w:val="16"/>
                <w:szCs w:val="16"/>
                <w:lang w:val="sr-Cyrl-RS"/>
              </w:rPr>
            </w:pPr>
            <w:r w:rsidRPr="002D03B5">
              <w:rPr>
                <w:b/>
                <w:noProof/>
                <w:sz w:val="16"/>
                <w:szCs w:val="16"/>
                <w:lang w:val="sr-Cyrl-RS"/>
              </w:rPr>
              <w:t>62.08%</w:t>
            </w:r>
          </w:p>
        </w:tc>
      </w:tr>
      <w:tr w:rsidR="004E6E16" w:rsidRPr="006C0D6C" w14:paraId="5F18FFAB" w14:textId="77777777" w:rsidTr="004E6E16">
        <w:trPr>
          <w:trHeight w:val="283"/>
          <w:jc w:val="center"/>
        </w:trPr>
        <w:tc>
          <w:tcPr>
            <w:tcW w:w="634" w:type="dxa"/>
            <w:tcBorders>
              <w:top w:val="nil"/>
              <w:left w:val="nil"/>
              <w:bottom w:val="single" w:sz="8" w:space="0" w:color="7F7F7F"/>
              <w:right w:val="nil"/>
            </w:tcBorders>
            <w:shd w:val="clear" w:color="auto" w:fill="auto"/>
            <w:vAlign w:val="center"/>
          </w:tcPr>
          <w:p w14:paraId="2AEDC493"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4</w:t>
            </w:r>
          </w:p>
        </w:tc>
        <w:tc>
          <w:tcPr>
            <w:tcW w:w="4209" w:type="dxa"/>
            <w:tcBorders>
              <w:top w:val="nil"/>
              <w:left w:val="nil"/>
              <w:bottom w:val="single" w:sz="8" w:space="0" w:color="7F7F7F"/>
              <w:right w:val="nil"/>
            </w:tcBorders>
            <w:shd w:val="clear" w:color="auto" w:fill="auto"/>
            <w:vAlign w:val="center"/>
          </w:tcPr>
          <w:p w14:paraId="7E9B0C06" w14:textId="77777777" w:rsidR="004E6E16" w:rsidRPr="002D03B5" w:rsidRDefault="004E6E16" w:rsidP="004E6E16">
            <w:pPr>
              <w:pStyle w:val="NoSpacing"/>
              <w:rPr>
                <w:noProof/>
                <w:sz w:val="16"/>
                <w:szCs w:val="16"/>
                <w:lang w:val="sr-Cyrl-RS"/>
              </w:rPr>
            </w:pPr>
            <w:r w:rsidRPr="002D03B5">
              <w:rPr>
                <w:noProof/>
                <w:sz w:val="16"/>
                <w:szCs w:val="16"/>
                <w:lang w:val="sr-Cyrl-RS"/>
              </w:rPr>
              <w:t>Приходи од смањења преносне премије у самоприд</w:t>
            </w:r>
            <w:r>
              <w:rPr>
                <w:noProof/>
                <w:sz w:val="16"/>
                <w:szCs w:val="16"/>
                <w:lang w:val="sr-Cyrl-RS"/>
              </w:rPr>
              <w:t>.</w:t>
            </w:r>
          </w:p>
        </w:tc>
        <w:tc>
          <w:tcPr>
            <w:tcW w:w="1134" w:type="dxa"/>
            <w:tcBorders>
              <w:top w:val="nil"/>
              <w:left w:val="nil"/>
              <w:bottom w:val="single" w:sz="8" w:space="0" w:color="7F7F7F"/>
              <w:right w:val="nil"/>
            </w:tcBorders>
            <w:shd w:val="clear" w:color="auto" w:fill="auto"/>
            <w:vAlign w:val="center"/>
          </w:tcPr>
          <w:p w14:paraId="1D292D1B" w14:textId="131AD825" w:rsidR="004E6E16" w:rsidRPr="002D03B5" w:rsidRDefault="00352E9D" w:rsidP="004E6E16">
            <w:pPr>
              <w:pStyle w:val="NoSpacing"/>
              <w:jc w:val="right"/>
              <w:rPr>
                <w:noProof/>
                <w:sz w:val="16"/>
                <w:szCs w:val="16"/>
                <w:lang w:val="sr-Cyrl-RS"/>
              </w:rPr>
            </w:pPr>
            <w:r>
              <w:rPr>
                <w:noProof/>
                <w:sz w:val="16"/>
                <w:szCs w:val="16"/>
                <w:lang w:val="sr-Cyrl-RS"/>
              </w:rPr>
              <w:t>135,535</w:t>
            </w:r>
          </w:p>
        </w:tc>
        <w:tc>
          <w:tcPr>
            <w:tcW w:w="1134" w:type="dxa"/>
            <w:tcBorders>
              <w:top w:val="nil"/>
              <w:left w:val="nil"/>
              <w:bottom w:val="single" w:sz="8" w:space="0" w:color="7F7F7F"/>
              <w:right w:val="nil"/>
            </w:tcBorders>
            <w:shd w:val="clear" w:color="auto" w:fill="auto"/>
            <w:vAlign w:val="center"/>
          </w:tcPr>
          <w:p w14:paraId="4FB42014"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304</w:t>
            </w:r>
          </w:p>
        </w:tc>
        <w:tc>
          <w:tcPr>
            <w:tcW w:w="1119" w:type="dxa"/>
            <w:tcBorders>
              <w:top w:val="nil"/>
              <w:left w:val="nil"/>
              <w:bottom w:val="single" w:sz="8" w:space="0" w:color="7F7F7F"/>
              <w:right w:val="nil"/>
            </w:tcBorders>
            <w:shd w:val="clear" w:color="auto" w:fill="auto"/>
            <w:vAlign w:val="center"/>
          </w:tcPr>
          <w:p w14:paraId="4C3F6CBE"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139</w:t>
            </w:r>
          </w:p>
        </w:tc>
        <w:tc>
          <w:tcPr>
            <w:tcW w:w="1270" w:type="dxa"/>
            <w:tcBorders>
              <w:top w:val="nil"/>
              <w:left w:val="nil"/>
              <w:bottom w:val="single" w:sz="8" w:space="0" w:color="7F7F7F"/>
              <w:right w:val="nil"/>
            </w:tcBorders>
            <w:shd w:val="clear" w:color="auto" w:fill="auto"/>
            <w:vAlign w:val="center"/>
          </w:tcPr>
          <w:p w14:paraId="383B87D2" w14:textId="051A7418" w:rsidR="004E6E16" w:rsidRPr="002D03B5" w:rsidRDefault="00352E9D" w:rsidP="004E6E16">
            <w:pPr>
              <w:pStyle w:val="NoSpacing"/>
              <w:jc w:val="center"/>
              <w:rPr>
                <w:noProof/>
                <w:sz w:val="16"/>
                <w:szCs w:val="16"/>
                <w:lang w:val="sr-Cyrl-RS"/>
              </w:rPr>
            </w:pPr>
            <w:r>
              <w:rPr>
                <w:noProof/>
                <w:sz w:val="16"/>
                <w:szCs w:val="16"/>
                <w:lang w:val="sr-Cyrl-RS"/>
              </w:rPr>
              <w:t>0,10%</w:t>
            </w:r>
          </w:p>
        </w:tc>
        <w:tc>
          <w:tcPr>
            <w:tcW w:w="1270" w:type="dxa"/>
            <w:tcBorders>
              <w:top w:val="nil"/>
              <w:left w:val="nil"/>
              <w:bottom w:val="single" w:sz="8" w:space="0" w:color="7F7F7F"/>
              <w:right w:val="nil"/>
            </w:tcBorders>
            <w:shd w:val="clear" w:color="auto" w:fill="auto"/>
            <w:vAlign w:val="center"/>
          </w:tcPr>
          <w:p w14:paraId="5ED6521D"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45.72%</w:t>
            </w:r>
          </w:p>
        </w:tc>
      </w:tr>
      <w:tr w:rsidR="004E6E16" w:rsidRPr="006C0D6C" w14:paraId="5F09FBE7" w14:textId="77777777" w:rsidTr="004E6E16">
        <w:trPr>
          <w:trHeight w:val="283"/>
          <w:jc w:val="center"/>
        </w:trPr>
        <w:tc>
          <w:tcPr>
            <w:tcW w:w="634" w:type="dxa"/>
            <w:tcBorders>
              <w:top w:val="nil"/>
              <w:left w:val="nil"/>
              <w:bottom w:val="single" w:sz="8" w:space="0" w:color="7F7F7F"/>
              <w:right w:val="nil"/>
            </w:tcBorders>
            <w:shd w:val="clear" w:color="auto" w:fill="auto"/>
            <w:vAlign w:val="center"/>
          </w:tcPr>
          <w:p w14:paraId="5D153ADB"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5</w:t>
            </w:r>
          </w:p>
        </w:tc>
        <w:tc>
          <w:tcPr>
            <w:tcW w:w="4209" w:type="dxa"/>
            <w:tcBorders>
              <w:top w:val="nil"/>
              <w:left w:val="nil"/>
              <w:bottom w:val="single" w:sz="8" w:space="0" w:color="7F7F7F"/>
              <w:right w:val="nil"/>
            </w:tcBorders>
            <w:shd w:val="clear" w:color="auto" w:fill="auto"/>
            <w:vAlign w:val="center"/>
          </w:tcPr>
          <w:p w14:paraId="127FC771" w14:textId="77777777" w:rsidR="004E6E16" w:rsidRPr="002D03B5" w:rsidRDefault="004E6E16" w:rsidP="004E6E16">
            <w:pPr>
              <w:pStyle w:val="NoSpacing"/>
              <w:rPr>
                <w:noProof/>
                <w:sz w:val="16"/>
                <w:szCs w:val="16"/>
                <w:lang w:val="sr-Cyrl-RS"/>
              </w:rPr>
            </w:pPr>
            <w:r w:rsidRPr="002D03B5">
              <w:rPr>
                <w:noProof/>
                <w:sz w:val="16"/>
                <w:szCs w:val="16"/>
                <w:lang w:val="sr-Cyrl-RS"/>
              </w:rPr>
              <w:t>Расходи од повећања преносне премије у самоприд</w:t>
            </w:r>
            <w:r>
              <w:rPr>
                <w:noProof/>
                <w:sz w:val="16"/>
                <w:szCs w:val="16"/>
                <w:lang w:val="sr-Cyrl-RS"/>
              </w:rPr>
              <w:t>.</w:t>
            </w:r>
          </w:p>
        </w:tc>
        <w:tc>
          <w:tcPr>
            <w:tcW w:w="1134" w:type="dxa"/>
            <w:tcBorders>
              <w:top w:val="nil"/>
              <w:left w:val="nil"/>
              <w:bottom w:val="single" w:sz="8" w:space="0" w:color="7F7F7F"/>
              <w:right w:val="nil"/>
            </w:tcBorders>
            <w:shd w:val="clear" w:color="auto" w:fill="auto"/>
            <w:vAlign w:val="center"/>
          </w:tcPr>
          <w:p w14:paraId="4B12F266" w14:textId="07E2C63F" w:rsidR="004E6E16" w:rsidRPr="002D03B5" w:rsidRDefault="004E6E16" w:rsidP="004E6E16">
            <w:pPr>
              <w:pStyle w:val="NoSpacing"/>
              <w:jc w:val="right"/>
              <w:rPr>
                <w:noProof/>
                <w:sz w:val="16"/>
                <w:szCs w:val="16"/>
                <w:lang w:val="sr-Cyrl-RS"/>
              </w:rPr>
            </w:pPr>
          </w:p>
        </w:tc>
        <w:tc>
          <w:tcPr>
            <w:tcW w:w="1134" w:type="dxa"/>
            <w:tcBorders>
              <w:top w:val="nil"/>
              <w:left w:val="nil"/>
              <w:bottom w:val="single" w:sz="8" w:space="0" w:color="7F7F7F"/>
              <w:right w:val="nil"/>
            </w:tcBorders>
            <w:shd w:val="clear" w:color="auto" w:fill="auto"/>
            <w:vAlign w:val="center"/>
          </w:tcPr>
          <w:p w14:paraId="30E9FD4F"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0</w:t>
            </w:r>
          </w:p>
        </w:tc>
        <w:tc>
          <w:tcPr>
            <w:tcW w:w="1119" w:type="dxa"/>
            <w:tcBorders>
              <w:top w:val="nil"/>
              <w:left w:val="nil"/>
              <w:bottom w:val="single" w:sz="8" w:space="0" w:color="7F7F7F"/>
              <w:right w:val="nil"/>
            </w:tcBorders>
            <w:shd w:val="clear" w:color="auto" w:fill="auto"/>
            <w:vAlign w:val="center"/>
          </w:tcPr>
          <w:p w14:paraId="1BA799C4" w14:textId="77777777" w:rsidR="004E6E16" w:rsidRPr="002D03B5" w:rsidRDefault="004E6E16" w:rsidP="004E6E16">
            <w:pPr>
              <w:pStyle w:val="NoSpacing"/>
              <w:jc w:val="right"/>
              <w:rPr>
                <w:noProof/>
                <w:sz w:val="16"/>
                <w:szCs w:val="16"/>
                <w:lang w:val="sr-Cyrl-RS"/>
              </w:rPr>
            </w:pPr>
          </w:p>
        </w:tc>
        <w:tc>
          <w:tcPr>
            <w:tcW w:w="1270" w:type="dxa"/>
            <w:tcBorders>
              <w:top w:val="nil"/>
              <w:left w:val="nil"/>
              <w:bottom w:val="single" w:sz="8" w:space="0" w:color="7F7F7F"/>
              <w:right w:val="nil"/>
            </w:tcBorders>
            <w:shd w:val="clear" w:color="auto" w:fill="auto"/>
            <w:vAlign w:val="center"/>
          </w:tcPr>
          <w:p w14:paraId="07C2B46C"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0.00%</w:t>
            </w:r>
          </w:p>
        </w:tc>
        <w:tc>
          <w:tcPr>
            <w:tcW w:w="1270" w:type="dxa"/>
            <w:tcBorders>
              <w:top w:val="nil"/>
              <w:left w:val="nil"/>
              <w:bottom w:val="single" w:sz="8" w:space="0" w:color="7F7F7F"/>
              <w:right w:val="nil"/>
            </w:tcBorders>
            <w:shd w:val="clear" w:color="auto" w:fill="auto"/>
            <w:vAlign w:val="center"/>
          </w:tcPr>
          <w:p w14:paraId="539039E6" w14:textId="77777777" w:rsidR="004E6E16" w:rsidRPr="002D03B5" w:rsidRDefault="004E6E16" w:rsidP="004E6E16">
            <w:pPr>
              <w:pStyle w:val="NoSpacing"/>
              <w:jc w:val="center"/>
              <w:rPr>
                <w:noProof/>
                <w:sz w:val="16"/>
                <w:szCs w:val="16"/>
                <w:lang w:val="sr-Cyrl-RS"/>
              </w:rPr>
            </w:pPr>
          </w:p>
        </w:tc>
      </w:tr>
      <w:tr w:rsidR="004E6E16" w:rsidRPr="006C0D6C" w14:paraId="4A0D563F" w14:textId="77777777" w:rsidTr="004E6E16">
        <w:trPr>
          <w:trHeight w:val="227"/>
          <w:jc w:val="center"/>
        </w:trPr>
        <w:tc>
          <w:tcPr>
            <w:tcW w:w="634" w:type="dxa"/>
            <w:tcBorders>
              <w:top w:val="nil"/>
              <w:left w:val="nil"/>
              <w:bottom w:val="single" w:sz="8" w:space="0" w:color="7F7F7F"/>
              <w:right w:val="nil"/>
            </w:tcBorders>
            <w:shd w:val="clear" w:color="auto" w:fill="DBE5F1" w:themeFill="accent1" w:themeFillTint="33"/>
            <w:vAlign w:val="center"/>
          </w:tcPr>
          <w:p w14:paraId="1D11B479" w14:textId="77777777" w:rsidR="004E6E16" w:rsidRPr="002D03B5" w:rsidRDefault="004E6E16" w:rsidP="004E6E16">
            <w:pPr>
              <w:pStyle w:val="NoSpacing"/>
              <w:jc w:val="center"/>
              <w:rPr>
                <w:b/>
                <w:noProof/>
                <w:sz w:val="16"/>
                <w:szCs w:val="16"/>
                <w:lang w:val="sr-Cyrl-RS"/>
              </w:rPr>
            </w:pPr>
            <w:r w:rsidRPr="002D03B5">
              <w:rPr>
                <w:b/>
                <w:noProof/>
                <w:sz w:val="16"/>
                <w:szCs w:val="16"/>
                <w:lang w:val="sr-Cyrl-RS"/>
              </w:rPr>
              <w:t>6</w:t>
            </w:r>
          </w:p>
        </w:tc>
        <w:tc>
          <w:tcPr>
            <w:tcW w:w="4209" w:type="dxa"/>
            <w:tcBorders>
              <w:top w:val="nil"/>
              <w:left w:val="nil"/>
              <w:bottom w:val="single" w:sz="8" w:space="0" w:color="7F7F7F"/>
              <w:right w:val="nil"/>
            </w:tcBorders>
            <w:shd w:val="clear" w:color="auto" w:fill="DBE5F1" w:themeFill="accent1" w:themeFillTint="33"/>
            <w:vAlign w:val="center"/>
          </w:tcPr>
          <w:p w14:paraId="4B453A7B" w14:textId="77777777" w:rsidR="004E6E16" w:rsidRPr="002D03B5" w:rsidRDefault="004E6E16" w:rsidP="004E6E16">
            <w:pPr>
              <w:pStyle w:val="NoSpacing"/>
              <w:rPr>
                <w:b/>
                <w:noProof/>
                <w:sz w:val="16"/>
                <w:szCs w:val="16"/>
                <w:lang w:val="sr-Cyrl-RS"/>
              </w:rPr>
            </w:pPr>
            <w:r w:rsidRPr="002D03B5">
              <w:rPr>
                <w:b/>
                <w:noProof/>
                <w:sz w:val="16"/>
                <w:szCs w:val="16"/>
                <w:lang w:val="sr-Cyrl-RS"/>
              </w:rPr>
              <w:t>Резултат преносне премије (4+5)</w:t>
            </w:r>
          </w:p>
        </w:tc>
        <w:tc>
          <w:tcPr>
            <w:tcW w:w="1134" w:type="dxa"/>
            <w:tcBorders>
              <w:top w:val="nil"/>
              <w:left w:val="nil"/>
              <w:bottom w:val="single" w:sz="8" w:space="0" w:color="7F7F7F"/>
              <w:right w:val="nil"/>
            </w:tcBorders>
            <w:shd w:val="clear" w:color="auto" w:fill="DBE5F1" w:themeFill="accent1" w:themeFillTint="33"/>
            <w:vAlign w:val="center"/>
          </w:tcPr>
          <w:p w14:paraId="39E16730" w14:textId="12E8B954" w:rsidR="004E6E16" w:rsidRPr="002D03B5" w:rsidRDefault="00352E9D" w:rsidP="004E6E16">
            <w:pPr>
              <w:pStyle w:val="NoSpacing"/>
              <w:jc w:val="right"/>
              <w:rPr>
                <w:b/>
                <w:noProof/>
                <w:sz w:val="16"/>
                <w:szCs w:val="16"/>
                <w:lang w:val="sr-Cyrl-RS"/>
              </w:rPr>
            </w:pPr>
            <w:r>
              <w:rPr>
                <w:b/>
                <w:noProof/>
                <w:sz w:val="16"/>
                <w:szCs w:val="16"/>
                <w:lang w:val="sr-Cyrl-RS"/>
              </w:rPr>
              <w:t>135,535</w:t>
            </w:r>
          </w:p>
        </w:tc>
        <w:tc>
          <w:tcPr>
            <w:tcW w:w="1134" w:type="dxa"/>
            <w:tcBorders>
              <w:top w:val="nil"/>
              <w:left w:val="nil"/>
              <w:bottom w:val="single" w:sz="8" w:space="0" w:color="7F7F7F"/>
              <w:right w:val="nil"/>
            </w:tcBorders>
            <w:shd w:val="clear" w:color="auto" w:fill="DBE5F1" w:themeFill="accent1" w:themeFillTint="33"/>
            <w:vAlign w:val="center"/>
          </w:tcPr>
          <w:p w14:paraId="17406280" w14:textId="77777777" w:rsidR="004E6E16" w:rsidRPr="002D03B5" w:rsidRDefault="004E6E16" w:rsidP="004E6E16">
            <w:pPr>
              <w:pStyle w:val="NoSpacing"/>
              <w:jc w:val="right"/>
              <w:rPr>
                <w:b/>
                <w:noProof/>
                <w:sz w:val="16"/>
                <w:szCs w:val="16"/>
                <w:lang w:val="sr-Cyrl-RS"/>
              </w:rPr>
            </w:pPr>
            <w:r w:rsidRPr="002D03B5">
              <w:rPr>
                <w:b/>
                <w:noProof/>
                <w:sz w:val="16"/>
                <w:szCs w:val="16"/>
                <w:lang w:val="sr-Cyrl-RS"/>
              </w:rPr>
              <w:t>304</w:t>
            </w:r>
          </w:p>
        </w:tc>
        <w:tc>
          <w:tcPr>
            <w:tcW w:w="1119" w:type="dxa"/>
            <w:tcBorders>
              <w:top w:val="nil"/>
              <w:left w:val="nil"/>
              <w:bottom w:val="single" w:sz="8" w:space="0" w:color="7F7F7F"/>
              <w:right w:val="nil"/>
            </w:tcBorders>
            <w:shd w:val="clear" w:color="auto" w:fill="DBE5F1" w:themeFill="accent1" w:themeFillTint="33"/>
            <w:vAlign w:val="center"/>
          </w:tcPr>
          <w:p w14:paraId="1C0F759C" w14:textId="77777777" w:rsidR="004E6E16" w:rsidRPr="002D03B5" w:rsidRDefault="004E6E16" w:rsidP="004E6E16">
            <w:pPr>
              <w:pStyle w:val="NoSpacing"/>
              <w:jc w:val="right"/>
              <w:rPr>
                <w:b/>
                <w:noProof/>
                <w:sz w:val="16"/>
                <w:szCs w:val="16"/>
                <w:lang w:val="sr-Cyrl-RS"/>
              </w:rPr>
            </w:pPr>
            <w:r w:rsidRPr="002D03B5">
              <w:rPr>
                <w:b/>
                <w:noProof/>
                <w:sz w:val="16"/>
                <w:szCs w:val="16"/>
                <w:lang w:val="sr-Cyrl-RS"/>
              </w:rPr>
              <w:t>139</w:t>
            </w:r>
          </w:p>
        </w:tc>
        <w:tc>
          <w:tcPr>
            <w:tcW w:w="1270" w:type="dxa"/>
            <w:tcBorders>
              <w:top w:val="nil"/>
              <w:left w:val="nil"/>
              <w:bottom w:val="single" w:sz="8" w:space="0" w:color="7F7F7F"/>
              <w:right w:val="nil"/>
            </w:tcBorders>
            <w:shd w:val="clear" w:color="auto" w:fill="DBE5F1" w:themeFill="accent1" w:themeFillTint="33"/>
            <w:vAlign w:val="center"/>
          </w:tcPr>
          <w:p w14:paraId="181FA27D" w14:textId="77777777" w:rsidR="004E6E16" w:rsidRPr="002D03B5" w:rsidRDefault="004E6E16" w:rsidP="004E6E16">
            <w:pPr>
              <w:pStyle w:val="NoSpacing"/>
              <w:jc w:val="center"/>
              <w:rPr>
                <w:b/>
                <w:noProof/>
                <w:sz w:val="16"/>
                <w:szCs w:val="16"/>
                <w:lang w:val="sr-Cyrl-RS"/>
              </w:rPr>
            </w:pPr>
            <w:r w:rsidRPr="002D03B5">
              <w:rPr>
                <w:b/>
                <w:noProof/>
                <w:sz w:val="16"/>
                <w:szCs w:val="16"/>
                <w:lang w:val="sr-Cyrl-RS"/>
              </w:rPr>
              <w:t>-5%</w:t>
            </w:r>
          </w:p>
        </w:tc>
        <w:tc>
          <w:tcPr>
            <w:tcW w:w="1270" w:type="dxa"/>
            <w:tcBorders>
              <w:top w:val="nil"/>
              <w:left w:val="nil"/>
              <w:bottom w:val="single" w:sz="8" w:space="0" w:color="7F7F7F"/>
              <w:right w:val="nil"/>
            </w:tcBorders>
            <w:shd w:val="clear" w:color="auto" w:fill="DBE5F1" w:themeFill="accent1" w:themeFillTint="33"/>
            <w:vAlign w:val="center"/>
          </w:tcPr>
          <w:p w14:paraId="10A94D76" w14:textId="77777777" w:rsidR="004E6E16" w:rsidRPr="002D03B5" w:rsidRDefault="004E6E16" w:rsidP="004E6E16">
            <w:pPr>
              <w:pStyle w:val="NoSpacing"/>
              <w:jc w:val="center"/>
              <w:rPr>
                <w:b/>
                <w:noProof/>
                <w:sz w:val="16"/>
                <w:szCs w:val="16"/>
                <w:lang w:val="sr-Cyrl-RS"/>
              </w:rPr>
            </w:pPr>
            <w:r w:rsidRPr="002D03B5">
              <w:rPr>
                <w:b/>
                <w:noProof/>
                <w:sz w:val="16"/>
                <w:szCs w:val="16"/>
                <w:lang w:val="sr-Cyrl-RS"/>
              </w:rPr>
              <w:t>46%</w:t>
            </w:r>
          </w:p>
        </w:tc>
      </w:tr>
      <w:tr w:rsidR="004E6E16" w:rsidRPr="006C0D6C" w14:paraId="7ED4AF6B" w14:textId="77777777" w:rsidTr="004E6E16">
        <w:trPr>
          <w:trHeight w:val="340"/>
          <w:jc w:val="center"/>
        </w:trPr>
        <w:tc>
          <w:tcPr>
            <w:tcW w:w="634" w:type="dxa"/>
            <w:tcBorders>
              <w:top w:val="nil"/>
              <w:left w:val="nil"/>
              <w:bottom w:val="single" w:sz="8" w:space="0" w:color="7F7F7F"/>
              <w:right w:val="nil"/>
            </w:tcBorders>
            <w:shd w:val="clear" w:color="auto" w:fill="4F81BD" w:themeFill="accent1"/>
            <w:vAlign w:val="center"/>
          </w:tcPr>
          <w:p w14:paraId="7CB2996E" w14:textId="77777777" w:rsidR="004E6E16" w:rsidRPr="002D03B5" w:rsidRDefault="004E6E16" w:rsidP="004E6E16">
            <w:pPr>
              <w:pStyle w:val="NoSpacing"/>
              <w:jc w:val="center"/>
              <w:rPr>
                <w:b/>
                <w:noProof/>
                <w:color w:val="FFFFFF" w:themeColor="background1"/>
                <w:sz w:val="16"/>
                <w:szCs w:val="16"/>
                <w:lang w:val="sr-Cyrl-RS"/>
              </w:rPr>
            </w:pPr>
            <w:r w:rsidRPr="002D03B5">
              <w:rPr>
                <w:b/>
                <w:noProof/>
                <w:color w:val="FFFFFF" w:themeColor="background1"/>
                <w:sz w:val="16"/>
                <w:szCs w:val="16"/>
                <w:lang w:val="sr-Cyrl-RS"/>
              </w:rPr>
              <w:t>7</w:t>
            </w:r>
          </w:p>
        </w:tc>
        <w:tc>
          <w:tcPr>
            <w:tcW w:w="4209" w:type="dxa"/>
            <w:tcBorders>
              <w:top w:val="nil"/>
              <w:left w:val="nil"/>
              <w:bottom w:val="single" w:sz="8" w:space="0" w:color="7F7F7F"/>
              <w:right w:val="nil"/>
            </w:tcBorders>
            <w:shd w:val="clear" w:color="auto" w:fill="4F81BD" w:themeFill="accent1"/>
            <w:vAlign w:val="center"/>
          </w:tcPr>
          <w:p w14:paraId="6AB51C66" w14:textId="77777777" w:rsidR="004E6E16" w:rsidRPr="002D03B5" w:rsidRDefault="004E6E16" w:rsidP="004E6E16">
            <w:pPr>
              <w:pStyle w:val="NoSpacing"/>
              <w:rPr>
                <w:b/>
                <w:noProof/>
                <w:color w:val="FFFFFF" w:themeColor="background1"/>
                <w:sz w:val="16"/>
                <w:szCs w:val="16"/>
                <w:lang w:val="sr-Cyrl-RS"/>
              </w:rPr>
            </w:pPr>
            <w:r w:rsidRPr="002D03B5">
              <w:rPr>
                <w:b/>
                <w:noProof/>
                <w:color w:val="FFFFFF" w:themeColor="background1"/>
                <w:sz w:val="16"/>
                <w:szCs w:val="16"/>
                <w:lang w:val="sr-Cyrl-RS"/>
              </w:rPr>
              <w:t>Пословни (функционални приходи) (3+6)</w:t>
            </w:r>
          </w:p>
        </w:tc>
        <w:tc>
          <w:tcPr>
            <w:tcW w:w="1134" w:type="dxa"/>
            <w:tcBorders>
              <w:top w:val="nil"/>
              <w:left w:val="nil"/>
              <w:bottom w:val="single" w:sz="8" w:space="0" w:color="7F7F7F"/>
              <w:right w:val="nil"/>
            </w:tcBorders>
            <w:shd w:val="clear" w:color="auto" w:fill="4F81BD" w:themeFill="accent1"/>
            <w:vAlign w:val="center"/>
          </w:tcPr>
          <w:p w14:paraId="410F769B" w14:textId="77777777" w:rsidR="004E6E16" w:rsidRPr="002D03B5" w:rsidRDefault="004E6E16" w:rsidP="004E6E16">
            <w:pPr>
              <w:pStyle w:val="NoSpacing"/>
              <w:jc w:val="right"/>
              <w:rPr>
                <w:b/>
                <w:noProof/>
                <w:color w:val="FFFFFF" w:themeColor="background1"/>
                <w:sz w:val="16"/>
                <w:szCs w:val="16"/>
                <w:lang w:val="sr-Cyrl-RS"/>
              </w:rPr>
            </w:pPr>
            <w:r w:rsidRPr="002D03B5">
              <w:rPr>
                <w:b/>
                <w:noProof/>
                <w:color w:val="FFFFFF" w:themeColor="background1"/>
                <w:sz w:val="16"/>
                <w:szCs w:val="16"/>
                <w:lang w:val="sr-Cyrl-RS"/>
              </w:rPr>
              <w:t>419,957</w:t>
            </w:r>
          </w:p>
        </w:tc>
        <w:tc>
          <w:tcPr>
            <w:tcW w:w="1134" w:type="dxa"/>
            <w:tcBorders>
              <w:top w:val="nil"/>
              <w:left w:val="nil"/>
              <w:bottom w:val="single" w:sz="8" w:space="0" w:color="7F7F7F"/>
              <w:right w:val="nil"/>
            </w:tcBorders>
            <w:shd w:val="clear" w:color="auto" w:fill="4F81BD" w:themeFill="accent1"/>
            <w:vAlign w:val="center"/>
          </w:tcPr>
          <w:p w14:paraId="0945F453" w14:textId="77777777" w:rsidR="004E6E16" w:rsidRPr="002D03B5" w:rsidRDefault="004E6E16" w:rsidP="004E6E16">
            <w:pPr>
              <w:pStyle w:val="NoSpacing"/>
              <w:jc w:val="right"/>
              <w:rPr>
                <w:b/>
                <w:noProof/>
                <w:color w:val="FFFFFF" w:themeColor="background1"/>
                <w:sz w:val="16"/>
                <w:szCs w:val="16"/>
                <w:lang w:val="sr-Cyrl-RS"/>
              </w:rPr>
            </w:pPr>
            <w:r w:rsidRPr="002D03B5">
              <w:rPr>
                <w:b/>
                <w:noProof/>
                <w:color w:val="FFFFFF" w:themeColor="background1"/>
                <w:sz w:val="16"/>
                <w:szCs w:val="16"/>
                <w:lang w:val="sr-Cyrl-RS"/>
              </w:rPr>
              <w:t>590,304</w:t>
            </w:r>
          </w:p>
        </w:tc>
        <w:tc>
          <w:tcPr>
            <w:tcW w:w="1119" w:type="dxa"/>
            <w:tcBorders>
              <w:top w:val="nil"/>
              <w:left w:val="nil"/>
              <w:bottom w:val="single" w:sz="8" w:space="0" w:color="7F7F7F"/>
              <w:right w:val="nil"/>
            </w:tcBorders>
            <w:shd w:val="clear" w:color="auto" w:fill="4F81BD" w:themeFill="accent1"/>
            <w:vAlign w:val="center"/>
          </w:tcPr>
          <w:p w14:paraId="5BBAC9BA" w14:textId="77777777" w:rsidR="004E6E16" w:rsidRPr="002D03B5" w:rsidRDefault="004E6E16" w:rsidP="004E6E16">
            <w:pPr>
              <w:pStyle w:val="NoSpacing"/>
              <w:jc w:val="right"/>
              <w:rPr>
                <w:b/>
                <w:noProof/>
                <w:color w:val="FFFFFF" w:themeColor="background1"/>
                <w:sz w:val="16"/>
                <w:szCs w:val="16"/>
                <w:lang w:val="sr-Cyrl-RS"/>
              </w:rPr>
            </w:pPr>
            <w:r w:rsidRPr="002D03B5">
              <w:rPr>
                <w:b/>
                <w:noProof/>
                <w:color w:val="FFFFFF" w:themeColor="background1"/>
                <w:sz w:val="16"/>
                <w:szCs w:val="16"/>
                <w:lang w:val="sr-Cyrl-RS"/>
              </w:rPr>
              <w:t>366,430</w:t>
            </w:r>
          </w:p>
        </w:tc>
        <w:tc>
          <w:tcPr>
            <w:tcW w:w="1270" w:type="dxa"/>
            <w:tcBorders>
              <w:top w:val="nil"/>
              <w:left w:val="nil"/>
              <w:bottom w:val="single" w:sz="8" w:space="0" w:color="7F7F7F"/>
              <w:right w:val="nil"/>
            </w:tcBorders>
            <w:shd w:val="clear" w:color="auto" w:fill="4F81BD" w:themeFill="accent1"/>
            <w:vAlign w:val="center"/>
          </w:tcPr>
          <w:p w14:paraId="27D9B98A" w14:textId="77777777" w:rsidR="004E6E16" w:rsidRPr="002D03B5" w:rsidRDefault="004E6E16" w:rsidP="004E6E16">
            <w:pPr>
              <w:pStyle w:val="NoSpacing"/>
              <w:jc w:val="center"/>
              <w:rPr>
                <w:b/>
                <w:noProof/>
                <w:color w:val="FFFFFF" w:themeColor="background1"/>
                <w:sz w:val="16"/>
                <w:szCs w:val="16"/>
                <w:lang w:val="sr-Cyrl-RS"/>
              </w:rPr>
            </w:pPr>
            <w:r w:rsidRPr="002D03B5">
              <w:rPr>
                <w:b/>
                <w:noProof/>
                <w:color w:val="FFFFFF" w:themeColor="background1"/>
                <w:sz w:val="16"/>
                <w:szCs w:val="16"/>
                <w:lang w:val="sr-Cyrl-RS"/>
              </w:rPr>
              <w:t>87%</w:t>
            </w:r>
          </w:p>
        </w:tc>
        <w:tc>
          <w:tcPr>
            <w:tcW w:w="1270" w:type="dxa"/>
            <w:tcBorders>
              <w:top w:val="nil"/>
              <w:left w:val="nil"/>
              <w:bottom w:val="single" w:sz="8" w:space="0" w:color="7F7F7F"/>
              <w:right w:val="nil"/>
            </w:tcBorders>
            <w:shd w:val="clear" w:color="auto" w:fill="4F81BD" w:themeFill="accent1"/>
            <w:vAlign w:val="center"/>
          </w:tcPr>
          <w:p w14:paraId="66AFBC38" w14:textId="77777777" w:rsidR="004E6E16" w:rsidRPr="002D03B5" w:rsidRDefault="004E6E16" w:rsidP="004E6E16">
            <w:pPr>
              <w:pStyle w:val="NoSpacing"/>
              <w:jc w:val="center"/>
              <w:rPr>
                <w:b/>
                <w:noProof/>
                <w:color w:val="FFFFFF" w:themeColor="background1"/>
                <w:sz w:val="16"/>
                <w:szCs w:val="16"/>
                <w:lang w:val="sr-Cyrl-RS"/>
              </w:rPr>
            </w:pPr>
            <w:r w:rsidRPr="002D03B5">
              <w:rPr>
                <w:b/>
                <w:noProof/>
                <w:color w:val="FFFFFF" w:themeColor="background1"/>
                <w:sz w:val="16"/>
                <w:szCs w:val="16"/>
                <w:lang w:val="sr-Cyrl-RS"/>
              </w:rPr>
              <w:t>62%</w:t>
            </w:r>
          </w:p>
        </w:tc>
      </w:tr>
      <w:tr w:rsidR="004E6E16" w:rsidRPr="006C0D6C" w14:paraId="091335A9" w14:textId="77777777" w:rsidTr="004E6E16">
        <w:trPr>
          <w:trHeight w:val="227"/>
          <w:jc w:val="center"/>
        </w:trPr>
        <w:tc>
          <w:tcPr>
            <w:tcW w:w="634" w:type="dxa"/>
            <w:tcBorders>
              <w:top w:val="nil"/>
              <w:left w:val="nil"/>
              <w:bottom w:val="single" w:sz="8" w:space="0" w:color="7F7F7F"/>
              <w:right w:val="nil"/>
            </w:tcBorders>
            <w:shd w:val="clear" w:color="auto" w:fill="auto"/>
            <w:vAlign w:val="center"/>
          </w:tcPr>
          <w:p w14:paraId="405A9E79"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8</w:t>
            </w:r>
          </w:p>
        </w:tc>
        <w:tc>
          <w:tcPr>
            <w:tcW w:w="4209" w:type="dxa"/>
            <w:tcBorders>
              <w:top w:val="nil"/>
              <w:left w:val="nil"/>
              <w:bottom w:val="single" w:sz="8" w:space="0" w:color="7F7F7F"/>
              <w:right w:val="nil"/>
            </w:tcBorders>
            <w:shd w:val="clear" w:color="auto" w:fill="auto"/>
            <w:vAlign w:val="center"/>
          </w:tcPr>
          <w:p w14:paraId="6F7E5282" w14:textId="77777777" w:rsidR="004E6E16" w:rsidRPr="002D03B5" w:rsidRDefault="004E6E16" w:rsidP="004E6E16">
            <w:pPr>
              <w:pStyle w:val="NoSpacing"/>
              <w:rPr>
                <w:noProof/>
                <w:sz w:val="16"/>
                <w:szCs w:val="16"/>
                <w:lang w:val="sr-Cyrl-RS"/>
              </w:rPr>
            </w:pPr>
            <w:r w:rsidRPr="002D03B5">
              <w:rPr>
                <w:noProof/>
                <w:sz w:val="16"/>
                <w:szCs w:val="16"/>
                <w:lang w:val="sr-Cyrl-RS"/>
              </w:rPr>
              <w:t>Приходи од учешћа у штетама реосигурања</w:t>
            </w:r>
          </w:p>
        </w:tc>
        <w:tc>
          <w:tcPr>
            <w:tcW w:w="1134" w:type="dxa"/>
            <w:tcBorders>
              <w:top w:val="nil"/>
              <w:left w:val="nil"/>
              <w:bottom w:val="single" w:sz="8" w:space="0" w:color="7F7F7F"/>
              <w:right w:val="nil"/>
            </w:tcBorders>
            <w:shd w:val="clear" w:color="auto" w:fill="auto"/>
            <w:vAlign w:val="center"/>
          </w:tcPr>
          <w:p w14:paraId="5C303B2A"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399,751</w:t>
            </w:r>
          </w:p>
        </w:tc>
        <w:tc>
          <w:tcPr>
            <w:tcW w:w="1134" w:type="dxa"/>
            <w:tcBorders>
              <w:top w:val="nil"/>
              <w:left w:val="nil"/>
              <w:bottom w:val="single" w:sz="8" w:space="0" w:color="7F7F7F"/>
              <w:right w:val="nil"/>
            </w:tcBorders>
            <w:shd w:val="clear" w:color="auto" w:fill="auto"/>
            <w:vAlign w:val="center"/>
          </w:tcPr>
          <w:p w14:paraId="415A905A"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440,964</w:t>
            </w:r>
          </w:p>
        </w:tc>
        <w:tc>
          <w:tcPr>
            <w:tcW w:w="1119" w:type="dxa"/>
            <w:tcBorders>
              <w:top w:val="nil"/>
              <w:left w:val="nil"/>
              <w:bottom w:val="single" w:sz="8" w:space="0" w:color="7F7F7F"/>
              <w:right w:val="nil"/>
            </w:tcBorders>
            <w:shd w:val="clear" w:color="auto" w:fill="auto"/>
            <w:vAlign w:val="center"/>
          </w:tcPr>
          <w:p w14:paraId="4A609B38"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453,342</w:t>
            </w:r>
          </w:p>
        </w:tc>
        <w:tc>
          <w:tcPr>
            <w:tcW w:w="1270" w:type="dxa"/>
            <w:tcBorders>
              <w:top w:val="nil"/>
              <w:left w:val="nil"/>
              <w:bottom w:val="single" w:sz="8" w:space="0" w:color="7F7F7F"/>
              <w:right w:val="nil"/>
            </w:tcBorders>
            <w:shd w:val="clear" w:color="auto" w:fill="auto"/>
            <w:vAlign w:val="center"/>
          </w:tcPr>
          <w:p w14:paraId="772F9AF7"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113.41%</w:t>
            </w:r>
          </w:p>
        </w:tc>
        <w:tc>
          <w:tcPr>
            <w:tcW w:w="1270" w:type="dxa"/>
            <w:tcBorders>
              <w:top w:val="nil"/>
              <w:left w:val="nil"/>
              <w:bottom w:val="single" w:sz="8" w:space="0" w:color="7F7F7F"/>
              <w:right w:val="nil"/>
            </w:tcBorders>
            <w:shd w:val="clear" w:color="auto" w:fill="auto"/>
            <w:vAlign w:val="center"/>
          </w:tcPr>
          <w:p w14:paraId="7858FDF2"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102.81%</w:t>
            </w:r>
          </w:p>
        </w:tc>
      </w:tr>
      <w:tr w:rsidR="004E6E16" w:rsidRPr="006C0D6C" w14:paraId="50F49DBE" w14:textId="77777777" w:rsidTr="004E6E16">
        <w:trPr>
          <w:trHeight w:val="227"/>
          <w:jc w:val="center"/>
        </w:trPr>
        <w:tc>
          <w:tcPr>
            <w:tcW w:w="634" w:type="dxa"/>
            <w:tcBorders>
              <w:top w:val="nil"/>
              <w:left w:val="nil"/>
              <w:bottom w:val="single" w:sz="8" w:space="0" w:color="7F7F7F"/>
              <w:right w:val="nil"/>
            </w:tcBorders>
            <w:shd w:val="clear" w:color="auto" w:fill="auto"/>
            <w:vAlign w:val="center"/>
          </w:tcPr>
          <w:p w14:paraId="40FE5AE7"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9</w:t>
            </w:r>
          </w:p>
        </w:tc>
        <w:tc>
          <w:tcPr>
            <w:tcW w:w="4209" w:type="dxa"/>
            <w:tcBorders>
              <w:top w:val="nil"/>
              <w:left w:val="nil"/>
              <w:bottom w:val="single" w:sz="8" w:space="0" w:color="7F7F7F"/>
              <w:right w:val="nil"/>
            </w:tcBorders>
            <w:shd w:val="clear" w:color="auto" w:fill="auto"/>
            <w:vAlign w:val="center"/>
          </w:tcPr>
          <w:p w14:paraId="78F226D5" w14:textId="77777777" w:rsidR="004E6E16" w:rsidRPr="002D03B5" w:rsidRDefault="004E6E16" w:rsidP="004E6E16">
            <w:pPr>
              <w:pStyle w:val="NoSpacing"/>
              <w:rPr>
                <w:noProof/>
                <w:sz w:val="16"/>
                <w:szCs w:val="16"/>
                <w:lang w:val="sr-Cyrl-RS"/>
              </w:rPr>
            </w:pPr>
            <w:r w:rsidRPr="002D03B5">
              <w:rPr>
                <w:noProof/>
                <w:sz w:val="16"/>
                <w:szCs w:val="16"/>
                <w:lang w:val="sr-Cyrl-RS"/>
              </w:rPr>
              <w:t>Расходи по основу штета реосигурања</w:t>
            </w:r>
          </w:p>
        </w:tc>
        <w:tc>
          <w:tcPr>
            <w:tcW w:w="1134" w:type="dxa"/>
            <w:tcBorders>
              <w:top w:val="nil"/>
              <w:left w:val="nil"/>
              <w:bottom w:val="single" w:sz="8" w:space="0" w:color="7F7F7F"/>
              <w:right w:val="nil"/>
            </w:tcBorders>
            <w:shd w:val="clear" w:color="auto" w:fill="auto"/>
            <w:vAlign w:val="center"/>
          </w:tcPr>
          <w:p w14:paraId="7CC8AE30"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-923,478</w:t>
            </w:r>
          </w:p>
        </w:tc>
        <w:tc>
          <w:tcPr>
            <w:tcW w:w="1134" w:type="dxa"/>
            <w:tcBorders>
              <w:top w:val="nil"/>
              <w:left w:val="nil"/>
              <w:bottom w:val="single" w:sz="8" w:space="0" w:color="7F7F7F"/>
              <w:right w:val="nil"/>
            </w:tcBorders>
            <w:shd w:val="clear" w:color="auto" w:fill="auto"/>
            <w:vAlign w:val="center"/>
          </w:tcPr>
          <w:p w14:paraId="39CF6E89"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-900,000</w:t>
            </w:r>
          </w:p>
        </w:tc>
        <w:tc>
          <w:tcPr>
            <w:tcW w:w="1119" w:type="dxa"/>
            <w:tcBorders>
              <w:top w:val="nil"/>
              <w:left w:val="nil"/>
              <w:bottom w:val="single" w:sz="8" w:space="0" w:color="7F7F7F"/>
              <w:right w:val="nil"/>
            </w:tcBorders>
            <w:shd w:val="clear" w:color="auto" w:fill="auto"/>
            <w:vAlign w:val="center"/>
          </w:tcPr>
          <w:p w14:paraId="65D0446D"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-770,823</w:t>
            </w:r>
          </w:p>
        </w:tc>
        <w:tc>
          <w:tcPr>
            <w:tcW w:w="1270" w:type="dxa"/>
            <w:tcBorders>
              <w:top w:val="nil"/>
              <w:left w:val="nil"/>
              <w:bottom w:val="single" w:sz="8" w:space="0" w:color="7F7F7F"/>
              <w:right w:val="nil"/>
            </w:tcBorders>
            <w:shd w:val="clear" w:color="auto" w:fill="auto"/>
            <w:vAlign w:val="center"/>
          </w:tcPr>
          <w:p w14:paraId="01DDEE75"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83.47%</w:t>
            </w:r>
          </w:p>
        </w:tc>
        <w:tc>
          <w:tcPr>
            <w:tcW w:w="1270" w:type="dxa"/>
            <w:tcBorders>
              <w:top w:val="nil"/>
              <w:left w:val="nil"/>
              <w:bottom w:val="single" w:sz="8" w:space="0" w:color="7F7F7F"/>
              <w:right w:val="nil"/>
            </w:tcBorders>
            <w:shd w:val="clear" w:color="auto" w:fill="auto"/>
            <w:vAlign w:val="center"/>
          </w:tcPr>
          <w:p w14:paraId="3A119E59"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85.65%</w:t>
            </w:r>
          </w:p>
        </w:tc>
      </w:tr>
      <w:tr w:rsidR="004E6E16" w:rsidRPr="006C0D6C" w14:paraId="60515F11" w14:textId="77777777" w:rsidTr="004E6E16">
        <w:trPr>
          <w:trHeight w:val="227"/>
          <w:jc w:val="center"/>
        </w:trPr>
        <w:tc>
          <w:tcPr>
            <w:tcW w:w="634" w:type="dxa"/>
            <w:tcBorders>
              <w:top w:val="nil"/>
              <w:left w:val="nil"/>
              <w:bottom w:val="single" w:sz="8" w:space="0" w:color="7F7F7F"/>
              <w:right w:val="nil"/>
            </w:tcBorders>
            <w:shd w:val="clear" w:color="auto" w:fill="auto"/>
            <w:vAlign w:val="center"/>
          </w:tcPr>
          <w:p w14:paraId="53545199"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10</w:t>
            </w:r>
          </w:p>
        </w:tc>
        <w:tc>
          <w:tcPr>
            <w:tcW w:w="4209" w:type="dxa"/>
            <w:tcBorders>
              <w:top w:val="nil"/>
              <w:left w:val="nil"/>
              <w:bottom w:val="single" w:sz="8" w:space="0" w:color="7F7F7F"/>
              <w:right w:val="nil"/>
            </w:tcBorders>
            <w:shd w:val="clear" w:color="auto" w:fill="auto"/>
            <w:vAlign w:val="center"/>
          </w:tcPr>
          <w:p w14:paraId="64CB30AC" w14:textId="77777777" w:rsidR="004E6E16" w:rsidRPr="002D03B5" w:rsidRDefault="004E6E16" w:rsidP="004E6E16">
            <w:pPr>
              <w:pStyle w:val="NoSpacing"/>
              <w:rPr>
                <w:noProof/>
                <w:sz w:val="16"/>
                <w:szCs w:val="16"/>
                <w:lang w:val="sr-Cyrl-RS"/>
              </w:rPr>
            </w:pPr>
            <w:r w:rsidRPr="002D03B5">
              <w:rPr>
                <w:noProof/>
                <w:sz w:val="16"/>
                <w:szCs w:val="16"/>
                <w:lang w:val="sr-Cyrl-RS"/>
              </w:rPr>
              <w:t>Трошкови извиђаја, процене и ликвидације штета</w:t>
            </w:r>
          </w:p>
        </w:tc>
        <w:tc>
          <w:tcPr>
            <w:tcW w:w="1134" w:type="dxa"/>
            <w:tcBorders>
              <w:top w:val="nil"/>
              <w:left w:val="nil"/>
              <w:bottom w:val="single" w:sz="8" w:space="0" w:color="7F7F7F"/>
              <w:right w:val="nil"/>
            </w:tcBorders>
            <w:shd w:val="clear" w:color="auto" w:fill="auto"/>
            <w:vAlign w:val="center"/>
          </w:tcPr>
          <w:p w14:paraId="62172B5F"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-5,880</w:t>
            </w:r>
          </w:p>
        </w:tc>
        <w:tc>
          <w:tcPr>
            <w:tcW w:w="1134" w:type="dxa"/>
            <w:tcBorders>
              <w:top w:val="nil"/>
              <w:left w:val="nil"/>
              <w:bottom w:val="single" w:sz="8" w:space="0" w:color="7F7F7F"/>
              <w:right w:val="nil"/>
            </w:tcBorders>
            <w:shd w:val="clear" w:color="auto" w:fill="auto"/>
            <w:vAlign w:val="center"/>
          </w:tcPr>
          <w:p w14:paraId="2DE7C324"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-5,800</w:t>
            </w:r>
          </w:p>
        </w:tc>
        <w:tc>
          <w:tcPr>
            <w:tcW w:w="1119" w:type="dxa"/>
            <w:tcBorders>
              <w:top w:val="nil"/>
              <w:left w:val="nil"/>
              <w:bottom w:val="single" w:sz="8" w:space="0" w:color="7F7F7F"/>
              <w:right w:val="nil"/>
            </w:tcBorders>
            <w:shd w:val="clear" w:color="auto" w:fill="auto"/>
            <w:vAlign w:val="center"/>
          </w:tcPr>
          <w:p w14:paraId="2F35F793"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-18,275</w:t>
            </w:r>
          </w:p>
        </w:tc>
        <w:tc>
          <w:tcPr>
            <w:tcW w:w="1270" w:type="dxa"/>
            <w:tcBorders>
              <w:top w:val="nil"/>
              <w:left w:val="nil"/>
              <w:bottom w:val="single" w:sz="8" w:space="0" w:color="7F7F7F"/>
              <w:right w:val="nil"/>
            </w:tcBorders>
            <w:shd w:val="clear" w:color="auto" w:fill="auto"/>
            <w:vAlign w:val="center"/>
          </w:tcPr>
          <w:p w14:paraId="44677E6C"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310.80%</w:t>
            </w:r>
          </w:p>
        </w:tc>
        <w:tc>
          <w:tcPr>
            <w:tcW w:w="1270" w:type="dxa"/>
            <w:tcBorders>
              <w:top w:val="nil"/>
              <w:left w:val="nil"/>
              <w:bottom w:val="single" w:sz="8" w:space="0" w:color="7F7F7F"/>
              <w:right w:val="nil"/>
            </w:tcBorders>
            <w:shd w:val="clear" w:color="auto" w:fill="auto"/>
            <w:vAlign w:val="center"/>
          </w:tcPr>
          <w:p w14:paraId="5169BBAB"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315.09%</w:t>
            </w:r>
          </w:p>
        </w:tc>
      </w:tr>
      <w:tr w:rsidR="004E6E16" w:rsidRPr="006C0D6C" w14:paraId="696CD9D2" w14:textId="77777777" w:rsidTr="004E6E16">
        <w:trPr>
          <w:trHeight w:val="227"/>
          <w:jc w:val="center"/>
        </w:trPr>
        <w:tc>
          <w:tcPr>
            <w:tcW w:w="634" w:type="dxa"/>
            <w:tcBorders>
              <w:top w:val="nil"/>
              <w:left w:val="nil"/>
              <w:bottom w:val="single" w:sz="8" w:space="0" w:color="7F7F7F"/>
              <w:right w:val="nil"/>
            </w:tcBorders>
            <w:shd w:val="clear" w:color="auto" w:fill="auto"/>
            <w:vAlign w:val="center"/>
          </w:tcPr>
          <w:p w14:paraId="2CB9081D"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11</w:t>
            </w:r>
          </w:p>
        </w:tc>
        <w:tc>
          <w:tcPr>
            <w:tcW w:w="4209" w:type="dxa"/>
            <w:tcBorders>
              <w:top w:val="nil"/>
              <w:left w:val="nil"/>
              <w:bottom w:val="single" w:sz="8" w:space="0" w:color="7F7F7F"/>
              <w:right w:val="nil"/>
            </w:tcBorders>
            <w:shd w:val="clear" w:color="auto" w:fill="auto"/>
            <w:vAlign w:val="center"/>
          </w:tcPr>
          <w:p w14:paraId="5178FA74" w14:textId="77777777" w:rsidR="004E6E16" w:rsidRPr="002D03B5" w:rsidRDefault="004E6E16" w:rsidP="004E6E16">
            <w:pPr>
              <w:pStyle w:val="NoSpacing"/>
              <w:rPr>
                <w:noProof/>
                <w:sz w:val="16"/>
                <w:szCs w:val="16"/>
                <w:lang w:val="sr-Cyrl-RS"/>
              </w:rPr>
            </w:pPr>
            <w:r w:rsidRPr="002D03B5">
              <w:rPr>
                <w:noProof/>
                <w:sz w:val="16"/>
                <w:szCs w:val="16"/>
                <w:lang w:val="sr-Cyrl-RS"/>
              </w:rPr>
              <w:t>Приходи по основу регреса</w:t>
            </w:r>
          </w:p>
        </w:tc>
        <w:tc>
          <w:tcPr>
            <w:tcW w:w="1134" w:type="dxa"/>
            <w:tcBorders>
              <w:top w:val="nil"/>
              <w:left w:val="nil"/>
              <w:bottom w:val="single" w:sz="8" w:space="0" w:color="7F7F7F"/>
              <w:right w:val="nil"/>
            </w:tcBorders>
            <w:shd w:val="clear" w:color="auto" w:fill="auto"/>
            <w:vAlign w:val="center"/>
          </w:tcPr>
          <w:p w14:paraId="292D1DA4"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18,875</w:t>
            </w:r>
          </w:p>
        </w:tc>
        <w:tc>
          <w:tcPr>
            <w:tcW w:w="1134" w:type="dxa"/>
            <w:tcBorders>
              <w:top w:val="nil"/>
              <w:left w:val="nil"/>
              <w:bottom w:val="single" w:sz="8" w:space="0" w:color="7F7F7F"/>
              <w:right w:val="nil"/>
            </w:tcBorders>
            <w:shd w:val="clear" w:color="auto" w:fill="auto"/>
            <w:vAlign w:val="center"/>
          </w:tcPr>
          <w:p w14:paraId="42D6ECD4"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17,000</w:t>
            </w:r>
          </w:p>
        </w:tc>
        <w:tc>
          <w:tcPr>
            <w:tcW w:w="1119" w:type="dxa"/>
            <w:tcBorders>
              <w:top w:val="nil"/>
              <w:left w:val="nil"/>
              <w:bottom w:val="single" w:sz="8" w:space="0" w:color="7F7F7F"/>
              <w:right w:val="nil"/>
            </w:tcBorders>
            <w:shd w:val="clear" w:color="auto" w:fill="auto"/>
            <w:vAlign w:val="center"/>
          </w:tcPr>
          <w:p w14:paraId="4A484919"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9,726</w:t>
            </w:r>
          </w:p>
        </w:tc>
        <w:tc>
          <w:tcPr>
            <w:tcW w:w="1270" w:type="dxa"/>
            <w:tcBorders>
              <w:top w:val="nil"/>
              <w:left w:val="nil"/>
              <w:bottom w:val="single" w:sz="8" w:space="0" w:color="7F7F7F"/>
              <w:right w:val="nil"/>
            </w:tcBorders>
            <w:shd w:val="clear" w:color="auto" w:fill="auto"/>
            <w:vAlign w:val="center"/>
          </w:tcPr>
          <w:p w14:paraId="522913E1"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51.53%</w:t>
            </w:r>
          </w:p>
        </w:tc>
        <w:tc>
          <w:tcPr>
            <w:tcW w:w="1270" w:type="dxa"/>
            <w:tcBorders>
              <w:top w:val="nil"/>
              <w:left w:val="nil"/>
              <w:bottom w:val="single" w:sz="8" w:space="0" w:color="7F7F7F"/>
              <w:right w:val="nil"/>
            </w:tcBorders>
            <w:shd w:val="clear" w:color="auto" w:fill="auto"/>
            <w:vAlign w:val="center"/>
          </w:tcPr>
          <w:p w14:paraId="0CEC89BD"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57.21%</w:t>
            </w:r>
          </w:p>
        </w:tc>
      </w:tr>
      <w:tr w:rsidR="004E6E16" w:rsidRPr="006C0D6C" w14:paraId="0D734E04" w14:textId="77777777" w:rsidTr="004E6E16">
        <w:trPr>
          <w:trHeight w:val="227"/>
          <w:jc w:val="center"/>
        </w:trPr>
        <w:tc>
          <w:tcPr>
            <w:tcW w:w="634" w:type="dxa"/>
            <w:tcBorders>
              <w:top w:val="nil"/>
              <w:left w:val="nil"/>
              <w:bottom w:val="single" w:sz="8" w:space="0" w:color="7F7F7F"/>
              <w:right w:val="nil"/>
            </w:tcBorders>
            <w:shd w:val="clear" w:color="auto" w:fill="auto"/>
            <w:vAlign w:val="center"/>
          </w:tcPr>
          <w:p w14:paraId="0FED360B"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12</w:t>
            </w:r>
          </w:p>
        </w:tc>
        <w:tc>
          <w:tcPr>
            <w:tcW w:w="4209" w:type="dxa"/>
            <w:tcBorders>
              <w:top w:val="nil"/>
              <w:left w:val="nil"/>
              <w:bottom w:val="single" w:sz="8" w:space="0" w:color="7F7F7F"/>
              <w:right w:val="nil"/>
            </w:tcBorders>
            <w:shd w:val="clear" w:color="auto" w:fill="auto"/>
            <w:vAlign w:val="center"/>
          </w:tcPr>
          <w:p w14:paraId="1A3EF4ED" w14:textId="77777777" w:rsidR="004E6E16" w:rsidRPr="002D03B5" w:rsidRDefault="004E6E16" w:rsidP="004E6E16">
            <w:pPr>
              <w:pStyle w:val="NoSpacing"/>
              <w:rPr>
                <w:noProof/>
                <w:sz w:val="16"/>
                <w:szCs w:val="16"/>
                <w:lang w:val="sr-Cyrl-RS"/>
              </w:rPr>
            </w:pPr>
            <w:r w:rsidRPr="002D03B5">
              <w:rPr>
                <w:noProof/>
                <w:sz w:val="16"/>
                <w:szCs w:val="16"/>
                <w:lang w:val="sr-Cyrl-RS"/>
              </w:rPr>
              <w:t>Расходи по основу регреса</w:t>
            </w:r>
          </w:p>
        </w:tc>
        <w:tc>
          <w:tcPr>
            <w:tcW w:w="1134" w:type="dxa"/>
            <w:tcBorders>
              <w:top w:val="nil"/>
              <w:left w:val="nil"/>
              <w:bottom w:val="single" w:sz="8" w:space="0" w:color="7F7F7F"/>
              <w:right w:val="nil"/>
            </w:tcBorders>
            <w:shd w:val="clear" w:color="auto" w:fill="auto"/>
            <w:vAlign w:val="center"/>
          </w:tcPr>
          <w:p w14:paraId="7C46F306"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-1,022</w:t>
            </w:r>
          </w:p>
        </w:tc>
        <w:tc>
          <w:tcPr>
            <w:tcW w:w="1134" w:type="dxa"/>
            <w:tcBorders>
              <w:top w:val="nil"/>
              <w:left w:val="nil"/>
              <w:bottom w:val="single" w:sz="8" w:space="0" w:color="7F7F7F"/>
              <w:right w:val="nil"/>
            </w:tcBorders>
            <w:shd w:val="clear" w:color="auto" w:fill="auto"/>
            <w:vAlign w:val="center"/>
          </w:tcPr>
          <w:p w14:paraId="48E61F98"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1,000</w:t>
            </w:r>
          </w:p>
        </w:tc>
        <w:tc>
          <w:tcPr>
            <w:tcW w:w="1119" w:type="dxa"/>
            <w:tcBorders>
              <w:top w:val="nil"/>
              <w:left w:val="nil"/>
              <w:bottom w:val="single" w:sz="8" w:space="0" w:color="7F7F7F"/>
              <w:right w:val="nil"/>
            </w:tcBorders>
            <w:shd w:val="clear" w:color="auto" w:fill="auto"/>
            <w:vAlign w:val="center"/>
          </w:tcPr>
          <w:p w14:paraId="3F56F225" w14:textId="77777777" w:rsidR="004E6E16" w:rsidRPr="002D03B5" w:rsidRDefault="004E6E16" w:rsidP="004E6E16">
            <w:pPr>
              <w:pStyle w:val="NoSpacing"/>
              <w:jc w:val="right"/>
              <w:rPr>
                <w:noProof/>
                <w:sz w:val="16"/>
                <w:szCs w:val="16"/>
                <w:lang w:val="sr-Cyrl-RS"/>
              </w:rPr>
            </w:pPr>
          </w:p>
        </w:tc>
        <w:tc>
          <w:tcPr>
            <w:tcW w:w="1270" w:type="dxa"/>
            <w:tcBorders>
              <w:top w:val="nil"/>
              <w:left w:val="nil"/>
              <w:bottom w:val="single" w:sz="8" w:space="0" w:color="7F7F7F"/>
              <w:right w:val="nil"/>
            </w:tcBorders>
            <w:shd w:val="clear" w:color="auto" w:fill="auto"/>
            <w:vAlign w:val="center"/>
          </w:tcPr>
          <w:p w14:paraId="05944CD0"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0.00%</w:t>
            </w:r>
          </w:p>
        </w:tc>
        <w:tc>
          <w:tcPr>
            <w:tcW w:w="1270" w:type="dxa"/>
            <w:tcBorders>
              <w:top w:val="nil"/>
              <w:left w:val="nil"/>
              <w:bottom w:val="single" w:sz="8" w:space="0" w:color="7F7F7F"/>
              <w:right w:val="nil"/>
            </w:tcBorders>
            <w:shd w:val="clear" w:color="auto" w:fill="auto"/>
            <w:vAlign w:val="center"/>
          </w:tcPr>
          <w:p w14:paraId="25537319"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0.00%</w:t>
            </w:r>
          </w:p>
        </w:tc>
      </w:tr>
      <w:tr w:rsidR="004E6E16" w:rsidRPr="006C0D6C" w14:paraId="6ADAAE2A" w14:textId="77777777" w:rsidTr="004E6E16">
        <w:trPr>
          <w:trHeight w:val="227"/>
          <w:jc w:val="center"/>
        </w:trPr>
        <w:tc>
          <w:tcPr>
            <w:tcW w:w="634" w:type="dxa"/>
            <w:tcBorders>
              <w:top w:val="nil"/>
              <w:left w:val="nil"/>
              <w:bottom w:val="single" w:sz="8" w:space="0" w:color="7F7F7F"/>
              <w:right w:val="nil"/>
            </w:tcBorders>
            <w:shd w:val="clear" w:color="auto" w:fill="DBE5F1" w:themeFill="accent1" w:themeFillTint="33"/>
            <w:vAlign w:val="center"/>
          </w:tcPr>
          <w:p w14:paraId="1B84B151" w14:textId="77777777" w:rsidR="004E6E16" w:rsidRPr="002D03B5" w:rsidRDefault="004E6E16" w:rsidP="004E6E16">
            <w:pPr>
              <w:pStyle w:val="NoSpacing"/>
              <w:jc w:val="center"/>
              <w:rPr>
                <w:b/>
                <w:noProof/>
                <w:sz w:val="16"/>
                <w:szCs w:val="16"/>
                <w:lang w:val="sr-Cyrl-RS"/>
              </w:rPr>
            </w:pPr>
            <w:r w:rsidRPr="002D03B5">
              <w:rPr>
                <w:b/>
                <w:noProof/>
                <w:sz w:val="16"/>
                <w:szCs w:val="16"/>
                <w:lang w:val="sr-Cyrl-RS"/>
              </w:rPr>
              <w:t>13</w:t>
            </w:r>
          </w:p>
        </w:tc>
        <w:tc>
          <w:tcPr>
            <w:tcW w:w="4209" w:type="dxa"/>
            <w:tcBorders>
              <w:top w:val="nil"/>
              <w:left w:val="nil"/>
              <w:bottom w:val="single" w:sz="8" w:space="0" w:color="7F7F7F"/>
              <w:right w:val="nil"/>
            </w:tcBorders>
            <w:shd w:val="clear" w:color="auto" w:fill="DBE5F1" w:themeFill="accent1" w:themeFillTint="33"/>
            <w:vAlign w:val="center"/>
          </w:tcPr>
          <w:p w14:paraId="4C933D4D" w14:textId="77777777" w:rsidR="004E6E16" w:rsidRPr="002D03B5" w:rsidRDefault="004E6E16" w:rsidP="004E6E16">
            <w:pPr>
              <w:pStyle w:val="NoSpacing"/>
              <w:rPr>
                <w:b/>
                <w:noProof/>
                <w:sz w:val="16"/>
                <w:szCs w:val="16"/>
                <w:lang w:val="sr-Cyrl-RS"/>
              </w:rPr>
            </w:pPr>
            <w:r w:rsidRPr="002D03B5">
              <w:rPr>
                <w:b/>
                <w:noProof/>
                <w:sz w:val="16"/>
                <w:szCs w:val="16"/>
                <w:lang w:val="sr-Cyrl-RS"/>
              </w:rPr>
              <w:t>Штете у самопридржају (8+9+10+11+12)</w:t>
            </w:r>
          </w:p>
        </w:tc>
        <w:tc>
          <w:tcPr>
            <w:tcW w:w="1134" w:type="dxa"/>
            <w:tcBorders>
              <w:top w:val="nil"/>
              <w:left w:val="nil"/>
              <w:bottom w:val="single" w:sz="8" w:space="0" w:color="7F7F7F"/>
              <w:right w:val="nil"/>
            </w:tcBorders>
            <w:shd w:val="clear" w:color="auto" w:fill="DBE5F1" w:themeFill="accent1" w:themeFillTint="33"/>
            <w:vAlign w:val="center"/>
          </w:tcPr>
          <w:p w14:paraId="47A39AC0" w14:textId="77777777" w:rsidR="004E6E16" w:rsidRPr="002D03B5" w:rsidRDefault="004E6E16" w:rsidP="004E6E16">
            <w:pPr>
              <w:pStyle w:val="NoSpacing"/>
              <w:jc w:val="right"/>
              <w:rPr>
                <w:b/>
                <w:noProof/>
                <w:sz w:val="16"/>
                <w:szCs w:val="16"/>
                <w:lang w:val="sr-Cyrl-RS"/>
              </w:rPr>
            </w:pPr>
            <w:r w:rsidRPr="002D03B5">
              <w:rPr>
                <w:b/>
                <w:noProof/>
                <w:sz w:val="16"/>
                <w:szCs w:val="16"/>
                <w:lang w:val="sr-Cyrl-RS"/>
              </w:rPr>
              <w:t>-511,754</w:t>
            </w:r>
          </w:p>
        </w:tc>
        <w:tc>
          <w:tcPr>
            <w:tcW w:w="1134" w:type="dxa"/>
            <w:tcBorders>
              <w:top w:val="nil"/>
              <w:left w:val="nil"/>
              <w:bottom w:val="single" w:sz="8" w:space="0" w:color="7F7F7F"/>
              <w:right w:val="nil"/>
            </w:tcBorders>
            <w:shd w:val="clear" w:color="auto" w:fill="DBE5F1" w:themeFill="accent1" w:themeFillTint="33"/>
            <w:vAlign w:val="center"/>
          </w:tcPr>
          <w:p w14:paraId="6A74812D" w14:textId="77777777" w:rsidR="004E6E16" w:rsidRPr="002D03B5" w:rsidRDefault="004E6E16" w:rsidP="004E6E16">
            <w:pPr>
              <w:pStyle w:val="NoSpacing"/>
              <w:jc w:val="right"/>
              <w:rPr>
                <w:b/>
                <w:noProof/>
                <w:sz w:val="16"/>
                <w:szCs w:val="16"/>
                <w:lang w:val="sr-Cyrl-RS"/>
              </w:rPr>
            </w:pPr>
            <w:r w:rsidRPr="002D03B5">
              <w:rPr>
                <w:b/>
                <w:noProof/>
                <w:sz w:val="16"/>
                <w:szCs w:val="16"/>
                <w:lang w:val="sr-Cyrl-RS"/>
              </w:rPr>
              <w:t>-446,836</w:t>
            </w:r>
          </w:p>
        </w:tc>
        <w:tc>
          <w:tcPr>
            <w:tcW w:w="1119" w:type="dxa"/>
            <w:tcBorders>
              <w:top w:val="nil"/>
              <w:left w:val="nil"/>
              <w:bottom w:val="single" w:sz="8" w:space="0" w:color="7F7F7F"/>
              <w:right w:val="nil"/>
            </w:tcBorders>
            <w:shd w:val="clear" w:color="auto" w:fill="DBE5F1" w:themeFill="accent1" w:themeFillTint="33"/>
            <w:vAlign w:val="center"/>
          </w:tcPr>
          <w:p w14:paraId="128C9BDA" w14:textId="77777777" w:rsidR="004E6E16" w:rsidRPr="002D03B5" w:rsidRDefault="004E6E16" w:rsidP="004E6E16">
            <w:pPr>
              <w:pStyle w:val="NoSpacing"/>
              <w:jc w:val="right"/>
              <w:rPr>
                <w:b/>
                <w:noProof/>
                <w:sz w:val="16"/>
                <w:szCs w:val="16"/>
                <w:lang w:val="sr-Cyrl-RS"/>
              </w:rPr>
            </w:pPr>
            <w:r w:rsidRPr="002D03B5">
              <w:rPr>
                <w:b/>
                <w:noProof/>
                <w:sz w:val="16"/>
                <w:szCs w:val="16"/>
                <w:lang w:val="sr-Cyrl-RS"/>
              </w:rPr>
              <w:t>-326,030</w:t>
            </w:r>
          </w:p>
        </w:tc>
        <w:tc>
          <w:tcPr>
            <w:tcW w:w="1270" w:type="dxa"/>
            <w:tcBorders>
              <w:top w:val="nil"/>
              <w:left w:val="nil"/>
              <w:bottom w:val="single" w:sz="8" w:space="0" w:color="7F7F7F"/>
              <w:right w:val="nil"/>
            </w:tcBorders>
            <w:shd w:val="clear" w:color="auto" w:fill="DBE5F1" w:themeFill="accent1" w:themeFillTint="33"/>
            <w:vAlign w:val="center"/>
          </w:tcPr>
          <w:p w14:paraId="3743C161" w14:textId="77777777" w:rsidR="004E6E16" w:rsidRPr="002D03B5" w:rsidRDefault="004E6E16" w:rsidP="004E6E16">
            <w:pPr>
              <w:pStyle w:val="NoSpacing"/>
              <w:jc w:val="center"/>
              <w:rPr>
                <w:b/>
                <w:noProof/>
                <w:sz w:val="16"/>
                <w:szCs w:val="16"/>
                <w:lang w:val="sr-Cyrl-RS"/>
              </w:rPr>
            </w:pPr>
            <w:r w:rsidRPr="002D03B5">
              <w:rPr>
                <w:b/>
                <w:noProof/>
                <w:sz w:val="16"/>
                <w:szCs w:val="16"/>
                <w:lang w:val="sr-Cyrl-RS"/>
              </w:rPr>
              <w:t>64%</w:t>
            </w:r>
          </w:p>
        </w:tc>
        <w:tc>
          <w:tcPr>
            <w:tcW w:w="1270" w:type="dxa"/>
            <w:tcBorders>
              <w:top w:val="nil"/>
              <w:left w:val="nil"/>
              <w:bottom w:val="single" w:sz="8" w:space="0" w:color="7F7F7F"/>
              <w:right w:val="nil"/>
            </w:tcBorders>
            <w:shd w:val="clear" w:color="auto" w:fill="DBE5F1" w:themeFill="accent1" w:themeFillTint="33"/>
            <w:vAlign w:val="center"/>
          </w:tcPr>
          <w:p w14:paraId="3D5E6F25" w14:textId="77777777" w:rsidR="004E6E16" w:rsidRPr="002D03B5" w:rsidRDefault="004E6E16" w:rsidP="004E6E16">
            <w:pPr>
              <w:pStyle w:val="NoSpacing"/>
              <w:jc w:val="center"/>
              <w:rPr>
                <w:b/>
                <w:noProof/>
                <w:sz w:val="16"/>
                <w:szCs w:val="16"/>
                <w:lang w:val="sr-Cyrl-RS"/>
              </w:rPr>
            </w:pPr>
            <w:r w:rsidRPr="002D03B5">
              <w:rPr>
                <w:b/>
                <w:noProof/>
                <w:sz w:val="16"/>
                <w:szCs w:val="16"/>
                <w:lang w:val="sr-Cyrl-RS"/>
              </w:rPr>
              <w:t>73%</w:t>
            </w:r>
          </w:p>
        </w:tc>
      </w:tr>
      <w:tr w:rsidR="004E6E16" w:rsidRPr="006C0D6C" w14:paraId="1834FB28" w14:textId="77777777" w:rsidTr="004E6E16">
        <w:trPr>
          <w:trHeight w:val="227"/>
          <w:jc w:val="center"/>
        </w:trPr>
        <w:tc>
          <w:tcPr>
            <w:tcW w:w="634" w:type="dxa"/>
            <w:tcBorders>
              <w:top w:val="nil"/>
              <w:left w:val="nil"/>
              <w:bottom w:val="single" w:sz="8" w:space="0" w:color="7F7F7F"/>
              <w:right w:val="nil"/>
            </w:tcBorders>
            <w:shd w:val="clear" w:color="auto" w:fill="auto"/>
            <w:vAlign w:val="center"/>
          </w:tcPr>
          <w:p w14:paraId="62586549"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14</w:t>
            </w:r>
          </w:p>
        </w:tc>
        <w:tc>
          <w:tcPr>
            <w:tcW w:w="4209" w:type="dxa"/>
            <w:tcBorders>
              <w:top w:val="nil"/>
              <w:left w:val="nil"/>
              <w:bottom w:val="single" w:sz="8" w:space="0" w:color="7F7F7F"/>
              <w:right w:val="nil"/>
            </w:tcBorders>
            <w:shd w:val="clear" w:color="auto" w:fill="auto"/>
            <w:vAlign w:val="center"/>
          </w:tcPr>
          <w:p w14:paraId="74328E3D" w14:textId="77777777" w:rsidR="004E6E16" w:rsidRPr="002D03B5" w:rsidRDefault="004E6E16" w:rsidP="004E6E16">
            <w:pPr>
              <w:pStyle w:val="NoSpacing"/>
              <w:rPr>
                <w:noProof/>
                <w:sz w:val="16"/>
                <w:szCs w:val="16"/>
                <w:lang w:val="sr-Cyrl-RS"/>
              </w:rPr>
            </w:pPr>
            <w:r w:rsidRPr="002D03B5">
              <w:rPr>
                <w:noProof/>
                <w:sz w:val="16"/>
                <w:szCs w:val="16"/>
                <w:lang w:val="sr-Cyrl-RS"/>
              </w:rPr>
              <w:t>Приходи од смањења резервисаних штета</w:t>
            </w:r>
          </w:p>
        </w:tc>
        <w:tc>
          <w:tcPr>
            <w:tcW w:w="1134" w:type="dxa"/>
            <w:tcBorders>
              <w:top w:val="nil"/>
              <w:left w:val="nil"/>
              <w:bottom w:val="single" w:sz="8" w:space="0" w:color="7F7F7F"/>
              <w:right w:val="nil"/>
            </w:tcBorders>
            <w:shd w:val="clear" w:color="auto" w:fill="auto"/>
            <w:vAlign w:val="center"/>
          </w:tcPr>
          <w:p w14:paraId="5287A981"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405,251</w:t>
            </w:r>
          </w:p>
        </w:tc>
        <w:tc>
          <w:tcPr>
            <w:tcW w:w="1134" w:type="dxa"/>
            <w:tcBorders>
              <w:top w:val="nil"/>
              <w:left w:val="nil"/>
              <w:bottom w:val="single" w:sz="8" w:space="0" w:color="7F7F7F"/>
              <w:right w:val="nil"/>
            </w:tcBorders>
            <w:shd w:val="clear" w:color="auto" w:fill="auto"/>
            <w:vAlign w:val="center"/>
          </w:tcPr>
          <w:p w14:paraId="397E908E"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140,465</w:t>
            </w:r>
          </w:p>
        </w:tc>
        <w:tc>
          <w:tcPr>
            <w:tcW w:w="1119" w:type="dxa"/>
            <w:tcBorders>
              <w:top w:val="nil"/>
              <w:left w:val="nil"/>
              <w:bottom w:val="single" w:sz="8" w:space="0" w:color="7F7F7F"/>
              <w:right w:val="nil"/>
            </w:tcBorders>
            <w:shd w:val="clear" w:color="auto" w:fill="auto"/>
            <w:vAlign w:val="center"/>
          </w:tcPr>
          <w:p w14:paraId="477C777E"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518,820</w:t>
            </w:r>
          </w:p>
        </w:tc>
        <w:tc>
          <w:tcPr>
            <w:tcW w:w="1270" w:type="dxa"/>
            <w:tcBorders>
              <w:top w:val="nil"/>
              <w:left w:val="nil"/>
              <w:bottom w:val="single" w:sz="8" w:space="0" w:color="7F7F7F"/>
              <w:right w:val="nil"/>
            </w:tcBorders>
            <w:shd w:val="clear" w:color="auto" w:fill="auto"/>
            <w:vAlign w:val="center"/>
          </w:tcPr>
          <w:p w14:paraId="0D0109CC"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128.02%</w:t>
            </w:r>
          </w:p>
        </w:tc>
        <w:tc>
          <w:tcPr>
            <w:tcW w:w="1270" w:type="dxa"/>
            <w:tcBorders>
              <w:top w:val="nil"/>
              <w:left w:val="nil"/>
              <w:bottom w:val="single" w:sz="8" w:space="0" w:color="7F7F7F"/>
              <w:right w:val="nil"/>
            </w:tcBorders>
            <w:shd w:val="clear" w:color="auto" w:fill="auto"/>
            <w:vAlign w:val="center"/>
          </w:tcPr>
          <w:p w14:paraId="7BE19599"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369.36%</w:t>
            </w:r>
          </w:p>
        </w:tc>
      </w:tr>
      <w:tr w:rsidR="004E6E16" w:rsidRPr="006C0D6C" w14:paraId="42C026BA" w14:textId="77777777" w:rsidTr="004E6E16">
        <w:trPr>
          <w:trHeight w:val="227"/>
          <w:jc w:val="center"/>
        </w:trPr>
        <w:tc>
          <w:tcPr>
            <w:tcW w:w="634" w:type="dxa"/>
            <w:tcBorders>
              <w:top w:val="nil"/>
              <w:left w:val="nil"/>
              <w:bottom w:val="single" w:sz="8" w:space="0" w:color="7F7F7F"/>
              <w:right w:val="nil"/>
            </w:tcBorders>
            <w:shd w:val="clear" w:color="auto" w:fill="auto"/>
            <w:vAlign w:val="center"/>
          </w:tcPr>
          <w:p w14:paraId="4393E8A6"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15</w:t>
            </w:r>
          </w:p>
        </w:tc>
        <w:tc>
          <w:tcPr>
            <w:tcW w:w="4209" w:type="dxa"/>
            <w:tcBorders>
              <w:top w:val="nil"/>
              <w:left w:val="nil"/>
              <w:bottom w:val="single" w:sz="8" w:space="0" w:color="7F7F7F"/>
              <w:right w:val="nil"/>
            </w:tcBorders>
            <w:shd w:val="clear" w:color="auto" w:fill="auto"/>
            <w:vAlign w:val="center"/>
          </w:tcPr>
          <w:p w14:paraId="1C510E36" w14:textId="77777777" w:rsidR="004E6E16" w:rsidRPr="002D03B5" w:rsidRDefault="004E6E16" w:rsidP="004E6E16">
            <w:pPr>
              <w:pStyle w:val="NoSpacing"/>
              <w:rPr>
                <w:noProof/>
                <w:sz w:val="16"/>
                <w:szCs w:val="16"/>
                <w:lang w:val="sr-Cyrl-RS"/>
              </w:rPr>
            </w:pPr>
            <w:r w:rsidRPr="002D03B5">
              <w:rPr>
                <w:noProof/>
                <w:sz w:val="16"/>
                <w:szCs w:val="16"/>
                <w:lang w:val="sr-Cyrl-RS"/>
              </w:rPr>
              <w:t>Расходи од повећања резервисаних штета</w:t>
            </w:r>
          </w:p>
        </w:tc>
        <w:tc>
          <w:tcPr>
            <w:tcW w:w="1134" w:type="dxa"/>
            <w:tcBorders>
              <w:top w:val="nil"/>
              <w:left w:val="nil"/>
              <w:bottom w:val="single" w:sz="8" w:space="0" w:color="7F7F7F"/>
              <w:right w:val="nil"/>
            </w:tcBorders>
            <w:shd w:val="clear" w:color="auto" w:fill="auto"/>
            <w:vAlign w:val="center"/>
          </w:tcPr>
          <w:p w14:paraId="6C9AE24A"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-200,062</w:t>
            </w:r>
          </w:p>
        </w:tc>
        <w:tc>
          <w:tcPr>
            <w:tcW w:w="1134" w:type="dxa"/>
            <w:tcBorders>
              <w:top w:val="nil"/>
              <w:left w:val="nil"/>
              <w:bottom w:val="single" w:sz="8" w:space="0" w:color="7F7F7F"/>
              <w:right w:val="nil"/>
            </w:tcBorders>
            <w:shd w:val="clear" w:color="auto" w:fill="auto"/>
            <w:vAlign w:val="center"/>
          </w:tcPr>
          <w:p w14:paraId="0CE82553"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-170,000</w:t>
            </w:r>
          </w:p>
        </w:tc>
        <w:tc>
          <w:tcPr>
            <w:tcW w:w="1119" w:type="dxa"/>
            <w:tcBorders>
              <w:top w:val="nil"/>
              <w:left w:val="nil"/>
              <w:bottom w:val="single" w:sz="8" w:space="0" w:color="7F7F7F"/>
              <w:right w:val="nil"/>
            </w:tcBorders>
            <w:shd w:val="clear" w:color="auto" w:fill="auto"/>
            <w:vAlign w:val="center"/>
          </w:tcPr>
          <w:p w14:paraId="40EC9EF8"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-575,022</w:t>
            </w:r>
          </w:p>
        </w:tc>
        <w:tc>
          <w:tcPr>
            <w:tcW w:w="1270" w:type="dxa"/>
            <w:tcBorders>
              <w:top w:val="nil"/>
              <w:left w:val="nil"/>
              <w:bottom w:val="single" w:sz="8" w:space="0" w:color="7F7F7F"/>
              <w:right w:val="nil"/>
            </w:tcBorders>
            <w:shd w:val="clear" w:color="auto" w:fill="auto"/>
            <w:vAlign w:val="center"/>
          </w:tcPr>
          <w:p w14:paraId="509B6450"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287.42%</w:t>
            </w:r>
          </w:p>
        </w:tc>
        <w:tc>
          <w:tcPr>
            <w:tcW w:w="1270" w:type="dxa"/>
            <w:tcBorders>
              <w:top w:val="nil"/>
              <w:left w:val="nil"/>
              <w:bottom w:val="single" w:sz="8" w:space="0" w:color="7F7F7F"/>
              <w:right w:val="nil"/>
            </w:tcBorders>
            <w:shd w:val="clear" w:color="auto" w:fill="auto"/>
            <w:vAlign w:val="center"/>
          </w:tcPr>
          <w:p w14:paraId="74643131"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338.25%</w:t>
            </w:r>
          </w:p>
        </w:tc>
      </w:tr>
      <w:tr w:rsidR="004E6E16" w:rsidRPr="006C0D6C" w14:paraId="34CC8767" w14:textId="77777777" w:rsidTr="004E6E16">
        <w:trPr>
          <w:trHeight w:val="227"/>
          <w:jc w:val="center"/>
        </w:trPr>
        <w:tc>
          <w:tcPr>
            <w:tcW w:w="634" w:type="dxa"/>
            <w:tcBorders>
              <w:top w:val="nil"/>
              <w:left w:val="nil"/>
              <w:bottom w:val="single" w:sz="8" w:space="0" w:color="7F7F7F"/>
              <w:right w:val="nil"/>
            </w:tcBorders>
            <w:shd w:val="clear" w:color="auto" w:fill="auto"/>
            <w:vAlign w:val="center"/>
          </w:tcPr>
          <w:p w14:paraId="609A860F"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16</w:t>
            </w:r>
          </w:p>
        </w:tc>
        <w:tc>
          <w:tcPr>
            <w:tcW w:w="4209" w:type="dxa"/>
            <w:tcBorders>
              <w:top w:val="nil"/>
              <w:left w:val="nil"/>
              <w:bottom w:val="single" w:sz="8" w:space="0" w:color="7F7F7F"/>
              <w:right w:val="nil"/>
            </w:tcBorders>
            <w:shd w:val="clear" w:color="auto" w:fill="auto"/>
            <w:vAlign w:val="center"/>
          </w:tcPr>
          <w:p w14:paraId="2315DB25" w14:textId="77777777" w:rsidR="004E6E16" w:rsidRPr="002D03B5" w:rsidRDefault="004E6E16" w:rsidP="004E6E16">
            <w:pPr>
              <w:pStyle w:val="NoSpacing"/>
              <w:rPr>
                <w:noProof/>
                <w:sz w:val="16"/>
                <w:szCs w:val="16"/>
                <w:lang w:val="sr-Cyrl-RS"/>
              </w:rPr>
            </w:pPr>
            <w:r w:rsidRPr="002D03B5">
              <w:rPr>
                <w:noProof/>
                <w:sz w:val="16"/>
                <w:szCs w:val="16"/>
                <w:lang w:val="sr-Cyrl-RS"/>
              </w:rPr>
              <w:t>Приходи/Расходи за дугорочна резервисања</w:t>
            </w:r>
          </w:p>
        </w:tc>
        <w:tc>
          <w:tcPr>
            <w:tcW w:w="1134" w:type="dxa"/>
            <w:tcBorders>
              <w:top w:val="nil"/>
              <w:left w:val="nil"/>
              <w:bottom w:val="single" w:sz="8" w:space="0" w:color="7F7F7F"/>
              <w:right w:val="nil"/>
            </w:tcBorders>
            <w:shd w:val="clear" w:color="auto" w:fill="auto"/>
            <w:vAlign w:val="center"/>
          </w:tcPr>
          <w:p w14:paraId="1884F149"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-14,776</w:t>
            </w:r>
          </w:p>
        </w:tc>
        <w:tc>
          <w:tcPr>
            <w:tcW w:w="1134" w:type="dxa"/>
            <w:tcBorders>
              <w:top w:val="nil"/>
              <w:left w:val="nil"/>
              <w:bottom w:val="single" w:sz="8" w:space="0" w:color="7F7F7F"/>
              <w:right w:val="nil"/>
            </w:tcBorders>
            <w:shd w:val="clear" w:color="auto" w:fill="auto"/>
            <w:vAlign w:val="center"/>
          </w:tcPr>
          <w:p w14:paraId="3F294500"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-20,000</w:t>
            </w:r>
          </w:p>
        </w:tc>
        <w:tc>
          <w:tcPr>
            <w:tcW w:w="1119" w:type="dxa"/>
            <w:tcBorders>
              <w:top w:val="nil"/>
              <w:left w:val="nil"/>
              <w:bottom w:val="single" w:sz="8" w:space="0" w:color="7F7F7F"/>
              <w:right w:val="nil"/>
            </w:tcBorders>
            <w:shd w:val="clear" w:color="auto" w:fill="auto"/>
            <w:vAlign w:val="center"/>
          </w:tcPr>
          <w:p w14:paraId="2D48F5C8"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-22,025</w:t>
            </w:r>
          </w:p>
        </w:tc>
        <w:tc>
          <w:tcPr>
            <w:tcW w:w="1270" w:type="dxa"/>
            <w:tcBorders>
              <w:top w:val="nil"/>
              <w:left w:val="nil"/>
              <w:bottom w:val="single" w:sz="8" w:space="0" w:color="7F7F7F"/>
              <w:right w:val="nil"/>
            </w:tcBorders>
            <w:shd w:val="clear" w:color="auto" w:fill="auto"/>
            <w:vAlign w:val="center"/>
          </w:tcPr>
          <w:p w14:paraId="6309B8E5"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149.06%</w:t>
            </w:r>
          </w:p>
        </w:tc>
        <w:tc>
          <w:tcPr>
            <w:tcW w:w="1270" w:type="dxa"/>
            <w:tcBorders>
              <w:top w:val="nil"/>
              <w:left w:val="nil"/>
              <w:bottom w:val="single" w:sz="8" w:space="0" w:color="7F7F7F"/>
              <w:right w:val="nil"/>
            </w:tcBorders>
            <w:shd w:val="clear" w:color="auto" w:fill="auto"/>
            <w:vAlign w:val="center"/>
          </w:tcPr>
          <w:p w14:paraId="07070EB9"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110.13%</w:t>
            </w:r>
          </w:p>
        </w:tc>
      </w:tr>
      <w:tr w:rsidR="004E6E16" w:rsidRPr="006C0D6C" w14:paraId="4FA040C0" w14:textId="77777777" w:rsidTr="004E6E16">
        <w:trPr>
          <w:trHeight w:val="227"/>
          <w:jc w:val="center"/>
        </w:trPr>
        <w:tc>
          <w:tcPr>
            <w:tcW w:w="634" w:type="dxa"/>
            <w:tcBorders>
              <w:top w:val="nil"/>
              <w:left w:val="nil"/>
              <w:bottom w:val="single" w:sz="8" w:space="0" w:color="7F7F7F"/>
              <w:right w:val="nil"/>
            </w:tcBorders>
            <w:shd w:val="clear" w:color="auto" w:fill="DBE5F1" w:themeFill="accent1" w:themeFillTint="33"/>
            <w:vAlign w:val="center"/>
          </w:tcPr>
          <w:p w14:paraId="25735D1A" w14:textId="77777777" w:rsidR="004E6E16" w:rsidRPr="002D03B5" w:rsidRDefault="004E6E16" w:rsidP="004E6E16">
            <w:pPr>
              <w:pStyle w:val="NoSpacing"/>
              <w:jc w:val="center"/>
              <w:rPr>
                <w:b/>
                <w:noProof/>
                <w:sz w:val="16"/>
                <w:szCs w:val="16"/>
                <w:lang w:val="sr-Cyrl-RS"/>
              </w:rPr>
            </w:pPr>
            <w:r w:rsidRPr="002D03B5">
              <w:rPr>
                <w:b/>
                <w:noProof/>
                <w:sz w:val="16"/>
                <w:szCs w:val="16"/>
                <w:lang w:val="sr-Cyrl-RS"/>
              </w:rPr>
              <w:t>17</w:t>
            </w:r>
          </w:p>
        </w:tc>
        <w:tc>
          <w:tcPr>
            <w:tcW w:w="4209" w:type="dxa"/>
            <w:tcBorders>
              <w:top w:val="nil"/>
              <w:left w:val="nil"/>
              <w:bottom w:val="single" w:sz="8" w:space="0" w:color="7F7F7F"/>
              <w:right w:val="nil"/>
            </w:tcBorders>
            <w:shd w:val="clear" w:color="auto" w:fill="DBE5F1" w:themeFill="accent1" w:themeFillTint="33"/>
            <w:vAlign w:val="center"/>
          </w:tcPr>
          <w:p w14:paraId="55C76A63" w14:textId="77777777" w:rsidR="004E6E16" w:rsidRPr="002D03B5" w:rsidRDefault="004E6E16" w:rsidP="004E6E16">
            <w:pPr>
              <w:pStyle w:val="NoSpacing"/>
              <w:rPr>
                <w:b/>
                <w:noProof/>
                <w:sz w:val="16"/>
                <w:szCs w:val="16"/>
                <w:lang w:val="sr-Cyrl-RS"/>
              </w:rPr>
            </w:pPr>
            <w:r w:rsidRPr="002D03B5">
              <w:rPr>
                <w:b/>
                <w:noProof/>
                <w:sz w:val="16"/>
                <w:szCs w:val="16"/>
                <w:lang w:val="sr-Cyrl-RS"/>
              </w:rPr>
              <w:t>Резултат промене резервисања (14+15+16)</w:t>
            </w:r>
          </w:p>
        </w:tc>
        <w:tc>
          <w:tcPr>
            <w:tcW w:w="1134" w:type="dxa"/>
            <w:tcBorders>
              <w:top w:val="nil"/>
              <w:left w:val="nil"/>
              <w:bottom w:val="single" w:sz="8" w:space="0" w:color="7F7F7F"/>
              <w:right w:val="nil"/>
            </w:tcBorders>
            <w:shd w:val="clear" w:color="auto" w:fill="DBE5F1" w:themeFill="accent1" w:themeFillTint="33"/>
            <w:vAlign w:val="center"/>
          </w:tcPr>
          <w:p w14:paraId="5E493DCA" w14:textId="77777777" w:rsidR="004E6E16" w:rsidRPr="002D03B5" w:rsidRDefault="004E6E16" w:rsidP="004E6E16">
            <w:pPr>
              <w:pStyle w:val="NoSpacing"/>
              <w:jc w:val="right"/>
              <w:rPr>
                <w:b/>
                <w:noProof/>
                <w:sz w:val="16"/>
                <w:szCs w:val="16"/>
                <w:lang w:val="sr-Cyrl-RS"/>
              </w:rPr>
            </w:pPr>
            <w:r w:rsidRPr="002D03B5">
              <w:rPr>
                <w:b/>
                <w:noProof/>
                <w:sz w:val="16"/>
                <w:szCs w:val="16"/>
                <w:lang w:val="sr-Cyrl-RS"/>
              </w:rPr>
              <w:t>190,413</w:t>
            </w:r>
          </w:p>
        </w:tc>
        <w:tc>
          <w:tcPr>
            <w:tcW w:w="1134" w:type="dxa"/>
            <w:tcBorders>
              <w:top w:val="nil"/>
              <w:left w:val="nil"/>
              <w:bottom w:val="single" w:sz="8" w:space="0" w:color="7F7F7F"/>
              <w:right w:val="nil"/>
            </w:tcBorders>
            <w:shd w:val="clear" w:color="auto" w:fill="DBE5F1" w:themeFill="accent1" w:themeFillTint="33"/>
            <w:vAlign w:val="center"/>
          </w:tcPr>
          <w:p w14:paraId="3AD468D1" w14:textId="77777777" w:rsidR="004E6E16" w:rsidRPr="002D03B5" w:rsidRDefault="004E6E16" w:rsidP="004E6E16">
            <w:pPr>
              <w:pStyle w:val="NoSpacing"/>
              <w:jc w:val="right"/>
              <w:rPr>
                <w:b/>
                <w:noProof/>
                <w:sz w:val="16"/>
                <w:szCs w:val="16"/>
                <w:lang w:val="sr-Cyrl-RS"/>
              </w:rPr>
            </w:pPr>
            <w:r w:rsidRPr="002D03B5">
              <w:rPr>
                <w:b/>
                <w:noProof/>
                <w:sz w:val="16"/>
                <w:szCs w:val="16"/>
                <w:lang w:val="sr-Cyrl-RS"/>
              </w:rPr>
              <w:t>-49,535</w:t>
            </w:r>
          </w:p>
        </w:tc>
        <w:tc>
          <w:tcPr>
            <w:tcW w:w="1119" w:type="dxa"/>
            <w:tcBorders>
              <w:top w:val="nil"/>
              <w:left w:val="nil"/>
              <w:bottom w:val="single" w:sz="8" w:space="0" w:color="7F7F7F"/>
              <w:right w:val="nil"/>
            </w:tcBorders>
            <w:shd w:val="clear" w:color="auto" w:fill="DBE5F1" w:themeFill="accent1" w:themeFillTint="33"/>
            <w:vAlign w:val="center"/>
          </w:tcPr>
          <w:p w14:paraId="01C5EC20" w14:textId="77777777" w:rsidR="004E6E16" w:rsidRPr="002D03B5" w:rsidRDefault="004E6E16" w:rsidP="004E6E16">
            <w:pPr>
              <w:pStyle w:val="NoSpacing"/>
              <w:jc w:val="right"/>
              <w:rPr>
                <w:b/>
                <w:noProof/>
                <w:sz w:val="16"/>
                <w:szCs w:val="16"/>
                <w:lang w:val="sr-Cyrl-RS"/>
              </w:rPr>
            </w:pPr>
            <w:r w:rsidRPr="002D03B5">
              <w:rPr>
                <w:b/>
                <w:noProof/>
                <w:sz w:val="16"/>
                <w:szCs w:val="16"/>
                <w:lang w:val="sr-Cyrl-RS"/>
              </w:rPr>
              <w:t>-78,227</w:t>
            </w:r>
          </w:p>
        </w:tc>
        <w:tc>
          <w:tcPr>
            <w:tcW w:w="1270" w:type="dxa"/>
            <w:tcBorders>
              <w:top w:val="nil"/>
              <w:left w:val="nil"/>
              <w:bottom w:val="single" w:sz="8" w:space="0" w:color="7F7F7F"/>
              <w:right w:val="nil"/>
            </w:tcBorders>
            <w:shd w:val="clear" w:color="auto" w:fill="DBE5F1" w:themeFill="accent1" w:themeFillTint="33"/>
            <w:vAlign w:val="center"/>
          </w:tcPr>
          <w:p w14:paraId="21004512" w14:textId="77777777" w:rsidR="004E6E16" w:rsidRPr="002D03B5" w:rsidRDefault="004E6E16" w:rsidP="004E6E16">
            <w:pPr>
              <w:pStyle w:val="NoSpacing"/>
              <w:jc w:val="center"/>
              <w:rPr>
                <w:b/>
                <w:noProof/>
                <w:sz w:val="16"/>
                <w:szCs w:val="16"/>
                <w:lang w:val="sr-Cyrl-RS"/>
              </w:rPr>
            </w:pPr>
            <w:r w:rsidRPr="002D03B5">
              <w:rPr>
                <w:b/>
                <w:noProof/>
                <w:sz w:val="16"/>
                <w:szCs w:val="16"/>
                <w:lang w:val="sr-Cyrl-RS"/>
              </w:rPr>
              <w:t>-41%</w:t>
            </w:r>
          </w:p>
        </w:tc>
        <w:tc>
          <w:tcPr>
            <w:tcW w:w="1270" w:type="dxa"/>
            <w:tcBorders>
              <w:top w:val="nil"/>
              <w:left w:val="nil"/>
              <w:bottom w:val="single" w:sz="8" w:space="0" w:color="7F7F7F"/>
              <w:right w:val="nil"/>
            </w:tcBorders>
            <w:shd w:val="clear" w:color="auto" w:fill="DBE5F1" w:themeFill="accent1" w:themeFillTint="33"/>
            <w:vAlign w:val="center"/>
          </w:tcPr>
          <w:p w14:paraId="226674EC" w14:textId="77777777" w:rsidR="004E6E16" w:rsidRPr="002D03B5" w:rsidRDefault="004E6E16" w:rsidP="004E6E16">
            <w:pPr>
              <w:pStyle w:val="NoSpacing"/>
              <w:jc w:val="center"/>
              <w:rPr>
                <w:b/>
                <w:noProof/>
                <w:sz w:val="16"/>
                <w:szCs w:val="16"/>
                <w:lang w:val="sr-Cyrl-RS"/>
              </w:rPr>
            </w:pPr>
            <w:r w:rsidRPr="002D03B5">
              <w:rPr>
                <w:b/>
                <w:noProof/>
                <w:sz w:val="16"/>
                <w:szCs w:val="16"/>
                <w:lang w:val="sr-Cyrl-RS"/>
              </w:rPr>
              <w:t>158%</w:t>
            </w:r>
          </w:p>
        </w:tc>
      </w:tr>
      <w:tr w:rsidR="004E6E16" w:rsidRPr="006C0D6C" w14:paraId="63A65874" w14:textId="77777777" w:rsidTr="004E6E16">
        <w:trPr>
          <w:trHeight w:val="340"/>
          <w:jc w:val="center"/>
        </w:trPr>
        <w:tc>
          <w:tcPr>
            <w:tcW w:w="634" w:type="dxa"/>
            <w:tcBorders>
              <w:top w:val="single" w:sz="8" w:space="0" w:color="7F7F7F"/>
              <w:left w:val="nil"/>
              <w:bottom w:val="single" w:sz="8" w:space="0" w:color="FFFFFF" w:themeColor="background1"/>
              <w:right w:val="nil"/>
            </w:tcBorders>
            <w:shd w:val="clear" w:color="auto" w:fill="4F81BD" w:themeFill="accent1"/>
            <w:vAlign w:val="center"/>
          </w:tcPr>
          <w:p w14:paraId="51E0D65F" w14:textId="77777777" w:rsidR="004E6E16" w:rsidRPr="002D03B5" w:rsidRDefault="004E6E16" w:rsidP="004E6E16">
            <w:pPr>
              <w:pStyle w:val="NoSpacing"/>
              <w:jc w:val="center"/>
              <w:rPr>
                <w:b/>
                <w:noProof/>
                <w:color w:val="FFFFFF" w:themeColor="background1"/>
                <w:sz w:val="16"/>
                <w:szCs w:val="16"/>
                <w:lang w:val="sr-Cyrl-RS"/>
              </w:rPr>
            </w:pPr>
            <w:r w:rsidRPr="002D03B5">
              <w:rPr>
                <w:b/>
                <w:noProof/>
                <w:color w:val="FFFFFF" w:themeColor="background1"/>
                <w:sz w:val="16"/>
                <w:szCs w:val="16"/>
                <w:lang w:val="sr-Cyrl-RS"/>
              </w:rPr>
              <w:t>18</w:t>
            </w:r>
          </w:p>
        </w:tc>
        <w:tc>
          <w:tcPr>
            <w:tcW w:w="4209" w:type="dxa"/>
            <w:tcBorders>
              <w:top w:val="single" w:sz="8" w:space="0" w:color="7F7F7F"/>
              <w:left w:val="nil"/>
              <w:bottom w:val="single" w:sz="8" w:space="0" w:color="FFFFFF" w:themeColor="background1"/>
              <w:right w:val="nil"/>
            </w:tcBorders>
            <w:shd w:val="clear" w:color="auto" w:fill="4F81BD" w:themeFill="accent1"/>
            <w:vAlign w:val="center"/>
          </w:tcPr>
          <w:p w14:paraId="398CE56F" w14:textId="77777777" w:rsidR="004E6E16" w:rsidRPr="002D03B5" w:rsidRDefault="004E6E16" w:rsidP="004E6E16">
            <w:pPr>
              <w:pStyle w:val="NoSpacing"/>
              <w:rPr>
                <w:b/>
                <w:noProof/>
                <w:color w:val="FFFFFF" w:themeColor="background1"/>
                <w:sz w:val="16"/>
                <w:szCs w:val="16"/>
                <w:lang w:val="sr-Cyrl-RS"/>
              </w:rPr>
            </w:pPr>
            <w:r w:rsidRPr="002D03B5">
              <w:rPr>
                <w:b/>
                <w:noProof/>
                <w:color w:val="FFFFFF" w:themeColor="background1"/>
                <w:sz w:val="16"/>
                <w:szCs w:val="16"/>
                <w:lang w:val="sr-Cyrl-RS"/>
              </w:rPr>
              <w:t>Пословни (функционални расходи) (13+17)</w:t>
            </w:r>
          </w:p>
        </w:tc>
        <w:tc>
          <w:tcPr>
            <w:tcW w:w="1134" w:type="dxa"/>
            <w:tcBorders>
              <w:top w:val="single" w:sz="8" w:space="0" w:color="7F7F7F"/>
              <w:left w:val="nil"/>
              <w:bottom w:val="single" w:sz="8" w:space="0" w:color="FFFFFF" w:themeColor="background1"/>
              <w:right w:val="nil"/>
            </w:tcBorders>
            <w:shd w:val="clear" w:color="auto" w:fill="4F81BD" w:themeFill="accent1"/>
            <w:vAlign w:val="center"/>
          </w:tcPr>
          <w:p w14:paraId="6D4AB4E1" w14:textId="273DB31C" w:rsidR="004E6E16" w:rsidRPr="002D03B5" w:rsidRDefault="004E6E16" w:rsidP="00B5577F">
            <w:pPr>
              <w:pStyle w:val="NoSpacing"/>
              <w:jc w:val="right"/>
              <w:rPr>
                <w:b/>
                <w:noProof/>
                <w:color w:val="FFFFFF" w:themeColor="background1"/>
                <w:sz w:val="16"/>
                <w:szCs w:val="16"/>
                <w:lang w:val="sr-Cyrl-RS"/>
              </w:rPr>
            </w:pPr>
            <w:r w:rsidRPr="002D03B5">
              <w:rPr>
                <w:b/>
                <w:noProof/>
                <w:color w:val="FFFFFF" w:themeColor="background1"/>
                <w:sz w:val="16"/>
                <w:szCs w:val="16"/>
                <w:lang w:val="sr-Cyrl-RS"/>
              </w:rPr>
              <w:t>-32</w:t>
            </w:r>
            <w:r w:rsidR="00B5577F">
              <w:rPr>
                <w:b/>
                <w:noProof/>
                <w:color w:val="FFFFFF" w:themeColor="background1"/>
                <w:sz w:val="16"/>
                <w:szCs w:val="16"/>
                <w:lang w:val="sr-Cyrl-RS"/>
              </w:rPr>
              <w:t>0</w:t>
            </w:r>
            <w:r w:rsidRPr="002D03B5">
              <w:rPr>
                <w:b/>
                <w:noProof/>
                <w:color w:val="FFFFFF" w:themeColor="background1"/>
                <w:sz w:val="16"/>
                <w:szCs w:val="16"/>
                <w:lang w:val="sr-Cyrl-RS"/>
              </w:rPr>
              <w:t>,3</w:t>
            </w:r>
            <w:r w:rsidR="00B5577F">
              <w:rPr>
                <w:b/>
                <w:noProof/>
                <w:color w:val="FFFFFF" w:themeColor="background1"/>
                <w:sz w:val="16"/>
                <w:szCs w:val="16"/>
                <w:lang w:val="sr-Cyrl-RS"/>
              </w:rPr>
              <w:t>17</w:t>
            </w:r>
          </w:p>
        </w:tc>
        <w:tc>
          <w:tcPr>
            <w:tcW w:w="1134" w:type="dxa"/>
            <w:tcBorders>
              <w:top w:val="single" w:sz="8" w:space="0" w:color="7F7F7F"/>
              <w:left w:val="nil"/>
              <w:bottom w:val="single" w:sz="8" w:space="0" w:color="FFFFFF" w:themeColor="background1"/>
              <w:right w:val="nil"/>
            </w:tcBorders>
            <w:shd w:val="clear" w:color="auto" w:fill="4F81BD" w:themeFill="accent1"/>
            <w:vAlign w:val="center"/>
          </w:tcPr>
          <w:p w14:paraId="660A089B" w14:textId="77777777" w:rsidR="004E6E16" w:rsidRPr="002D03B5" w:rsidRDefault="004E6E16" w:rsidP="004E6E16">
            <w:pPr>
              <w:pStyle w:val="NoSpacing"/>
              <w:jc w:val="right"/>
              <w:rPr>
                <w:b/>
                <w:noProof/>
                <w:color w:val="FFFFFF" w:themeColor="background1"/>
                <w:sz w:val="16"/>
                <w:szCs w:val="16"/>
                <w:lang w:val="sr-Cyrl-RS"/>
              </w:rPr>
            </w:pPr>
            <w:r w:rsidRPr="002D03B5">
              <w:rPr>
                <w:b/>
                <w:noProof/>
                <w:color w:val="FFFFFF" w:themeColor="background1"/>
                <w:sz w:val="16"/>
                <w:szCs w:val="16"/>
                <w:lang w:val="sr-Cyrl-RS"/>
              </w:rPr>
              <w:t>-496,371</w:t>
            </w:r>
          </w:p>
        </w:tc>
        <w:tc>
          <w:tcPr>
            <w:tcW w:w="1119" w:type="dxa"/>
            <w:tcBorders>
              <w:top w:val="single" w:sz="8" w:space="0" w:color="7F7F7F"/>
              <w:left w:val="nil"/>
              <w:bottom w:val="single" w:sz="8" w:space="0" w:color="FFFFFF" w:themeColor="background1"/>
              <w:right w:val="nil"/>
            </w:tcBorders>
            <w:shd w:val="clear" w:color="auto" w:fill="4F81BD" w:themeFill="accent1"/>
            <w:vAlign w:val="center"/>
          </w:tcPr>
          <w:p w14:paraId="29F91FAA" w14:textId="77777777" w:rsidR="004E6E16" w:rsidRPr="002D03B5" w:rsidRDefault="004E6E16" w:rsidP="004E6E16">
            <w:pPr>
              <w:pStyle w:val="NoSpacing"/>
              <w:jc w:val="right"/>
              <w:rPr>
                <w:b/>
                <w:noProof/>
                <w:color w:val="FFFFFF" w:themeColor="background1"/>
                <w:sz w:val="16"/>
                <w:szCs w:val="16"/>
                <w:lang w:val="sr-Cyrl-RS"/>
              </w:rPr>
            </w:pPr>
            <w:r w:rsidRPr="002D03B5">
              <w:rPr>
                <w:b/>
                <w:noProof/>
                <w:color w:val="FFFFFF" w:themeColor="background1"/>
                <w:sz w:val="16"/>
                <w:szCs w:val="16"/>
                <w:lang w:val="sr-Cyrl-RS"/>
              </w:rPr>
              <w:t>-404,257</w:t>
            </w:r>
          </w:p>
        </w:tc>
        <w:tc>
          <w:tcPr>
            <w:tcW w:w="1270" w:type="dxa"/>
            <w:tcBorders>
              <w:top w:val="single" w:sz="8" w:space="0" w:color="7F7F7F"/>
              <w:left w:val="nil"/>
              <w:bottom w:val="single" w:sz="8" w:space="0" w:color="FFFFFF" w:themeColor="background1"/>
              <w:right w:val="nil"/>
            </w:tcBorders>
            <w:shd w:val="clear" w:color="auto" w:fill="4F81BD" w:themeFill="accent1"/>
            <w:vAlign w:val="center"/>
          </w:tcPr>
          <w:p w14:paraId="5540922D" w14:textId="77777777" w:rsidR="004E6E16" w:rsidRPr="002D03B5" w:rsidRDefault="004E6E16" w:rsidP="004E6E16">
            <w:pPr>
              <w:pStyle w:val="NoSpacing"/>
              <w:jc w:val="center"/>
              <w:rPr>
                <w:b/>
                <w:noProof/>
                <w:color w:val="FFFFFF" w:themeColor="background1"/>
                <w:sz w:val="16"/>
                <w:szCs w:val="16"/>
                <w:lang w:val="sr-Cyrl-RS"/>
              </w:rPr>
            </w:pPr>
            <w:r w:rsidRPr="002D03B5">
              <w:rPr>
                <w:b/>
                <w:noProof/>
                <w:color w:val="FFFFFF" w:themeColor="background1"/>
                <w:sz w:val="16"/>
                <w:szCs w:val="16"/>
                <w:lang w:val="sr-Cyrl-RS"/>
              </w:rPr>
              <w:t>126%</w:t>
            </w:r>
          </w:p>
        </w:tc>
        <w:tc>
          <w:tcPr>
            <w:tcW w:w="1270" w:type="dxa"/>
            <w:tcBorders>
              <w:top w:val="single" w:sz="8" w:space="0" w:color="7F7F7F"/>
              <w:left w:val="nil"/>
              <w:bottom w:val="single" w:sz="8" w:space="0" w:color="FFFFFF" w:themeColor="background1"/>
              <w:right w:val="nil"/>
            </w:tcBorders>
            <w:shd w:val="clear" w:color="auto" w:fill="4F81BD" w:themeFill="accent1"/>
            <w:vAlign w:val="center"/>
          </w:tcPr>
          <w:p w14:paraId="2934A4E3" w14:textId="77777777" w:rsidR="004E6E16" w:rsidRPr="002D03B5" w:rsidRDefault="004E6E16" w:rsidP="004E6E16">
            <w:pPr>
              <w:pStyle w:val="NoSpacing"/>
              <w:jc w:val="center"/>
              <w:rPr>
                <w:b/>
                <w:noProof/>
                <w:color w:val="FFFFFF" w:themeColor="background1"/>
                <w:sz w:val="16"/>
                <w:szCs w:val="16"/>
                <w:lang w:val="sr-Cyrl-RS"/>
              </w:rPr>
            </w:pPr>
            <w:r w:rsidRPr="002D03B5">
              <w:rPr>
                <w:b/>
                <w:noProof/>
                <w:color w:val="FFFFFF" w:themeColor="background1"/>
                <w:sz w:val="16"/>
                <w:szCs w:val="16"/>
                <w:lang w:val="sr-Cyrl-RS"/>
              </w:rPr>
              <w:t>81%</w:t>
            </w:r>
          </w:p>
        </w:tc>
      </w:tr>
      <w:tr w:rsidR="004E6E16" w:rsidRPr="006C0D6C" w14:paraId="6416C73A" w14:textId="77777777" w:rsidTr="004E6E16">
        <w:trPr>
          <w:trHeight w:val="340"/>
          <w:jc w:val="center"/>
        </w:trPr>
        <w:tc>
          <w:tcPr>
            <w:tcW w:w="634" w:type="dxa"/>
            <w:tcBorders>
              <w:top w:val="single" w:sz="8" w:space="0" w:color="FFFFFF" w:themeColor="background1"/>
              <w:left w:val="nil"/>
              <w:bottom w:val="single" w:sz="8" w:space="0" w:color="7F7F7F"/>
              <w:right w:val="nil"/>
            </w:tcBorders>
            <w:shd w:val="clear" w:color="auto" w:fill="4F81BD" w:themeFill="accent1"/>
            <w:vAlign w:val="center"/>
          </w:tcPr>
          <w:p w14:paraId="7F9C389F" w14:textId="77777777" w:rsidR="004E6E16" w:rsidRPr="002D03B5" w:rsidRDefault="004E6E16" w:rsidP="004E6E16">
            <w:pPr>
              <w:pStyle w:val="NoSpacing"/>
              <w:jc w:val="center"/>
              <w:rPr>
                <w:b/>
                <w:noProof/>
                <w:color w:val="FFFFFF" w:themeColor="background1"/>
                <w:sz w:val="16"/>
                <w:szCs w:val="16"/>
                <w:lang w:val="sr-Cyrl-RS"/>
              </w:rPr>
            </w:pPr>
            <w:r w:rsidRPr="002D03B5">
              <w:rPr>
                <w:b/>
                <w:noProof/>
                <w:color w:val="FFFFFF" w:themeColor="background1"/>
                <w:sz w:val="16"/>
                <w:szCs w:val="16"/>
                <w:lang w:val="sr-Cyrl-RS"/>
              </w:rPr>
              <w:t>19</w:t>
            </w:r>
          </w:p>
        </w:tc>
        <w:tc>
          <w:tcPr>
            <w:tcW w:w="4209" w:type="dxa"/>
            <w:tcBorders>
              <w:top w:val="single" w:sz="8" w:space="0" w:color="FFFFFF" w:themeColor="background1"/>
              <w:left w:val="nil"/>
              <w:bottom w:val="single" w:sz="8" w:space="0" w:color="7F7F7F"/>
              <w:right w:val="nil"/>
            </w:tcBorders>
            <w:shd w:val="clear" w:color="auto" w:fill="4F81BD" w:themeFill="accent1"/>
            <w:vAlign w:val="center"/>
          </w:tcPr>
          <w:p w14:paraId="27352DD7" w14:textId="77777777" w:rsidR="004E6E16" w:rsidRPr="002D03B5" w:rsidRDefault="004E6E16" w:rsidP="004E6E16">
            <w:pPr>
              <w:pStyle w:val="NoSpacing"/>
              <w:rPr>
                <w:b/>
                <w:noProof/>
                <w:color w:val="FFFFFF" w:themeColor="background1"/>
                <w:sz w:val="16"/>
                <w:szCs w:val="16"/>
                <w:lang w:val="sr-Cyrl-RS"/>
              </w:rPr>
            </w:pPr>
            <w:r w:rsidRPr="002D03B5">
              <w:rPr>
                <w:b/>
                <w:noProof/>
                <w:color w:val="FFFFFF" w:themeColor="background1"/>
                <w:sz w:val="16"/>
                <w:szCs w:val="16"/>
                <w:lang w:val="sr-Cyrl-RS"/>
              </w:rPr>
              <w:t>БРУТО РЕЗУЛТАТ ИЗ ПОСЛОВНЕ АКТИВНОСТИ (7+18)</w:t>
            </w:r>
          </w:p>
        </w:tc>
        <w:tc>
          <w:tcPr>
            <w:tcW w:w="1134" w:type="dxa"/>
            <w:tcBorders>
              <w:top w:val="single" w:sz="8" w:space="0" w:color="FFFFFF" w:themeColor="background1"/>
              <w:left w:val="nil"/>
              <w:bottom w:val="single" w:sz="8" w:space="0" w:color="7F7F7F"/>
              <w:right w:val="nil"/>
            </w:tcBorders>
            <w:shd w:val="clear" w:color="auto" w:fill="4F81BD" w:themeFill="accent1"/>
            <w:vAlign w:val="center"/>
          </w:tcPr>
          <w:p w14:paraId="3E2C512B" w14:textId="42445760" w:rsidR="004E6E16" w:rsidRPr="002D03B5" w:rsidRDefault="00B5577F" w:rsidP="004E6E16">
            <w:pPr>
              <w:pStyle w:val="NoSpacing"/>
              <w:jc w:val="right"/>
              <w:rPr>
                <w:b/>
                <w:noProof/>
                <w:color w:val="FFFFFF" w:themeColor="background1"/>
                <w:sz w:val="16"/>
                <w:szCs w:val="16"/>
                <w:lang w:val="sr-Cyrl-RS"/>
              </w:rPr>
            </w:pPr>
            <w:r>
              <w:rPr>
                <w:b/>
                <w:noProof/>
                <w:color w:val="FFFFFF" w:themeColor="background1"/>
                <w:sz w:val="16"/>
                <w:szCs w:val="16"/>
                <w:lang w:val="sr-Cyrl-RS"/>
              </w:rPr>
              <w:t>99.641</w:t>
            </w:r>
          </w:p>
        </w:tc>
        <w:tc>
          <w:tcPr>
            <w:tcW w:w="1134" w:type="dxa"/>
            <w:tcBorders>
              <w:top w:val="single" w:sz="8" w:space="0" w:color="FFFFFF" w:themeColor="background1"/>
              <w:left w:val="nil"/>
              <w:bottom w:val="single" w:sz="8" w:space="0" w:color="7F7F7F"/>
              <w:right w:val="nil"/>
            </w:tcBorders>
            <w:shd w:val="clear" w:color="auto" w:fill="4F81BD" w:themeFill="accent1"/>
            <w:vAlign w:val="center"/>
          </w:tcPr>
          <w:p w14:paraId="4532C413" w14:textId="77777777" w:rsidR="004E6E16" w:rsidRPr="002D03B5" w:rsidRDefault="004E6E16" w:rsidP="004E6E16">
            <w:pPr>
              <w:pStyle w:val="NoSpacing"/>
              <w:jc w:val="right"/>
              <w:rPr>
                <w:b/>
                <w:noProof/>
                <w:color w:val="FFFFFF" w:themeColor="background1"/>
                <w:sz w:val="16"/>
                <w:szCs w:val="16"/>
                <w:lang w:val="sr-Cyrl-RS"/>
              </w:rPr>
            </w:pPr>
            <w:r w:rsidRPr="002D03B5">
              <w:rPr>
                <w:b/>
                <w:noProof/>
                <w:color w:val="FFFFFF" w:themeColor="background1"/>
                <w:sz w:val="16"/>
                <w:szCs w:val="16"/>
                <w:lang w:val="sr-Cyrl-RS"/>
              </w:rPr>
              <w:t>93,933</w:t>
            </w:r>
          </w:p>
        </w:tc>
        <w:tc>
          <w:tcPr>
            <w:tcW w:w="1119" w:type="dxa"/>
            <w:tcBorders>
              <w:top w:val="single" w:sz="8" w:space="0" w:color="FFFFFF" w:themeColor="background1"/>
              <w:left w:val="nil"/>
              <w:bottom w:val="single" w:sz="8" w:space="0" w:color="7F7F7F"/>
              <w:right w:val="nil"/>
            </w:tcBorders>
            <w:shd w:val="clear" w:color="auto" w:fill="4F81BD" w:themeFill="accent1"/>
            <w:vAlign w:val="center"/>
          </w:tcPr>
          <w:p w14:paraId="4798E47E" w14:textId="77777777" w:rsidR="004E6E16" w:rsidRPr="002D03B5" w:rsidRDefault="004E6E16" w:rsidP="004E6E16">
            <w:pPr>
              <w:pStyle w:val="NoSpacing"/>
              <w:jc w:val="right"/>
              <w:rPr>
                <w:b/>
                <w:noProof/>
                <w:color w:val="FFFFFF" w:themeColor="background1"/>
                <w:sz w:val="16"/>
                <w:szCs w:val="16"/>
                <w:lang w:val="sr-Cyrl-RS"/>
              </w:rPr>
            </w:pPr>
            <w:r w:rsidRPr="002D03B5">
              <w:rPr>
                <w:b/>
                <w:noProof/>
                <w:color w:val="FFFFFF" w:themeColor="background1"/>
                <w:sz w:val="16"/>
                <w:szCs w:val="16"/>
                <w:lang w:val="sr-Cyrl-RS"/>
              </w:rPr>
              <w:t>-37,827</w:t>
            </w:r>
          </w:p>
        </w:tc>
        <w:tc>
          <w:tcPr>
            <w:tcW w:w="1270" w:type="dxa"/>
            <w:tcBorders>
              <w:top w:val="single" w:sz="8" w:space="0" w:color="FFFFFF" w:themeColor="background1"/>
              <w:left w:val="nil"/>
              <w:bottom w:val="single" w:sz="8" w:space="0" w:color="7F7F7F"/>
              <w:right w:val="nil"/>
            </w:tcBorders>
            <w:shd w:val="clear" w:color="auto" w:fill="4F81BD" w:themeFill="accent1"/>
            <w:vAlign w:val="center"/>
          </w:tcPr>
          <w:p w14:paraId="4F829C93" w14:textId="5DB11906" w:rsidR="004E6E16" w:rsidRPr="002D03B5" w:rsidRDefault="004E6E16" w:rsidP="00B5577F">
            <w:pPr>
              <w:pStyle w:val="NoSpacing"/>
              <w:jc w:val="center"/>
              <w:rPr>
                <w:b/>
                <w:noProof/>
                <w:color w:val="FFFFFF" w:themeColor="background1"/>
                <w:sz w:val="16"/>
                <w:szCs w:val="16"/>
                <w:lang w:val="sr-Cyrl-RS"/>
              </w:rPr>
            </w:pPr>
            <w:r w:rsidRPr="002D03B5">
              <w:rPr>
                <w:b/>
                <w:noProof/>
                <w:color w:val="FFFFFF" w:themeColor="background1"/>
                <w:sz w:val="16"/>
                <w:szCs w:val="16"/>
                <w:lang w:val="sr-Cyrl-RS"/>
              </w:rPr>
              <w:t>-</w:t>
            </w:r>
            <w:r w:rsidR="00B5577F">
              <w:rPr>
                <w:b/>
                <w:noProof/>
                <w:color w:val="FFFFFF" w:themeColor="background1"/>
                <w:sz w:val="16"/>
                <w:szCs w:val="16"/>
                <w:lang w:val="sr-Cyrl-RS"/>
              </w:rPr>
              <w:t>38</w:t>
            </w:r>
            <w:r w:rsidRPr="002D03B5">
              <w:rPr>
                <w:b/>
                <w:noProof/>
                <w:color w:val="FFFFFF" w:themeColor="background1"/>
                <w:sz w:val="16"/>
                <w:szCs w:val="16"/>
                <w:lang w:val="sr-Cyrl-RS"/>
              </w:rPr>
              <w:t>%</w:t>
            </w:r>
          </w:p>
        </w:tc>
        <w:tc>
          <w:tcPr>
            <w:tcW w:w="1270" w:type="dxa"/>
            <w:tcBorders>
              <w:top w:val="single" w:sz="8" w:space="0" w:color="FFFFFF" w:themeColor="background1"/>
              <w:left w:val="nil"/>
              <w:bottom w:val="single" w:sz="8" w:space="0" w:color="7F7F7F"/>
              <w:right w:val="nil"/>
            </w:tcBorders>
            <w:shd w:val="clear" w:color="auto" w:fill="4F81BD" w:themeFill="accent1"/>
            <w:vAlign w:val="center"/>
          </w:tcPr>
          <w:p w14:paraId="60BD9555" w14:textId="77777777" w:rsidR="004E6E16" w:rsidRPr="002D03B5" w:rsidRDefault="004E6E16" w:rsidP="004E6E16">
            <w:pPr>
              <w:pStyle w:val="NoSpacing"/>
              <w:jc w:val="center"/>
              <w:rPr>
                <w:b/>
                <w:noProof/>
                <w:color w:val="FFFFFF" w:themeColor="background1"/>
                <w:sz w:val="16"/>
                <w:szCs w:val="16"/>
                <w:lang w:val="sr-Cyrl-RS"/>
              </w:rPr>
            </w:pPr>
            <w:r w:rsidRPr="002D03B5">
              <w:rPr>
                <w:b/>
                <w:noProof/>
                <w:color w:val="FFFFFF" w:themeColor="background1"/>
                <w:sz w:val="16"/>
                <w:szCs w:val="16"/>
                <w:lang w:val="sr-Cyrl-RS"/>
              </w:rPr>
              <w:t>-40%</w:t>
            </w:r>
          </w:p>
        </w:tc>
      </w:tr>
      <w:tr w:rsidR="004E6E16" w:rsidRPr="006C0D6C" w14:paraId="656D5F5E" w14:textId="77777777" w:rsidTr="004E6E16">
        <w:trPr>
          <w:trHeight w:val="227"/>
          <w:jc w:val="center"/>
        </w:trPr>
        <w:tc>
          <w:tcPr>
            <w:tcW w:w="634" w:type="dxa"/>
            <w:tcBorders>
              <w:top w:val="nil"/>
              <w:left w:val="nil"/>
              <w:bottom w:val="single" w:sz="8" w:space="0" w:color="7F7F7F"/>
              <w:right w:val="nil"/>
            </w:tcBorders>
            <w:shd w:val="clear" w:color="auto" w:fill="auto"/>
            <w:vAlign w:val="center"/>
          </w:tcPr>
          <w:p w14:paraId="58E5E4BE"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20</w:t>
            </w:r>
          </w:p>
        </w:tc>
        <w:tc>
          <w:tcPr>
            <w:tcW w:w="4209" w:type="dxa"/>
            <w:tcBorders>
              <w:top w:val="nil"/>
              <w:left w:val="nil"/>
              <w:bottom w:val="single" w:sz="8" w:space="0" w:color="7F7F7F"/>
              <w:right w:val="nil"/>
            </w:tcBorders>
            <w:shd w:val="clear" w:color="auto" w:fill="auto"/>
            <w:vAlign w:val="center"/>
          </w:tcPr>
          <w:p w14:paraId="068543B7" w14:textId="77777777" w:rsidR="004E6E16" w:rsidRPr="002D03B5" w:rsidRDefault="004E6E16" w:rsidP="004E6E16">
            <w:pPr>
              <w:pStyle w:val="NoSpacing"/>
              <w:rPr>
                <w:noProof/>
                <w:sz w:val="16"/>
                <w:szCs w:val="16"/>
                <w:lang w:val="sr-Cyrl-RS"/>
              </w:rPr>
            </w:pPr>
            <w:r w:rsidRPr="002D03B5">
              <w:rPr>
                <w:noProof/>
                <w:sz w:val="16"/>
                <w:szCs w:val="16"/>
                <w:lang w:val="sr-Cyrl-RS"/>
              </w:rPr>
              <w:t>Приходи од инвестиционе активности</w:t>
            </w:r>
          </w:p>
        </w:tc>
        <w:tc>
          <w:tcPr>
            <w:tcW w:w="1134" w:type="dxa"/>
            <w:tcBorders>
              <w:top w:val="nil"/>
              <w:left w:val="nil"/>
              <w:bottom w:val="single" w:sz="8" w:space="0" w:color="7F7F7F"/>
              <w:right w:val="nil"/>
            </w:tcBorders>
            <w:shd w:val="clear" w:color="auto" w:fill="auto"/>
            <w:vAlign w:val="center"/>
          </w:tcPr>
          <w:p w14:paraId="41836C2B" w14:textId="736C4BB0" w:rsidR="004E6E16" w:rsidRPr="002D03B5" w:rsidRDefault="00B5577F" w:rsidP="004E6E16">
            <w:pPr>
              <w:pStyle w:val="NoSpacing"/>
              <w:jc w:val="right"/>
              <w:rPr>
                <w:noProof/>
                <w:sz w:val="16"/>
                <w:szCs w:val="16"/>
                <w:lang w:val="sr-Cyrl-RS"/>
              </w:rPr>
            </w:pPr>
            <w:r>
              <w:rPr>
                <w:noProof/>
                <w:sz w:val="16"/>
                <w:szCs w:val="16"/>
                <w:lang w:val="sr-Cyrl-RS"/>
              </w:rPr>
              <w:t>137.063</w:t>
            </w:r>
          </w:p>
        </w:tc>
        <w:tc>
          <w:tcPr>
            <w:tcW w:w="1134" w:type="dxa"/>
            <w:tcBorders>
              <w:top w:val="nil"/>
              <w:left w:val="nil"/>
              <w:bottom w:val="single" w:sz="8" w:space="0" w:color="7F7F7F"/>
              <w:right w:val="nil"/>
            </w:tcBorders>
            <w:shd w:val="clear" w:color="auto" w:fill="auto"/>
            <w:vAlign w:val="center"/>
          </w:tcPr>
          <w:p w14:paraId="69D9794C"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93,000</w:t>
            </w:r>
          </w:p>
        </w:tc>
        <w:tc>
          <w:tcPr>
            <w:tcW w:w="1119" w:type="dxa"/>
            <w:tcBorders>
              <w:top w:val="nil"/>
              <w:left w:val="nil"/>
              <w:bottom w:val="single" w:sz="8" w:space="0" w:color="7F7F7F"/>
              <w:right w:val="nil"/>
            </w:tcBorders>
            <w:shd w:val="clear" w:color="auto" w:fill="auto"/>
            <w:vAlign w:val="center"/>
          </w:tcPr>
          <w:p w14:paraId="570F43FB"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155,702</w:t>
            </w:r>
          </w:p>
        </w:tc>
        <w:tc>
          <w:tcPr>
            <w:tcW w:w="1270" w:type="dxa"/>
            <w:tcBorders>
              <w:top w:val="nil"/>
              <w:left w:val="nil"/>
              <w:bottom w:val="single" w:sz="8" w:space="0" w:color="7F7F7F"/>
              <w:right w:val="nil"/>
            </w:tcBorders>
            <w:shd w:val="clear" w:color="auto" w:fill="auto"/>
            <w:vAlign w:val="center"/>
          </w:tcPr>
          <w:p w14:paraId="7FAFD92F" w14:textId="712D1E5C" w:rsidR="004E6E16" w:rsidRPr="002D03B5" w:rsidRDefault="00352E9D" w:rsidP="004E6E16">
            <w:pPr>
              <w:pStyle w:val="NoSpacing"/>
              <w:jc w:val="center"/>
              <w:rPr>
                <w:noProof/>
                <w:sz w:val="16"/>
                <w:szCs w:val="16"/>
                <w:lang w:val="sr-Cyrl-RS"/>
              </w:rPr>
            </w:pPr>
            <w:r>
              <w:rPr>
                <w:noProof/>
                <w:sz w:val="16"/>
                <w:szCs w:val="16"/>
                <w:lang w:val="sr-Cyrl-RS"/>
              </w:rPr>
              <w:t>113,60</w:t>
            </w:r>
            <w:r w:rsidR="004E6E16" w:rsidRPr="002D03B5">
              <w:rPr>
                <w:noProof/>
                <w:sz w:val="16"/>
                <w:szCs w:val="16"/>
                <w:lang w:val="sr-Cyrl-RS"/>
              </w:rPr>
              <w:t>%</w:t>
            </w:r>
          </w:p>
        </w:tc>
        <w:tc>
          <w:tcPr>
            <w:tcW w:w="1270" w:type="dxa"/>
            <w:tcBorders>
              <w:top w:val="nil"/>
              <w:left w:val="nil"/>
              <w:bottom w:val="single" w:sz="8" w:space="0" w:color="7F7F7F"/>
              <w:right w:val="nil"/>
            </w:tcBorders>
            <w:shd w:val="clear" w:color="auto" w:fill="auto"/>
            <w:vAlign w:val="center"/>
          </w:tcPr>
          <w:p w14:paraId="182BDA96"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167.42%</w:t>
            </w:r>
          </w:p>
        </w:tc>
      </w:tr>
      <w:tr w:rsidR="004E6E16" w:rsidRPr="006C0D6C" w14:paraId="231E3103" w14:textId="77777777" w:rsidTr="004E6E16">
        <w:trPr>
          <w:trHeight w:val="227"/>
          <w:jc w:val="center"/>
        </w:trPr>
        <w:tc>
          <w:tcPr>
            <w:tcW w:w="634" w:type="dxa"/>
            <w:tcBorders>
              <w:top w:val="nil"/>
              <w:left w:val="nil"/>
              <w:bottom w:val="single" w:sz="8" w:space="0" w:color="7F7F7F"/>
              <w:right w:val="nil"/>
            </w:tcBorders>
            <w:shd w:val="clear" w:color="auto" w:fill="auto"/>
            <w:vAlign w:val="center"/>
          </w:tcPr>
          <w:p w14:paraId="2FF07FCD"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21</w:t>
            </w:r>
          </w:p>
        </w:tc>
        <w:tc>
          <w:tcPr>
            <w:tcW w:w="4209" w:type="dxa"/>
            <w:tcBorders>
              <w:top w:val="nil"/>
              <w:left w:val="nil"/>
              <w:bottom w:val="single" w:sz="8" w:space="0" w:color="7F7F7F"/>
              <w:right w:val="nil"/>
            </w:tcBorders>
            <w:shd w:val="clear" w:color="auto" w:fill="auto"/>
            <w:vAlign w:val="center"/>
          </w:tcPr>
          <w:p w14:paraId="3863AF78" w14:textId="77777777" w:rsidR="004E6E16" w:rsidRPr="002D03B5" w:rsidRDefault="004E6E16" w:rsidP="004E6E16">
            <w:pPr>
              <w:pStyle w:val="NoSpacing"/>
              <w:rPr>
                <w:noProof/>
                <w:sz w:val="16"/>
                <w:szCs w:val="16"/>
                <w:lang w:val="sr-Cyrl-RS"/>
              </w:rPr>
            </w:pPr>
            <w:r w:rsidRPr="002D03B5">
              <w:rPr>
                <w:noProof/>
                <w:sz w:val="16"/>
                <w:szCs w:val="16"/>
                <w:lang w:val="sr-Cyrl-RS"/>
              </w:rPr>
              <w:t>Расходи од инвестиционе активности</w:t>
            </w:r>
          </w:p>
        </w:tc>
        <w:tc>
          <w:tcPr>
            <w:tcW w:w="1134" w:type="dxa"/>
            <w:tcBorders>
              <w:top w:val="nil"/>
              <w:left w:val="nil"/>
              <w:bottom w:val="single" w:sz="8" w:space="0" w:color="7F7F7F"/>
              <w:right w:val="nil"/>
            </w:tcBorders>
            <w:shd w:val="clear" w:color="auto" w:fill="auto"/>
            <w:vAlign w:val="center"/>
          </w:tcPr>
          <w:p w14:paraId="634F59D2" w14:textId="47BF7D59" w:rsidR="004E6E16" w:rsidRPr="002D03B5" w:rsidRDefault="00B5577F" w:rsidP="00B5577F">
            <w:pPr>
              <w:pStyle w:val="NoSpacing"/>
              <w:jc w:val="right"/>
              <w:rPr>
                <w:noProof/>
                <w:sz w:val="16"/>
                <w:szCs w:val="16"/>
                <w:lang w:val="sr-Cyrl-RS"/>
              </w:rPr>
            </w:pPr>
            <w:r>
              <w:rPr>
                <w:noProof/>
                <w:sz w:val="16"/>
                <w:szCs w:val="16"/>
                <w:lang w:val="sr-Cyrl-RS"/>
              </w:rPr>
              <w:t>-139.594</w:t>
            </w:r>
          </w:p>
        </w:tc>
        <w:tc>
          <w:tcPr>
            <w:tcW w:w="1134" w:type="dxa"/>
            <w:tcBorders>
              <w:top w:val="nil"/>
              <w:left w:val="nil"/>
              <w:bottom w:val="single" w:sz="8" w:space="0" w:color="7F7F7F"/>
              <w:right w:val="nil"/>
            </w:tcBorders>
            <w:shd w:val="clear" w:color="auto" w:fill="auto"/>
            <w:vAlign w:val="center"/>
          </w:tcPr>
          <w:p w14:paraId="7635B536" w14:textId="50A36446" w:rsidR="004E6E16" w:rsidRPr="002D03B5" w:rsidRDefault="004E6E16" w:rsidP="00B5577F">
            <w:pPr>
              <w:pStyle w:val="NoSpacing"/>
              <w:jc w:val="right"/>
              <w:rPr>
                <w:noProof/>
                <w:sz w:val="16"/>
                <w:szCs w:val="16"/>
                <w:lang w:val="sr-Cyrl-RS"/>
              </w:rPr>
            </w:pPr>
            <w:r w:rsidRPr="002D03B5">
              <w:rPr>
                <w:noProof/>
                <w:sz w:val="16"/>
                <w:szCs w:val="16"/>
                <w:lang w:val="sr-Cyrl-RS"/>
              </w:rPr>
              <w:t>-</w:t>
            </w:r>
            <w:r w:rsidR="00B5577F">
              <w:rPr>
                <w:noProof/>
                <w:sz w:val="16"/>
                <w:szCs w:val="16"/>
                <w:lang w:val="sr-Cyrl-RS"/>
              </w:rPr>
              <w:t>32.000</w:t>
            </w:r>
          </w:p>
        </w:tc>
        <w:tc>
          <w:tcPr>
            <w:tcW w:w="1119" w:type="dxa"/>
            <w:tcBorders>
              <w:top w:val="nil"/>
              <w:left w:val="nil"/>
              <w:bottom w:val="single" w:sz="8" w:space="0" w:color="7F7F7F"/>
              <w:right w:val="nil"/>
            </w:tcBorders>
            <w:shd w:val="clear" w:color="auto" w:fill="auto"/>
            <w:vAlign w:val="center"/>
          </w:tcPr>
          <w:p w14:paraId="0575D65A"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-179,647</w:t>
            </w:r>
          </w:p>
        </w:tc>
        <w:tc>
          <w:tcPr>
            <w:tcW w:w="1270" w:type="dxa"/>
            <w:tcBorders>
              <w:top w:val="nil"/>
              <w:left w:val="nil"/>
              <w:bottom w:val="single" w:sz="8" w:space="0" w:color="7F7F7F"/>
              <w:right w:val="nil"/>
            </w:tcBorders>
            <w:shd w:val="clear" w:color="auto" w:fill="auto"/>
            <w:vAlign w:val="center"/>
          </w:tcPr>
          <w:p w14:paraId="14ACE63B" w14:textId="7A11ECD6" w:rsidR="004E6E16" w:rsidRPr="002D03B5" w:rsidRDefault="00352E9D" w:rsidP="004E6E16">
            <w:pPr>
              <w:pStyle w:val="NoSpacing"/>
              <w:jc w:val="center"/>
              <w:rPr>
                <w:noProof/>
                <w:sz w:val="16"/>
                <w:szCs w:val="16"/>
                <w:lang w:val="sr-Cyrl-RS"/>
              </w:rPr>
            </w:pPr>
            <w:r>
              <w:rPr>
                <w:noProof/>
                <w:sz w:val="16"/>
                <w:szCs w:val="16"/>
                <w:lang w:val="sr-Cyrl-RS"/>
              </w:rPr>
              <w:t>128,69</w:t>
            </w:r>
            <w:r w:rsidR="004E6E16" w:rsidRPr="002D03B5">
              <w:rPr>
                <w:noProof/>
                <w:sz w:val="16"/>
                <w:szCs w:val="16"/>
                <w:lang w:val="sr-Cyrl-RS"/>
              </w:rPr>
              <w:t>%</w:t>
            </w:r>
          </w:p>
        </w:tc>
        <w:tc>
          <w:tcPr>
            <w:tcW w:w="1270" w:type="dxa"/>
            <w:tcBorders>
              <w:top w:val="nil"/>
              <w:left w:val="nil"/>
              <w:bottom w:val="single" w:sz="8" w:space="0" w:color="7F7F7F"/>
              <w:right w:val="nil"/>
            </w:tcBorders>
            <w:shd w:val="clear" w:color="auto" w:fill="auto"/>
            <w:vAlign w:val="center"/>
          </w:tcPr>
          <w:p w14:paraId="48092D5D"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1796.47%</w:t>
            </w:r>
          </w:p>
        </w:tc>
      </w:tr>
      <w:tr w:rsidR="004E6E16" w:rsidRPr="006C0D6C" w14:paraId="2084C41B" w14:textId="77777777" w:rsidTr="004E6E16">
        <w:trPr>
          <w:trHeight w:val="227"/>
          <w:jc w:val="center"/>
        </w:trPr>
        <w:tc>
          <w:tcPr>
            <w:tcW w:w="634" w:type="dxa"/>
            <w:tcBorders>
              <w:top w:val="nil"/>
              <w:left w:val="nil"/>
              <w:bottom w:val="single" w:sz="8" w:space="0" w:color="7F7F7F"/>
              <w:right w:val="nil"/>
            </w:tcBorders>
            <w:shd w:val="clear" w:color="auto" w:fill="DBE5F1" w:themeFill="accent1" w:themeFillTint="33"/>
            <w:vAlign w:val="center"/>
          </w:tcPr>
          <w:p w14:paraId="584B0CF7" w14:textId="77777777" w:rsidR="004E6E16" w:rsidRPr="002D03B5" w:rsidRDefault="004E6E16" w:rsidP="004E6E16">
            <w:pPr>
              <w:pStyle w:val="NoSpacing"/>
              <w:jc w:val="center"/>
              <w:rPr>
                <w:b/>
                <w:noProof/>
                <w:sz w:val="16"/>
                <w:szCs w:val="16"/>
                <w:lang w:val="sr-Cyrl-RS"/>
              </w:rPr>
            </w:pPr>
            <w:r w:rsidRPr="002D03B5">
              <w:rPr>
                <w:b/>
                <w:noProof/>
                <w:sz w:val="16"/>
                <w:szCs w:val="16"/>
                <w:lang w:val="sr-Cyrl-RS"/>
              </w:rPr>
              <w:t>22</w:t>
            </w:r>
          </w:p>
        </w:tc>
        <w:tc>
          <w:tcPr>
            <w:tcW w:w="4209" w:type="dxa"/>
            <w:tcBorders>
              <w:top w:val="nil"/>
              <w:left w:val="nil"/>
              <w:bottom w:val="single" w:sz="8" w:space="0" w:color="7F7F7F"/>
              <w:right w:val="nil"/>
            </w:tcBorders>
            <w:shd w:val="clear" w:color="auto" w:fill="DBE5F1" w:themeFill="accent1" w:themeFillTint="33"/>
            <w:vAlign w:val="center"/>
          </w:tcPr>
          <w:p w14:paraId="523D4781" w14:textId="77777777" w:rsidR="004E6E16" w:rsidRPr="002D03B5" w:rsidRDefault="004E6E16" w:rsidP="004E6E16">
            <w:pPr>
              <w:pStyle w:val="NoSpacing"/>
              <w:rPr>
                <w:b/>
                <w:noProof/>
                <w:sz w:val="16"/>
                <w:szCs w:val="16"/>
                <w:lang w:val="sr-Cyrl-RS"/>
              </w:rPr>
            </w:pPr>
            <w:r w:rsidRPr="002D03B5">
              <w:rPr>
                <w:b/>
                <w:noProof/>
                <w:sz w:val="16"/>
                <w:szCs w:val="16"/>
                <w:lang w:val="sr-Cyrl-RS"/>
              </w:rPr>
              <w:t>Резултат од инвестирања (16+17)</w:t>
            </w:r>
          </w:p>
        </w:tc>
        <w:tc>
          <w:tcPr>
            <w:tcW w:w="1134" w:type="dxa"/>
            <w:tcBorders>
              <w:top w:val="nil"/>
              <w:left w:val="nil"/>
              <w:bottom w:val="single" w:sz="8" w:space="0" w:color="7F7F7F"/>
              <w:right w:val="nil"/>
            </w:tcBorders>
            <w:shd w:val="clear" w:color="auto" w:fill="DBE5F1" w:themeFill="accent1" w:themeFillTint="33"/>
            <w:vAlign w:val="center"/>
          </w:tcPr>
          <w:p w14:paraId="13ED0FA9" w14:textId="16629119" w:rsidR="004E6E16" w:rsidRPr="002D03B5" w:rsidRDefault="00352E9D" w:rsidP="004E6E16">
            <w:pPr>
              <w:pStyle w:val="NoSpacing"/>
              <w:jc w:val="right"/>
              <w:rPr>
                <w:b/>
                <w:noProof/>
                <w:sz w:val="16"/>
                <w:szCs w:val="16"/>
                <w:lang w:val="sr-Cyrl-RS"/>
              </w:rPr>
            </w:pPr>
            <w:r>
              <w:rPr>
                <w:b/>
                <w:noProof/>
                <w:sz w:val="16"/>
                <w:szCs w:val="16"/>
                <w:lang w:val="sr-Cyrl-RS"/>
              </w:rPr>
              <w:t>-2,531</w:t>
            </w:r>
          </w:p>
        </w:tc>
        <w:tc>
          <w:tcPr>
            <w:tcW w:w="1134" w:type="dxa"/>
            <w:tcBorders>
              <w:top w:val="nil"/>
              <w:left w:val="nil"/>
              <w:bottom w:val="single" w:sz="8" w:space="0" w:color="7F7F7F"/>
              <w:right w:val="nil"/>
            </w:tcBorders>
            <w:shd w:val="clear" w:color="auto" w:fill="DBE5F1" w:themeFill="accent1" w:themeFillTint="33"/>
            <w:vAlign w:val="center"/>
          </w:tcPr>
          <w:p w14:paraId="087E7A2C" w14:textId="770682D2" w:rsidR="004E6E16" w:rsidRPr="002D03B5" w:rsidRDefault="00B5577F" w:rsidP="004E6E16">
            <w:pPr>
              <w:pStyle w:val="NoSpacing"/>
              <w:jc w:val="right"/>
              <w:rPr>
                <w:b/>
                <w:noProof/>
                <w:sz w:val="16"/>
                <w:szCs w:val="16"/>
                <w:lang w:val="sr-Cyrl-RS"/>
              </w:rPr>
            </w:pPr>
            <w:r>
              <w:rPr>
                <w:b/>
                <w:noProof/>
                <w:sz w:val="16"/>
                <w:szCs w:val="16"/>
                <w:lang w:val="sr-Cyrl-RS"/>
              </w:rPr>
              <w:t>61.000</w:t>
            </w:r>
          </w:p>
        </w:tc>
        <w:tc>
          <w:tcPr>
            <w:tcW w:w="1119" w:type="dxa"/>
            <w:tcBorders>
              <w:top w:val="nil"/>
              <w:left w:val="nil"/>
              <w:bottom w:val="single" w:sz="8" w:space="0" w:color="7F7F7F"/>
              <w:right w:val="nil"/>
            </w:tcBorders>
            <w:shd w:val="clear" w:color="auto" w:fill="DBE5F1" w:themeFill="accent1" w:themeFillTint="33"/>
            <w:vAlign w:val="center"/>
          </w:tcPr>
          <w:p w14:paraId="7721B12A" w14:textId="77777777" w:rsidR="004E6E16" w:rsidRPr="002D03B5" w:rsidRDefault="004E6E16" w:rsidP="004E6E16">
            <w:pPr>
              <w:pStyle w:val="NoSpacing"/>
              <w:jc w:val="right"/>
              <w:rPr>
                <w:b/>
                <w:noProof/>
                <w:sz w:val="16"/>
                <w:szCs w:val="16"/>
                <w:lang w:val="sr-Cyrl-RS"/>
              </w:rPr>
            </w:pPr>
            <w:r w:rsidRPr="002D03B5">
              <w:rPr>
                <w:b/>
                <w:noProof/>
                <w:sz w:val="16"/>
                <w:szCs w:val="16"/>
                <w:lang w:val="sr-Cyrl-RS"/>
              </w:rPr>
              <w:t>-23,945</w:t>
            </w:r>
          </w:p>
        </w:tc>
        <w:tc>
          <w:tcPr>
            <w:tcW w:w="1270" w:type="dxa"/>
            <w:tcBorders>
              <w:top w:val="nil"/>
              <w:left w:val="nil"/>
              <w:bottom w:val="single" w:sz="8" w:space="0" w:color="7F7F7F"/>
              <w:right w:val="nil"/>
            </w:tcBorders>
            <w:shd w:val="clear" w:color="auto" w:fill="DBE5F1" w:themeFill="accent1" w:themeFillTint="33"/>
            <w:vAlign w:val="center"/>
          </w:tcPr>
          <w:p w14:paraId="62968786" w14:textId="7ED9CE6F" w:rsidR="004E6E16" w:rsidRPr="002D03B5" w:rsidRDefault="00352E9D" w:rsidP="00352E9D">
            <w:pPr>
              <w:pStyle w:val="NoSpacing"/>
              <w:jc w:val="center"/>
              <w:rPr>
                <w:b/>
                <w:noProof/>
                <w:sz w:val="16"/>
                <w:szCs w:val="16"/>
                <w:lang w:val="sr-Cyrl-RS"/>
              </w:rPr>
            </w:pPr>
            <w:r>
              <w:rPr>
                <w:b/>
                <w:noProof/>
                <w:sz w:val="16"/>
                <w:szCs w:val="16"/>
                <w:lang w:val="sr-Cyrl-RS"/>
              </w:rPr>
              <w:t>946</w:t>
            </w:r>
            <w:r w:rsidR="004E6E16" w:rsidRPr="002D03B5">
              <w:rPr>
                <w:b/>
                <w:noProof/>
                <w:sz w:val="16"/>
                <w:szCs w:val="16"/>
                <w:lang w:val="sr-Cyrl-RS"/>
              </w:rPr>
              <w:t>%</w:t>
            </w:r>
          </w:p>
        </w:tc>
        <w:tc>
          <w:tcPr>
            <w:tcW w:w="1270" w:type="dxa"/>
            <w:tcBorders>
              <w:top w:val="nil"/>
              <w:left w:val="nil"/>
              <w:bottom w:val="single" w:sz="8" w:space="0" w:color="7F7F7F"/>
              <w:right w:val="nil"/>
            </w:tcBorders>
            <w:shd w:val="clear" w:color="auto" w:fill="DBE5F1" w:themeFill="accent1" w:themeFillTint="33"/>
            <w:vAlign w:val="center"/>
          </w:tcPr>
          <w:p w14:paraId="43DA15D7" w14:textId="53A363BA" w:rsidR="004E6E16" w:rsidRPr="002D03B5" w:rsidRDefault="00B5577F" w:rsidP="004E6E16">
            <w:pPr>
              <w:pStyle w:val="NoSpacing"/>
              <w:jc w:val="center"/>
              <w:rPr>
                <w:b/>
                <w:noProof/>
                <w:sz w:val="16"/>
                <w:szCs w:val="16"/>
                <w:lang w:val="sr-Cyrl-RS"/>
              </w:rPr>
            </w:pPr>
            <w:r>
              <w:rPr>
                <w:b/>
                <w:noProof/>
                <w:sz w:val="16"/>
                <w:szCs w:val="16"/>
                <w:lang w:val="sr-Cyrl-RS"/>
              </w:rPr>
              <w:t>-39,25</w:t>
            </w:r>
          </w:p>
        </w:tc>
      </w:tr>
      <w:tr w:rsidR="004E6E16" w:rsidRPr="006C0D6C" w14:paraId="27B70E53" w14:textId="77777777" w:rsidTr="004E6E16">
        <w:trPr>
          <w:trHeight w:val="227"/>
          <w:jc w:val="center"/>
        </w:trPr>
        <w:tc>
          <w:tcPr>
            <w:tcW w:w="634" w:type="dxa"/>
            <w:tcBorders>
              <w:top w:val="nil"/>
              <w:left w:val="nil"/>
              <w:bottom w:val="single" w:sz="8" w:space="0" w:color="7F7F7F"/>
              <w:right w:val="nil"/>
            </w:tcBorders>
            <w:shd w:val="clear" w:color="auto" w:fill="auto"/>
            <w:vAlign w:val="center"/>
          </w:tcPr>
          <w:p w14:paraId="206401F9"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23</w:t>
            </w:r>
          </w:p>
        </w:tc>
        <w:tc>
          <w:tcPr>
            <w:tcW w:w="4209" w:type="dxa"/>
            <w:tcBorders>
              <w:top w:val="nil"/>
              <w:left w:val="nil"/>
              <w:bottom w:val="single" w:sz="8" w:space="0" w:color="7F7F7F"/>
              <w:right w:val="nil"/>
            </w:tcBorders>
            <w:shd w:val="clear" w:color="auto" w:fill="auto"/>
            <w:vAlign w:val="center"/>
          </w:tcPr>
          <w:p w14:paraId="37AC6FD8" w14:textId="77777777" w:rsidR="004E6E16" w:rsidRPr="002D03B5" w:rsidRDefault="004E6E16" w:rsidP="004E6E16">
            <w:pPr>
              <w:pStyle w:val="NoSpacing"/>
              <w:rPr>
                <w:noProof/>
                <w:sz w:val="16"/>
                <w:szCs w:val="16"/>
                <w:lang w:val="sr-Cyrl-RS"/>
              </w:rPr>
            </w:pPr>
            <w:r w:rsidRPr="002D03B5">
              <w:rPr>
                <w:noProof/>
                <w:sz w:val="16"/>
                <w:szCs w:val="16"/>
                <w:lang w:val="sr-Cyrl-RS"/>
              </w:rPr>
              <w:t>Приходи од провизије реосигурања</w:t>
            </w:r>
          </w:p>
        </w:tc>
        <w:tc>
          <w:tcPr>
            <w:tcW w:w="1134" w:type="dxa"/>
            <w:tcBorders>
              <w:top w:val="nil"/>
              <w:left w:val="nil"/>
              <w:bottom w:val="single" w:sz="8" w:space="0" w:color="7F7F7F"/>
              <w:right w:val="nil"/>
            </w:tcBorders>
            <w:shd w:val="clear" w:color="auto" w:fill="auto"/>
            <w:vAlign w:val="center"/>
          </w:tcPr>
          <w:p w14:paraId="6D4B88C2"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364,315</w:t>
            </w:r>
          </w:p>
        </w:tc>
        <w:tc>
          <w:tcPr>
            <w:tcW w:w="1134" w:type="dxa"/>
            <w:tcBorders>
              <w:top w:val="nil"/>
              <w:left w:val="nil"/>
              <w:bottom w:val="single" w:sz="8" w:space="0" w:color="7F7F7F"/>
              <w:right w:val="nil"/>
            </w:tcBorders>
            <w:shd w:val="clear" w:color="auto" w:fill="auto"/>
            <w:vAlign w:val="center"/>
          </w:tcPr>
          <w:p w14:paraId="05CA6BC6"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357,642</w:t>
            </w:r>
          </w:p>
        </w:tc>
        <w:tc>
          <w:tcPr>
            <w:tcW w:w="1119" w:type="dxa"/>
            <w:tcBorders>
              <w:top w:val="nil"/>
              <w:left w:val="nil"/>
              <w:bottom w:val="single" w:sz="8" w:space="0" w:color="7F7F7F"/>
              <w:right w:val="nil"/>
            </w:tcBorders>
            <w:shd w:val="clear" w:color="auto" w:fill="auto"/>
            <w:vAlign w:val="center"/>
          </w:tcPr>
          <w:p w14:paraId="4195309E"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278,393</w:t>
            </w:r>
          </w:p>
        </w:tc>
        <w:tc>
          <w:tcPr>
            <w:tcW w:w="1270" w:type="dxa"/>
            <w:tcBorders>
              <w:top w:val="nil"/>
              <w:left w:val="nil"/>
              <w:bottom w:val="single" w:sz="8" w:space="0" w:color="7F7F7F"/>
              <w:right w:val="nil"/>
            </w:tcBorders>
            <w:shd w:val="clear" w:color="auto" w:fill="auto"/>
            <w:vAlign w:val="center"/>
          </w:tcPr>
          <w:p w14:paraId="13770541"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76.42%</w:t>
            </w:r>
          </w:p>
        </w:tc>
        <w:tc>
          <w:tcPr>
            <w:tcW w:w="1270" w:type="dxa"/>
            <w:tcBorders>
              <w:top w:val="nil"/>
              <w:left w:val="nil"/>
              <w:bottom w:val="single" w:sz="8" w:space="0" w:color="7F7F7F"/>
              <w:right w:val="nil"/>
            </w:tcBorders>
            <w:shd w:val="clear" w:color="auto" w:fill="auto"/>
            <w:vAlign w:val="center"/>
          </w:tcPr>
          <w:p w14:paraId="581138A6"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0.00%</w:t>
            </w:r>
          </w:p>
        </w:tc>
      </w:tr>
      <w:tr w:rsidR="004E6E16" w:rsidRPr="006C0D6C" w14:paraId="5578755F" w14:textId="77777777" w:rsidTr="004E6E16">
        <w:trPr>
          <w:trHeight w:val="227"/>
          <w:jc w:val="center"/>
        </w:trPr>
        <w:tc>
          <w:tcPr>
            <w:tcW w:w="634" w:type="dxa"/>
            <w:tcBorders>
              <w:top w:val="nil"/>
              <w:left w:val="nil"/>
              <w:bottom w:val="single" w:sz="8" w:space="0" w:color="7F7F7F"/>
              <w:right w:val="nil"/>
            </w:tcBorders>
            <w:shd w:val="clear" w:color="auto" w:fill="auto"/>
            <w:vAlign w:val="center"/>
          </w:tcPr>
          <w:p w14:paraId="34AD4DB6"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24</w:t>
            </w:r>
          </w:p>
        </w:tc>
        <w:tc>
          <w:tcPr>
            <w:tcW w:w="4209" w:type="dxa"/>
            <w:tcBorders>
              <w:top w:val="nil"/>
              <w:left w:val="nil"/>
              <w:bottom w:val="single" w:sz="8" w:space="0" w:color="7F7F7F"/>
              <w:right w:val="nil"/>
            </w:tcBorders>
            <w:shd w:val="clear" w:color="auto" w:fill="auto"/>
            <w:vAlign w:val="center"/>
          </w:tcPr>
          <w:p w14:paraId="778B047F" w14:textId="77777777" w:rsidR="004E6E16" w:rsidRPr="002D03B5" w:rsidRDefault="004E6E16" w:rsidP="004E6E16">
            <w:pPr>
              <w:pStyle w:val="NoSpacing"/>
              <w:rPr>
                <w:noProof/>
                <w:sz w:val="16"/>
                <w:szCs w:val="16"/>
                <w:lang w:val="sr-Cyrl-RS"/>
              </w:rPr>
            </w:pPr>
            <w:r w:rsidRPr="002D03B5">
              <w:rPr>
                <w:noProof/>
                <w:sz w:val="16"/>
                <w:szCs w:val="16"/>
                <w:lang w:val="sr-Cyrl-RS"/>
              </w:rPr>
              <w:t>Расходи по основу провизије реосигурања</w:t>
            </w:r>
          </w:p>
        </w:tc>
        <w:tc>
          <w:tcPr>
            <w:tcW w:w="1134" w:type="dxa"/>
            <w:tcBorders>
              <w:top w:val="nil"/>
              <w:left w:val="nil"/>
              <w:bottom w:val="single" w:sz="8" w:space="0" w:color="7F7F7F"/>
              <w:right w:val="nil"/>
            </w:tcBorders>
            <w:shd w:val="clear" w:color="auto" w:fill="auto"/>
            <w:vAlign w:val="center"/>
          </w:tcPr>
          <w:p w14:paraId="2B3883FC"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-397,730</w:t>
            </w:r>
          </w:p>
        </w:tc>
        <w:tc>
          <w:tcPr>
            <w:tcW w:w="1134" w:type="dxa"/>
            <w:tcBorders>
              <w:top w:val="nil"/>
              <w:left w:val="nil"/>
              <w:bottom w:val="single" w:sz="8" w:space="0" w:color="7F7F7F"/>
              <w:right w:val="nil"/>
            </w:tcBorders>
            <w:shd w:val="clear" w:color="auto" w:fill="auto"/>
            <w:vAlign w:val="center"/>
          </w:tcPr>
          <w:p w14:paraId="322C1A2A"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-373,366</w:t>
            </w:r>
          </w:p>
        </w:tc>
        <w:tc>
          <w:tcPr>
            <w:tcW w:w="1119" w:type="dxa"/>
            <w:tcBorders>
              <w:top w:val="nil"/>
              <w:left w:val="nil"/>
              <w:bottom w:val="single" w:sz="8" w:space="0" w:color="7F7F7F"/>
              <w:right w:val="nil"/>
            </w:tcBorders>
            <w:shd w:val="clear" w:color="auto" w:fill="auto"/>
            <w:vAlign w:val="center"/>
          </w:tcPr>
          <w:p w14:paraId="60F478E6"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-264,036</w:t>
            </w:r>
          </w:p>
        </w:tc>
        <w:tc>
          <w:tcPr>
            <w:tcW w:w="1270" w:type="dxa"/>
            <w:tcBorders>
              <w:top w:val="nil"/>
              <w:left w:val="nil"/>
              <w:bottom w:val="single" w:sz="8" w:space="0" w:color="7F7F7F"/>
              <w:right w:val="nil"/>
            </w:tcBorders>
            <w:shd w:val="clear" w:color="auto" w:fill="auto"/>
            <w:vAlign w:val="center"/>
          </w:tcPr>
          <w:p w14:paraId="1DCEFFE0"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66.39%</w:t>
            </w:r>
          </w:p>
        </w:tc>
        <w:tc>
          <w:tcPr>
            <w:tcW w:w="1270" w:type="dxa"/>
            <w:tcBorders>
              <w:top w:val="nil"/>
              <w:left w:val="nil"/>
              <w:bottom w:val="single" w:sz="8" w:space="0" w:color="7F7F7F"/>
              <w:right w:val="nil"/>
            </w:tcBorders>
            <w:shd w:val="clear" w:color="auto" w:fill="auto"/>
            <w:vAlign w:val="center"/>
          </w:tcPr>
          <w:p w14:paraId="293AF291"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0.00%</w:t>
            </w:r>
          </w:p>
        </w:tc>
      </w:tr>
      <w:tr w:rsidR="004E6E16" w:rsidRPr="006C0D6C" w14:paraId="353311FA" w14:textId="77777777" w:rsidTr="004E6E16">
        <w:trPr>
          <w:trHeight w:val="227"/>
          <w:jc w:val="center"/>
        </w:trPr>
        <w:tc>
          <w:tcPr>
            <w:tcW w:w="634" w:type="dxa"/>
            <w:tcBorders>
              <w:top w:val="nil"/>
              <w:left w:val="nil"/>
              <w:bottom w:val="single" w:sz="8" w:space="0" w:color="7F7F7F"/>
              <w:right w:val="nil"/>
            </w:tcBorders>
            <w:shd w:val="clear" w:color="auto" w:fill="DBE5F1" w:themeFill="accent1" w:themeFillTint="33"/>
            <w:vAlign w:val="center"/>
          </w:tcPr>
          <w:p w14:paraId="093BAF68" w14:textId="77777777" w:rsidR="004E6E16" w:rsidRPr="002D03B5" w:rsidRDefault="004E6E16" w:rsidP="004E6E16">
            <w:pPr>
              <w:pStyle w:val="NoSpacing"/>
              <w:jc w:val="center"/>
              <w:rPr>
                <w:b/>
                <w:noProof/>
                <w:sz w:val="16"/>
                <w:szCs w:val="16"/>
                <w:lang w:val="sr-Cyrl-RS"/>
              </w:rPr>
            </w:pPr>
            <w:r w:rsidRPr="002D03B5">
              <w:rPr>
                <w:b/>
                <w:noProof/>
                <w:sz w:val="16"/>
                <w:szCs w:val="16"/>
                <w:lang w:val="sr-Cyrl-RS"/>
              </w:rPr>
              <w:t>25</w:t>
            </w:r>
          </w:p>
        </w:tc>
        <w:tc>
          <w:tcPr>
            <w:tcW w:w="4209" w:type="dxa"/>
            <w:tcBorders>
              <w:top w:val="nil"/>
              <w:left w:val="nil"/>
              <w:bottom w:val="single" w:sz="8" w:space="0" w:color="7F7F7F"/>
              <w:right w:val="nil"/>
            </w:tcBorders>
            <w:shd w:val="clear" w:color="auto" w:fill="DBE5F1" w:themeFill="accent1" w:themeFillTint="33"/>
            <w:vAlign w:val="center"/>
          </w:tcPr>
          <w:p w14:paraId="51C4DFDA" w14:textId="77777777" w:rsidR="004E6E16" w:rsidRPr="002D03B5" w:rsidRDefault="004E6E16" w:rsidP="004E6E16">
            <w:pPr>
              <w:pStyle w:val="NoSpacing"/>
              <w:rPr>
                <w:b/>
                <w:noProof/>
                <w:sz w:val="16"/>
                <w:szCs w:val="16"/>
                <w:lang w:val="sr-Cyrl-RS"/>
              </w:rPr>
            </w:pPr>
            <w:r w:rsidRPr="002D03B5">
              <w:rPr>
                <w:b/>
                <w:noProof/>
                <w:sz w:val="16"/>
                <w:szCs w:val="16"/>
                <w:lang w:val="sr-Cyrl-RS"/>
              </w:rPr>
              <w:t>Провизија - резултат (23+24)</w:t>
            </w:r>
          </w:p>
        </w:tc>
        <w:tc>
          <w:tcPr>
            <w:tcW w:w="1134" w:type="dxa"/>
            <w:tcBorders>
              <w:top w:val="nil"/>
              <w:left w:val="nil"/>
              <w:bottom w:val="single" w:sz="8" w:space="0" w:color="7F7F7F"/>
              <w:right w:val="nil"/>
            </w:tcBorders>
            <w:shd w:val="clear" w:color="auto" w:fill="DBE5F1" w:themeFill="accent1" w:themeFillTint="33"/>
            <w:vAlign w:val="center"/>
          </w:tcPr>
          <w:p w14:paraId="08CC9B72" w14:textId="77777777" w:rsidR="004E6E16" w:rsidRPr="002D03B5" w:rsidRDefault="004E6E16" w:rsidP="004E6E16">
            <w:pPr>
              <w:pStyle w:val="NoSpacing"/>
              <w:jc w:val="right"/>
              <w:rPr>
                <w:b/>
                <w:noProof/>
                <w:sz w:val="16"/>
                <w:szCs w:val="16"/>
                <w:lang w:val="sr-Cyrl-RS"/>
              </w:rPr>
            </w:pPr>
            <w:r w:rsidRPr="002D03B5">
              <w:rPr>
                <w:b/>
                <w:noProof/>
                <w:sz w:val="16"/>
                <w:szCs w:val="16"/>
                <w:lang w:val="sr-Cyrl-RS"/>
              </w:rPr>
              <w:t>-33,415</w:t>
            </w:r>
          </w:p>
        </w:tc>
        <w:tc>
          <w:tcPr>
            <w:tcW w:w="1134" w:type="dxa"/>
            <w:tcBorders>
              <w:top w:val="nil"/>
              <w:left w:val="nil"/>
              <w:bottom w:val="single" w:sz="8" w:space="0" w:color="7F7F7F"/>
              <w:right w:val="nil"/>
            </w:tcBorders>
            <w:shd w:val="clear" w:color="auto" w:fill="DBE5F1" w:themeFill="accent1" w:themeFillTint="33"/>
            <w:vAlign w:val="center"/>
          </w:tcPr>
          <w:p w14:paraId="2C741173" w14:textId="77777777" w:rsidR="004E6E16" w:rsidRPr="002D03B5" w:rsidRDefault="004E6E16" w:rsidP="004E6E16">
            <w:pPr>
              <w:pStyle w:val="NoSpacing"/>
              <w:jc w:val="right"/>
              <w:rPr>
                <w:b/>
                <w:noProof/>
                <w:sz w:val="16"/>
                <w:szCs w:val="16"/>
                <w:lang w:val="sr-Cyrl-RS"/>
              </w:rPr>
            </w:pPr>
            <w:r w:rsidRPr="002D03B5">
              <w:rPr>
                <w:b/>
                <w:noProof/>
                <w:sz w:val="16"/>
                <w:szCs w:val="16"/>
                <w:lang w:val="sr-Cyrl-RS"/>
              </w:rPr>
              <w:t>-15,724</w:t>
            </w:r>
          </w:p>
        </w:tc>
        <w:tc>
          <w:tcPr>
            <w:tcW w:w="1119" w:type="dxa"/>
            <w:tcBorders>
              <w:top w:val="nil"/>
              <w:left w:val="nil"/>
              <w:bottom w:val="single" w:sz="8" w:space="0" w:color="7F7F7F"/>
              <w:right w:val="nil"/>
            </w:tcBorders>
            <w:shd w:val="clear" w:color="auto" w:fill="DBE5F1" w:themeFill="accent1" w:themeFillTint="33"/>
            <w:vAlign w:val="center"/>
          </w:tcPr>
          <w:p w14:paraId="7BCE229E" w14:textId="77777777" w:rsidR="004E6E16" w:rsidRPr="002D03B5" w:rsidRDefault="004E6E16" w:rsidP="004E6E16">
            <w:pPr>
              <w:pStyle w:val="NoSpacing"/>
              <w:jc w:val="right"/>
              <w:rPr>
                <w:b/>
                <w:noProof/>
                <w:sz w:val="16"/>
                <w:szCs w:val="16"/>
                <w:lang w:val="sr-Cyrl-RS"/>
              </w:rPr>
            </w:pPr>
            <w:r w:rsidRPr="002D03B5">
              <w:rPr>
                <w:b/>
                <w:noProof/>
                <w:sz w:val="16"/>
                <w:szCs w:val="16"/>
                <w:lang w:val="sr-Cyrl-RS"/>
              </w:rPr>
              <w:t>14,357</w:t>
            </w:r>
          </w:p>
        </w:tc>
        <w:tc>
          <w:tcPr>
            <w:tcW w:w="1270" w:type="dxa"/>
            <w:tcBorders>
              <w:top w:val="nil"/>
              <w:left w:val="nil"/>
              <w:bottom w:val="single" w:sz="8" w:space="0" w:color="7F7F7F"/>
              <w:right w:val="nil"/>
            </w:tcBorders>
            <w:shd w:val="clear" w:color="auto" w:fill="DBE5F1" w:themeFill="accent1" w:themeFillTint="33"/>
            <w:vAlign w:val="center"/>
          </w:tcPr>
          <w:p w14:paraId="2E13104B" w14:textId="77777777" w:rsidR="004E6E16" w:rsidRPr="002D03B5" w:rsidRDefault="004E6E16" w:rsidP="004E6E16">
            <w:pPr>
              <w:pStyle w:val="NoSpacing"/>
              <w:jc w:val="center"/>
              <w:rPr>
                <w:b/>
                <w:noProof/>
                <w:sz w:val="16"/>
                <w:szCs w:val="16"/>
                <w:lang w:val="sr-Cyrl-RS"/>
              </w:rPr>
            </w:pPr>
            <w:r w:rsidRPr="002D03B5">
              <w:rPr>
                <w:b/>
                <w:noProof/>
                <w:sz w:val="16"/>
                <w:szCs w:val="16"/>
                <w:lang w:val="sr-Cyrl-RS"/>
              </w:rPr>
              <w:t>-43%</w:t>
            </w:r>
          </w:p>
        </w:tc>
        <w:tc>
          <w:tcPr>
            <w:tcW w:w="1270" w:type="dxa"/>
            <w:tcBorders>
              <w:top w:val="nil"/>
              <w:left w:val="nil"/>
              <w:bottom w:val="single" w:sz="8" w:space="0" w:color="7F7F7F"/>
              <w:right w:val="nil"/>
            </w:tcBorders>
            <w:shd w:val="clear" w:color="auto" w:fill="DBE5F1" w:themeFill="accent1" w:themeFillTint="33"/>
            <w:vAlign w:val="center"/>
          </w:tcPr>
          <w:p w14:paraId="2C64E1B1" w14:textId="77777777" w:rsidR="004E6E16" w:rsidRPr="002D03B5" w:rsidRDefault="004E6E16" w:rsidP="004E6E16">
            <w:pPr>
              <w:pStyle w:val="NoSpacing"/>
              <w:jc w:val="center"/>
              <w:rPr>
                <w:b/>
                <w:noProof/>
                <w:sz w:val="16"/>
                <w:szCs w:val="16"/>
                <w:lang w:val="sr-Cyrl-RS"/>
              </w:rPr>
            </w:pPr>
            <w:r w:rsidRPr="002D03B5">
              <w:rPr>
                <w:b/>
                <w:noProof/>
                <w:sz w:val="16"/>
                <w:szCs w:val="16"/>
                <w:lang w:val="sr-Cyrl-RS"/>
              </w:rPr>
              <w:t>-91%</w:t>
            </w:r>
          </w:p>
        </w:tc>
      </w:tr>
      <w:tr w:rsidR="004E6E16" w:rsidRPr="006C0D6C" w14:paraId="6BA57787" w14:textId="77777777" w:rsidTr="004E6E16">
        <w:trPr>
          <w:trHeight w:val="227"/>
          <w:jc w:val="center"/>
        </w:trPr>
        <w:tc>
          <w:tcPr>
            <w:tcW w:w="634" w:type="dxa"/>
            <w:tcBorders>
              <w:top w:val="nil"/>
              <w:left w:val="nil"/>
              <w:bottom w:val="single" w:sz="8" w:space="0" w:color="7F7F7F"/>
              <w:right w:val="nil"/>
            </w:tcBorders>
            <w:shd w:val="clear" w:color="auto" w:fill="auto"/>
            <w:vAlign w:val="center"/>
          </w:tcPr>
          <w:p w14:paraId="02E79297" w14:textId="3411EC5A" w:rsidR="004E6E16" w:rsidRPr="002D03B5" w:rsidRDefault="004E6E16" w:rsidP="001B338A">
            <w:pPr>
              <w:pStyle w:val="NoSpacing"/>
              <w:jc w:val="center"/>
              <w:rPr>
                <w:noProof/>
                <w:sz w:val="16"/>
                <w:szCs w:val="16"/>
                <w:lang w:val="sr-Cyrl-RS"/>
              </w:rPr>
            </w:pPr>
            <w:r w:rsidRPr="002D03B5">
              <w:rPr>
                <w:noProof/>
                <w:sz w:val="16"/>
                <w:szCs w:val="16"/>
                <w:lang w:val="sr-Cyrl-RS"/>
              </w:rPr>
              <w:t>2</w:t>
            </w:r>
            <w:r w:rsidR="001B338A">
              <w:rPr>
                <w:noProof/>
                <w:sz w:val="16"/>
                <w:szCs w:val="16"/>
                <w:lang w:val="sr-Cyrl-RS"/>
              </w:rPr>
              <w:t>6</w:t>
            </w:r>
          </w:p>
        </w:tc>
        <w:tc>
          <w:tcPr>
            <w:tcW w:w="4209" w:type="dxa"/>
            <w:tcBorders>
              <w:top w:val="nil"/>
              <w:left w:val="nil"/>
              <w:bottom w:val="single" w:sz="8" w:space="0" w:color="7F7F7F"/>
              <w:right w:val="nil"/>
            </w:tcBorders>
            <w:shd w:val="clear" w:color="auto" w:fill="auto"/>
            <w:vAlign w:val="center"/>
          </w:tcPr>
          <w:p w14:paraId="08EF5C50" w14:textId="77777777" w:rsidR="004E6E16" w:rsidRPr="002D03B5" w:rsidRDefault="004E6E16" w:rsidP="004E6E16">
            <w:pPr>
              <w:pStyle w:val="NoSpacing"/>
              <w:rPr>
                <w:noProof/>
                <w:sz w:val="16"/>
                <w:szCs w:val="16"/>
                <w:lang w:val="sr-Cyrl-RS"/>
              </w:rPr>
            </w:pPr>
            <w:r w:rsidRPr="002D03B5">
              <w:rPr>
                <w:noProof/>
                <w:sz w:val="16"/>
                <w:szCs w:val="16"/>
                <w:lang w:val="sr-Cyrl-RS"/>
              </w:rPr>
              <w:t>Трошкови спровођења реосигурања</w:t>
            </w:r>
            <w:r>
              <w:rPr>
                <w:noProof/>
                <w:sz w:val="16"/>
                <w:szCs w:val="16"/>
                <w:lang w:val="sr-Cyrl-RS"/>
              </w:rPr>
              <w:t xml:space="preserve"> (26+22)</w:t>
            </w:r>
          </w:p>
        </w:tc>
        <w:tc>
          <w:tcPr>
            <w:tcW w:w="1134" w:type="dxa"/>
            <w:tcBorders>
              <w:top w:val="nil"/>
              <w:left w:val="nil"/>
              <w:bottom w:val="single" w:sz="8" w:space="0" w:color="7F7F7F"/>
              <w:right w:val="nil"/>
            </w:tcBorders>
            <w:shd w:val="clear" w:color="auto" w:fill="auto"/>
            <w:vAlign w:val="center"/>
          </w:tcPr>
          <w:p w14:paraId="61B5180B" w14:textId="6BD11C14" w:rsidR="004E6E16" w:rsidRPr="002D03B5" w:rsidRDefault="004E6E16" w:rsidP="00352E9D">
            <w:pPr>
              <w:pStyle w:val="NoSpacing"/>
              <w:jc w:val="right"/>
              <w:rPr>
                <w:noProof/>
                <w:sz w:val="16"/>
                <w:szCs w:val="16"/>
                <w:lang w:val="sr-Cyrl-RS"/>
              </w:rPr>
            </w:pPr>
            <w:r w:rsidRPr="002D03B5">
              <w:rPr>
                <w:noProof/>
                <w:sz w:val="16"/>
                <w:szCs w:val="16"/>
                <w:lang w:val="sr-Cyrl-RS"/>
              </w:rPr>
              <w:t>-187,</w:t>
            </w:r>
            <w:r w:rsidR="00352E9D">
              <w:rPr>
                <w:noProof/>
                <w:sz w:val="16"/>
                <w:szCs w:val="16"/>
                <w:lang w:val="sr-Cyrl-RS"/>
              </w:rPr>
              <w:t>0</w:t>
            </w:r>
            <w:r w:rsidRPr="002D03B5">
              <w:rPr>
                <w:noProof/>
                <w:sz w:val="16"/>
                <w:szCs w:val="16"/>
                <w:lang w:val="sr-Cyrl-RS"/>
              </w:rPr>
              <w:t>02</w:t>
            </w:r>
          </w:p>
        </w:tc>
        <w:tc>
          <w:tcPr>
            <w:tcW w:w="1134" w:type="dxa"/>
            <w:tcBorders>
              <w:top w:val="nil"/>
              <w:left w:val="nil"/>
              <w:bottom w:val="single" w:sz="8" w:space="0" w:color="7F7F7F"/>
              <w:right w:val="nil"/>
            </w:tcBorders>
            <w:shd w:val="clear" w:color="auto" w:fill="auto"/>
            <w:vAlign w:val="center"/>
          </w:tcPr>
          <w:p w14:paraId="7B684A8E"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-166,724</w:t>
            </w:r>
          </w:p>
        </w:tc>
        <w:tc>
          <w:tcPr>
            <w:tcW w:w="1119" w:type="dxa"/>
            <w:tcBorders>
              <w:top w:val="nil"/>
              <w:left w:val="nil"/>
              <w:bottom w:val="single" w:sz="8" w:space="0" w:color="7F7F7F"/>
              <w:right w:val="nil"/>
            </w:tcBorders>
            <w:shd w:val="clear" w:color="auto" w:fill="auto"/>
            <w:vAlign w:val="center"/>
          </w:tcPr>
          <w:p w14:paraId="6B012211"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-127,784</w:t>
            </w:r>
          </w:p>
        </w:tc>
        <w:tc>
          <w:tcPr>
            <w:tcW w:w="1270" w:type="dxa"/>
            <w:tcBorders>
              <w:top w:val="nil"/>
              <w:left w:val="nil"/>
              <w:bottom w:val="single" w:sz="8" w:space="0" w:color="7F7F7F"/>
              <w:right w:val="nil"/>
            </w:tcBorders>
            <w:shd w:val="clear" w:color="auto" w:fill="auto"/>
            <w:vAlign w:val="center"/>
          </w:tcPr>
          <w:p w14:paraId="2584E961"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68.22%</w:t>
            </w:r>
          </w:p>
        </w:tc>
        <w:tc>
          <w:tcPr>
            <w:tcW w:w="1270" w:type="dxa"/>
            <w:tcBorders>
              <w:top w:val="nil"/>
              <w:left w:val="nil"/>
              <w:bottom w:val="single" w:sz="8" w:space="0" w:color="7F7F7F"/>
              <w:right w:val="nil"/>
            </w:tcBorders>
            <w:shd w:val="clear" w:color="auto" w:fill="auto"/>
            <w:vAlign w:val="center"/>
          </w:tcPr>
          <w:p w14:paraId="76F9E3CF"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76.64%</w:t>
            </w:r>
          </w:p>
        </w:tc>
      </w:tr>
      <w:tr w:rsidR="004E6E16" w:rsidRPr="006C0D6C" w14:paraId="4662507F" w14:textId="77777777" w:rsidTr="004E6E16">
        <w:trPr>
          <w:trHeight w:val="340"/>
          <w:jc w:val="center"/>
        </w:trPr>
        <w:tc>
          <w:tcPr>
            <w:tcW w:w="634" w:type="dxa"/>
            <w:tcBorders>
              <w:top w:val="nil"/>
              <w:left w:val="nil"/>
              <w:bottom w:val="single" w:sz="8" w:space="0" w:color="7F7F7F"/>
              <w:right w:val="nil"/>
            </w:tcBorders>
            <w:shd w:val="clear" w:color="auto" w:fill="4F81BD" w:themeFill="accent1"/>
            <w:vAlign w:val="center"/>
          </w:tcPr>
          <w:p w14:paraId="45E7757F" w14:textId="0A8BE890" w:rsidR="004E6E16" w:rsidRPr="00F46F35" w:rsidRDefault="004E6E16" w:rsidP="001B338A">
            <w:pPr>
              <w:pStyle w:val="NoSpacing"/>
              <w:jc w:val="center"/>
              <w:rPr>
                <w:b/>
                <w:noProof/>
                <w:color w:val="FFFFFF" w:themeColor="background1"/>
                <w:sz w:val="16"/>
                <w:szCs w:val="16"/>
                <w:lang w:val="sr-Cyrl-RS"/>
              </w:rPr>
            </w:pPr>
            <w:r w:rsidRPr="00F46F35">
              <w:rPr>
                <w:b/>
                <w:noProof/>
                <w:color w:val="FFFFFF" w:themeColor="background1"/>
                <w:sz w:val="16"/>
                <w:szCs w:val="16"/>
                <w:lang w:val="sr-Cyrl-RS"/>
              </w:rPr>
              <w:t>2</w:t>
            </w:r>
            <w:r w:rsidR="001B338A">
              <w:rPr>
                <w:b/>
                <w:noProof/>
                <w:color w:val="FFFFFF" w:themeColor="background1"/>
                <w:sz w:val="16"/>
                <w:szCs w:val="16"/>
                <w:lang w:val="sr-Cyrl-RS"/>
              </w:rPr>
              <w:t>7</w:t>
            </w:r>
          </w:p>
        </w:tc>
        <w:tc>
          <w:tcPr>
            <w:tcW w:w="4209" w:type="dxa"/>
            <w:tcBorders>
              <w:top w:val="nil"/>
              <w:left w:val="nil"/>
              <w:bottom w:val="single" w:sz="8" w:space="0" w:color="7F7F7F"/>
              <w:right w:val="nil"/>
            </w:tcBorders>
            <w:shd w:val="clear" w:color="auto" w:fill="4F81BD" w:themeFill="accent1"/>
            <w:vAlign w:val="center"/>
          </w:tcPr>
          <w:p w14:paraId="5B9361ED" w14:textId="77777777" w:rsidR="004E6E16" w:rsidRPr="00F46F35" w:rsidRDefault="004E6E16" w:rsidP="004E6E16">
            <w:pPr>
              <w:pStyle w:val="NoSpacing"/>
              <w:rPr>
                <w:b/>
                <w:noProof/>
                <w:color w:val="FFFFFF" w:themeColor="background1"/>
                <w:sz w:val="16"/>
                <w:szCs w:val="16"/>
                <w:lang w:val="sr-Cyrl-RS"/>
              </w:rPr>
            </w:pPr>
            <w:r w:rsidRPr="00F46F35">
              <w:rPr>
                <w:b/>
                <w:noProof/>
                <w:color w:val="FFFFFF" w:themeColor="background1"/>
                <w:sz w:val="16"/>
                <w:szCs w:val="16"/>
                <w:lang w:val="sr-Cyrl-RS"/>
              </w:rPr>
              <w:t>НЕТО РЕЗУЛТАТ ИЗ ПОСЛОВНЕ АКТИВНОСТИ (19+27)</w:t>
            </w:r>
          </w:p>
        </w:tc>
        <w:tc>
          <w:tcPr>
            <w:tcW w:w="1134" w:type="dxa"/>
            <w:tcBorders>
              <w:top w:val="nil"/>
              <w:left w:val="nil"/>
              <w:bottom w:val="single" w:sz="8" w:space="0" w:color="7F7F7F"/>
              <w:right w:val="nil"/>
            </w:tcBorders>
            <w:shd w:val="clear" w:color="auto" w:fill="4F81BD" w:themeFill="accent1"/>
            <w:vAlign w:val="center"/>
          </w:tcPr>
          <w:p w14:paraId="4020A44E" w14:textId="3C80EDE5" w:rsidR="004E6E16" w:rsidRPr="00F46F35" w:rsidRDefault="004E6E16" w:rsidP="00352E9D">
            <w:pPr>
              <w:pStyle w:val="NoSpacing"/>
              <w:jc w:val="right"/>
              <w:rPr>
                <w:b/>
                <w:noProof/>
                <w:color w:val="FFFFFF" w:themeColor="background1"/>
                <w:sz w:val="16"/>
                <w:szCs w:val="16"/>
                <w:lang w:val="sr-Cyrl-RS"/>
              </w:rPr>
            </w:pPr>
            <w:r w:rsidRPr="00F46F35">
              <w:rPr>
                <w:b/>
                <w:noProof/>
                <w:color w:val="FFFFFF" w:themeColor="background1"/>
                <w:sz w:val="16"/>
                <w:szCs w:val="16"/>
                <w:lang w:val="sr-Cyrl-RS"/>
              </w:rPr>
              <w:t>-</w:t>
            </w:r>
            <w:r w:rsidR="00352E9D">
              <w:rPr>
                <w:b/>
                <w:noProof/>
                <w:color w:val="FFFFFF" w:themeColor="background1"/>
                <w:sz w:val="16"/>
                <w:szCs w:val="16"/>
                <w:lang w:val="sr-Cyrl-RS"/>
              </w:rPr>
              <w:t>89,893</w:t>
            </w:r>
          </w:p>
        </w:tc>
        <w:tc>
          <w:tcPr>
            <w:tcW w:w="1134" w:type="dxa"/>
            <w:tcBorders>
              <w:top w:val="nil"/>
              <w:left w:val="nil"/>
              <w:bottom w:val="single" w:sz="8" w:space="0" w:color="7F7F7F"/>
              <w:right w:val="nil"/>
            </w:tcBorders>
            <w:shd w:val="clear" w:color="auto" w:fill="4F81BD" w:themeFill="accent1"/>
            <w:vAlign w:val="center"/>
          </w:tcPr>
          <w:p w14:paraId="3F4C0AB2" w14:textId="77777777" w:rsidR="004E6E16" w:rsidRPr="00F46F35" w:rsidRDefault="004E6E16" w:rsidP="004E6E16">
            <w:pPr>
              <w:pStyle w:val="NoSpacing"/>
              <w:jc w:val="right"/>
              <w:rPr>
                <w:b/>
                <w:noProof/>
                <w:color w:val="FFFFFF" w:themeColor="background1"/>
                <w:sz w:val="16"/>
                <w:szCs w:val="16"/>
                <w:lang w:val="sr-Cyrl-RS"/>
              </w:rPr>
            </w:pPr>
            <w:r w:rsidRPr="00F46F35">
              <w:rPr>
                <w:b/>
                <w:noProof/>
                <w:color w:val="FFFFFF" w:themeColor="background1"/>
                <w:sz w:val="16"/>
                <w:szCs w:val="16"/>
                <w:lang w:val="sr-Cyrl-RS"/>
              </w:rPr>
              <w:t>10,209</w:t>
            </w:r>
          </w:p>
        </w:tc>
        <w:tc>
          <w:tcPr>
            <w:tcW w:w="1119" w:type="dxa"/>
            <w:tcBorders>
              <w:top w:val="nil"/>
              <w:left w:val="nil"/>
              <w:bottom w:val="single" w:sz="8" w:space="0" w:color="7F7F7F"/>
              <w:right w:val="nil"/>
            </w:tcBorders>
            <w:shd w:val="clear" w:color="auto" w:fill="4F81BD" w:themeFill="accent1"/>
            <w:vAlign w:val="center"/>
          </w:tcPr>
          <w:p w14:paraId="634317A4" w14:textId="77777777" w:rsidR="004E6E16" w:rsidRPr="00F46F35" w:rsidRDefault="004E6E16" w:rsidP="004E6E16">
            <w:pPr>
              <w:pStyle w:val="NoSpacing"/>
              <w:jc w:val="right"/>
              <w:rPr>
                <w:b/>
                <w:noProof/>
                <w:color w:val="FFFFFF" w:themeColor="background1"/>
                <w:sz w:val="16"/>
                <w:szCs w:val="16"/>
                <w:lang w:val="sr-Cyrl-RS"/>
              </w:rPr>
            </w:pPr>
            <w:r w:rsidRPr="00F46F35">
              <w:rPr>
                <w:b/>
                <w:noProof/>
                <w:color w:val="FFFFFF" w:themeColor="background1"/>
                <w:sz w:val="16"/>
                <w:szCs w:val="16"/>
                <w:lang w:val="sr-Cyrl-RS"/>
              </w:rPr>
              <w:t>-189,556</w:t>
            </w:r>
          </w:p>
        </w:tc>
        <w:tc>
          <w:tcPr>
            <w:tcW w:w="1270" w:type="dxa"/>
            <w:tcBorders>
              <w:top w:val="nil"/>
              <w:left w:val="nil"/>
              <w:bottom w:val="single" w:sz="8" w:space="0" w:color="7F7F7F"/>
              <w:right w:val="nil"/>
            </w:tcBorders>
            <w:shd w:val="clear" w:color="auto" w:fill="4F81BD" w:themeFill="accent1"/>
            <w:vAlign w:val="center"/>
          </w:tcPr>
          <w:p w14:paraId="1FEEEBA3" w14:textId="77777777" w:rsidR="004E6E16" w:rsidRPr="00F46F35" w:rsidRDefault="004E6E16" w:rsidP="004E6E16">
            <w:pPr>
              <w:pStyle w:val="NoSpacing"/>
              <w:jc w:val="center"/>
              <w:rPr>
                <w:b/>
                <w:noProof/>
                <w:color w:val="FFFFFF" w:themeColor="background1"/>
                <w:sz w:val="16"/>
                <w:szCs w:val="16"/>
                <w:lang w:val="sr-Cyrl-RS"/>
              </w:rPr>
            </w:pPr>
            <w:r w:rsidRPr="00F46F35">
              <w:rPr>
                <w:b/>
                <w:noProof/>
                <w:color w:val="FFFFFF" w:themeColor="background1"/>
                <w:sz w:val="16"/>
                <w:szCs w:val="16"/>
                <w:lang w:val="sr-Cyrl-RS"/>
              </w:rPr>
              <w:t>433%</w:t>
            </w:r>
          </w:p>
        </w:tc>
        <w:tc>
          <w:tcPr>
            <w:tcW w:w="1270" w:type="dxa"/>
            <w:tcBorders>
              <w:top w:val="nil"/>
              <w:left w:val="nil"/>
              <w:bottom w:val="single" w:sz="8" w:space="0" w:color="7F7F7F"/>
              <w:right w:val="nil"/>
            </w:tcBorders>
            <w:shd w:val="clear" w:color="auto" w:fill="4F81BD" w:themeFill="accent1"/>
            <w:vAlign w:val="center"/>
          </w:tcPr>
          <w:p w14:paraId="2BD285C3" w14:textId="77777777" w:rsidR="004E6E16" w:rsidRPr="00F46F35" w:rsidRDefault="004E6E16" w:rsidP="004E6E16">
            <w:pPr>
              <w:pStyle w:val="NoSpacing"/>
              <w:jc w:val="center"/>
              <w:rPr>
                <w:b/>
                <w:noProof/>
                <w:color w:val="FFFFFF" w:themeColor="background1"/>
                <w:sz w:val="16"/>
                <w:szCs w:val="16"/>
                <w:lang w:val="sr-Cyrl-RS"/>
              </w:rPr>
            </w:pPr>
            <w:r w:rsidRPr="00F46F35">
              <w:rPr>
                <w:b/>
                <w:noProof/>
                <w:color w:val="FFFFFF" w:themeColor="background1"/>
                <w:sz w:val="16"/>
                <w:szCs w:val="16"/>
                <w:lang w:val="sr-Cyrl-RS"/>
              </w:rPr>
              <w:t>-1857%</w:t>
            </w:r>
          </w:p>
        </w:tc>
      </w:tr>
      <w:tr w:rsidR="004E6E16" w:rsidRPr="006C0D6C" w14:paraId="129E789D" w14:textId="77777777" w:rsidTr="004E6E16">
        <w:trPr>
          <w:trHeight w:val="227"/>
          <w:jc w:val="center"/>
        </w:trPr>
        <w:tc>
          <w:tcPr>
            <w:tcW w:w="634" w:type="dxa"/>
            <w:tcBorders>
              <w:top w:val="nil"/>
              <w:left w:val="nil"/>
              <w:bottom w:val="single" w:sz="8" w:space="0" w:color="7F7F7F"/>
              <w:right w:val="nil"/>
            </w:tcBorders>
            <w:shd w:val="clear" w:color="auto" w:fill="auto"/>
            <w:vAlign w:val="center"/>
          </w:tcPr>
          <w:p w14:paraId="44B6FCFE" w14:textId="363EB615" w:rsidR="004E6E16" w:rsidRPr="002D03B5" w:rsidRDefault="004E6E16" w:rsidP="001B338A">
            <w:pPr>
              <w:pStyle w:val="NoSpacing"/>
              <w:jc w:val="center"/>
              <w:rPr>
                <w:noProof/>
                <w:sz w:val="16"/>
                <w:szCs w:val="16"/>
                <w:lang w:val="sr-Cyrl-RS"/>
              </w:rPr>
            </w:pPr>
            <w:r w:rsidRPr="002D03B5">
              <w:rPr>
                <w:noProof/>
                <w:sz w:val="16"/>
                <w:szCs w:val="16"/>
                <w:lang w:val="sr-Cyrl-RS"/>
              </w:rPr>
              <w:t>2</w:t>
            </w:r>
            <w:r w:rsidR="001B338A">
              <w:rPr>
                <w:noProof/>
                <w:sz w:val="16"/>
                <w:szCs w:val="16"/>
                <w:lang w:val="sr-Cyrl-RS"/>
              </w:rPr>
              <w:t>8</w:t>
            </w:r>
          </w:p>
        </w:tc>
        <w:tc>
          <w:tcPr>
            <w:tcW w:w="4209" w:type="dxa"/>
            <w:tcBorders>
              <w:top w:val="nil"/>
              <w:left w:val="nil"/>
              <w:bottom w:val="single" w:sz="8" w:space="0" w:color="7F7F7F"/>
              <w:right w:val="nil"/>
            </w:tcBorders>
            <w:shd w:val="clear" w:color="auto" w:fill="auto"/>
            <w:vAlign w:val="center"/>
          </w:tcPr>
          <w:p w14:paraId="3B14627B" w14:textId="77777777" w:rsidR="004E6E16" w:rsidRPr="002D03B5" w:rsidRDefault="004E6E16" w:rsidP="004E6E16">
            <w:pPr>
              <w:pStyle w:val="NoSpacing"/>
              <w:rPr>
                <w:noProof/>
                <w:sz w:val="16"/>
                <w:szCs w:val="16"/>
                <w:lang w:val="sr-Cyrl-RS"/>
              </w:rPr>
            </w:pPr>
            <w:r w:rsidRPr="002D03B5">
              <w:rPr>
                <w:noProof/>
                <w:sz w:val="16"/>
                <w:szCs w:val="16"/>
                <w:lang w:val="sr-Cyrl-RS"/>
              </w:rPr>
              <w:t>Финансијски приходи</w:t>
            </w:r>
          </w:p>
        </w:tc>
        <w:tc>
          <w:tcPr>
            <w:tcW w:w="1134" w:type="dxa"/>
            <w:tcBorders>
              <w:top w:val="nil"/>
              <w:left w:val="nil"/>
              <w:bottom w:val="single" w:sz="8" w:space="0" w:color="7F7F7F"/>
              <w:right w:val="nil"/>
            </w:tcBorders>
            <w:shd w:val="clear" w:color="auto" w:fill="auto"/>
            <w:vAlign w:val="center"/>
          </w:tcPr>
          <w:p w14:paraId="1812EA18" w14:textId="7BA97C66" w:rsidR="004E6E16" w:rsidRPr="002D03B5" w:rsidRDefault="00352E9D" w:rsidP="004E6E16">
            <w:pPr>
              <w:pStyle w:val="NoSpacing"/>
              <w:jc w:val="right"/>
              <w:rPr>
                <w:noProof/>
                <w:sz w:val="16"/>
                <w:szCs w:val="16"/>
                <w:lang w:val="sr-Cyrl-RS"/>
              </w:rPr>
            </w:pPr>
            <w:r>
              <w:rPr>
                <w:noProof/>
                <w:sz w:val="16"/>
                <w:szCs w:val="16"/>
                <w:lang w:val="sr-Cyrl-RS"/>
              </w:rPr>
              <w:t>50,055</w:t>
            </w:r>
          </w:p>
        </w:tc>
        <w:tc>
          <w:tcPr>
            <w:tcW w:w="1134" w:type="dxa"/>
            <w:tcBorders>
              <w:top w:val="nil"/>
              <w:left w:val="nil"/>
              <w:bottom w:val="single" w:sz="8" w:space="0" w:color="7F7F7F"/>
              <w:right w:val="nil"/>
            </w:tcBorders>
            <w:shd w:val="clear" w:color="auto" w:fill="auto"/>
            <w:vAlign w:val="center"/>
          </w:tcPr>
          <w:p w14:paraId="28AB534B"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63,000</w:t>
            </w:r>
          </w:p>
        </w:tc>
        <w:tc>
          <w:tcPr>
            <w:tcW w:w="1119" w:type="dxa"/>
            <w:tcBorders>
              <w:top w:val="nil"/>
              <w:left w:val="nil"/>
              <w:bottom w:val="single" w:sz="8" w:space="0" w:color="7F7F7F"/>
              <w:right w:val="nil"/>
            </w:tcBorders>
            <w:shd w:val="clear" w:color="auto" w:fill="auto"/>
            <w:vAlign w:val="center"/>
          </w:tcPr>
          <w:p w14:paraId="4FA71D0B"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85,303</w:t>
            </w:r>
          </w:p>
        </w:tc>
        <w:tc>
          <w:tcPr>
            <w:tcW w:w="1270" w:type="dxa"/>
            <w:tcBorders>
              <w:top w:val="nil"/>
              <w:left w:val="nil"/>
              <w:bottom w:val="single" w:sz="8" w:space="0" w:color="7F7F7F"/>
              <w:right w:val="nil"/>
            </w:tcBorders>
            <w:shd w:val="clear" w:color="auto" w:fill="auto"/>
            <w:vAlign w:val="center"/>
          </w:tcPr>
          <w:p w14:paraId="5911FCB2" w14:textId="6FEA88BD" w:rsidR="004E6E16" w:rsidRPr="002D03B5" w:rsidRDefault="00352E9D" w:rsidP="004E6E16">
            <w:pPr>
              <w:pStyle w:val="NoSpacing"/>
              <w:jc w:val="center"/>
              <w:rPr>
                <w:noProof/>
                <w:sz w:val="16"/>
                <w:szCs w:val="16"/>
                <w:lang w:val="sr-Cyrl-RS"/>
              </w:rPr>
            </w:pPr>
            <w:r>
              <w:rPr>
                <w:noProof/>
                <w:sz w:val="16"/>
                <w:szCs w:val="16"/>
                <w:lang w:val="sr-Cyrl-RS"/>
              </w:rPr>
              <w:t>170,42</w:t>
            </w:r>
            <w:r w:rsidR="004E6E16" w:rsidRPr="002D03B5">
              <w:rPr>
                <w:noProof/>
                <w:sz w:val="16"/>
                <w:szCs w:val="16"/>
                <w:lang w:val="sr-Cyrl-RS"/>
              </w:rPr>
              <w:t>%</w:t>
            </w:r>
          </w:p>
        </w:tc>
        <w:tc>
          <w:tcPr>
            <w:tcW w:w="1270" w:type="dxa"/>
            <w:tcBorders>
              <w:top w:val="nil"/>
              <w:left w:val="nil"/>
              <w:bottom w:val="single" w:sz="8" w:space="0" w:color="7F7F7F"/>
              <w:right w:val="nil"/>
            </w:tcBorders>
            <w:shd w:val="clear" w:color="auto" w:fill="auto"/>
            <w:vAlign w:val="center"/>
          </w:tcPr>
          <w:p w14:paraId="2218205E"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135.40%</w:t>
            </w:r>
          </w:p>
        </w:tc>
      </w:tr>
      <w:tr w:rsidR="004E6E16" w:rsidRPr="006C0D6C" w14:paraId="6DFDB99D" w14:textId="77777777" w:rsidTr="004E6E16">
        <w:trPr>
          <w:trHeight w:val="227"/>
          <w:jc w:val="center"/>
        </w:trPr>
        <w:tc>
          <w:tcPr>
            <w:tcW w:w="634" w:type="dxa"/>
            <w:tcBorders>
              <w:top w:val="nil"/>
              <w:left w:val="nil"/>
              <w:bottom w:val="single" w:sz="8" w:space="0" w:color="7F7F7F"/>
              <w:right w:val="nil"/>
            </w:tcBorders>
            <w:shd w:val="clear" w:color="auto" w:fill="auto"/>
            <w:vAlign w:val="center"/>
          </w:tcPr>
          <w:p w14:paraId="6485D6EE" w14:textId="7D43B7AF" w:rsidR="004E6E16" w:rsidRPr="002D03B5" w:rsidRDefault="001B338A" w:rsidP="004E6E16">
            <w:pPr>
              <w:pStyle w:val="NoSpacing"/>
              <w:jc w:val="center"/>
              <w:rPr>
                <w:noProof/>
                <w:sz w:val="16"/>
                <w:szCs w:val="16"/>
                <w:lang w:val="sr-Cyrl-RS"/>
              </w:rPr>
            </w:pPr>
            <w:r>
              <w:rPr>
                <w:noProof/>
                <w:sz w:val="16"/>
                <w:szCs w:val="16"/>
                <w:lang w:val="sr-Cyrl-RS"/>
              </w:rPr>
              <w:t>29</w:t>
            </w:r>
          </w:p>
        </w:tc>
        <w:tc>
          <w:tcPr>
            <w:tcW w:w="4209" w:type="dxa"/>
            <w:tcBorders>
              <w:top w:val="nil"/>
              <w:left w:val="nil"/>
              <w:bottom w:val="single" w:sz="8" w:space="0" w:color="7F7F7F"/>
              <w:right w:val="nil"/>
            </w:tcBorders>
            <w:shd w:val="clear" w:color="auto" w:fill="auto"/>
            <w:vAlign w:val="center"/>
          </w:tcPr>
          <w:p w14:paraId="7D9355A1" w14:textId="77777777" w:rsidR="004E6E16" w:rsidRPr="002D03B5" w:rsidRDefault="004E6E16" w:rsidP="004E6E16">
            <w:pPr>
              <w:pStyle w:val="NoSpacing"/>
              <w:rPr>
                <w:noProof/>
                <w:sz w:val="16"/>
                <w:szCs w:val="16"/>
                <w:lang w:val="sr-Cyrl-RS"/>
              </w:rPr>
            </w:pPr>
            <w:r w:rsidRPr="002D03B5">
              <w:rPr>
                <w:noProof/>
                <w:sz w:val="16"/>
                <w:szCs w:val="16"/>
                <w:lang w:val="sr-Cyrl-RS"/>
              </w:rPr>
              <w:t>Финансијски расходи</w:t>
            </w:r>
          </w:p>
        </w:tc>
        <w:tc>
          <w:tcPr>
            <w:tcW w:w="1134" w:type="dxa"/>
            <w:tcBorders>
              <w:top w:val="nil"/>
              <w:left w:val="nil"/>
              <w:bottom w:val="single" w:sz="8" w:space="0" w:color="7F7F7F"/>
              <w:right w:val="nil"/>
            </w:tcBorders>
            <w:shd w:val="clear" w:color="auto" w:fill="auto"/>
            <w:vAlign w:val="center"/>
          </w:tcPr>
          <w:p w14:paraId="1848F448" w14:textId="62590797" w:rsidR="004E6E16" w:rsidRPr="002D03B5" w:rsidRDefault="004E6E16" w:rsidP="00352E9D">
            <w:pPr>
              <w:pStyle w:val="NoSpacing"/>
              <w:jc w:val="right"/>
              <w:rPr>
                <w:noProof/>
                <w:sz w:val="16"/>
                <w:szCs w:val="16"/>
                <w:lang w:val="sr-Cyrl-RS"/>
              </w:rPr>
            </w:pPr>
            <w:r w:rsidRPr="002D03B5">
              <w:rPr>
                <w:noProof/>
                <w:sz w:val="16"/>
                <w:szCs w:val="16"/>
                <w:lang w:val="sr-Cyrl-RS"/>
              </w:rPr>
              <w:t>-</w:t>
            </w:r>
            <w:r w:rsidR="00352E9D">
              <w:rPr>
                <w:noProof/>
                <w:sz w:val="16"/>
                <w:szCs w:val="16"/>
                <w:lang w:val="sr-Cyrl-RS"/>
              </w:rPr>
              <w:t>61,928</w:t>
            </w:r>
          </w:p>
        </w:tc>
        <w:tc>
          <w:tcPr>
            <w:tcW w:w="1134" w:type="dxa"/>
            <w:tcBorders>
              <w:top w:val="nil"/>
              <w:left w:val="nil"/>
              <w:bottom w:val="single" w:sz="8" w:space="0" w:color="7F7F7F"/>
              <w:right w:val="nil"/>
            </w:tcBorders>
            <w:shd w:val="clear" w:color="auto" w:fill="auto"/>
            <w:vAlign w:val="center"/>
          </w:tcPr>
          <w:p w14:paraId="41D02C1F"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-53,000</w:t>
            </w:r>
          </w:p>
        </w:tc>
        <w:tc>
          <w:tcPr>
            <w:tcW w:w="1119" w:type="dxa"/>
            <w:tcBorders>
              <w:top w:val="nil"/>
              <w:left w:val="nil"/>
              <w:bottom w:val="single" w:sz="8" w:space="0" w:color="7F7F7F"/>
              <w:right w:val="nil"/>
            </w:tcBorders>
            <w:shd w:val="clear" w:color="auto" w:fill="auto"/>
            <w:vAlign w:val="center"/>
          </w:tcPr>
          <w:p w14:paraId="6A39836A"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-123,214</w:t>
            </w:r>
          </w:p>
        </w:tc>
        <w:tc>
          <w:tcPr>
            <w:tcW w:w="1270" w:type="dxa"/>
            <w:tcBorders>
              <w:top w:val="nil"/>
              <w:left w:val="nil"/>
              <w:bottom w:val="single" w:sz="8" w:space="0" w:color="7F7F7F"/>
              <w:right w:val="nil"/>
            </w:tcBorders>
            <w:shd w:val="clear" w:color="auto" w:fill="auto"/>
            <w:vAlign w:val="center"/>
          </w:tcPr>
          <w:p w14:paraId="3B7377C3" w14:textId="191A5FC3" w:rsidR="004E6E16" w:rsidRPr="002D03B5" w:rsidRDefault="00352E9D" w:rsidP="004E6E16">
            <w:pPr>
              <w:pStyle w:val="NoSpacing"/>
              <w:jc w:val="center"/>
              <w:rPr>
                <w:noProof/>
                <w:sz w:val="16"/>
                <w:szCs w:val="16"/>
                <w:lang w:val="sr-Cyrl-RS"/>
              </w:rPr>
            </w:pPr>
            <w:r>
              <w:rPr>
                <w:noProof/>
                <w:sz w:val="16"/>
                <w:szCs w:val="16"/>
                <w:lang w:val="sr-Cyrl-RS"/>
              </w:rPr>
              <w:t>198,96</w:t>
            </w:r>
            <w:r w:rsidR="004E6E16" w:rsidRPr="002D03B5">
              <w:rPr>
                <w:noProof/>
                <w:sz w:val="16"/>
                <w:szCs w:val="16"/>
                <w:lang w:val="sr-Cyrl-RS"/>
              </w:rPr>
              <w:t>%</w:t>
            </w:r>
          </w:p>
        </w:tc>
        <w:tc>
          <w:tcPr>
            <w:tcW w:w="1270" w:type="dxa"/>
            <w:tcBorders>
              <w:top w:val="nil"/>
              <w:left w:val="nil"/>
              <w:bottom w:val="single" w:sz="8" w:space="0" w:color="7F7F7F"/>
              <w:right w:val="nil"/>
            </w:tcBorders>
            <w:shd w:val="clear" w:color="auto" w:fill="auto"/>
            <w:vAlign w:val="center"/>
          </w:tcPr>
          <w:p w14:paraId="57C65026"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232.48%</w:t>
            </w:r>
          </w:p>
        </w:tc>
      </w:tr>
      <w:tr w:rsidR="004E6E16" w:rsidRPr="006C0D6C" w14:paraId="3E60EE53" w14:textId="77777777" w:rsidTr="004E6E16">
        <w:trPr>
          <w:trHeight w:val="340"/>
          <w:jc w:val="center"/>
        </w:trPr>
        <w:tc>
          <w:tcPr>
            <w:tcW w:w="634" w:type="dxa"/>
            <w:tcBorders>
              <w:top w:val="single" w:sz="8" w:space="0" w:color="7F7F7F"/>
              <w:left w:val="nil"/>
              <w:bottom w:val="single" w:sz="8" w:space="0" w:color="7F7F7F"/>
              <w:right w:val="nil"/>
            </w:tcBorders>
            <w:shd w:val="clear" w:color="auto" w:fill="4F81BD" w:themeFill="accent1"/>
            <w:vAlign w:val="center"/>
          </w:tcPr>
          <w:p w14:paraId="39C6A6E2" w14:textId="2D201CB7" w:rsidR="004E6E16" w:rsidRPr="00F46F35" w:rsidRDefault="004E6E16" w:rsidP="001B338A">
            <w:pPr>
              <w:pStyle w:val="NoSpacing"/>
              <w:jc w:val="center"/>
              <w:rPr>
                <w:b/>
                <w:noProof/>
                <w:color w:val="FFFFFF" w:themeColor="background1"/>
                <w:sz w:val="16"/>
                <w:szCs w:val="16"/>
                <w:lang w:val="sr-Cyrl-RS"/>
              </w:rPr>
            </w:pPr>
            <w:r w:rsidRPr="00F46F35">
              <w:rPr>
                <w:b/>
                <w:noProof/>
                <w:color w:val="FFFFFF" w:themeColor="background1"/>
                <w:sz w:val="16"/>
                <w:szCs w:val="16"/>
                <w:lang w:val="sr-Cyrl-RS"/>
              </w:rPr>
              <w:t>3</w:t>
            </w:r>
            <w:r w:rsidR="001B338A">
              <w:rPr>
                <w:b/>
                <w:noProof/>
                <w:color w:val="FFFFFF" w:themeColor="background1"/>
                <w:sz w:val="16"/>
                <w:szCs w:val="16"/>
                <w:lang w:val="sr-Cyrl-RS"/>
              </w:rPr>
              <w:t>0</w:t>
            </w:r>
          </w:p>
        </w:tc>
        <w:tc>
          <w:tcPr>
            <w:tcW w:w="4209" w:type="dxa"/>
            <w:tcBorders>
              <w:top w:val="single" w:sz="8" w:space="0" w:color="7F7F7F"/>
              <w:left w:val="nil"/>
              <w:bottom w:val="single" w:sz="8" w:space="0" w:color="7F7F7F"/>
              <w:right w:val="nil"/>
            </w:tcBorders>
            <w:shd w:val="clear" w:color="auto" w:fill="4F81BD" w:themeFill="accent1"/>
            <w:vAlign w:val="center"/>
          </w:tcPr>
          <w:p w14:paraId="14FD06B1" w14:textId="77777777" w:rsidR="004E6E16" w:rsidRPr="00F46F35" w:rsidRDefault="004E6E16" w:rsidP="004E6E16">
            <w:pPr>
              <w:pStyle w:val="NoSpacing"/>
              <w:rPr>
                <w:b/>
                <w:noProof/>
                <w:color w:val="FFFFFF" w:themeColor="background1"/>
                <w:sz w:val="16"/>
                <w:szCs w:val="16"/>
                <w:lang w:val="sr-Cyrl-RS"/>
              </w:rPr>
            </w:pPr>
            <w:r w:rsidRPr="00F46F35">
              <w:rPr>
                <w:b/>
                <w:noProof/>
                <w:color w:val="FFFFFF" w:themeColor="background1"/>
                <w:sz w:val="16"/>
                <w:szCs w:val="16"/>
                <w:lang w:val="sr-Cyrl-RS"/>
              </w:rPr>
              <w:t>ФИНАНСИЈСКИ РЕЗУЛТАТ (29+30)</w:t>
            </w:r>
          </w:p>
        </w:tc>
        <w:tc>
          <w:tcPr>
            <w:tcW w:w="1134" w:type="dxa"/>
            <w:tcBorders>
              <w:top w:val="single" w:sz="8" w:space="0" w:color="7F7F7F"/>
              <w:left w:val="nil"/>
              <w:bottom w:val="single" w:sz="8" w:space="0" w:color="7F7F7F"/>
              <w:right w:val="nil"/>
            </w:tcBorders>
            <w:shd w:val="clear" w:color="auto" w:fill="4F81BD" w:themeFill="accent1"/>
            <w:vAlign w:val="center"/>
          </w:tcPr>
          <w:p w14:paraId="49F67EEE" w14:textId="66916B53" w:rsidR="004E6E16" w:rsidRPr="00F46F35" w:rsidRDefault="00352E9D" w:rsidP="004E6E16">
            <w:pPr>
              <w:pStyle w:val="NoSpacing"/>
              <w:jc w:val="right"/>
              <w:rPr>
                <w:b/>
                <w:noProof/>
                <w:color w:val="FFFFFF" w:themeColor="background1"/>
                <w:sz w:val="16"/>
                <w:szCs w:val="16"/>
                <w:lang w:val="sr-Cyrl-RS"/>
              </w:rPr>
            </w:pPr>
            <w:r>
              <w:rPr>
                <w:b/>
                <w:noProof/>
                <w:color w:val="FFFFFF" w:themeColor="background1"/>
                <w:sz w:val="16"/>
                <w:szCs w:val="16"/>
                <w:lang w:val="sr-Cyrl-RS"/>
              </w:rPr>
              <w:t>-11.873</w:t>
            </w:r>
          </w:p>
        </w:tc>
        <w:tc>
          <w:tcPr>
            <w:tcW w:w="1134" w:type="dxa"/>
            <w:tcBorders>
              <w:top w:val="single" w:sz="8" w:space="0" w:color="7F7F7F"/>
              <w:left w:val="nil"/>
              <w:bottom w:val="single" w:sz="8" w:space="0" w:color="7F7F7F"/>
              <w:right w:val="nil"/>
            </w:tcBorders>
            <w:shd w:val="clear" w:color="auto" w:fill="4F81BD" w:themeFill="accent1"/>
            <w:vAlign w:val="center"/>
          </w:tcPr>
          <w:p w14:paraId="10704702" w14:textId="77777777" w:rsidR="004E6E16" w:rsidRPr="00F46F35" w:rsidRDefault="004E6E16" w:rsidP="004E6E16">
            <w:pPr>
              <w:pStyle w:val="NoSpacing"/>
              <w:jc w:val="right"/>
              <w:rPr>
                <w:b/>
                <w:noProof/>
                <w:color w:val="FFFFFF" w:themeColor="background1"/>
                <w:sz w:val="16"/>
                <w:szCs w:val="16"/>
                <w:lang w:val="sr-Cyrl-RS"/>
              </w:rPr>
            </w:pPr>
            <w:r w:rsidRPr="00F46F35">
              <w:rPr>
                <w:b/>
                <w:noProof/>
                <w:color w:val="FFFFFF" w:themeColor="background1"/>
                <w:sz w:val="16"/>
                <w:szCs w:val="16"/>
                <w:lang w:val="sr-Cyrl-RS"/>
              </w:rPr>
              <w:t>10,000</w:t>
            </w:r>
          </w:p>
        </w:tc>
        <w:tc>
          <w:tcPr>
            <w:tcW w:w="1119" w:type="dxa"/>
            <w:tcBorders>
              <w:top w:val="single" w:sz="8" w:space="0" w:color="7F7F7F"/>
              <w:left w:val="nil"/>
              <w:bottom w:val="single" w:sz="8" w:space="0" w:color="7F7F7F"/>
              <w:right w:val="nil"/>
            </w:tcBorders>
            <w:shd w:val="clear" w:color="auto" w:fill="4F81BD" w:themeFill="accent1"/>
            <w:vAlign w:val="center"/>
          </w:tcPr>
          <w:p w14:paraId="3E60C356" w14:textId="77777777" w:rsidR="004E6E16" w:rsidRPr="00F46F35" w:rsidRDefault="004E6E16" w:rsidP="004E6E16">
            <w:pPr>
              <w:pStyle w:val="NoSpacing"/>
              <w:jc w:val="right"/>
              <w:rPr>
                <w:b/>
                <w:noProof/>
                <w:color w:val="FFFFFF" w:themeColor="background1"/>
                <w:sz w:val="16"/>
                <w:szCs w:val="16"/>
                <w:lang w:val="sr-Cyrl-RS"/>
              </w:rPr>
            </w:pPr>
            <w:r w:rsidRPr="00F46F35">
              <w:rPr>
                <w:b/>
                <w:noProof/>
                <w:color w:val="FFFFFF" w:themeColor="background1"/>
                <w:sz w:val="16"/>
                <w:szCs w:val="16"/>
                <w:lang w:val="sr-Cyrl-RS"/>
              </w:rPr>
              <w:t>-37,911</w:t>
            </w:r>
          </w:p>
        </w:tc>
        <w:tc>
          <w:tcPr>
            <w:tcW w:w="1270" w:type="dxa"/>
            <w:tcBorders>
              <w:top w:val="single" w:sz="8" w:space="0" w:color="7F7F7F"/>
              <w:left w:val="nil"/>
              <w:bottom w:val="single" w:sz="8" w:space="0" w:color="7F7F7F"/>
              <w:right w:val="nil"/>
            </w:tcBorders>
            <w:shd w:val="clear" w:color="auto" w:fill="4F81BD" w:themeFill="accent1"/>
            <w:vAlign w:val="center"/>
          </w:tcPr>
          <w:p w14:paraId="21328925" w14:textId="77777777" w:rsidR="004E6E16" w:rsidRPr="00F46F35" w:rsidRDefault="004E6E16" w:rsidP="004E6E16">
            <w:pPr>
              <w:pStyle w:val="NoSpacing"/>
              <w:jc w:val="center"/>
              <w:rPr>
                <w:b/>
                <w:noProof/>
                <w:color w:val="FFFFFF" w:themeColor="background1"/>
                <w:sz w:val="16"/>
                <w:szCs w:val="16"/>
                <w:lang w:val="sr-Cyrl-RS"/>
              </w:rPr>
            </w:pPr>
            <w:r w:rsidRPr="00F46F35">
              <w:rPr>
                <w:b/>
                <w:noProof/>
                <w:color w:val="FFFFFF" w:themeColor="background1"/>
                <w:sz w:val="16"/>
                <w:szCs w:val="16"/>
                <w:lang w:val="sr-Cyrl-RS"/>
              </w:rPr>
              <w:t>-67%</w:t>
            </w:r>
          </w:p>
        </w:tc>
        <w:tc>
          <w:tcPr>
            <w:tcW w:w="1270" w:type="dxa"/>
            <w:tcBorders>
              <w:top w:val="single" w:sz="8" w:space="0" w:color="7F7F7F"/>
              <w:left w:val="nil"/>
              <w:bottom w:val="single" w:sz="8" w:space="0" w:color="7F7F7F"/>
              <w:right w:val="nil"/>
            </w:tcBorders>
            <w:shd w:val="clear" w:color="auto" w:fill="4F81BD" w:themeFill="accent1"/>
            <w:vAlign w:val="center"/>
          </w:tcPr>
          <w:p w14:paraId="2AC40E2F" w14:textId="77777777" w:rsidR="004E6E16" w:rsidRPr="00F46F35" w:rsidRDefault="004E6E16" w:rsidP="004E6E16">
            <w:pPr>
              <w:pStyle w:val="NoSpacing"/>
              <w:jc w:val="center"/>
              <w:rPr>
                <w:b/>
                <w:noProof/>
                <w:color w:val="FFFFFF" w:themeColor="background1"/>
                <w:sz w:val="16"/>
                <w:szCs w:val="16"/>
                <w:lang w:val="sr-Cyrl-RS"/>
              </w:rPr>
            </w:pPr>
            <w:r w:rsidRPr="00F46F35">
              <w:rPr>
                <w:b/>
                <w:noProof/>
                <w:color w:val="FFFFFF" w:themeColor="background1"/>
                <w:sz w:val="16"/>
                <w:szCs w:val="16"/>
                <w:lang w:val="sr-Cyrl-RS"/>
              </w:rPr>
              <w:t>-379%</w:t>
            </w:r>
          </w:p>
        </w:tc>
      </w:tr>
      <w:tr w:rsidR="004E6E16" w:rsidRPr="006C0D6C" w14:paraId="02B3EDA7" w14:textId="77777777" w:rsidTr="004E6E16">
        <w:trPr>
          <w:trHeight w:val="227"/>
          <w:jc w:val="center"/>
        </w:trPr>
        <w:tc>
          <w:tcPr>
            <w:tcW w:w="634" w:type="dxa"/>
            <w:tcBorders>
              <w:top w:val="single" w:sz="8" w:space="0" w:color="7F7F7F"/>
              <w:left w:val="nil"/>
              <w:bottom w:val="single" w:sz="8" w:space="0" w:color="7F7F7F"/>
              <w:right w:val="nil"/>
            </w:tcBorders>
            <w:shd w:val="clear" w:color="auto" w:fill="auto"/>
            <w:vAlign w:val="center"/>
          </w:tcPr>
          <w:p w14:paraId="27A3CA69" w14:textId="77F27D20" w:rsidR="004E6E16" w:rsidRPr="002D03B5" w:rsidRDefault="004E6E16" w:rsidP="001B338A">
            <w:pPr>
              <w:pStyle w:val="NoSpacing"/>
              <w:jc w:val="center"/>
              <w:rPr>
                <w:noProof/>
                <w:sz w:val="16"/>
                <w:szCs w:val="16"/>
                <w:lang w:val="sr-Cyrl-RS"/>
              </w:rPr>
            </w:pPr>
            <w:r w:rsidRPr="002D03B5">
              <w:rPr>
                <w:noProof/>
                <w:sz w:val="16"/>
                <w:szCs w:val="16"/>
                <w:lang w:val="sr-Cyrl-RS"/>
              </w:rPr>
              <w:t>3</w:t>
            </w:r>
            <w:r w:rsidR="001B338A">
              <w:rPr>
                <w:noProof/>
                <w:sz w:val="16"/>
                <w:szCs w:val="16"/>
                <w:lang w:val="sr-Cyrl-RS"/>
              </w:rPr>
              <w:t>1</w:t>
            </w:r>
          </w:p>
        </w:tc>
        <w:tc>
          <w:tcPr>
            <w:tcW w:w="4209" w:type="dxa"/>
            <w:tcBorders>
              <w:top w:val="single" w:sz="8" w:space="0" w:color="7F7F7F"/>
              <w:left w:val="nil"/>
              <w:bottom w:val="single" w:sz="8" w:space="0" w:color="7F7F7F"/>
              <w:right w:val="nil"/>
            </w:tcBorders>
            <w:shd w:val="clear" w:color="auto" w:fill="auto"/>
            <w:vAlign w:val="center"/>
          </w:tcPr>
          <w:p w14:paraId="5198D2F8" w14:textId="77777777" w:rsidR="004E6E16" w:rsidRPr="002D03B5" w:rsidRDefault="004E6E16" w:rsidP="004E6E16">
            <w:pPr>
              <w:pStyle w:val="NoSpacing"/>
              <w:rPr>
                <w:noProof/>
                <w:sz w:val="16"/>
                <w:szCs w:val="16"/>
                <w:lang w:val="sr-Cyrl-RS"/>
              </w:rPr>
            </w:pPr>
            <w:r>
              <w:rPr>
                <w:noProof/>
                <w:sz w:val="16"/>
                <w:szCs w:val="16"/>
                <w:lang w:val="sr-Cyrl-RS"/>
              </w:rPr>
              <w:t>П</w:t>
            </w:r>
            <w:r w:rsidRPr="002D03B5">
              <w:rPr>
                <w:noProof/>
                <w:sz w:val="16"/>
                <w:szCs w:val="16"/>
                <w:lang w:val="sr-Cyrl-RS"/>
              </w:rPr>
              <w:t>риходи из ранијих година</w:t>
            </w:r>
          </w:p>
        </w:tc>
        <w:tc>
          <w:tcPr>
            <w:tcW w:w="1134" w:type="dxa"/>
            <w:tcBorders>
              <w:top w:val="single" w:sz="8" w:space="0" w:color="7F7F7F"/>
              <w:left w:val="nil"/>
              <w:bottom w:val="single" w:sz="8" w:space="0" w:color="7F7F7F"/>
              <w:right w:val="nil"/>
            </w:tcBorders>
            <w:shd w:val="clear" w:color="auto" w:fill="auto"/>
            <w:vAlign w:val="center"/>
          </w:tcPr>
          <w:p w14:paraId="6EE2501A"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41,129</w:t>
            </w:r>
          </w:p>
        </w:tc>
        <w:tc>
          <w:tcPr>
            <w:tcW w:w="1134" w:type="dxa"/>
            <w:tcBorders>
              <w:top w:val="single" w:sz="8" w:space="0" w:color="7F7F7F"/>
              <w:left w:val="nil"/>
              <w:bottom w:val="single" w:sz="8" w:space="0" w:color="7F7F7F"/>
              <w:right w:val="nil"/>
            </w:tcBorders>
            <w:shd w:val="clear" w:color="auto" w:fill="auto"/>
            <w:vAlign w:val="center"/>
          </w:tcPr>
          <w:p w14:paraId="7B27F7BE" w14:textId="77777777" w:rsidR="004E6E16" w:rsidRPr="002D03B5" w:rsidRDefault="004E6E16" w:rsidP="004E6E16">
            <w:pPr>
              <w:pStyle w:val="NoSpacing"/>
              <w:jc w:val="right"/>
              <w:rPr>
                <w:noProof/>
                <w:sz w:val="16"/>
                <w:szCs w:val="16"/>
                <w:lang w:val="sr-Cyrl-RS"/>
              </w:rPr>
            </w:pPr>
          </w:p>
        </w:tc>
        <w:tc>
          <w:tcPr>
            <w:tcW w:w="1119" w:type="dxa"/>
            <w:tcBorders>
              <w:top w:val="single" w:sz="8" w:space="0" w:color="7F7F7F"/>
              <w:left w:val="nil"/>
              <w:bottom w:val="single" w:sz="8" w:space="0" w:color="7F7F7F"/>
              <w:right w:val="nil"/>
            </w:tcBorders>
            <w:shd w:val="clear" w:color="auto" w:fill="auto"/>
            <w:vAlign w:val="center"/>
          </w:tcPr>
          <w:p w14:paraId="47582F6E"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71,414</w:t>
            </w:r>
          </w:p>
        </w:tc>
        <w:tc>
          <w:tcPr>
            <w:tcW w:w="1270" w:type="dxa"/>
            <w:tcBorders>
              <w:top w:val="single" w:sz="8" w:space="0" w:color="7F7F7F"/>
              <w:left w:val="nil"/>
              <w:bottom w:val="single" w:sz="8" w:space="0" w:color="7F7F7F"/>
              <w:right w:val="nil"/>
            </w:tcBorders>
            <w:shd w:val="clear" w:color="auto" w:fill="auto"/>
            <w:vAlign w:val="center"/>
          </w:tcPr>
          <w:p w14:paraId="1D206F19" w14:textId="77777777" w:rsidR="004E6E16" w:rsidRPr="002D03B5" w:rsidRDefault="004E6E16" w:rsidP="004E6E16">
            <w:pPr>
              <w:pStyle w:val="NoSpacing"/>
              <w:jc w:val="center"/>
              <w:rPr>
                <w:noProof/>
                <w:sz w:val="16"/>
                <w:szCs w:val="16"/>
                <w:lang w:val="sr-Cyrl-RS"/>
              </w:rPr>
            </w:pPr>
          </w:p>
        </w:tc>
        <w:tc>
          <w:tcPr>
            <w:tcW w:w="1270" w:type="dxa"/>
            <w:tcBorders>
              <w:top w:val="single" w:sz="8" w:space="0" w:color="7F7F7F"/>
              <w:left w:val="nil"/>
              <w:bottom w:val="single" w:sz="8" w:space="0" w:color="7F7F7F"/>
              <w:right w:val="nil"/>
            </w:tcBorders>
            <w:shd w:val="clear" w:color="auto" w:fill="auto"/>
            <w:vAlign w:val="center"/>
          </w:tcPr>
          <w:p w14:paraId="0052C749" w14:textId="77777777" w:rsidR="004E6E16" w:rsidRPr="002D03B5" w:rsidRDefault="004E6E16" w:rsidP="004E6E16">
            <w:pPr>
              <w:pStyle w:val="NoSpacing"/>
              <w:jc w:val="center"/>
              <w:rPr>
                <w:noProof/>
                <w:sz w:val="16"/>
                <w:szCs w:val="16"/>
                <w:lang w:val="sr-Cyrl-RS"/>
              </w:rPr>
            </w:pPr>
          </w:p>
        </w:tc>
      </w:tr>
      <w:tr w:rsidR="004E6E16" w:rsidRPr="006C0D6C" w14:paraId="665F02B4" w14:textId="77777777" w:rsidTr="004E6E16">
        <w:trPr>
          <w:trHeight w:val="227"/>
          <w:jc w:val="center"/>
        </w:trPr>
        <w:tc>
          <w:tcPr>
            <w:tcW w:w="634" w:type="dxa"/>
            <w:tcBorders>
              <w:top w:val="single" w:sz="8" w:space="0" w:color="7F7F7F"/>
              <w:left w:val="nil"/>
              <w:bottom w:val="single" w:sz="8" w:space="0" w:color="7F7F7F"/>
              <w:right w:val="nil"/>
            </w:tcBorders>
            <w:shd w:val="clear" w:color="auto" w:fill="auto"/>
            <w:vAlign w:val="center"/>
          </w:tcPr>
          <w:p w14:paraId="4BB0C0A3" w14:textId="096A3219" w:rsidR="004E6E16" w:rsidRPr="002D03B5" w:rsidRDefault="004E6E16" w:rsidP="001B338A">
            <w:pPr>
              <w:pStyle w:val="NoSpacing"/>
              <w:jc w:val="center"/>
              <w:rPr>
                <w:noProof/>
                <w:sz w:val="16"/>
                <w:szCs w:val="16"/>
                <w:lang w:val="sr-Cyrl-RS"/>
              </w:rPr>
            </w:pPr>
            <w:r w:rsidRPr="002D03B5">
              <w:rPr>
                <w:noProof/>
                <w:sz w:val="16"/>
                <w:szCs w:val="16"/>
                <w:lang w:val="sr-Cyrl-RS"/>
              </w:rPr>
              <w:t>3</w:t>
            </w:r>
            <w:r w:rsidR="001B338A">
              <w:rPr>
                <w:noProof/>
                <w:sz w:val="16"/>
                <w:szCs w:val="16"/>
                <w:lang w:val="sr-Cyrl-RS"/>
              </w:rPr>
              <w:t>2</w:t>
            </w:r>
          </w:p>
        </w:tc>
        <w:tc>
          <w:tcPr>
            <w:tcW w:w="4209" w:type="dxa"/>
            <w:tcBorders>
              <w:top w:val="single" w:sz="8" w:space="0" w:color="7F7F7F"/>
              <w:left w:val="nil"/>
              <w:bottom w:val="single" w:sz="8" w:space="0" w:color="7F7F7F"/>
              <w:right w:val="nil"/>
            </w:tcBorders>
            <w:shd w:val="clear" w:color="auto" w:fill="auto"/>
            <w:vAlign w:val="center"/>
          </w:tcPr>
          <w:p w14:paraId="56DB126E" w14:textId="77777777" w:rsidR="004E6E16" w:rsidRPr="002D03B5" w:rsidRDefault="004E6E16" w:rsidP="004E6E16">
            <w:pPr>
              <w:pStyle w:val="NoSpacing"/>
              <w:rPr>
                <w:noProof/>
                <w:sz w:val="16"/>
                <w:szCs w:val="16"/>
                <w:lang w:val="sr-Cyrl-RS"/>
              </w:rPr>
            </w:pPr>
            <w:r>
              <w:rPr>
                <w:noProof/>
                <w:sz w:val="16"/>
                <w:szCs w:val="16"/>
                <w:lang w:val="sr-Cyrl-RS"/>
              </w:rPr>
              <w:t>Р</w:t>
            </w:r>
            <w:r w:rsidRPr="002D03B5">
              <w:rPr>
                <w:noProof/>
                <w:sz w:val="16"/>
                <w:szCs w:val="16"/>
                <w:lang w:val="sr-Cyrl-RS"/>
              </w:rPr>
              <w:t>асходи из ранијих година</w:t>
            </w:r>
          </w:p>
        </w:tc>
        <w:tc>
          <w:tcPr>
            <w:tcW w:w="1134" w:type="dxa"/>
            <w:tcBorders>
              <w:top w:val="single" w:sz="8" w:space="0" w:color="7F7F7F"/>
              <w:left w:val="nil"/>
              <w:bottom w:val="single" w:sz="8" w:space="0" w:color="7F7F7F"/>
              <w:right w:val="nil"/>
            </w:tcBorders>
            <w:shd w:val="clear" w:color="auto" w:fill="auto"/>
            <w:vAlign w:val="center"/>
          </w:tcPr>
          <w:p w14:paraId="2D5EEF16"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-39,672</w:t>
            </w:r>
          </w:p>
        </w:tc>
        <w:tc>
          <w:tcPr>
            <w:tcW w:w="1134" w:type="dxa"/>
            <w:tcBorders>
              <w:top w:val="single" w:sz="8" w:space="0" w:color="7F7F7F"/>
              <w:left w:val="nil"/>
              <w:bottom w:val="single" w:sz="8" w:space="0" w:color="7F7F7F"/>
              <w:right w:val="nil"/>
            </w:tcBorders>
            <w:shd w:val="clear" w:color="auto" w:fill="auto"/>
            <w:vAlign w:val="center"/>
          </w:tcPr>
          <w:p w14:paraId="2E06F2C3" w14:textId="77777777" w:rsidR="004E6E16" w:rsidRPr="002D03B5" w:rsidRDefault="004E6E16" w:rsidP="004E6E16">
            <w:pPr>
              <w:pStyle w:val="NoSpacing"/>
              <w:jc w:val="right"/>
              <w:rPr>
                <w:noProof/>
                <w:sz w:val="16"/>
                <w:szCs w:val="16"/>
                <w:lang w:val="sr-Cyrl-RS"/>
              </w:rPr>
            </w:pPr>
          </w:p>
        </w:tc>
        <w:tc>
          <w:tcPr>
            <w:tcW w:w="1119" w:type="dxa"/>
            <w:tcBorders>
              <w:top w:val="single" w:sz="8" w:space="0" w:color="7F7F7F"/>
              <w:left w:val="nil"/>
              <w:bottom w:val="single" w:sz="8" w:space="0" w:color="7F7F7F"/>
              <w:right w:val="nil"/>
            </w:tcBorders>
            <w:shd w:val="clear" w:color="auto" w:fill="auto"/>
            <w:vAlign w:val="center"/>
          </w:tcPr>
          <w:p w14:paraId="5B9BFF86"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-65,973</w:t>
            </w:r>
          </w:p>
        </w:tc>
        <w:tc>
          <w:tcPr>
            <w:tcW w:w="1270" w:type="dxa"/>
            <w:tcBorders>
              <w:top w:val="single" w:sz="8" w:space="0" w:color="7F7F7F"/>
              <w:left w:val="nil"/>
              <w:bottom w:val="single" w:sz="8" w:space="0" w:color="7F7F7F"/>
              <w:right w:val="nil"/>
            </w:tcBorders>
            <w:shd w:val="clear" w:color="auto" w:fill="auto"/>
            <w:vAlign w:val="center"/>
          </w:tcPr>
          <w:p w14:paraId="0AA6ABF9" w14:textId="77777777" w:rsidR="004E6E16" w:rsidRPr="002D03B5" w:rsidRDefault="004E6E16" w:rsidP="004E6E16">
            <w:pPr>
              <w:pStyle w:val="NoSpacing"/>
              <w:jc w:val="center"/>
              <w:rPr>
                <w:noProof/>
                <w:sz w:val="16"/>
                <w:szCs w:val="16"/>
                <w:lang w:val="sr-Cyrl-RS"/>
              </w:rPr>
            </w:pPr>
          </w:p>
        </w:tc>
        <w:tc>
          <w:tcPr>
            <w:tcW w:w="1270" w:type="dxa"/>
            <w:tcBorders>
              <w:top w:val="single" w:sz="8" w:space="0" w:color="7F7F7F"/>
              <w:left w:val="nil"/>
              <w:bottom w:val="single" w:sz="8" w:space="0" w:color="7F7F7F"/>
              <w:right w:val="nil"/>
            </w:tcBorders>
            <w:shd w:val="clear" w:color="auto" w:fill="auto"/>
            <w:vAlign w:val="center"/>
          </w:tcPr>
          <w:p w14:paraId="37201F56" w14:textId="77777777" w:rsidR="004E6E16" w:rsidRPr="002D03B5" w:rsidRDefault="004E6E16" w:rsidP="004E6E16">
            <w:pPr>
              <w:pStyle w:val="NoSpacing"/>
              <w:jc w:val="center"/>
              <w:rPr>
                <w:noProof/>
                <w:sz w:val="16"/>
                <w:szCs w:val="16"/>
                <w:lang w:val="sr-Cyrl-RS"/>
              </w:rPr>
            </w:pPr>
          </w:p>
        </w:tc>
      </w:tr>
      <w:tr w:rsidR="004E6E16" w:rsidRPr="006C0D6C" w14:paraId="5EDBF4A1" w14:textId="77777777" w:rsidTr="004E6E16">
        <w:trPr>
          <w:trHeight w:val="227"/>
          <w:jc w:val="center"/>
        </w:trPr>
        <w:tc>
          <w:tcPr>
            <w:tcW w:w="634" w:type="dxa"/>
            <w:tcBorders>
              <w:top w:val="single" w:sz="8" w:space="0" w:color="7F7F7F"/>
              <w:left w:val="nil"/>
              <w:bottom w:val="single" w:sz="8" w:space="0" w:color="7F7F7F"/>
              <w:right w:val="nil"/>
            </w:tcBorders>
            <w:shd w:val="clear" w:color="auto" w:fill="auto"/>
            <w:vAlign w:val="center"/>
          </w:tcPr>
          <w:p w14:paraId="65F792C6" w14:textId="7CCE2F09" w:rsidR="004E6E16" w:rsidRPr="002D03B5" w:rsidRDefault="004E6E16" w:rsidP="001B338A">
            <w:pPr>
              <w:pStyle w:val="NoSpacing"/>
              <w:jc w:val="center"/>
              <w:rPr>
                <w:noProof/>
                <w:sz w:val="16"/>
                <w:szCs w:val="16"/>
                <w:lang w:val="sr-Cyrl-RS"/>
              </w:rPr>
            </w:pPr>
            <w:r w:rsidRPr="002D03B5">
              <w:rPr>
                <w:noProof/>
                <w:sz w:val="16"/>
                <w:szCs w:val="16"/>
                <w:lang w:val="sr-Cyrl-RS"/>
              </w:rPr>
              <w:t>3</w:t>
            </w:r>
            <w:r w:rsidR="001B338A">
              <w:rPr>
                <w:noProof/>
                <w:sz w:val="16"/>
                <w:szCs w:val="16"/>
                <w:lang w:val="sr-Cyrl-RS"/>
              </w:rPr>
              <w:t>3</w:t>
            </w:r>
          </w:p>
        </w:tc>
        <w:tc>
          <w:tcPr>
            <w:tcW w:w="4209" w:type="dxa"/>
            <w:tcBorders>
              <w:top w:val="single" w:sz="8" w:space="0" w:color="7F7F7F"/>
              <w:left w:val="nil"/>
              <w:bottom w:val="single" w:sz="8" w:space="0" w:color="7F7F7F"/>
              <w:right w:val="nil"/>
            </w:tcBorders>
            <w:shd w:val="clear" w:color="auto" w:fill="auto"/>
            <w:vAlign w:val="center"/>
          </w:tcPr>
          <w:p w14:paraId="65C69889" w14:textId="77777777" w:rsidR="004E6E16" w:rsidRPr="002D03B5" w:rsidRDefault="004E6E16" w:rsidP="004E6E16">
            <w:pPr>
              <w:pStyle w:val="NoSpacing"/>
              <w:rPr>
                <w:noProof/>
                <w:sz w:val="16"/>
                <w:szCs w:val="16"/>
                <w:lang w:val="sr-Cyrl-RS"/>
              </w:rPr>
            </w:pPr>
            <w:r w:rsidRPr="002D03B5">
              <w:rPr>
                <w:noProof/>
                <w:sz w:val="16"/>
                <w:szCs w:val="16"/>
                <w:lang w:val="sr-Cyrl-RS"/>
              </w:rPr>
              <w:t>Приходи од усклађивања вредности имовине и приходи ранијих година</w:t>
            </w:r>
          </w:p>
        </w:tc>
        <w:tc>
          <w:tcPr>
            <w:tcW w:w="1134" w:type="dxa"/>
            <w:tcBorders>
              <w:top w:val="single" w:sz="8" w:space="0" w:color="7F7F7F"/>
              <w:left w:val="nil"/>
              <w:bottom w:val="single" w:sz="8" w:space="0" w:color="7F7F7F"/>
              <w:right w:val="nil"/>
            </w:tcBorders>
            <w:shd w:val="clear" w:color="auto" w:fill="auto"/>
            <w:vAlign w:val="center"/>
          </w:tcPr>
          <w:p w14:paraId="0ED69B1C"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277,439</w:t>
            </w:r>
          </w:p>
        </w:tc>
        <w:tc>
          <w:tcPr>
            <w:tcW w:w="1134" w:type="dxa"/>
            <w:tcBorders>
              <w:top w:val="single" w:sz="8" w:space="0" w:color="7F7F7F"/>
              <w:left w:val="nil"/>
              <w:bottom w:val="single" w:sz="8" w:space="0" w:color="7F7F7F"/>
              <w:right w:val="nil"/>
            </w:tcBorders>
            <w:shd w:val="clear" w:color="auto" w:fill="auto"/>
            <w:vAlign w:val="center"/>
          </w:tcPr>
          <w:p w14:paraId="5A0944C2"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275,000</w:t>
            </w:r>
          </w:p>
        </w:tc>
        <w:tc>
          <w:tcPr>
            <w:tcW w:w="1119" w:type="dxa"/>
            <w:tcBorders>
              <w:top w:val="single" w:sz="8" w:space="0" w:color="7F7F7F"/>
              <w:left w:val="nil"/>
              <w:bottom w:val="single" w:sz="8" w:space="0" w:color="7F7F7F"/>
              <w:right w:val="nil"/>
            </w:tcBorders>
            <w:shd w:val="clear" w:color="auto" w:fill="auto"/>
            <w:vAlign w:val="center"/>
          </w:tcPr>
          <w:p w14:paraId="309F9A2C"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235,095</w:t>
            </w:r>
          </w:p>
        </w:tc>
        <w:tc>
          <w:tcPr>
            <w:tcW w:w="1270" w:type="dxa"/>
            <w:tcBorders>
              <w:top w:val="single" w:sz="8" w:space="0" w:color="7F7F7F"/>
              <w:left w:val="nil"/>
              <w:bottom w:val="single" w:sz="8" w:space="0" w:color="7F7F7F"/>
              <w:right w:val="nil"/>
            </w:tcBorders>
            <w:shd w:val="clear" w:color="auto" w:fill="auto"/>
            <w:vAlign w:val="center"/>
          </w:tcPr>
          <w:p w14:paraId="75EA5FB3"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84.74%</w:t>
            </w:r>
          </w:p>
        </w:tc>
        <w:tc>
          <w:tcPr>
            <w:tcW w:w="1270" w:type="dxa"/>
            <w:tcBorders>
              <w:top w:val="single" w:sz="8" w:space="0" w:color="7F7F7F"/>
              <w:left w:val="nil"/>
              <w:bottom w:val="single" w:sz="8" w:space="0" w:color="7F7F7F"/>
              <w:right w:val="nil"/>
            </w:tcBorders>
            <w:shd w:val="clear" w:color="auto" w:fill="auto"/>
            <w:vAlign w:val="center"/>
          </w:tcPr>
          <w:p w14:paraId="3B664E70"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85.49%</w:t>
            </w:r>
          </w:p>
        </w:tc>
      </w:tr>
      <w:tr w:rsidR="004E6E16" w:rsidRPr="006C0D6C" w14:paraId="7D244BD6" w14:textId="77777777" w:rsidTr="004E6E16">
        <w:trPr>
          <w:trHeight w:val="227"/>
          <w:jc w:val="center"/>
        </w:trPr>
        <w:tc>
          <w:tcPr>
            <w:tcW w:w="634" w:type="dxa"/>
            <w:tcBorders>
              <w:top w:val="single" w:sz="8" w:space="0" w:color="7F7F7F"/>
              <w:left w:val="nil"/>
              <w:bottom w:val="single" w:sz="8" w:space="0" w:color="7F7F7F"/>
              <w:right w:val="nil"/>
            </w:tcBorders>
            <w:shd w:val="clear" w:color="auto" w:fill="auto"/>
            <w:vAlign w:val="center"/>
          </w:tcPr>
          <w:p w14:paraId="3744AB71" w14:textId="598E3F34" w:rsidR="004E6E16" w:rsidRPr="002D03B5" w:rsidRDefault="004E6E16" w:rsidP="001B338A">
            <w:pPr>
              <w:pStyle w:val="NoSpacing"/>
              <w:jc w:val="center"/>
              <w:rPr>
                <w:noProof/>
                <w:sz w:val="16"/>
                <w:szCs w:val="16"/>
                <w:lang w:val="sr-Cyrl-RS"/>
              </w:rPr>
            </w:pPr>
            <w:r w:rsidRPr="002D03B5">
              <w:rPr>
                <w:noProof/>
                <w:sz w:val="16"/>
                <w:szCs w:val="16"/>
                <w:lang w:val="sr-Cyrl-RS"/>
              </w:rPr>
              <w:t>3</w:t>
            </w:r>
            <w:r w:rsidR="001B338A">
              <w:rPr>
                <w:noProof/>
                <w:sz w:val="16"/>
                <w:szCs w:val="16"/>
                <w:lang w:val="sr-Cyrl-RS"/>
              </w:rPr>
              <w:t>4</w:t>
            </w:r>
          </w:p>
        </w:tc>
        <w:tc>
          <w:tcPr>
            <w:tcW w:w="4209" w:type="dxa"/>
            <w:tcBorders>
              <w:top w:val="single" w:sz="8" w:space="0" w:color="7F7F7F"/>
              <w:left w:val="nil"/>
              <w:bottom w:val="single" w:sz="8" w:space="0" w:color="7F7F7F"/>
              <w:right w:val="nil"/>
            </w:tcBorders>
            <w:shd w:val="clear" w:color="auto" w:fill="auto"/>
            <w:vAlign w:val="center"/>
          </w:tcPr>
          <w:p w14:paraId="6071D78E" w14:textId="77777777" w:rsidR="004E6E16" w:rsidRPr="002D03B5" w:rsidRDefault="004E6E16" w:rsidP="004E6E16">
            <w:pPr>
              <w:pStyle w:val="NoSpacing"/>
              <w:rPr>
                <w:noProof/>
                <w:sz w:val="16"/>
                <w:szCs w:val="16"/>
                <w:lang w:val="sr-Cyrl-RS"/>
              </w:rPr>
            </w:pPr>
            <w:r w:rsidRPr="002D03B5">
              <w:rPr>
                <w:noProof/>
                <w:sz w:val="16"/>
                <w:szCs w:val="16"/>
                <w:lang w:val="sr-Cyrl-RS"/>
              </w:rPr>
              <w:t>Расходи по основу обезвређења имовине и расходи ранијих година</w:t>
            </w:r>
          </w:p>
        </w:tc>
        <w:tc>
          <w:tcPr>
            <w:tcW w:w="1134" w:type="dxa"/>
            <w:tcBorders>
              <w:top w:val="single" w:sz="8" w:space="0" w:color="7F7F7F"/>
              <w:left w:val="nil"/>
              <w:bottom w:val="single" w:sz="8" w:space="0" w:color="7F7F7F"/>
              <w:right w:val="nil"/>
            </w:tcBorders>
            <w:shd w:val="clear" w:color="auto" w:fill="auto"/>
            <w:vAlign w:val="center"/>
          </w:tcPr>
          <w:p w14:paraId="0A6743B2"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-415,811</w:t>
            </w:r>
          </w:p>
        </w:tc>
        <w:tc>
          <w:tcPr>
            <w:tcW w:w="1134" w:type="dxa"/>
            <w:tcBorders>
              <w:top w:val="single" w:sz="8" w:space="0" w:color="7F7F7F"/>
              <w:left w:val="nil"/>
              <w:bottom w:val="single" w:sz="8" w:space="0" w:color="7F7F7F"/>
              <w:right w:val="nil"/>
            </w:tcBorders>
            <w:shd w:val="clear" w:color="auto" w:fill="auto"/>
            <w:vAlign w:val="center"/>
          </w:tcPr>
          <w:p w14:paraId="369CC6BA"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-160,000</w:t>
            </w:r>
          </w:p>
        </w:tc>
        <w:tc>
          <w:tcPr>
            <w:tcW w:w="1119" w:type="dxa"/>
            <w:tcBorders>
              <w:top w:val="single" w:sz="8" w:space="0" w:color="7F7F7F"/>
              <w:left w:val="nil"/>
              <w:bottom w:val="single" w:sz="8" w:space="0" w:color="7F7F7F"/>
              <w:right w:val="nil"/>
            </w:tcBorders>
            <w:shd w:val="clear" w:color="auto" w:fill="auto"/>
            <w:vAlign w:val="center"/>
          </w:tcPr>
          <w:p w14:paraId="378096DA"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-90,746</w:t>
            </w:r>
          </w:p>
        </w:tc>
        <w:tc>
          <w:tcPr>
            <w:tcW w:w="1270" w:type="dxa"/>
            <w:tcBorders>
              <w:top w:val="single" w:sz="8" w:space="0" w:color="7F7F7F"/>
              <w:left w:val="nil"/>
              <w:bottom w:val="single" w:sz="8" w:space="0" w:color="7F7F7F"/>
              <w:right w:val="nil"/>
            </w:tcBorders>
            <w:shd w:val="clear" w:color="auto" w:fill="auto"/>
            <w:vAlign w:val="center"/>
          </w:tcPr>
          <w:p w14:paraId="5B27F565"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21.82%</w:t>
            </w:r>
          </w:p>
        </w:tc>
        <w:tc>
          <w:tcPr>
            <w:tcW w:w="1270" w:type="dxa"/>
            <w:tcBorders>
              <w:top w:val="single" w:sz="8" w:space="0" w:color="7F7F7F"/>
              <w:left w:val="nil"/>
              <w:bottom w:val="single" w:sz="8" w:space="0" w:color="7F7F7F"/>
              <w:right w:val="nil"/>
            </w:tcBorders>
            <w:shd w:val="clear" w:color="auto" w:fill="auto"/>
            <w:vAlign w:val="center"/>
          </w:tcPr>
          <w:p w14:paraId="26FE197B"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56.72%</w:t>
            </w:r>
          </w:p>
        </w:tc>
      </w:tr>
      <w:tr w:rsidR="004E6E16" w:rsidRPr="006C0D6C" w14:paraId="612B1051" w14:textId="77777777" w:rsidTr="004E6E16">
        <w:trPr>
          <w:trHeight w:val="340"/>
          <w:jc w:val="center"/>
        </w:trPr>
        <w:tc>
          <w:tcPr>
            <w:tcW w:w="634" w:type="dxa"/>
            <w:tcBorders>
              <w:top w:val="single" w:sz="8" w:space="0" w:color="7F7F7F"/>
              <w:left w:val="nil"/>
              <w:bottom w:val="single" w:sz="8" w:space="0" w:color="FFFFFF" w:themeColor="background1"/>
              <w:right w:val="nil"/>
            </w:tcBorders>
            <w:shd w:val="clear" w:color="auto" w:fill="4F81BD" w:themeFill="accent1"/>
            <w:vAlign w:val="center"/>
          </w:tcPr>
          <w:p w14:paraId="747E4DDF" w14:textId="5A2FABB7" w:rsidR="004E6E16" w:rsidRPr="00F46F35" w:rsidRDefault="004E6E16" w:rsidP="001B338A">
            <w:pPr>
              <w:pStyle w:val="NoSpacing"/>
              <w:jc w:val="center"/>
              <w:rPr>
                <w:b/>
                <w:noProof/>
                <w:color w:val="FFFFFF" w:themeColor="background1"/>
                <w:sz w:val="16"/>
                <w:szCs w:val="16"/>
                <w:lang w:val="sr-Cyrl-RS"/>
              </w:rPr>
            </w:pPr>
            <w:r w:rsidRPr="00F46F35">
              <w:rPr>
                <w:b/>
                <w:noProof/>
                <w:color w:val="FFFFFF" w:themeColor="background1"/>
                <w:sz w:val="16"/>
                <w:szCs w:val="16"/>
                <w:lang w:val="sr-Cyrl-RS"/>
              </w:rPr>
              <w:t>3</w:t>
            </w:r>
            <w:r w:rsidR="001B338A">
              <w:rPr>
                <w:b/>
                <w:noProof/>
                <w:color w:val="FFFFFF" w:themeColor="background1"/>
                <w:sz w:val="16"/>
                <w:szCs w:val="16"/>
                <w:lang w:val="sr-Cyrl-RS"/>
              </w:rPr>
              <w:t>5</w:t>
            </w:r>
          </w:p>
        </w:tc>
        <w:tc>
          <w:tcPr>
            <w:tcW w:w="4209" w:type="dxa"/>
            <w:tcBorders>
              <w:top w:val="single" w:sz="8" w:space="0" w:color="7F7F7F"/>
              <w:left w:val="nil"/>
              <w:bottom w:val="single" w:sz="8" w:space="0" w:color="FFFFFF" w:themeColor="background1"/>
              <w:right w:val="nil"/>
            </w:tcBorders>
            <w:shd w:val="clear" w:color="auto" w:fill="4F81BD" w:themeFill="accent1"/>
            <w:vAlign w:val="center"/>
          </w:tcPr>
          <w:p w14:paraId="2C7E4AE4" w14:textId="77777777" w:rsidR="004E6E16" w:rsidRPr="00F46F35" w:rsidRDefault="004E6E16" w:rsidP="004E6E16">
            <w:pPr>
              <w:pStyle w:val="NoSpacing"/>
              <w:rPr>
                <w:b/>
                <w:noProof/>
                <w:color w:val="FFFFFF" w:themeColor="background1"/>
                <w:sz w:val="16"/>
                <w:szCs w:val="16"/>
                <w:lang w:val="sr-Cyrl-RS"/>
              </w:rPr>
            </w:pPr>
            <w:r w:rsidRPr="00F46F35">
              <w:rPr>
                <w:b/>
                <w:noProof/>
                <w:color w:val="FFFFFF" w:themeColor="background1"/>
                <w:sz w:val="16"/>
                <w:szCs w:val="16"/>
                <w:lang w:val="sr-Cyrl-RS"/>
              </w:rPr>
              <w:t>РЕЗУЛТАТ ОД УСКЛАЂИВАЊА ВРЕДНОСТИ ИМОВИНЕ (32+33+34+35)</w:t>
            </w:r>
          </w:p>
        </w:tc>
        <w:tc>
          <w:tcPr>
            <w:tcW w:w="1134" w:type="dxa"/>
            <w:tcBorders>
              <w:top w:val="single" w:sz="8" w:space="0" w:color="7F7F7F"/>
              <w:left w:val="nil"/>
              <w:bottom w:val="single" w:sz="8" w:space="0" w:color="FFFFFF" w:themeColor="background1"/>
              <w:right w:val="nil"/>
            </w:tcBorders>
            <w:shd w:val="clear" w:color="auto" w:fill="4F81BD" w:themeFill="accent1"/>
            <w:vAlign w:val="center"/>
          </w:tcPr>
          <w:p w14:paraId="040BCF72" w14:textId="77777777" w:rsidR="004E6E16" w:rsidRPr="00F46F35" w:rsidRDefault="004E6E16" w:rsidP="004E6E16">
            <w:pPr>
              <w:pStyle w:val="NoSpacing"/>
              <w:jc w:val="right"/>
              <w:rPr>
                <w:b/>
                <w:noProof/>
                <w:color w:val="FFFFFF" w:themeColor="background1"/>
                <w:sz w:val="16"/>
                <w:szCs w:val="16"/>
                <w:lang w:val="sr-Cyrl-RS"/>
              </w:rPr>
            </w:pPr>
            <w:r w:rsidRPr="00F46F35">
              <w:rPr>
                <w:b/>
                <w:noProof/>
                <w:color w:val="FFFFFF" w:themeColor="background1"/>
                <w:sz w:val="16"/>
                <w:szCs w:val="16"/>
                <w:lang w:val="sr-Cyrl-RS"/>
              </w:rPr>
              <w:t>-136,915</w:t>
            </w:r>
          </w:p>
        </w:tc>
        <w:tc>
          <w:tcPr>
            <w:tcW w:w="1134" w:type="dxa"/>
            <w:tcBorders>
              <w:top w:val="single" w:sz="8" w:space="0" w:color="7F7F7F"/>
              <w:left w:val="nil"/>
              <w:bottom w:val="single" w:sz="8" w:space="0" w:color="FFFFFF" w:themeColor="background1"/>
              <w:right w:val="nil"/>
            </w:tcBorders>
            <w:shd w:val="clear" w:color="auto" w:fill="4F81BD" w:themeFill="accent1"/>
            <w:vAlign w:val="center"/>
          </w:tcPr>
          <w:p w14:paraId="5421E7E2" w14:textId="77777777" w:rsidR="004E6E16" w:rsidRPr="00F46F35" w:rsidRDefault="004E6E16" w:rsidP="004E6E16">
            <w:pPr>
              <w:pStyle w:val="NoSpacing"/>
              <w:jc w:val="right"/>
              <w:rPr>
                <w:b/>
                <w:noProof/>
                <w:color w:val="FFFFFF" w:themeColor="background1"/>
                <w:sz w:val="16"/>
                <w:szCs w:val="16"/>
                <w:lang w:val="sr-Cyrl-RS"/>
              </w:rPr>
            </w:pPr>
            <w:r w:rsidRPr="00F46F35">
              <w:rPr>
                <w:b/>
                <w:noProof/>
                <w:color w:val="FFFFFF" w:themeColor="background1"/>
                <w:sz w:val="16"/>
                <w:szCs w:val="16"/>
                <w:lang w:val="sr-Cyrl-RS"/>
              </w:rPr>
              <w:t>115,000</w:t>
            </w:r>
          </w:p>
        </w:tc>
        <w:tc>
          <w:tcPr>
            <w:tcW w:w="1119" w:type="dxa"/>
            <w:tcBorders>
              <w:top w:val="single" w:sz="8" w:space="0" w:color="7F7F7F"/>
              <w:left w:val="nil"/>
              <w:bottom w:val="single" w:sz="8" w:space="0" w:color="FFFFFF" w:themeColor="background1"/>
              <w:right w:val="nil"/>
            </w:tcBorders>
            <w:shd w:val="clear" w:color="auto" w:fill="4F81BD" w:themeFill="accent1"/>
            <w:vAlign w:val="center"/>
          </w:tcPr>
          <w:p w14:paraId="33C9AE08" w14:textId="77777777" w:rsidR="004E6E16" w:rsidRPr="00F46F35" w:rsidRDefault="004E6E16" w:rsidP="004E6E16">
            <w:pPr>
              <w:pStyle w:val="NoSpacing"/>
              <w:jc w:val="right"/>
              <w:rPr>
                <w:b/>
                <w:noProof/>
                <w:color w:val="FFFFFF" w:themeColor="background1"/>
                <w:sz w:val="16"/>
                <w:szCs w:val="16"/>
                <w:lang w:val="sr-Cyrl-RS"/>
              </w:rPr>
            </w:pPr>
            <w:r w:rsidRPr="00F46F35">
              <w:rPr>
                <w:b/>
                <w:noProof/>
                <w:color w:val="FFFFFF" w:themeColor="background1"/>
                <w:sz w:val="16"/>
                <w:szCs w:val="16"/>
                <w:lang w:val="sr-Cyrl-RS"/>
              </w:rPr>
              <w:t>149,790</w:t>
            </w:r>
          </w:p>
        </w:tc>
        <w:tc>
          <w:tcPr>
            <w:tcW w:w="1270" w:type="dxa"/>
            <w:tcBorders>
              <w:top w:val="single" w:sz="8" w:space="0" w:color="7F7F7F"/>
              <w:left w:val="nil"/>
              <w:bottom w:val="single" w:sz="8" w:space="0" w:color="FFFFFF" w:themeColor="background1"/>
              <w:right w:val="nil"/>
            </w:tcBorders>
            <w:shd w:val="clear" w:color="auto" w:fill="4F81BD" w:themeFill="accent1"/>
            <w:vAlign w:val="center"/>
          </w:tcPr>
          <w:p w14:paraId="5B263615" w14:textId="77777777" w:rsidR="004E6E16" w:rsidRPr="00F46F35" w:rsidRDefault="004E6E16" w:rsidP="004E6E16">
            <w:pPr>
              <w:pStyle w:val="NoSpacing"/>
              <w:jc w:val="center"/>
              <w:rPr>
                <w:b/>
                <w:noProof/>
                <w:color w:val="FFFFFF" w:themeColor="background1"/>
                <w:sz w:val="16"/>
                <w:szCs w:val="16"/>
                <w:lang w:val="sr-Cyrl-RS"/>
              </w:rPr>
            </w:pPr>
            <w:r w:rsidRPr="00F46F35">
              <w:rPr>
                <w:b/>
                <w:noProof/>
                <w:color w:val="FFFFFF" w:themeColor="background1"/>
                <w:sz w:val="16"/>
                <w:szCs w:val="16"/>
                <w:lang w:val="sr-Cyrl-RS"/>
              </w:rPr>
              <w:t>-109%</w:t>
            </w:r>
          </w:p>
        </w:tc>
        <w:tc>
          <w:tcPr>
            <w:tcW w:w="1270" w:type="dxa"/>
            <w:tcBorders>
              <w:top w:val="single" w:sz="8" w:space="0" w:color="7F7F7F"/>
              <w:left w:val="nil"/>
              <w:bottom w:val="single" w:sz="8" w:space="0" w:color="FFFFFF" w:themeColor="background1"/>
              <w:right w:val="nil"/>
            </w:tcBorders>
            <w:shd w:val="clear" w:color="auto" w:fill="4F81BD" w:themeFill="accent1"/>
            <w:vAlign w:val="center"/>
          </w:tcPr>
          <w:p w14:paraId="63F5A0EA" w14:textId="77777777" w:rsidR="004E6E16" w:rsidRPr="00F46F35" w:rsidRDefault="004E6E16" w:rsidP="004E6E16">
            <w:pPr>
              <w:pStyle w:val="NoSpacing"/>
              <w:jc w:val="center"/>
              <w:rPr>
                <w:b/>
                <w:noProof/>
                <w:color w:val="FFFFFF" w:themeColor="background1"/>
                <w:sz w:val="16"/>
                <w:szCs w:val="16"/>
                <w:lang w:val="sr-Cyrl-RS"/>
              </w:rPr>
            </w:pPr>
            <w:r w:rsidRPr="00F46F35">
              <w:rPr>
                <w:b/>
                <w:noProof/>
                <w:color w:val="FFFFFF" w:themeColor="background1"/>
                <w:sz w:val="16"/>
                <w:szCs w:val="16"/>
                <w:lang w:val="sr-Cyrl-RS"/>
              </w:rPr>
              <w:t>130%</w:t>
            </w:r>
          </w:p>
        </w:tc>
      </w:tr>
      <w:tr w:rsidR="004E6E16" w:rsidRPr="006C0D6C" w14:paraId="5A323623" w14:textId="77777777" w:rsidTr="004E6E16">
        <w:trPr>
          <w:trHeight w:val="340"/>
          <w:jc w:val="center"/>
        </w:trPr>
        <w:tc>
          <w:tcPr>
            <w:tcW w:w="634" w:type="dxa"/>
            <w:tcBorders>
              <w:top w:val="single" w:sz="8" w:space="0" w:color="FFFFFF" w:themeColor="background1"/>
              <w:left w:val="nil"/>
              <w:bottom w:val="single" w:sz="8" w:space="0" w:color="7F7F7F"/>
              <w:right w:val="nil"/>
            </w:tcBorders>
            <w:shd w:val="clear" w:color="auto" w:fill="4F81BD" w:themeFill="accent1"/>
            <w:vAlign w:val="center"/>
          </w:tcPr>
          <w:p w14:paraId="4C1DCF10" w14:textId="08A56E25" w:rsidR="004E6E16" w:rsidRPr="00F46F35" w:rsidRDefault="004E6E16" w:rsidP="001B338A">
            <w:pPr>
              <w:pStyle w:val="NoSpacing"/>
              <w:jc w:val="center"/>
              <w:rPr>
                <w:b/>
                <w:noProof/>
                <w:color w:val="FFFFFF" w:themeColor="background1"/>
                <w:sz w:val="16"/>
                <w:szCs w:val="16"/>
                <w:lang w:val="sr-Cyrl-RS"/>
              </w:rPr>
            </w:pPr>
            <w:r w:rsidRPr="00F46F35">
              <w:rPr>
                <w:b/>
                <w:noProof/>
                <w:color w:val="FFFFFF" w:themeColor="background1"/>
                <w:sz w:val="16"/>
                <w:szCs w:val="16"/>
                <w:lang w:val="sr-Cyrl-RS"/>
              </w:rPr>
              <w:t>3</w:t>
            </w:r>
            <w:r w:rsidR="001B338A">
              <w:rPr>
                <w:b/>
                <w:noProof/>
                <w:color w:val="FFFFFF" w:themeColor="background1"/>
                <w:sz w:val="16"/>
                <w:szCs w:val="16"/>
                <w:lang w:val="sr-Cyrl-RS"/>
              </w:rPr>
              <w:t>6</w:t>
            </w:r>
          </w:p>
        </w:tc>
        <w:tc>
          <w:tcPr>
            <w:tcW w:w="4209" w:type="dxa"/>
            <w:tcBorders>
              <w:top w:val="single" w:sz="8" w:space="0" w:color="FFFFFF" w:themeColor="background1"/>
              <w:left w:val="nil"/>
              <w:bottom w:val="single" w:sz="8" w:space="0" w:color="7F7F7F"/>
              <w:right w:val="nil"/>
            </w:tcBorders>
            <w:shd w:val="clear" w:color="auto" w:fill="4F81BD" w:themeFill="accent1"/>
            <w:vAlign w:val="center"/>
          </w:tcPr>
          <w:p w14:paraId="2E9D7846" w14:textId="77777777" w:rsidR="004E6E16" w:rsidRPr="00F46F35" w:rsidRDefault="004E6E16" w:rsidP="004E6E16">
            <w:pPr>
              <w:pStyle w:val="NoSpacing"/>
              <w:rPr>
                <w:b/>
                <w:noProof/>
                <w:color w:val="FFFFFF" w:themeColor="background1"/>
                <w:sz w:val="16"/>
                <w:szCs w:val="16"/>
                <w:lang w:val="sr-Cyrl-RS"/>
              </w:rPr>
            </w:pPr>
            <w:r w:rsidRPr="00F46F35">
              <w:rPr>
                <w:b/>
                <w:noProof/>
                <w:color w:val="FFFFFF" w:themeColor="background1"/>
                <w:sz w:val="16"/>
                <w:szCs w:val="16"/>
                <w:lang w:val="sr-Cyrl-RS"/>
              </w:rPr>
              <w:t>РЕЗУЛТАТ ПРЕ ОПОРЕЗИВАЊА</w:t>
            </w:r>
          </w:p>
        </w:tc>
        <w:tc>
          <w:tcPr>
            <w:tcW w:w="1134" w:type="dxa"/>
            <w:tcBorders>
              <w:top w:val="single" w:sz="8" w:space="0" w:color="FFFFFF" w:themeColor="background1"/>
              <w:left w:val="nil"/>
              <w:bottom w:val="single" w:sz="8" w:space="0" w:color="7F7F7F"/>
              <w:right w:val="nil"/>
            </w:tcBorders>
            <w:shd w:val="clear" w:color="auto" w:fill="4F81BD" w:themeFill="accent1"/>
            <w:vAlign w:val="center"/>
          </w:tcPr>
          <w:p w14:paraId="6A1BD8A3" w14:textId="77777777" w:rsidR="004E6E16" w:rsidRPr="00F46F35" w:rsidRDefault="004E6E16" w:rsidP="004E6E16">
            <w:pPr>
              <w:pStyle w:val="NoSpacing"/>
              <w:jc w:val="right"/>
              <w:rPr>
                <w:b/>
                <w:noProof/>
                <w:color w:val="FFFFFF" w:themeColor="background1"/>
                <w:sz w:val="16"/>
                <w:szCs w:val="16"/>
                <w:lang w:val="sr-Cyrl-RS"/>
              </w:rPr>
            </w:pPr>
            <w:r w:rsidRPr="00F46F35">
              <w:rPr>
                <w:b/>
                <w:noProof/>
                <w:color w:val="FFFFFF" w:themeColor="background1"/>
                <w:sz w:val="16"/>
                <w:szCs w:val="16"/>
                <w:lang w:val="sr-Cyrl-RS"/>
              </w:rPr>
              <w:t>-123,821</w:t>
            </w:r>
          </w:p>
        </w:tc>
        <w:tc>
          <w:tcPr>
            <w:tcW w:w="1134" w:type="dxa"/>
            <w:tcBorders>
              <w:top w:val="single" w:sz="8" w:space="0" w:color="FFFFFF" w:themeColor="background1"/>
              <w:left w:val="nil"/>
              <w:bottom w:val="single" w:sz="8" w:space="0" w:color="7F7F7F"/>
              <w:right w:val="nil"/>
            </w:tcBorders>
            <w:shd w:val="clear" w:color="auto" w:fill="4F81BD" w:themeFill="accent1"/>
            <w:vAlign w:val="center"/>
          </w:tcPr>
          <w:p w14:paraId="4952E2CB" w14:textId="77777777" w:rsidR="004E6E16" w:rsidRPr="00F46F35" w:rsidRDefault="004E6E16" w:rsidP="004E6E16">
            <w:pPr>
              <w:pStyle w:val="NoSpacing"/>
              <w:jc w:val="right"/>
              <w:rPr>
                <w:b/>
                <w:noProof/>
                <w:color w:val="FFFFFF" w:themeColor="background1"/>
                <w:sz w:val="16"/>
                <w:szCs w:val="16"/>
                <w:lang w:val="sr-Cyrl-RS"/>
              </w:rPr>
            </w:pPr>
            <w:r w:rsidRPr="00F46F35">
              <w:rPr>
                <w:b/>
                <w:noProof/>
                <w:color w:val="FFFFFF" w:themeColor="background1"/>
                <w:sz w:val="16"/>
                <w:szCs w:val="16"/>
                <w:lang w:val="sr-Cyrl-RS"/>
              </w:rPr>
              <w:t>135,209</w:t>
            </w:r>
          </w:p>
        </w:tc>
        <w:tc>
          <w:tcPr>
            <w:tcW w:w="1119" w:type="dxa"/>
            <w:tcBorders>
              <w:top w:val="single" w:sz="8" w:space="0" w:color="FFFFFF" w:themeColor="background1"/>
              <w:left w:val="nil"/>
              <w:bottom w:val="single" w:sz="8" w:space="0" w:color="7F7F7F"/>
              <w:right w:val="nil"/>
            </w:tcBorders>
            <w:shd w:val="clear" w:color="auto" w:fill="4F81BD" w:themeFill="accent1"/>
            <w:vAlign w:val="center"/>
          </w:tcPr>
          <w:p w14:paraId="0BD37013" w14:textId="77777777" w:rsidR="004E6E16" w:rsidRPr="00F46F35" w:rsidRDefault="004E6E16" w:rsidP="004E6E16">
            <w:pPr>
              <w:pStyle w:val="NoSpacing"/>
              <w:jc w:val="right"/>
              <w:rPr>
                <w:b/>
                <w:noProof/>
                <w:color w:val="FFFFFF" w:themeColor="background1"/>
                <w:sz w:val="16"/>
                <w:szCs w:val="16"/>
                <w:lang w:val="sr-Cyrl-RS"/>
              </w:rPr>
            </w:pPr>
            <w:r w:rsidRPr="00F46F35">
              <w:rPr>
                <w:b/>
                <w:noProof/>
                <w:color w:val="FFFFFF" w:themeColor="background1"/>
                <w:sz w:val="16"/>
                <w:szCs w:val="16"/>
                <w:lang w:val="sr-Cyrl-RS"/>
              </w:rPr>
              <w:t>-77,677</w:t>
            </w:r>
          </w:p>
        </w:tc>
        <w:tc>
          <w:tcPr>
            <w:tcW w:w="1270" w:type="dxa"/>
            <w:tcBorders>
              <w:top w:val="single" w:sz="8" w:space="0" w:color="FFFFFF" w:themeColor="background1"/>
              <w:left w:val="nil"/>
              <w:bottom w:val="single" w:sz="8" w:space="0" w:color="7F7F7F"/>
              <w:right w:val="nil"/>
            </w:tcBorders>
            <w:shd w:val="clear" w:color="auto" w:fill="4F81BD" w:themeFill="accent1"/>
            <w:vAlign w:val="center"/>
          </w:tcPr>
          <w:p w14:paraId="497F32B6" w14:textId="77777777" w:rsidR="004E6E16" w:rsidRPr="00F46F35" w:rsidRDefault="004E6E16" w:rsidP="004E6E16">
            <w:pPr>
              <w:pStyle w:val="NoSpacing"/>
              <w:jc w:val="center"/>
              <w:rPr>
                <w:b/>
                <w:noProof/>
                <w:color w:val="FFFFFF" w:themeColor="background1"/>
                <w:sz w:val="16"/>
                <w:szCs w:val="16"/>
                <w:lang w:val="sr-Cyrl-RS"/>
              </w:rPr>
            </w:pPr>
            <w:r w:rsidRPr="00F46F35">
              <w:rPr>
                <w:b/>
                <w:noProof/>
                <w:color w:val="FFFFFF" w:themeColor="background1"/>
                <w:sz w:val="16"/>
                <w:szCs w:val="16"/>
                <w:lang w:val="sr-Cyrl-RS"/>
              </w:rPr>
              <w:t>63%</w:t>
            </w:r>
          </w:p>
        </w:tc>
        <w:tc>
          <w:tcPr>
            <w:tcW w:w="1270" w:type="dxa"/>
            <w:tcBorders>
              <w:top w:val="single" w:sz="8" w:space="0" w:color="FFFFFF" w:themeColor="background1"/>
              <w:left w:val="nil"/>
              <w:bottom w:val="single" w:sz="8" w:space="0" w:color="7F7F7F"/>
              <w:right w:val="nil"/>
            </w:tcBorders>
            <w:shd w:val="clear" w:color="auto" w:fill="4F81BD" w:themeFill="accent1"/>
            <w:vAlign w:val="center"/>
          </w:tcPr>
          <w:p w14:paraId="2FC95798" w14:textId="77777777" w:rsidR="004E6E16" w:rsidRPr="00F46F35" w:rsidRDefault="004E6E16" w:rsidP="004E6E16">
            <w:pPr>
              <w:pStyle w:val="NoSpacing"/>
              <w:jc w:val="center"/>
              <w:rPr>
                <w:b/>
                <w:noProof/>
                <w:color w:val="FFFFFF" w:themeColor="background1"/>
                <w:sz w:val="16"/>
                <w:szCs w:val="16"/>
                <w:lang w:val="sr-Cyrl-RS"/>
              </w:rPr>
            </w:pPr>
            <w:r w:rsidRPr="00F46F35">
              <w:rPr>
                <w:b/>
                <w:noProof/>
                <w:color w:val="FFFFFF" w:themeColor="background1"/>
                <w:sz w:val="16"/>
                <w:szCs w:val="16"/>
                <w:lang w:val="sr-Cyrl-RS"/>
              </w:rPr>
              <w:t>-57%</w:t>
            </w:r>
          </w:p>
        </w:tc>
      </w:tr>
      <w:tr w:rsidR="00352E9D" w:rsidRPr="006C0D6C" w14:paraId="1FE07DBD" w14:textId="77777777" w:rsidTr="004E6E16">
        <w:trPr>
          <w:trHeight w:val="227"/>
          <w:jc w:val="center"/>
        </w:trPr>
        <w:tc>
          <w:tcPr>
            <w:tcW w:w="634" w:type="dxa"/>
            <w:tcBorders>
              <w:top w:val="single" w:sz="8" w:space="0" w:color="7F7F7F"/>
              <w:left w:val="nil"/>
              <w:bottom w:val="single" w:sz="8" w:space="0" w:color="7F7F7F"/>
              <w:right w:val="nil"/>
            </w:tcBorders>
            <w:shd w:val="clear" w:color="auto" w:fill="auto"/>
            <w:vAlign w:val="center"/>
          </w:tcPr>
          <w:p w14:paraId="0CA05EAC" w14:textId="024482C5" w:rsidR="00352E9D" w:rsidRPr="002D03B5" w:rsidRDefault="00352E9D" w:rsidP="004E6E16">
            <w:pPr>
              <w:pStyle w:val="NoSpacing"/>
              <w:jc w:val="center"/>
              <w:rPr>
                <w:noProof/>
                <w:sz w:val="16"/>
                <w:szCs w:val="16"/>
                <w:lang w:val="sr-Cyrl-RS"/>
              </w:rPr>
            </w:pPr>
            <w:r>
              <w:rPr>
                <w:noProof/>
                <w:sz w:val="16"/>
                <w:szCs w:val="16"/>
                <w:lang w:val="sr-Cyrl-RS"/>
              </w:rPr>
              <w:t>37</w:t>
            </w:r>
          </w:p>
        </w:tc>
        <w:tc>
          <w:tcPr>
            <w:tcW w:w="4209" w:type="dxa"/>
            <w:tcBorders>
              <w:top w:val="single" w:sz="8" w:space="0" w:color="7F7F7F"/>
              <w:left w:val="nil"/>
              <w:bottom w:val="single" w:sz="8" w:space="0" w:color="7F7F7F"/>
              <w:right w:val="nil"/>
            </w:tcBorders>
            <w:shd w:val="clear" w:color="auto" w:fill="auto"/>
            <w:vAlign w:val="center"/>
          </w:tcPr>
          <w:p w14:paraId="7F5C9F95" w14:textId="19598182" w:rsidR="00352E9D" w:rsidRPr="002D03B5" w:rsidRDefault="00352E9D" w:rsidP="004E6E16">
            <w:pPr>
              <w:pStyle w:val="NoSpacing"/>
              <w:rPr>
                <w:noProof/>
                <w:sz w:val="16"/>
                <w:szCs w:val="16"/>
                <w:lang w:val="sr-Cyrl-RS"/>
              </w:rPr>
            </w:pPr>
            <w:r>
              <w:rPr>
                <w:noProof/>
                <w:sz w:val="16"/>
                <w:szCs w:val="16"/>
                <w:lang w:val="sr-Cyrl-RS"/>
              </w:rPr>
              <w:t>Добитак/губитак од опорезивања</w:t>
            </w:r>
          </w:p>
        </w:tc>
        <w:tc>
          <w:tcPr>
            <w:tcW w:w="1134" w:type="dxa"/>
            <w:tcBorders>
              <w:top w:val="single" w:sz="8" w:space="0" w:color="7F7F7F"/>
              <w:left w:val="nil"/>
              <w:bottom w:val="single" w:sz="8" w:space="0" w:color="7F7F7F"/>
              <w:right w:val="nil"/>
            </w:tcBorders>
            <w:shd w:val="clear" w:color="auto" w:fill="auto"/>
            <w:vAlign w:val="center"/>
          </w:tcPr>
          <w:p w14:paraId="1F6312B0" w14:textId="7649EB69" w:rsidR="00352E9D" w:rsidRPr="002D03B5" w:rsidRDefault="00352E9D" w:rsidP="004E6E16">
            <w:pPr>
              <w:pStyle w:val="NoSpacing"/>
              <w:jc w:val="right"/>
              <w:rPr>
                <w:noProof/>
                <w:sz w:val="16"/>
                <w:szCs w:val="16"/>
                <w:lang w:val="sr-Cyrl-RS"/>
              </w:rPr>
            </w:pPr>
            <w:r>
              <w:rPr>
                <w:noProof/>
                <w:sz w:val="16"/>
                <w:szCs w:val="16"/>
                <w:lang w:val="sr-Cyrl-RS"/>
              </w:rPr>
              <w:t>-1,052</w:t>
            </w:r>
          </w:p>
        </w:tc>
        <w:tc>
          <w:tcPr>
            <w:tcW w:w="1134" w:type="dxa"/>
            <w:tcBorders>
              <w:top w:val="single" w:sz="8" w:space="0" w:color="7F7F7F"/>
              <w:left w:val="nil"/>
              <w:bottom w:val="single" w:sz="8" w:space="0" w:color="7F7F7F"/>
              <w:right w:val="nil"/>
            </w:tcBorders>
            <w:shd w:val="clear" w:color="auto" w:fill="auto"/>
            <w:vAlign w:val="center"/>
          </w:tcPr>
          <w:p w14:paraId="36D0B1A5" w14:textId="2C507E44" w:rsidR="00352E9D" w:rsidRPr="002D03B5" w:rsidRDefault="00352E9D" w:rsidP="004E6E16">
            <w:pPr>
              <w:pStyle w:val="NoSpacing"/>
              <w:jc w:val="right"/>
              <w:rPr>
                <w:noProof/>
                <w:sz w:val="16"/>
                <w:szCs w:val="16"/>
                <w:lang w:val="sr-Cyrl-RS"/>
              </w:rPr>
            </w:pPr>
          </w:p>
        </w:tc>
        <w:tc>
          <w:tcPr>
            <w:tcW w:w="1119" w:type="dxa"/>
            <w:tcBorders>
              <w:top w:val="single" w:sz="8" w:space="0" w:color="7F7F7F"/>
              <w:left w:val="nil"/>
              <w:bottom w:val="single" w:sz="8" w:space="0" w:color="7F7F7F"/>
              <w:right w:val="nil"/>
            </w:tcBorders>
            <w:shd w:val="clear" w:color="auto" w:fill="auto"/>
            <w:vAlign w:val="center"/>
          </w:tcPr>
          <w:p w14:paraId="7F3BDA42" w14:textId="6936D65B" w:rsidR="00352E9D" w:rsidRPr="002D03B5" w:rsidRDefault="0075121B" w:rsidP="004E6E16">
            <w:pPr>
              <w:pStyle w:val="NoSpacing"/>
              <w:jc w:val="right"/>
              <w:rPr>
                <w:noProof/>
                <w:sz w:val="16"/>
                <w:szCs w:val="16"/>
                <w:lang w:val="sr-Cyrl-RS"/>
              </w:rPr>
            </w:pPr>
            <w:r w:rsidRPr="0075121B">
              <w:rPr>
                <w:noProof/>
                <w:sz w:val="16"/>
                <w:szCs w:val="16"/>
                <w:lang w:val="sr-Cyrl-RS"/>
              </w:rPr>
              <w:t>2,620</w:t>
            </w:r>
          </w:p>
        </w:tc>
        <w:tc>
          <w:tcPr>
            <w:tcW w:w="1270" w:type="dxa"/>
            <w:tcBorders>
              <w:top w:val="single" w:sz="8" w:space="0" w:color="7F7F7F"/>
              <w:left w:val="nil"/>
              <w:bottom w:val="single" w:sz="8" w:space="0" w:color="7F7F7F"/>
              <w:right w:val="nil"/>
            </w:tcBorders>
            <w:shd w:val="clear" w:color="auto" w:fill="auto"/>
            <w:vAlign w:val="center"/>
          </w:tcPr>
          <w:p w14:paraId="36311595" w14:textId="77777777" w:rsidR="00352E9D" w:rsidRPr="002D03B5" w:rsidRDefault="00352E9D" w:rsidP="004E6E16">
            <w:pPr>
              <w:pStyle w:val="NoSpacing"/>
              <w:jc w:val="center"/>
              <w:rPr>
                <w:noProof/>
                <w:sz w:val="16"/>
                <w:szCs w:val="16"/>
                <w:lang w:val="sr-Cyrl-RS"/>
              </w:rPr>
            </w:pPr>
          </w:p>
        </w:tc>
        <w:tc>
          <w:tcPr>
            <w:tcW w:w="1270" w:type="dxa"/>
            <w:tcBorders>
              <w:top w:val="single" w:sz="8" w:space="0" w:color="7F7F7F"/>
              <w:left w:val="nil"/>
              <w:bottom w:val="single" w:sz="8" w:space="0" w:color="7F7F7F"/>
              <w:right w:val="nil"/>
            </w:tcBorders>
            <w:shd w:val="clear" w:color="auto" w:fill="auto"/>
            <w:vAlign w:val="center"/>
          </w:tcPr>
          <w:p w14:paraId="1415B57F" w14:textId="77777777" w:rsidR="00352E9D" w:rsidRPr="002D03B5" w:rsidRDefault="00352E9D" w:rsidP="004E6E16">
            <w:pPr>
              <w:pStyle w:val="NoSpacing"/>
              <w:jc w:val="center"/>
              <w:rPr>
                <w:noProof/>
                <w:sz w:val="16"/>
                <w:szCs w:val="16"/>
                <w:lang w:val="sr-Cyrl-RS"/>
              </w:rPr>
            </w:pPr>
          </w:p>
        </w:tc>
      </w:tr>
      <w:tr w:rsidR="00352E9D" w:rsidRPr="006C0D6C" w14:paraId="415717D4" w14:textId="77777777" w:rsidTr="0043363E">
        <w:trPr>
          <w:trHeight w:val="340"/>
          <w:jc w:val="center"/>
        </w:trPr>
        <w:tc>
          <w:tcPr>
            <w:tcW w:w="634" w:type="dxa"/>
            <w:tcBorders>
              <w:top w:val="single" w:sz="8" w:space="0" w:color="FFFFFF" w:themeColor="background1"/>
              <w:left w:val="nil"/>
              <w:bottom w:val="single" w:sz="8" w:space="0" w:color="7F7F7F"/>
              <w:right w:val="nil"/>
            </w:tcBorders>
            <w:shd w:val="clear" w:color="auto" w:fill="4F81BD" w:themeFill="accent1"/>
            <w:vAlign w:val="center"/>
          </w:tcPr>
          <w:p w14:paraId="1F0F3299" w14:textId="46F09B3D" w:rsidR="00352E9D" w:rsidRPr="00F46F35" w:rsidRDefault="00352E9D" w:rsidP="0075121B">
            <w:pPr>
              <w:pStyle w:val="NoSpacing"/>
              <w:jc w:val="center"/>
              <w:rPr>
                <w:b/>
                <w:noProof/>
                <w:color w:val="FFFFFF" w:themeColor="background1"/>
                <w:sz w:val="16"/>
                <w:szCs w:val="16"/>
                <w:lang w:val="sr-Cyrl-RS"/>
              </w:rPr>
            </w:pPr>
            <w:r w:rsidRPr="00F46F35">
              <w:rPr>
                <w:b/>
                <w:noProof/>
                <w:color w:val="FFFFFF" w:themeColor="background1"/>
                <w:sz w:val="16"/>
                <w:szCs w:val="16"/>
                <w:lang w:val="sr-Cyrl-RS"/>
              </w:rPr>
              <w:t>3</w:t>
            </w:r>
            <w:r w:rsidR="0075121B">
              <w:rPr>
                <w:b/>
                <w:noProof/>
                <w:color w:val="FFFFFF" w:themeColor="background1"/>
                <w:sz w:val="16"/>
                <w:szCs w:val="16"/>
                <w:lang w:val="sr-Cyrl-RS"/>
              </w:rPr>
              <w:t>8</w:t>
            </w:r>
          </w:p>
        </w:tc>
        <w:tc>
          <w:tcPr>
            <w:tcW w:w="4209" w:type="dxa"/>
            <w:tcBorders>
              <w:top w:val="single" w:sz="8" w:space="0" w:color="FFFFFF" w:themeColor="background1"/>
              <w:left w:val="nil"/>
              <w:bottom w:val="single" w:sz="8" w:space="0" w:color="7F7F7F"/>
              <w:right w:val="nil"/>
            </w:tcBorders>
            <w:shd w:val="clear" w:color="auto" w:fill="4F81BD" w:themeFill="accent1"/>
            <w:vAlign w:val="center"/>
          </w:tcPr>
          <w:p w14:paraId="2514E00A" w14:textId="5E47693C" w:rsidR="00352E9D" w:rsidRPr="00F46F35" w:rsidRDefault="0075121B" w:rsidP="0075121B">
            <w:pPr>
              <w:pStyle w:val="NoSpacing"/>
              <w:rPr>
                <w:b/>
                <w:noProof/>
                <w:color w:val="FFFFFF" w:themeColor="background1"/>
                <w:sz w:val="16"/>
                <w:szCs w:val="16"/>
                <w:lang w:val="sr-Cyrl-RS"/>
              </w:rPr>
            </w:pPr>
            <w:r>
              <w:rPr>
                <w:b/>
                <w:noProof/>
                <w:color w:val="FFFFFF" w:themeColor="background1"/>
                <w:sz w:val="16"/>
                <w:szCs w:val="16"/>
                <w:lang w:val="sr-Cyrl-RS"/>
              </w:rPr>
              <w:t xml:space="preserve">НЕТО </w:t>
            </w:r>
            <w:r w:rsidR="00352E9D" w:rsidRPr="00F46F35">
              <w:rPr>
                <w:b/>
                <w:noProof/>
                <w:color w:val="FFFFFF" w:themeColor="background1"/>
                <w:sz w:val="16"/>
                <w:szCs w:val="16"/>
                <w:lang w:val="sr-Cyrl-RS"/>
              </w:rPr>
              <w:t xml:space="preserve">РЕЗУЛТАТ </w:t>
            </w:r>
          </w:p>
        </w:tc>
        <w:tc>
          <w:tcPr>
            <w:tcW w:w="1134" w:type="dxa"/>
            <w:tcBorders>
              <w:top w:val="single" w:sz="8" w:space="0" w:color="FFFFFF" w:themeColor="background1"/>
              <w:left w:val="nil"/>
              <w:bottom w:val="single" w:sz="8" w:space="0" w:color="7F7F7F"/>
              <w:right w:val="nil"/>
            </w:tcBorders>
            <w:shd w:val="clear" w:color="auto" w:fill="4F81BD" w:themeFill="accent1"/>
            <w:vAlign w:val="center"/>
          </w:tcPr>
          <w:p w14:paraId="2CE3ABE9" w14:textId="3C505A50" w:rsidR="00352E9D" w:rsidRPr="00F46F35" w:rsidRDefault="00352E9D" w:rsidP="0075121B">
            <w:pPr>
              <w:pStyle w:val="NoSpacing"/>
              <w:jc w:val="right"/>
              <w:rPr>
                <w:b/>
                <w:noProof/>
                <w:color w:val="FFFFFF" w:themeColor="background1"/>
                <w:sz w:val="16"/>
                <w:szCs w:val="16"/>
                <w:lang w:val="sr-Cyrl-RS"/>
              </w:rPr>
            </w:pPr>
            <w:r w:rsidRPr="00F46F35">
              <w:rPr>
                <w:b/>
                <w:noProof/>
                <w:color w:val="FFFFFF" w:themeColor="background1"/>
                <w:sz w:val="16"/>
                <w:szCs w:val="16"/>
                <w:lang w:val="sr-Cyrl-RS"/>
              </w:rPr>
              <w:t>-123,</w:t>
            </w:r>
            <w:r w:rsidR="0075121B">
              <w:rPr>
                <w:b/>
                <w:noProof/>
                <w:color w:val="FFFFFF" w:themeColor="background1"/>
                <w:sz w:val="16"/>
                <w:szCs w:val="16"/>
                <w:lang w:val="sr-Cyrl-RS"/>
              </w:rPr>
              <w:t>387</w:t>
            </w:r>
          </w:p>
        </w:tc>
        <w:tc>
          <w:tcPr>
            <w:tcW w:w="1134" w:type="dxa"/>
            <w:tcBorders>
              <w:top w:val="single" w:sz="8" w:space="0" w:color="FFFFFF" w:themeColor="background1"/>
              <w:left w:val="nil"/>
              <w:bottom w:val="single" w:sz="8" w:space="0" w:color="7F7F7F"/>
              <w:right w:val="nil"/>
            </w:tcBorders>
            <w:shd w:val="clear" w:color="auto" w:fill="4F81BD" w:themeFill="accent1"/>
            <w:vAlign w:val="center"/>
          </w:tcPr>
          <w:p w14:paraId="3546E00A" w14:textId="77777777" w:rsidR="00352E9D" w:rsidRPr="00F46F35" w:rsidRDefault="00352E9D" w:rsidP="0043363E">
            <w:pPr>
              <w:pStyle w:val="NoSpacing"/>
              <w:jc w:val="right"/>
              <w:rPr>
                <w:b/>
                <w:noProof/>
                <w:color w:val="FFFFFF" w:themeColor="background1"/>
                <w:sz w:val="16"/>
                <w:szCs w:val="16"/>
                <w:lang w:val="sr-Cyrl-RS"/>
              </w:rPr>
            </w:pPr>
            <w:r w:rsidRPr="00F46F35">
              <w:rPr>
                <w:b/>
                <w:noProof/>
                <w:color w:val="FFFFFF" w:themeColor="background1"/>
                <w:sz w:val="16"/>
                <w:szCs w:val="16"/>
                <w:lang w:val="sr-Cyrl-RS"/>
              </w:rPr>
              <w:t>135,209</w:t>
            </w:r>
          </w:p>
        </w:tc>
        <w:tc>
          <w:tcPr>
            <w:tcW w:w="1119" w:type="dxa"/>
            <w:tcBorders>
              <w:top w:val="single" w:sz="8" w:space="0" w:color="FFFFFF" w:themeColor="background1"/>
              <w:left w:val="nil"/>
              <w:bottom w:val="single" w:sz="8" w:space="0" w:color="7F7F7F"/>
              <w:right w:val="nil"/>
            </w:tcBorders>
            <w:shd w:val="clear" w:color="auto" w:fill="4F81BD" w:themeFill="accent1"/>
            <w:vAlign w:val="center"/>
          </w:tcPr>
          <w:p w14:paraId="7B0DA3AA" w14:textId="29F97967" w:rsidR="00352E9D" w:rsidRPr="00F46F35" w:rsidRDefault="00352E9D" w:rsidP="0075121B">
            <w:pPr>
              <w:pStyle w:val="NoSpacing"/>
              <w:jc w:val="right"/>
              <w:rPr>
                <w:b/>
                <w:noProof/>
                <w:color w:val="FFFFFF" w:themeColor="background1"/>
                <w:sz w:val="16"/>
                <w:szCs w:val="16"/>
                <w:lang w:val="sr-Cyrl-RS"/>
              </w:rPr>
            </w:pPr>
            <w:r w:rsidRPr="00F46F35">
              <w:rPr>
                <w:b/>
                <w:noProof/>
                <w:color w:val="FFFFFF" w:themeColor="background1"/>
                <w:sz w:val="16"/>
                <w:szCs w:val="16"/>
                <w:lang w:val="sr-Cyrl-RS"/>
              </w:rPr>
              <w:t>-</w:t>
            </w:r>
            <w:r w:rsidR="0075121B">
              <w:rPr>
                <w:b/>
                <w:noProof/>
                <w:color w:val="FFFFFF" w:themeColor="background1"/>
                <w:sz w:val="16"/>
                <w:szCs w:val="16"/>
                <w:lang w:val="sr-Cyrl-RS"/>
              </w:rPr>
              <w:t>75,057</w:t>
            </w:r>
          </w:p>
        </w:tc>
        <w:tc>
          <w:tcPr>
            <w:tcW w:w="1270" w:type="dxa"/>
            <w:tcBorders>
              <w:top w:val="single" w:sz="8" w:space="0" w:color="FFFFFF" w:themeColor="background1"/>
              <w:left w:val="nil"/>
              <w:bottom w:val="single" w:sz="8" w:space="0" w:color="7F7F7F"/>
              <w:right w:val="nil"/>
            </w:tcBorders>
            <w:shd w:val="clear" w:color="auto" w:fill="4F81BD" w:themeFill="accent1"/>
            <w:vAlign w:val="center"/>
          </w:tcPr>
          <w:p w14:paraId="554CAE43" w14:textId="0D74692D" w:rsidR="00352E9D" w:rsidRPr="00F46F35" w:rsidRDefault="00352E9D" w:rsidP="0043363E">
            <w:pPr>
              <w:pStyle w:val="NoSpacing"/>
              <w:jc w:val="center"/>
              <w:rPr>
                <w:b/>
                <w:noProof/>
                <w:color w:val="FFFFFF" w:themeColor="background1"/>
                <w:sz w:val="16"/>
                <w:szCs w:val="16"/>
                <w:lang w:val="sr-Cyrl-RS"/>
              </w:rPr>
            </w:pPr>
          </w:p>
        </w:tc>
        <w:tc>
          <w:tcPr>
            <w:tcW w:w="1270" w:type="dxa"/>
            <w:tcBorders>
              <w:top w:val="single" w:sz="8" w:space="0" w:color="FFFFFF" w:themeColor="background1"/>
              <w:left w:val="nil"/>
              <w:bottom w:val="single" w:sz="8" w:space="0" w:color="7F7F7F"/>
              <w:right w:val="nil"/>
            </w:tcBorders>
            <w:shd w:val="clear" w:color="auto" w:fill="4F81BD" w:themeFill="accent1"/>
            <w:vAlign w:val="center"/>
          </w:tcPr>
          <w:p w14:paraId="79C623C4" w14:textId="62B323E1" w:rsidR="00352E9D" w:rsidRPr="00F46F35" w:rsidRDefault="00352E9D" w:rsidP="0043363E">
            <w:pPr>
              <w:pStyle w:val="NoSpacing"/>
              <w:jc w:val="center"/>
              <w:rPr>
                <w:b/>
                <w:noProof/>
                <w:color w:val="FFFFFF" w:themeColor="background1"/>
                <w:sz w:val="16"/>
                <w:szCs w:val="16"/>
                <w:lang w:val="sr-Cyrl-RS"/>
              </w:rPr>
            </w:pPr>
          </w:p>
        </w:tc>
      </w:tr>
      <w:tr w:rsidR="004E6E16" w:rsidRPr="006C0D6C" w14:paraId="37DB47E8" w14:textId="77777777" w:rsidTr="004E6E16">
        <w:trPr>
          <w:trHeight w:val="227"/>
          <w:jc w:val="center"/>
        </w:trPr>
        <w:tc>
          <w:tcPr>
            <w:tcW w:w="634" w:type="dxa"/>
            <w:tcBorders>
              <w:top w:val="single" w:sz="8" w:space="0" w:color="7F7F7F"/>
              <w:left w:val="nil"/>
              <w:bottom w:val="single" w:sz="8" w:space="0" w:color="7F7F7F"/>
              <w:right w:val="nil"/>
            </w:tcBorders>
            <w:shd w:val="clear" w:color="auto" w:fill="auto"/>
            <w:vAlign w:val="center"/>
          </w:tcPr>
          <w:p w14:paraId="5353C756" w14:textId="77777777" w:rsidR="004E6E16" w:rsidRPr="002D03B5" w:rsidRDefault="004E6E16" w:rsidP="004E6E16">
            <w:pPr>
              <w:pStyle w:val="NoSpacing"/>
              <w:jc w:val="center"/>
              <w:rPr>
                <w:noProof/>
                <w:sz w:val="16"/>
                <w:szCs w:val="16"/>
                <w:lang w:val="sr-Cyrl-RS"/>
              </w:rPr>
            </w:pPr>
          </w:p>
        </w:tc>
        <w:tc>
          <w:tcPr>
            <w:tcW w:w="4209" w:type="dxa"/>
            <w:tcBorders>
              <w:top w:val="single" w:sz="8" w:space="0" w:color="7F7F7F"/>
              <w:left w:val="nil"/>
              <w:bottom w:val="single" w:sz="8" w:space="0" w:color="7F7F7F"/>
              <w:right w:val="nil"/>
            </w:tcBorders>
            <w:shd w:val="clear" w:color="auto" w:fill="auto"/>
            <w:vAlign w:val="center"/>
          </w:tcPr>
          <w:p w14:paraId="50131A4A" w14:textId="77777777" w:rsidR="004E6E16" w:rsidRPr="002D03B5" w:rsidRDefault="004E6E16" w:rsidP="004E6E16">
            <w:pPr>
              <w:pStyle w:val="NoSpacing"/>
              <w:rPr>
                <w:noProof/>
                <w:sz w:val="16"/>
                <w:szCs w:val="16"/>
                <w:lang w:val="sr-Cyrl-RS"/>
              </w:rPr>
            </w:pPr>
            <w:r w:rsidRPr="002D03B5">
              <w:rPr>
                <w:noProof/>
                <w:sz w:val="16"/>
                <w:szCs w:val="16"/>
                <w:lang w:val="sr-Cyrl-RS"/>
              </w:rPr>
              <w:t>Режијски додатак</w:t>
            </w:r>
          </w:p>
        </w:tc>
        <w:tc>
          <w:tcPr>
            <w:tcW w:w="1134" w:type="dxa"/>
            <w:tcBorders>
              <w:top w:val="single" w:sz="8" w:space="0" w:color="7F7F7F"/>
              <w:left w:val="nil"/>
              <w:bottom w:val="single" w:sz="8" w:space="0" w:color="7F7F7F"/>
              <w:right w:val="nil"/>
            </w:tcBorders>
            <w:shd w:val="clear" w:color="auto" w:fill="auto"/>
            <w:vAlign w:val="center"/>
          </w:tcPr>
          <w:p w14:paraId="07E45FE1"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126,797</w:t>
            </w:r>
          </w:p>
        </w:tc>
        <w:tc>
          <w:tcPr>
            <w:tcW w:w="1134" w:type="dxa"/>
            <w:tcBorders>
              <w:top w:val="single" w:sz="8" w:space="0" w:color="7F7F7F"/>
              <w:left w:val="nil"/>
              <w:bottom w:val="single" w:sz="8" w:space="0" w:color="7F7F7F"/>
              <w:right w:val="nil"/>
            </w:tcBorders>
            <w:shd w:val="clear" w:color="auto" w:fill="auto"/>
            <w:vAlign w:val="center"/>
          </w:tcPr>
          <w:p w14:paraId="5F3EE9CB"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177,000</w:t>
            </w:r>
          </w:p>
        </w:tc>
        <w:tc>
          <w:tcPr>
            <w:tcW w:w="1119" w:type="dxa"/>
            <w:tcBorders>
              <w:top w:val="single" w:sz="8" w:space="0" w:color="7F7F7F"/>
              <w:left w:val="nil"/>
              <w:bottom w:val="single" w:sz="8" w:space="0" w:color="7F7F7F"/>
              <w:right w:val="nil"/>
            </w:tcBorders>
            <w:shd w:val="clear" w:color="auto" w:fill="auto"/>
            <w:vAlign w:val="center"/>
          </w:tcPr>
          <w:p w14:paraId="0B9BED49"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109,887</w:t>
            </w:r>
          </w:p>
        </w:tc>
        <w:tc>
          <w:tcPr>
            <w:tcW w:w="1270" w:type="dxa"/>
            <w:tcBorders>
              <w:top w:val="single" w:sz="8" w:space="0" w:color="7F7F7F"/>
              <w:left w:val="nil"/>
              <w:bottom w:val="single" w:sz="8" w:space="0" w:color="7F7F7F"/>
              <w:right w:val="nil"/>
            </w:tcBorders>
            <w:shd w:val="clear" w:color="auto" w:fill="auto"/>
            <w:vAlign w:val="center"/>
          </w:tcPr>
          <w:p w14:paraId="77EAC981"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87%</w:t>
            </w:r>
          </w:p>
        </w:tc>
        <w:tc>
          <w:tcPr>
            <w:tcW w:w="1270" w:type="dxa"/>
            <w:tcBorders>
              <w:top w:val="single" w:sz="8" w:space="0" w:color="7F7F7F"/>
              <w:left w:val="nil"/>
              <w:bottom w:val="single" w:sz="8" w:space="0" w:color="7F7F7F"/>
              <w:right w:val="nil"/>
            </w:tcBorders>
            <w:shd w:val="clear" w:color="auto" w:fill="auto"/>
            <w:vAlign w:val="center"/>
          </w:tcPr>
          <w:p w14:paraId="05415EB7"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62%</w:t>
            </w:r>
          </w:p>
        </w:tc>
      </w:tr>
      <w:tr w:rsidR="004E6E16" w:rsidRPr="006C0D6C" w14:paraId="50FB1528" w14:textId="77777777" w:rsidTr="004E6E16">
        <w:trPr>
          <w:trHeight w:val="227"/>
          <w:jc w:val="center"/>
        </w:trPr>
        <w:tc>
          <w:tcPr>
            <w:tcW w:w="634" w:type="dxa"/>
            <w:tcBorders>
              <w:top w:val="single" w:sz="8" w:space="0" w:color="7F7F7F"/>
              <w:left w:val="nil"/>
              <w:bottom w:val="single" w:sz="8" w:space="0" w:color="7F7F7F"/>
              <w:right w:val="nil"/>
            </w:tcBorders>
            <w:shd w:val="clear" w:color="auto" w:fill="auto"/>
            <w:vAlign w:val="center"/>
          </w:tcPr>
          <w:p w14:paraId="7262564F" w14:textId="77777777" w:rsidR="004E6E16" w:rsidRPr="002D03B5" w:rsidRDefault="004E6E16" w:rsidP="004E6E16">
            <w:pPr>
              <w:pStyle w:val="NoSpacing"/>
              <w:jc w:val="center"/>
              <w:rPr>
                <w:noProof/>
                <w:sz w:val="16"/>
                <w:szCs w:val="16"/>
                <w:lang w:val="sr-Cyrl-RS"/>
              </w:rPr>
            </w:pPr>
          </w:p>
        </w:tc>
        <w:tc>
          <w:tcPr>
            <w:tcW w:w="4209" w:type="dxa"/>
            <w:tcBorders>
              <w:top w:val="single" w:sz="8" w:space="0" w:color="7F7F7F"/>
              <w:left w:val="nil"/>
              <w:bottom w:val="single" w:sz="8" w:space="0" w:color="7F7F7F"/>
              <w:right w:val="nil"/>
            </w:tcBorders>
            <w:shd w:val="clear" w:color="auto" w:fill="auto"/>
            <w:vAlign w:val="center"/>
          </w:tcPr>
          <w:p w14:paraId="41961C65" w14:textId="77777777" w:rsidR="004E6E16" w:rsidRPr="002D03B5" w:rsidRDefault="004E6E16" w:rsidP="004E6E16">
            <w:pPr>
              <w:pStyle w:val="NoSpacing"/>
              <w:rPr>
                <w:noProof/>
                <w:sz w:val="16"/>
                <w:szCs w:val="16"/>
                <w:lang w:val="sr-Cyrl-RS"/>
              </w:rPr>
            </w:pPr>
            <w:r w:rsidRPr="002D03B5">
              <w:rPr>
                <w:noProof/>
                <w:sz w:val="16"/>
                <w:szCs w:val="16"/>
                <w:lang w:val="sr-Cyrl-RS"/>
              </w:rPr>
              <w:t>ТСР</w:t>
            </w:r>
          </w:p>
        </w:tc>
        <w:tc>
          <w:tcPr>
            <w:tcW w:w="1134" w:type="dxa"/>
            <w:tcBorders>
              <w:top w:val="single" w:sz="8" w:space="0" w:color="7F7F7F"/>
              <w:left w:val="nil"/>
              <w:bottom w:val="single" w:sz="8" w:space="0" w:color="7F7F7F"/>
              <w:right w:val="nil"/>
            </w:tcBorders>
            <w:shd w:val="clear" w:color="auto" w:fill="auto"/>
            <w:vAlign w:val="center"/>
          </w:tcPr>
          <w:p w14:paraId="36CC26BC"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187,302</w:t>
            </w:r>
          </w:p>
        </w:tc>
        <w:tc>
          <w:tcPr>
            <w:tcW w:w="1134" w:type="dxa"/>
            <w:tcBorders>
              <w:top w:val="single" w:sz="8" w:space="0" w:color="7F7F7F"/>
              <w:left w:val="nil"/>
              <w:bottom w:val="single" w:sz="8" w:space="0" w:color="7F7F7F"/>
              <w:right w:val="nil"/>
            </w:tcBorders>
            <w:shd w:val="clear" w:color="auto" w:fill="auto"/>
            <w:vAlign w:val="center"/>
          </w:tcPr>
          <w:p w14:paraId="50F6BE2E"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166,724</w:t>
            </w:r>
          </w:p>
        </w:tc>
        <w:tc>
          <w:tcPr>
            <w:tcW w:w="1119" w:type="dxa"/>
            <w:tcBorders>
              <w:top w:val="single" w:sz="8" w:space="0" w:color="7F7F7F"/>
              <w:left w:val="nil"/>
              <w:bottom w:val="single" w:sz="8" w:space="0" w:color="7F7F7F"/>
              <w:right w:val="nil"/>
            </w:tcBorders>
            <w:shd w:val="clear" w:color="auto" w:fill="auto"/>
            <w:vAlign w:val="center"/>
          </w:tcPr>
          <w:p w14:paraId="24EADA48"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127,784</w:t>
            </w:r>
          </w:p>
        </w:tc>
        <w:tc>
          <w:tcPr>
            <w:tcW w:w="1270" w:type="dxa"/>
            <w:tcBorders>
              <w:top w:val="single" w:sz="8" w:space="0" w:color="7F7F7F"/>
              <w:left w:val="nil"/>
              <w:bottom w:val="single" w:sz="8" w:space="0" w:color="7F7F7F"/>
              <w:right w:val="nil"/>
            </w:tcBorders>
            <w:shd w:val="clear" w:color="auto" w:fill="auto"/>
            <w:vAlign w:val="center"/>
          </w:tcPr>
          <w:p w14:paraId="60C4C163"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68%</w:t>
            </w:r>
          </w:p>
        </w:tc>
        <w:tc>
          <w:tcPr>
            <w:tcW w:w="1270" w:type="dxa"/>
            <w:tcBorders>
              <w:top w:val="single" w:sz="8" w:space="0" w:color="7F7F7F"/>
              <w:left w:val="nil"/>
              <w:bottom w:val="single" w:sz="8" w:space="0" w:color="7F7F7F"/>
              <w:right w:val="nil"/>
            </w:tcBorders>
            <w:shd w:val="clear" w:color="auto" w:fill="auto"/>
            <w:vAlign w:val="center"/>
          </w:tcPr>
          <w:p w14:paraId="773BECDF"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77%</w:t>
            </w:r>
          </w:p>
        </w:tc>
      </w:tr>
      <w:tr w:rsidR="004E6E16" w:rsidRPr="006C0D6C" w14:paraId="20BF80D1" w14:textId="77777777" w:rsidTr="004E6E16">
        <w:trPr>
          <w:trHeight w:val="227"/>
          <w:jc w:val="center"/>
        </w:trPr>
        <w:tc>
          <w:tcPr>
            <w:tcW w:w="634" w:type="dxa"/>
            <w:tcBorders>
              <w:top w:val="single" w:sz="8" w:space="0" w:color="7F7F7F"/>
              <w:left w:val="nil"/>
              <w:bottom w:val="single" w:sz="8" w:space="0" w:color="7F7F7F"/>
              <w:right w:val="nil"/>
            </w:tcBorders>
            <w:shd w:val="clear" w:color="auto" w:fill="auto"/>
            <w:vAlign w:val="center"/>
          </w:tcPr>
          <w:p w14:paraId="4B6779D2" w14:textId="77777777" w:rsidR="004E6E16" w:rsidRPr="002D03B5" w:rsidRDefault="004E6E16" w:rsidP="004E6E16">
            <w:pPr>
              <w:pStyle w:val="NoSpacing"/>
              <w:jc w:val="center"/>
              <w:rPr>
                <w:noProof/>
                <w:sz w:val="16"/>
                <w:szCs w:val="16"/>
                <w:lang w:val="sr-Cyrl-RS"/>
              </w:rPr>
            </w:pPr>
          </w:p>
        </w:tc>
        <w:tc>
          <w:tcPr>
            <w:tcW w:w="4209" w:type="dxa"/>
            <w:tcBorders>
              <w:top w:val="single" w:sz="8" w:space="0" w:color="7F7F7F"/>
              <w:left w:val="nil"/>
              <w:bottom w:val="single" w:sz="8" w:space="0" w:color="7F7F7F"/>
              <w:right w:val="nil"/>
            </w:tcBorders>
            <w:shd w:val="clear" w:color="auto" w:fill="auto"/>
            <w:vAlign w:val="center"/>
          </w:tcPr>
          <w:p w14:paraId="5BB94268" w14:textId="77777777" w:rsidR="004E6E16" w:rsidRPr="002D03B5" w:rsidRDefault="004E6E16" w:rsidP="004E6E16">
            <w:pPr>
              <w:pStyle w:val="NoSpacing"/>
              <w:rPr>
                <w:noProof/>
                <w:sz w:val="16"/>
                <w:szCs w:val="16"/>
                <w:lang w:val="sr-Cyrl-RS"/>
              </w:rPr>
            </w:pPr>
            <w:r w:rsidRPr="002D03B5">
              <w:rPr>
                <w:noProof/>
                <w:sz w:val="16"/>
                <w:szCs w:val="16"/>
                <w:lang w:val="sr-Cyrl-RS"/>
              </w:rPr>
              <w:t>разлика (42-43)</w:t>
            </w:r>
          </w:p>
        </w:tc>
        <w:tc>
          <w:tcPr>
            <w:tcW w:w="1134" w:type="dxa"/>
            <w:tcBorders>
              <w:top w:val="single" w:sz="8" w:space="0" w:color="7F7F7F"/>
              <w:left w:val="nil"/>
              <w:bottom w:val="single" w:sz="8" w:space="0" w:color="7F7F7F"/>
              <w:right w:val="nil"/>
            </w:tcBorders>
            <w:shd w:val="clear" w:color="auto" w:fill="auto"/>
            <w:vAlign w:val="center"/>
          </w:tcPr>
          <w:p w14:paraId="6D3576CE"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-60,506</w:t>
            </w:r>
          </w:p>
        </w:tc>
        <w:tc>
          <w:tcPr>
            <w:tcW w:w="1134" w:type="dxa"/>
            <w:tcBorders>
              <w:top w:val="single" w:sz="8" w:space="0" w:color="7F7F7F"/>
              <w:left w:val="nil"/>
              <w:bottom w:val="single" w:sz="8" w:space="0" w:color="7F7F7F"/>
              <w:right w:val="nil"/>
            </w:tcBorders>
            <w:shd w:val="clear" w:color="auto" w:fill="auto"/>
            <w:vAlign w:val="center"/>
          </w:tcPr>
          <w:p w14:paraId="371BB3AC"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10,276</w:t>
            </w:r>
          </w:p>
        </w:tc>
        <w:tc>
          <w:tcPr>
            <w:tcW w:w="1119" w:type="dxa"/>
            <w:tcBorders>
              <w:top w:val="single" w:sz="8" w:space="0" w:color="7F7F7F"/>
              <w:left w:val="nil"/>
              <w:bottom w:val="single" w:sz="8" w:space="0" w:color="7F7F7F"/>
              <w:right w:val="nil"/>
            </w:tcBorders>
            <w:shd w:val="clear" w:color="auto" w:fill="auto"/>
            <w:vAlign w:val="center"/>
          </w:tcPr>
          <w:p w14:paraId="3CC8AA79"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-17,897</w:t>
            </w:r>
          </w:p>
        </w:tc>
        <w:tc>
          <w:tcPr>
            <w:tcW w:w="1270" w:type="dxa"/>
            <w:tcBorders>
              <w:top w:val="single" w:sz="8" w:space="0" w:color="7F7F7F"/>
              <w:left w:val="nil"/>
              <w:bottom w:val="single" w:sz="8" w:space="0" w:color="7F7F7F"/>
              <w:right w:val="nil"/>
            </w:tcBorders>
            <w:shd w:val="clear" w:color="auto" w:fill="auto"/>
            <w:vAlign w:val="center"/>
          </w:tcPr>
          <w:p w14:paraId="7940A764"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30%</w:t>
            </w:r>
          </w:p>
        </w:tc>
        <w:tc>
          <w:tcPr>
            <w:tcW w:w="1270" w:type="dxa"/>
            <w:tcBorders>
              <w:top w:val="single" w:sz="8" w:space="0" w:color="7F7F7F"/>
              <w:left w:val="nil"/>
              <w:bottom w:val="single" w:sz="8" w:space="0" w:color="7F7F7F"/>
              <w:right w:val="nil"/>
            </w:tcBorders>
            <w:shd w:val="clear" w:color="auto" w:fill="auto"/>
            <w:vAlign w:val="center"/>
          </w:tcPr>
          <w:p w14:paraId="40629373" w14:textId="77777777" w:rsidR="004E6E16" w:rsidRPr="002D03B5" w:rsidRDefault="004E6E16" w:rsidP="004E6E16">
            <w:pPr>
              <w:pStyle w:val="NoSpacing"/>
              <w:jc w:val="center"/>
              <w:rPr>
                <w:noProof/>
                <w:sz w:val="16"/>
                <w:szCs w:val="16"/>
                <w:lang w:val="sr-Cyrl-RS"/>
              </w:rPr>
            </w:pPr>
            <w:r w:rsidRPr="002D03B5">
              <w:rPr>
                <w:noProof/>
                <w:sz w:val="16"/>
                <w:szCs w:val="16"/>
                <w:lang w:val="sr-Cyrl-RS"/>
              </w:rPr>
              <w:t>-174%</w:t>
            </w:r>
          </w:p>
        </w:tc>
      </w:tr>
      <w:tr w:rsidR="004E6E16" w:rsidRPr="006C0D6C" w14:paraId="2943FB61" w14:textId="77777777" w:rsidTr="004E6E16">
        <w:trPr>
          <w:trHeight w:val="227"/>
          <w:jc w:val="center"/>
        </w:trPr>
        <w:tc>
          <w:tcPr>
            <w:tcW w:w="634" w:type="dxa"/>
            <w:tcBorders>
              <w:top w:val="single" w:sz="8" w:space="0" w:color="7F7F7F"/>
              <w:left w:val="nil"/>
              <w:bottom w:val="single" w:sz="12" w:space="0" w:color="auto"/>
              <w:right w:val="nil"/>
            </w:tcBorders>
            <w:shd w:val="clear" w:color="auto" w:fill="auto"/>
            <w:vAlign w:val="center"/>
          </w:tcPr>
          <w:p w14:paraId="6DBD83D3" w14:textId="77777777" w:rsidR="004E6E16" w:rsidRPr="002D03B5" w:rsidRDefault="004E6E16" w:rsidP="004E6E16">
            <w:pPr>
              <w:pStyle w:val="NoSpacing"/>
              <w:jc w:val="center"/>
              <w:rPr>
                <w:noProof/>
                <w:sz w:val="16"/>
                <w:szCs w:val="16"/>
                <w:lang w:val="sr-Cyrl-RS"/>
              </w:rPr>
            </w:pPr>
          </w:p>
        </w:tc>
        <w:tc>
          <w:tcPr>
            <w:tcW w:w="4209" w:type="dxa"/>
            <w:tcBorders>
              <w:top w:val="single" w:sz="8" w:space="0" w:color="7F7F7F"/>
              <w:left w:val="nil"/>
              <w:bottom w:val="single" w:sz="12" w:space="0" w:color="auto"/>
              <w:right w:val="nil"/>
            </w:tcBorders>
            <w:shd w:val="clear" w:color="auto" w:fill="auto"/>
            <w:vAlign w:val="center"/>
          </w:tcPr>
          <w:p w14:paraId="1A7734CF" w14:textId="77777777" w:rsidR="004E6E16" w:rsidRPr="002D03B5" w:rsidRDefault="004E6E16" w:rsidP="004E6E16">
            <w:pPr>
              <w:pStyle w:val="NoSpacing"/>
              <w:rPr>
                <w:noProof/>
                <w:sz w:val="16"/>
                <w:szCs w:val="16"/>
                <w:lang w:val="sr-Cyrl-RS"/>
              </w:rPr>
            </w:pPr>
            <w:r w:rsidRPr="002D03B5">
              <w:rPr>
                <w:noProof/>
                <w:sz w:val="16"/>
                <w:szCs w:val="16"/>
                <w:lang w:val="sr-Cyrl-RS"/>
              </w:rPr>
              <w:t>покривеност у %</w:t>
            </w:r>
          </w:p>
        </w:tc>
        <w:tc>
          <w:tcPr>
            <w:tcW w:w="1134" w:type="dxa"/>
            <w:tcBorders>
              <w:top w:val="single" w:sz="8" w:space="0" w:color="7F7F7F"/>
              <w:left w:val="nil"/>
              <w:bottom w:val="single" w:sz="12" w:space="0" w:color="auto"/>
              <w:right w:val="nil"/>
            </w:tcBorders>
            <w:shd w:val="clear" w:color="auto" w:fill="auto"/>
            <w:vAlign w:val="center"/>
          </w:tcPr>
          <w:p w14:paraId="6A31A61D" w14:textId="77777777" w:rsidR="004E6E16" w:rsidRPr="002D03B5" w:rsidRDefault="004E6E16" w:rsidP="004E6E16">
            <w:pPr>
              <w:pStyle w:val="NoSpacing"/>
              <w:jc w:val="right"/>
              <w:rPr>
                <w:noProof/>
                <w:sz w:val="16"/>
                <w:szCs w:val="16"/>
                <w:lang w:val="sr-Cyrl-RS"/>
              </w:rPr>
            </w:pPr>
          </w:p>
        </w:tc>
        <w:tc>
          <w:tcPr>
            <w:tcW w:w="1134" w:type="dxa"/>
            <w:tcBorders>
              <w:top w:val="single" w:sz="8" w:space="0" w:color="7F7F7F"/>
              <w:left w:val="nil"/>
              <w:bottom w:val="single" w:sz="12" w:space="0" w:color="auto"/>
              <w:right w:val="nil"/>
            </w:tcBorders>
            <w:shd w:val="clear" w:color="auto" w:fill="auto"/>
            <w:vAlign w:val="center"/>
          </w:tcPr>
          <w:p w14:paraId="0DBE9A3A"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106.16%</w:t>
            </w:r>
          </w:p>
        </w:tc>
        <w:tc>
          <w:tcPr>
            <w:tcW w:w="1119" w:type="dxa"/>
            <w:tcBorders>
              <w:top w:val="single" w:sz="8" w:space="0" w:color="7F7F7F"/>
              <w:left w:val="nil"/>
              <w:bottom w:val="single" w:sz="12" w:space="0" w:color="auto"/>
              <w:right w:val="nil"/>
            </w:tcBorders>
            <w:shd w:val="clear" w:color="auto" w:fill="auto"/>
            <w:vAlign w:val="center"/>
          </w:tcPr>
          <w:p w14:paraId="642F67ED" w14:textId="77777777" w:rsidR="004E6E16" w:rsidRPr="002D03B5" w:rsidRDefault="004E6E16" w:rsidP="004E6E16">
            <w:pPr>
              <w:pStyle w:val="NoSpacing"/>
              <w:jc w:val="right"/>
              <w:rPr>
                <w:noProof/>
                <w:sz w:val="16"/>
                <w:szCs w:val="16"/>
                <w:lang w:val="sr-Cyrl-RS"/>
              </w:rPr>
            </w:pPr>
            <w:r w:rsidRPr="002D03B5">
              <w:rPr>
                <w:noProof/>
                <w:sz w:val="16"/>
                <w:szCs w:val="16"/>
                <w:lang w:val="sr-Cyrl-RS"/>
              </w:rPr>
              <w:t>85.99%</w:t>
            </w:r>
          </w:p>
        </w:tc>
        <w:tc>
          <w:tcPr>
            <w:tcW w:w="1270" w:type="dxa"/>
            <w:tcBorders>
              <w:top w:val="single" w:sz="8" w:space="0" w:color="7F7F7F"/>
              <w:left w:val="nil"/>
              <w:bottom w:val="single" w:sz="12" w:space="0" w:color="auto"/>
              <w:right w:val="nil"/>
            </w:tcBorders>
            <w:shd w:val="clear" w:color="auto" w:fill="auto"/>
            <w:vAlign w:val="center"/>
          </w:tcPr>
          <w:p w14:paraId="09B2EC88" w14:textId="77777777" w:rsidR="004E6E16" w:rsidRPr="002D03B5" w:rsidRDefault="004E6E16" w:rsidP="004E6E16">
            <w:pPr>
              <w:pStyle w:val="NoSpacing"/>
              <w:jc w:val="center"/>
              <w:rPr>
                <w:noProof/>
                <w:sz w:val="16"/>
                <w:szCs w:val="16"/>
                <w:lang w:val="sr-Cyrl-RS"/>
              </w:rPr>
            </w:pPr>
          </w:p>
        </w:tc>
        <w:tc>
          <w:tcPr>
            <w:tcW w:w="1270" w:type="dxa"/>
            <w:tcBorders>
              <w:top w:val="single" w:sz="8" w:space="0" w:color="7F7F7F"/>
              <w:left w:val="nil"/>
              <w:bottom w:val="single" w:sz="12" w:space="0" w:color="auto"/>
              <w:right w:val="nil"/>
            </w:tcBorders>
            <w:shd w:val="clear" w:color="auto" w:fill="auto"/>
            <w:vAlign w:val="center"/>
          </w:tcPr>
          <w:p w14:paraId="3028D36E" w14:textId="77777777" w:rsidR="004E6E16" w:rsidRPr="002D03B5" w:rsidRDefault="004E6E16" w:rsidP="004E6E16">
            <w:pPr>
              <w:pStyle w:val="NoSpacing"/>
              <w:jc w:val="center"/>
              <w:rPr>
                <w:noProof/>
                <w:sz w:val="16"/>
                <w:szCs w:val="16"/>
                <w:lang w:val="sr-Cyrl-RS"/>
              </w:rPr>
            </w:pPr>
          </w:p>
        </w:tc>
      </w:tr>
    </w:tbl>
    <w:p w14:paraId="163EEC3F" w14:textId="77777777" w:rsidR="004E6E16" w:rsidRPr="00314796" w:rsidRDefault="004E6E16" w:rsidP="004E6E16">
      <w:pPr>
        <w:spacing w:before="120" w:after="120"/>
        <w:jc w:val="center"/>
        <w:rPr>
          <w:rFonts w:eastAsiaTheme="minorEastAsia"/>
          <w:b/>
          <w:i/>
          <w:noProof/>
          <w:color w:val="365F91" w:themeColor="accent1" w:themeShade="BF"/>
          <w:sz w:val="20"/>
          <w:lang w:val="sr-Cyrl-RS" w:eastAsia="ja-JP"/>
        </w:rPr>
      </w:pPr>
      <w:bookmarkStart w:id="51" w:name="_Toc362253725"/>
      <w:bookmarkStart w:id="52" w:name="_Toc362514665"/>
      <w:r w:rsidRPr="00314796">
        <w:rPr>
          <w:rFonts w:eastAsiaTheme="minorEastAsia"/>
          <w:b/>
          <w:i/>
          <w:noProof/>
          <w:color w:val="365F91" w:themeColor="accent1" w:themeShade="BF"/>
          <w:sz w:val="20"/>
          <w:lang w:val="sr-Cyrl-RS" w:eastAsia="ja-JP"/>
        </w:rPr>
        <w:t xml:space="preserve">Пословни </w:t>
      </w:r>
      <w:r>
        <w:rPr>
          <w:rFonts w:eastAsiaTheme="minorEastAsia"/>
          <w:b/>
          <w:i/>
          <w:noProof/>
          <w:color w:val="365F91" w:themeColor="accent1" w:themeShade="BF"/>
          <w:sz w:val="20"/>
          <w:lang w:val="sr-Cyrl-RS" w:eastAsia="ja-JP"/>
        </w:rPr>
        <w:t>(</w:t>
      </w:r>
      <w:r w:rsidRPr="00314796">
        <w:rPr>
          <w:rFonts w:eastAsiaTheme="minorEastAsia"/>
          <w:b/>
          <w:i/>
          <w:noProof/>
          <w:color w:val="365F91" w:themeColor="accent1" w:themeShade="BF"/>
          <w:sz w:val="20"/>
          <w:lang w:val="sr-Cyrl-RS" w:eastAsia="ja-JP"/>
        </w:rPr>
        <w:t>функционални</w:t>
      </w:r>
      <w:r>
        <w:rPr>
          <w:rFonts w:eastAsiaTheme="minorEastAsia"/>
          <w:b/>
          <w:i/>
          <w:noProof/>
          <w:color w:val="365F91" w:themeColor="accent1" w:themeShade="BF"/>
          <w:sz w:val="20"/>
          <w:lang w:val="sr-Cyrl-RS" w:eastAsia="ja-JP"/>
        </w:rPr>
        <w:t>)</w:t>
      </w:r>
      <w:r w:rsidRPr="00314796">
        <w:rPr>
          <w:rFonts w:eastAsiaTheme="minorEastAsia"/>
          <w:b/>
          <w:i/>
          <w:noProof/>
          <w:color w:val="365F91" w:themeColor="accent1" w:themeShade="BF"/>
          <w:sz w:val="20"/>
          <w:lang w:val="sr-Cyrl-RS" w:eastAsia="ja-JP"/>
        </w:rPr>
        <w:t xml:space="preserve"> приходи</w:t>
      </w:r>
    </w:p>
    <w:p w14:paraId="06F9EDDA" w14:textId="77777777" w:rsidR="004E6E16" w:rsidRDefault="004E6E16" w:rsidP="004E6E16">
      <w:pPr>
        <w:pStyle w:val="NoSpacing"/>
        <w:spacing w:before="120" w:after="120" w:line="276" w:lineRule="auto"/>
        <w:ind w:firstLine="284"/>
        <w:jc w:val="both"/>
        <w:rPr>
          <w:rFonts w:cs="Tahoma"/>
          <w:noProof/>
          <w:sz w:val="20"/>
          <w:lang w:val="sr-Cyrl-RS"/>
        </w:rPr>
      </w:pPr>
      <w:r w:rsidRPr="00314796">
        <w:rPr>
          <w:rFonts w:cs="Tahoma"/>
          <w:noProof/>
          <w:sz w:val="20"/>
          <w:lang w:val="sr-Cyrl-RS"/>
        </w:rPr>
        <w:t xml:space="preserve">Пословни </w:t>
      </w:r>
      <w:r>
        <w:rPr>
          <w:rFonts w:cs="Tahoma"/>
          <w:noProof/>
          <w:sz w:val="20"/>
          <w:lang w:val="sr-Cyrl-RS"/>
        </w:rPr>
        <w:t>(</w:t>
      </w:r>
      <w:r w:rsidRPr="00314796">
        <w:rPr>
          <w:rFonts w:cs="Tahoma"/>
          <w:noProof/>
          <w:sz w:val="20"/>
          <w:lang w:val="sr-Cyrl-RS"/>
        </w:rPr>
        <w:t>фукнционални</w:t>
      </w:r>
      <w:r>
        <w:rPr>
          <w:rFonts w:cs="Tahoma"/>
          <w:noProof/>
          <w:sz w:val="20"/>
          <w:lang w:val="sr-Cyrl-RS"/>
        </w:rPr>
        <w:t>)</w:t>
      </w:r>
      <w:r w:rsidRPr="00314796">
        <w:rPr>
          <w:rFonts w:cs="Tahoma"/>
          <w:noProof/>
          <w:sz w:val="20"/>
          <w:lang w:val="sr-Cyrl-RS"/>
        </w:rPr>
        <w:t xml:space="preserve"> приходи</w:t>
      </w:r>
      <w:r>
        <w:rPr>
          <w:rFonts w:cs="Tahoma"/>
          <w:noProof/>
          <w:sz w:val="20"/>
          <w:lang w:val="sr-Cyrl-RS"/>
        </w:rPr>
        <w:t xml:space="preserve"> представљају остварену премију у самопридржају, кориговану за ефекте повећања/смањења преносне премије. У односу на остварење у претходној години они су мањи за 37,92%, док је у односу на план остварење пословних приход мање за 13,34%</w:t>
      </w:r>
      <w:bookmarkStart w:id="53" w:name="_GoBack"/>
      <w:bookmarkEnd w:id="53"/>
      <w:r>
        <w:rPr>
          <w:rFonts w:cs="Tahoma"/>
          <w:noProof/>
          <w:sz w:val="20"/>
          <w:lang w:val="sr-Cyrl-RS"/>
        </w:rPr>
        <w:t>.</w:t>
      </w:r>
    </w:p>
    <w:p w14:paraId="3D268A2E" w14:textId="77777777" w:rsidR="004E6E16" w:rsidRPr="00314796" w:rsidRDefault="004E6E16" w:rsidP="004E6E16">
      <w:pPr>
        <w:spacing w:before="120" w:after="120"/>
        <w:jc w:val="center"/>
        <w:rPr>
          <w:rFonts w:eastAsiaTheme="minorEastAsia"/>
          <w:b/>
          <w:i/>
          <w:noProof/>
          <w:color w:val="365F91" w:themeColor="accent1" w:themeShade="BF"/>
          <w:sz w:val="20"/>
          <w:lang w:val="sr-Cyrl-RS" w:eastAsia="ja-JP"/>
        </w:rPr>
      </w:pPr>
      <w:r w:rsidRPr="00314796">
        <w:rPr>
          <w:rFonts w:eastAsiaTheme="minorEastAsia"/>
          <w:b/>
          <w:i/>
          <w:noProof/>
          <w:color w:val="365F91" w:themeColor="accent1" w:themeShade="BF"/>
          <w:sz w:val="20"/>
          <w:lang w:val="sr-Cyrl-RS" w:eastAsia="ja-JP"/>
        </w:rPr>
        <w:t xml:space="preserve">Пословни </w:t>
      </w:r>
      <w:r>
        <w:rPr>
          <w:rFonts w:eastAsiaTheme="minorEastAsia"/>
          <w:b/>
          <w:i/>
          <w:noProof/>
          <w:color w:val="365F91" w:themeColor="accent1" w:themeShade="BF"/>
          <w:sz w:val="20"/>
          <w:lang w:val="sr-Cyrl-RS" w:eastAsia="ja-JP"/>
        </w:rPr>
        <w:t>(</w:t>
      </w:r>
      <w:r w:rsidRPr="00314796">
        <w:rPr>
          <w:rFonts w:eastAsiaTheme="minorEastAsia"/>
          <w:b/>
          <w:i/>
          <w:noProof/>
          <w:color w:val="365F91" w:themeColor="accent1" w:themeShade="BF"/>
          <w:sz w:val="20"/>
          <w:lang w:val="sr-Cyrl-RS" w:eastAsia="ja-JP"/>
        </w:rPr>
        <w:t>функционални</w:t>
      </w:r>
      <w:r>
        <w:rPr>
          <w:rFonts w:eastAsiaTheme="minorEastAsia"/>
          <w:b/>
          <w:i/>
          <w:noProof/>
          <w:color w:val="365F91" w:themeColor="accent1" w:themeShade="BF"/>
          <w:sz w:val="20"/>
          <w:lang w:val="sr-Cyrl-RS" w:eastAsia="ja-JP"/>
        </w:rPr>
        <w:t>)</w:t>
      </w:r>
      <w:r w:rsidRPr="00314796">
        <w:rPr>
          <w:rFonts w:eastAsiaTheme="minorEastAsia"/>
          <w:b/>
          <w:i/>
          <w:noProof/>
          <w:color w:val="365F91" w:themeColor="accent1" w:themeShade="BF"/>
          <w:sz w:val="20"/>
          <w:lang w:val="sr-Cyrl-RS" w:eastAsia="ja-JP"/>
        </w:rPr>
        <w:t xml:space="preserve"> </w:t>
      </w:r>
      <w:r>
        <w:rPr>
          <w:rFonts w:eastAsiaTheme="minorEastAsia"/>
          <w:b/>
          <w:i/>
          <w:noProof/>
          <w:color w:val="365F91" w:themeColor="accent1" w:themeShade="BF"/>
          <w:sz w:val="20"/>
          <w:lang w:val="sr-Cyrl-RS" w:eastAsia="ja-JP"/>
        </w:rPr>
        <w:t>р</w:t>
      </w:r>
      <w:r>
        <w:rPr>
          <w:rFonts w:eastAsiaTheme="minorEastAsia"/>
          <w:b/>
          <w:i/>
          <w:noProof/>
          <w:color w:val="365F91" w:themeColor="accent1" w:themeShade="BF"/>
          <w:sz w:val="20"/>
          <w:lang w:val="sr-Latn-RS" w:eastAsia="ja-JP"/>
        </w:rPr>
        <w:t>a</w:t>
      </w:r>
      <w:r>
        <w:rPr>
          <w:rFonts w:eastAsiaTheme="minorEastAsia"/>
          <w:b/>
          <w:i/>
          <w:noProof/>
          <w:color w:val="365F91" w:themeColor="accent1" w:themeShade="BF"/>
          <w:sz w:val="20"/>
          <w:lang w:val="sr-Cyrl-RS" w:eastAsia="ja-JP"/>
        </w:rPr>
        <w:t>сходи</w:t>
      </w:r>
    </w:p>
    <w:p w14:paraId="0A8FD337" w14:textId="77777777" w:rsidR="004E6E16" w:rsidRDefault="004E6E16" w:rsidP="004E6E16">
      <w:pPr>
        <w:pStyle w:val="NoSpacing"/>
        <w:spacing w:before="120" w:after="120" w:line="276" w:lineRule="auto"/>
        <w:ind w:firstLine="284"/>
        <w:jc w:val="both"/>
        <w:rPr>
          <w:rFonts w:cs="Tahoma"/>
          <w:noProof/>
          <w:sz w:val="20"/>
          <w:lang w:val="sr-Cyrl-RS"/>
        </w:rPr>
      </w:pPr>
      <w:r w:rsidRPr="00314796">
        <w:rPr>
          <w:rFonts w:cs="Tahoma"/>
          <w:noProof/>
          <w:sz w:val="20"/>
          <w:lang w:val="sr-Cyrl-RS"/>
        </w:rPr>
        <w:t>Пословн</w:t>
      </w:r>
      <w:r>
        <w:rPr>
          <w:rFonts w:cs="Tahoma"/>
          <w:noProof/>
          <w:sz w:val="20"/>
          <w:lang w:val="sr-Cyrl-RS"/>
        </w:rPr>
        <w:t>е</w:t>
      </w:r>
      <w:r w:rsidRPr="00314796">
        <w:rPr>
          <w:rFonts w:cs="Tahoma"/>
          <w:noProof/>
          <w:sz w:val="20"/>
          <w:lang w:val="sr-Cyrl-RS"/>
        </w:rPr>
        <w:t xml:space="preserve"> </w:t>
      </w:r>
      <w:r>
        <w:rPr>
          <w:rFonts w:cs="Tahoma"/>
          <w:noProof/>
          <w:sz w:val="20"/>
          <w:lang w:val="sr-Cyrl-RS"/>
        </w:rPr>
        <w:t>(</w:t>
      </w:r>
      <w:r w:rsidRPr="00314796">
        <w:rPr>
          <w:rFonts w:cs="Tahoma"/>
          <w:noProof/>
          <w:sz w:val="20"/>
          <w:lang w:val="sr-Cyrl-RS"/>
        </w:rPr>
        <w:t>фукнционалн</w:t>
      </w:r>
      <w:r>
        <w:rPr>
          <w:rFonts w:cs="Tahoma"/>
          <w:noProof/>
          <w:sz w:val="20"/>
          <w:lang w:val="sr-Cyrl-RS"/>
        </w:rPr>
        <w:t>е)</w:t>
      </w:r>
      <w:r w:rsidRPr="00314796">
        <w:rPr>
          <w:rFonts w:cs="Tahoma"/>
          <w:noProof/>
          <w:sz w:val="20"/>
          <w:lang w:val="sr-Cyrl-RS"/>
        </w:rPr>
        <w:t xml:space="preserve"> </w:t>
      </w:r>
      <w:r>
        <w:rPr>
          <w:rFonts w:cs="Tahoma"/>
          <w:noProof/>
          <w:sz w:val="20"/>
          <w:lang w:val="sr-Cyrl-RS"/>
        </w:rPr>
        <w:t>расходе представља резултат ликвидираних штета у самопридржају Друштва коригован за ефекте промене, односно повећања/смањења резервисаних штета у самопридржају и повећања/смањења дугорочних резервисања. У односу на остварење у претходној години они су мањи за 19%, док је у односу на план остварење пословних расхода веће за 26%.</w:t>
      </w:r>
    </w:p>
    <w:p w14:paraId="4AA6A9EA" w14:textId="77777777" w:rsidR="004E6E16" w:rsidRPr="00314796" w:rsidRDefault="004E6E16" w:rsidP="004E6E16">
      <w:pPr>
        <w:spacing w:before="120" w:after="120"/>
        <w:jc w:val="center"/>
        <w:rPr>
          <w:rFonts w:eastAsiaTheme="minorEastAsia"/>
          <w:b/>
          <w:i/>
          <w:noProof/>
          <w:color w:val="365F91" w:themeColor="accent1" w:themeShade="BF"/>
          <w:sz w:val="20"/>
          <w:lang w:val="sr-Cyrl-RS" w:eastAsia="ja-JP"/>
        </w:rPr>
      </w:pPr>
      <w:r>
        <w:rPr>
          <w:rFonts w:eastAsiaTheme="minorEastAsia"/>
          <w:b/>
          <w:i/>
          <w:noProof/>
          <w:color w:val="365F91" w:themeColor="accent1" w:themeShade="BF"/>
          <w:sz w:val="20"/>
          <w:lang w:val="sr-Cyrl-RS" w:eastAsia="ja-JP"/>
        </w:rPr>
        <w:t>Бруто резултат из пословне активности</w:t>
      </w:r>
    </w:p>
    <w:p w14:paraId="76D1540A" w14:textId="77777777" w:rsidR="004E6E16" w:rsidRDefault="004E6E16" w:rsidP="004E6E16">
      <w:pPr>
        <w:pStyle w:val="NoSpacing"/>
        <w:spacing w:before="120" w:after="120" w:line="276" w:lineRule="auto"/>
        <w:ind w:firstLine="284"/>
        <w:jc w:val="both"/>
        <w:rPr>
          <w:rFonts w:cs="Tahoma"/>
          <w:noProof/>
          <w:sz w:val="20"/>
          <w:lang w:val="sr-Cyrl-RS"/>
        </w:rPr>
      </w:pPr>
      <w:r>
        <w:rPr>
          <w:rFonts w:cs="Tahoma"/>
          <w:noProof/>
          <w:sz w:val="20"/>
          <w:lang w:val="sr-Cyrl-RS"/>
        </w:rPr>
        <w:t>У односу на остварење у претходној години б</w:t>
      </w:r>
      <w:r w:rsidRPr="00314796">
        <w:rPr>
          <w:rFonts w:cs="Tahoma"/>
          <w:noProof/>
          <w:sz w:val="20"/>
          <w:lang w:val="sr-Cyrl-RS"/>
        </w:rPr>
        <w:t>руто резултат из пословне активности</w:t>
      </w:r>
      <w:r>
        <w:rPr>
          <w:rFonts w:cs="Tahoma"/>
          <w:noProof/>
          <w:sz w:val="20"/>
          <w:lang w:val="sr-Cyrl-RS"/>
        </w:rPr>
        <w:t xml:space="preserve"> је мањи за 60%, док је у односу на план остварење мање за 74%.</w:t>
      </w:r>
    </w:p>
    <w:p w14:paraId="57920243" w14:textId="77777777" w:rsidR="004E6E16" w:rsidRDefault="004E6E16" w:rsidP="004E6E16">
      <w:pPr>
        <w:spacing w:before="120" w:after="120"/>
        <w:jc w:val="center"/>
        <w:rPr>
          <w:rFonts w:eastAsiaTheme="minorEastAsia"/>
          <w:b/>
          <w:i/>
          <w:noProof/>
          <w:color w:val="365F91" w:themeColor="accent1" w:themeShade="BF"/>
          <w:sz w:val="20"/>
          <w:lang w:val="sr-Cyrl-RS" w:eastAsia="ja-JP"/>
        </w:rPr>
      </w:pPr>
      <w:r>
        <w:rPr>
          <w:rFonts w:eastAsiaTheme="minorEastAsia"/>
          <w:b/>
          <w:i/>
          <w:noProof/>
          <w:color w:val="365F91" w:themeColor="accent1" w:themeShade="BF"/>
          <w:sz w:val="20"/>
          <w:lang w:val="sr-Cyrl-RS" w:eastAsia="ja-JP"/>
        </w:rPr>
        <w:t>Нето резултат из пословне активности</w:t>
      </w:r>
    </w:p>
    <w:p w14:paraId="176D9D22" w14:textId="77777777" w:rsidR="004E6E16" w:rsidRDefault="004E6E16" w:rsidP="00D50EE5">
      <w:pPr>
        <w:spacing w:before="80" w:after="80"/>
        <w:jc w:val="both"/>
        <w:rPr>
          <w:rFonts w:cs="Tahoma"/>
          <w:noProof/>
          <w:sz w:val="20"/>
          <w:lang w:val="sr-Cyrl-RS"/>
        </w:rPr>
      </w:pPr>
      <w:r w:rsidRPr="00763DFD">
        <w:rPr>
          <w:rFonts w:cs="Tahoma"/>
          <w:noProof/>
          <w:sz w:val="20"/>
          <w:lang w:val="sr-Cyrl-RS"/>
        </w:rPr>
        <w:t xml:space="preserve">   Нето</w:t>
      </w:r>
      <w:r>
        <w:rPr>
          <w:rFonts w:eastAsiaTheme="minorEastAsia"/>
          <w:noProof/>
          <w:color w:val="365F91" w:themeColor="accent1" w:themeShade="BF"/>
          <w:sz w:val="20"/>
          <w:lang w:val="sr-Cyrl-RS" w:eastAsia="ja-JP"/>
        </w:rPr>
        <w:t xml:space="preserve"> </w:t>
      </w:r>
      <w:r>
        <w:rPr>
          <w:rFonts w:cs="Tahoma"/>
          <w:noProof/>
          <w:sz w:val="20"/>
          <w:lang w:val="sr-Cyrl-RS"/>
        </w:rPr>
        <w:t xml:space="preserve">резултат из пословних активности представља збрир резултата остварених прихода од премије у самопридржају који се односе на обрачунски период од 01.01. до 31.12.2014. године; резултата ликвидације и промене у резервацијама штета и дугорочним резервисањима и </w:t>
      </w:r>
      <w:r w:rsidRPr="00763DFD">
        <w:rPr>
          <w:rFonts w:cs="Tahoma"/>
          <w:noProof/>
          <w:sz w:val="20"/>
          <w:lang w:val="sr-Cyrl-RS"/>
        </w:rPr>
        <w:t>резултат</w:t>
      </w:r>
      <w:r>
        <w:rPr>
          <w:rFonts w:cs="Tahoma"/>
          <w:noProof/>
          <w:sz w:val="20"/>
          <w:lang w:val="sr-Cyrl-RS"/>
        </w:rPr>
        <w:t>а од инвестирања у истом периоду, умањен за трошкове спровођења реосигурања.</w:t>
      </w:r>
    </w:p>
    <w:p w14:paraId="6331DE31" w14:textId="77777777" w:rsidR="004E6E16" w:rsidRDefault="004E6E16" w:rsidP="00D50EE5">
      <w:pPr>
        <w:spacing w:before="80" w:after="80"/>
        <w:jc w:val="both"/>
        <w:rPr>
          <w:rFonts w:cs="Tahoma"/>
          <w:noProof/>
          <w:sz w:val="20"/>
          <w:lang w:val="sr-Cyrl-RS"/>
        </w:rPr>
      </w:pPr>
      <w:r>
        <w:rPr>
          <w:rFonts w:cs="Tahoma"/>
          <w:noProof/>
          <w:sz w:val="20"/>
          <w:lang w:val="sr-Cyrl-RS"/>
        </w:rPr>
        <w:t xml:space="preserve">    У 2014. години остварен је губитак из нето пословне активности у износу од 189.556 хиљада динара и он је 4,33 пута већи од губитка оствареног у претходној години и значајно испод планираних вредности. По свим исказаним категоријама реализација је значајно испод остварења претходне године и планираних вредности.</w:t>
      </w:r>
    </w:p>
    <w:p w14:paraId="0B25EA86" w14:textId="77777777" w:rsidR="004E6E16" w:rsidRPr="00314796" w:rsidRDefault="004E6E16" w:rsidP="004E6E16">
      <w:pPr>
        <w:spacing w:before="120" w:after="120"/>
        <w:jc w:val="center"/>
        <w:rPr>
          <w:rFonts w:eastAsiaTheme="minorEastAsia"/>
          <w:b/>
          <w:i/>
          <w:noProof/>
          <w:color w:val="365F91" w:themeColor="accent1" w:themeShade="BF"/>
          <w:sz w:val="20"/>
          <w:lang w:val="sr-Cyrl-RS" w:eastAsia="ja-JP"/>
        </w:rPr>
      </w:pPr>
      <w:r w:rsidRPr="00547C31">
        <w:rPr>
          <w:rFonts w:eastAsiaTheme="minorEastAsia"/>
          <w:b/>
          <w:i/>
          <w:noProof/>
          <w:color w:val="365F91" w:themeColor="accent1" w:themeShade="BF"/>
          <w:sz w:val="20"/>
          <w:lang w:val="sr-Cyrl-RS" w:eastAsia="ja-JP"/>
        </w:rPr>
        <w:t xml:space="preserve">Финансијски резултат </w:t>
      </w:r>
    </w:p>
    <w:p w14:paraId="48A2DFA9" w14:textId="77777777" w:rsidR="004E6E16" w:rsidRDefault="004E6E16" w:rsidP="004E6E16">
      <w:pPr>
        <w:pStyle w:val="NoSpacing"/>
        <w:spacing w:before="120" w:after="120" w:line="276" w:lineRule="auto"/>
        <w:ind w:firstLine="284"/>
        <w:jc w:val="both"/>
        <w:rPr>
          <w:rFonts w:cs="Tahoma"/>
          <w:noProof/>
          <w:sz w:val="20"/>
          <w:lang w:val="sr-Cyrl-RS"/>
        </w:rPr>
      </w:pPr>
      <w:r>
        <w:rPr>
          <w:rFonts w:cs="Tahoma"/>
          <w:noProof/>
          <w:sz w:val="20"/>
          <w:lang w:val="sr-Cyrl-RS"/>
        </w:rPr>
        <w:t>У односу на остварење у претходној години финансијски резултат је мањи за 1,66 пута, док је у односу на план остварење мање за 1,26 пута. Финансијски резултат представља разлику између позитивних и негативних курсних разлика на потраживањима и обавезама из пословне делатности.</w:t>
      </w:r>
    </w:p>
    <w:p w14:paraId="2B6B2D17" w14:textId="77777777" w:rsidR="004E6E16" w:rsidRPr="00314796" w:rsidRDefault="004E6E16" w:rsidP="004E6E16">
      <w:pPr>
        <w:spacing w:before="120" w:after="120"/>
        <w:jc w:val="center"/>
        <w:rPr>
          <w:rFonts w:eastAsiaTheme="minorEastAsia"/>
          <w:b/>
          <w:i/>
          <w:noProof/>
          <w:color w:val="365F91" w:themeColor="accent1" w:themeShade="BF"/>
          <w:sz w:val="20"/>
          <w:lang w:val="sr-Cyrl-RS" w:eastAsia="ja-JP"/>
        </w:rPr>
      </w:pPr>
      <w:r w:rsidRPr="00B02089">
        <w:rPr>
          <w:rFonts w:eastAsiaTheme="minorEastAsia"/>
          <w:b/>
          <w:i/>
          <w:noProof/>
          <w:color w:val="365F91" w:themeColor="accent1" w:themeShade="BF"/>
          <w:sz w:val="20"/>
          <w:lang w:val="sr-Cyrl-RS" w:eastAsia="ja-JP"/>
        </w:rPr>
        <w:t>Резултат од усклађивања вредности имовине</w:t>
      </w:r>
      <w:r w:rsidRPr="00547C31">
        <w:rPr>
          <w:rFonts w:eastAsiaTheme="minorEastAsia"/>
          <w:b/>
          <w:i/>
          <w:noProof/>
          <w:color w:val="365F91" w:themeColor="accent1" w:themeShade="BF"/>
          <w:sz w:val="20"/>
          <w:lang w:val="sr-Cyrl-RS" w:eastAsia="ja-JP"/>
        </w:rPr>
        <w:t xml:space="preserve"> </w:t>
      </w:r>
    </w:p>
    <w:p w14:paraId="49AD84E6" w14:textId="77777777" w:rsidR="004E6E16" w:rsidRDefault="004E6E16" w:rsidP="00D50EE5">
      <w:pPr>
        <w:pStyle w:val="NoSpacing"/>
        <w:spacing w:before="80" w:after="80" w:line="276" w:lineRule="auto"/>
        <w:ind w:firstLine="284"/>
        <w:jc w:val="both"/>
        <w:rPr>
          <w:rFonts w:cs="Tahoma"/>
          <w:noProof/>
          <w:sz w:val="20"/>
          <w:lang w:val="sr-Latn-RS"/>
        </w:rPr>
      </w:pPr>
      <w:r>
        <w:rPr>
          <w:rFonts w:cs="Tahoma"/>
          <w:noProof/>
          <w:sz w:val="20"/>
          <w:lang w:val="sr-Cyrl-RS"/>
        </w:rPr>
        <w:t>У односу на остварење у претходној години р</w:t>
      </w:r>
      <w:r w:rsidRPr="00B02089">
        <w:rPr>
          <w:rFonts w:cs="Tahoma"/>
          <w:noProof/>
          <w:sz w:val="20"/>
          <w:lang w:val="sr-Cyrl-RS"/>
        </w:rPr>
        <w:t xml:space="preserve">езултат од усклађивања вредности имовине </w:t>
      </w:r>
      <w:r>
        <w:rPr>
          <w:rFonts w:cs="Tahoma"/>
          <w:noProof/>
          <w:sz w:val="20"/>
          <w:lang w:val="sr-Cyrl-RS"/>
        </w:rPr>
        <w:t>је значајно побољшан и већи је за 1,91 пута, док је у односу на план остварење веће за 30%.</w:t>
      </w:r>
      <w:r>
        <w:rPr>
          <w:rFonts w:cs="Tahoma"/>
          <w:noProof/>
          <w:sz w:val="20"/>
          <w:lang w:val="sr-Latn-RS"/>
        </w:rPr>
        <w:t xml:space="preserve"> </w:t>
      </w:r>
    </w:p>
    <w:p w14:paraId="20D05894" w14:textId="77777777" w:rsidR="004E6E16" w:rsidRPr="002B235A" w:rsidRDefault="004E6E16" w:rsidP="00D50EE5">
      <w:pPr>
        <w:pStyle w:val="NoSpacing"/>
        <w:spacing w:before="80" w:after="80"/>
        <w:ind w:firstLine="284"/>
        <w:jc w:val="both"/>
        <w:rPr>
          <w:rFonts w:cs="Tahoma"/>
          <w:noProof/>
          <w:sz w:val="20"/>
          <w:lang w:val="sr-Cyrl-RS"/>
        </w:rPr>
      </w:pPr>
      <w:r w:rsidRPr="002B235A">
        <w:rPr>
          <w:rFonts w:cs="Tahoma"/>
          <w:noProof/>
          <w:sz w:val="20"/>
          <w:lang w:val="sr-Cyrl-RS"/>
        </w:rPr>
        <w:t xml:space="preserve">У структури прихода од усклађивања вредности имовине највећи удео 99,88% односи се на приходе од наплаћених отписаних потраживања. </w:t>
      </w:r>
      <w:r>
        <w:rPr>
          <w:rFonts w:cs="Tahoma"/>
          <w:noProof/>
          <w:sz w:val="20"/>
          <w:lang w:val="sr-Cyrl-RS"/>
        </w:rPr>
        <w:t>Од укупно исправљених потраживања наплаћено је 80%.</w:t>
      </w:r>
    </w:p>
    <w:p w14:paraId="73E2E441" w14:textId="77777777" w:rsidR="004E6E16" w:rsidRDefault="004E6E16" w:rsidP="00D50EE5">
      <w:pPr>
        <w:pStyle w:val="NoSpacing"/>
        <w:spacing w:before="80" w:after="80" w:line="276" w:lineRule="auto"/>
        <w:ind w:firstLine="284"/>
        <w:jc w:val="both"/>
        <w:rPr>
          <w:rFonts w:cs="Tahoma"/>
          <w:noProof/>
          <w:sz w:val="20"/>
          <w:lang w:val="sr-Cyrl-RS"/>
        </w:rPr>
      </w:pPr>
      <w:r w:rsidRPr="002B235A">
        <w:rPr>
          <w:rFonts w:cs="Tahoma"/>
          <w:noProof/>
          <w:sz w:val="20"/>
          <w:lang w:val="sr-Cyrl-RS"/>
        </w:rPr>
        <w:t xml:space="preserve">Расходи по основу обезвређивања имовине су остварени у износу од </w:t>
      </w:r>
      <w:r w:rsidRPr="00BE5CEF">
        <w:rPr>
          <w:rFonts w:cs="Tahoma"/>
          <w:noProof/>
          <w:sz w:val="20"/>
          <w:lang w:val="sr-Cyrl-RS"/>
        </w:rPr>
        <w:t xml:space="preserve">81.737 </w:t>
      </w:r>
      <w:r w:rsidRPr="002B235A">
        <w:rPr>
          <w:rFonts w:cs="Tahoma"/>
          <w:noProof/>
          <w:sz w:val="20"/>
          <w:lang w:val="sr-Cyrl-RS"/>
        </w:rPr>
        <w:t xml:space="preserve">хиљада динара и мањи су у односу на претходну годину за  </w:t>
      </w:r>
      <w:r>
        <w:rPr>
          <w:rFonts w:cs="Tahoma"/>
          <w:noProof/>
          <w:sz w:val="20"/>
          <w:lang w:val="sr-Cyrl-RS"/>
        </w:rPr>
        <w:t>78,18%</w:t>
      </w:r>
      <w:r w:rsidRPr="002B235A">
        <w:rPr>
          <w:rFonts w:cs="Tahoma"/>
          <w:noProof/>
          <w:sz w:val="20"/>
          <w:lang w:val="sr-Cyrl-RS"/>
        </w:rPr>
        <w:t xml:space="preserve">, а у односу на планиране вредности мањи  за </w:t>
      </w:r>
      <w:r>
        <w:rPr>
          <w:rFonts w:cs="Tahoma"/>
          <w:noProof/>
          <w:sz w:val="20"/>
          <w:lang w:val="sr-Cyrl-RS"/>
        </w:rPr>
        <w:t xml:space="preserve">43,18%. У претходним годинама највећи утицај на ове расходе је имала исправка вредности потраживања од повезаних лица. Просечна доцња је била око 120 дана. У четвртом кварталу 2014. године, забележено је значајно побољшање у наплати потраживања од повезаних лица, тако </w:t>
      </w:r>
      <w:r>
        <w:rPr>
          <w:rFonts w:cs="Tahoma"/>
          <w:noProof/>
          <w:sz w:val="20"/>
          <w:lang w:val="sr-Cyrl-RS"/>
        </w:rPr>
        <w:lastRenderedPageBreak/>
        <w:t>да је на дан обрачуна доцња код Компаније Дунав осигурање била до 30 дана, а код Дунав осигурање Бања Лука до 60 дана. Потраживања су у складу са интерним актима била исправњена са 0 и 5%.</w:t>
      </w:r>
    </w:p>
    <w:p w14:paraId="625B7E2F" w14:textId="77777777" w:rsidR="004E6E16" w:rsidRPr="004E6E16" w:rsidRDefault="004E6E16" w:rsidP="004E6E16">
      <w:pPr>
        <w:spacing w:before="120" w:after="120"/>
        <w:jc w:val="center"/>
        <w:rPr>
          <w:rFonts w:eastAsiaTheme="minorEastAsia"/>
          <w:b/>
          <w:i/>
          <w:noProof/>
          <w:color w:val="365F91" w:themeColor="accent1" w:themeShade="BF"/>
          <w:sz w:val="20"/>
          <w:lang w:val="sr-Cyrl-RS" w:eastAsia="ja-JP"/>
        </w:rPr>
      </w:pPr>
      <w:r w:rsidRPr="004E6E16">
        <w:rPr>
          <w:rFonts w:eastAsiaTheme="minorEastAsia"/>
          <w:b/>
          <w:i/>
          <w:noProof/>
          <w:color w:val="365F91" w:themeColor="accent1" w:themeShade="BF"/>
          <w:sz w:val="20"/>
          <w:lang w:val="sr-Cyrl-RS" w:eastAsia="ja-JP"/>
        </w:rPr>
        <w:t>Трошкови пословања</w:t>
      </w:r>
    </w:p>
    <w:p w14:paraId="6B04B28E" w14:textId="77777777" w:rsidR="004E6E16" w:rsidRDefault="004E6E16" w:rsidP="004E6E16">
      <w:pPr>
        <w:jc w:val="both"/>
        <w:rPr>
          <w:rFonts w:eastAsiaTheme="minorEastAsia" w:cs="Tahoma"/>
          <w:noProof/>
          <w:sz w:val="20"/>
          <w:lang w:val="sr-Cyrl-RS" w:eastAsia="ja-JP"/>
        </w:rPr>
      </w:pPr>
      <w:r>
        <w:rPr>
          <w:rFonts w:eastAsiaTheme="minorEastAsia" w:cs="Tahoma"/>
          <w:noProof/>
          <w:sz w:val="20"/>
          <w:lang w:val="sr-Cyrl-RS" w:eastAsia="ja-JP"/>
        </w:rPr>
        <w:t xml:space="preserve">    </w:t>
      </w:r>
      <w:r w:rsidRPr="00702534">
        <w:rPr>
          <w:rFonts w:eastAsiaTheme="minorEastAsia" w:cs="Tahoma"/>
          <w:noProof/>
          <w:sz w:val="20"/>
          <w:lang w:val="sr-Cyrl-RS" w:eastAsia="ja-JP"/>
        </w:rPr>
        <w:t>Крајем 2014. године, Народна банка Србије је донела Одлуку о изменама контног оквира и обрасцима финансијских извештаја  за финансијске инстуције</w:t>
      </w:r>
      <w:r>
        <w:rPr>
          <w:lang w:val="sr-Cyrl-RS" w:eastAsia="ar-SA"/>
        </w:rPr>
        <w:t xml:space="preserve">. </w:t>
      </w:r>
      <w:r w:rsidRPr="00CA342D">
        <w:rPr>
          <w:rFonts w:eastAsiaTheme="minorEastAsia" w:cs="Tahoma"/>
          <w:noProof/>
          <w:sz w:val="20"/>
          <w:lang w:val="sr-Cyrl-RS" w:eastAsia="ja-JP"/>
        </w:rPr>
        <w:t xml:space="preserve">Наведеном </w:t>
      </w:r>
      <w:r w:rsidRPr="00702534">
        <w:rPr>
          <w:rFonts w:eastAsiaTheme="minorEastAsia" w:cs="Tahoma"/>
          <w:noProof/>
          <w:sz w:val="20"/>
          <w:lang w:val="sr-Cyrl-RS" w:eastAsia="ja-JP"/>
        </w:rPr>
        <w:t>Одлуком је промењено евидентирање провизија реосигурања. Наиме трошкови провизије се евидентирају у оквиру групе 54 односно за износ обрачунате провизије се повећавају трошкови спровођења реосигурања, а за износ примљене провизије се умањују .</w:t>
      </w:r>
    </w:p>
    <w:p w14:paraId="2E42D77D" w14:textId="77777777" w:rsidR="004E6E16" w:rsidRDefault="004E6E16" w:rsidP="004E6E16">
      <w:pPr>
        <w:jc w:val="both"/>
        <w:rPr>
          <w:rFonts w:eastAsiaTheme="minorEastAsia" w:cs="Tahoma"/>
          <w:noProof/>
          <w:sz w:val="20"/>
          <w:lang w:val="sr-Cyrl-RS" w:eastAsia="ja-JP"/>
        </w:rPr>
      </w:pPr>
      <w:r>
        <w:rPr>
          <w:rFonts w:eastAsiaTheme="minorEastAsia" w:cs="Tahoma"/>
          <w:noProof/>
          <w:sz w:val="20"/>
          <w:lang w:val="sr-Cyrl-RS" w:eastAsia="ja-JP"/>
        </w:rPr>
        <w:t xml:space="preserve">    Трошкови пословања обухватају трошкове спровођења реосигурања, трошкове извиђаја и процене и трошкове депоновања и улагања.</w:t>
      </w:r>
    </w:p>
    <w:p w14:paraId="5551B172" w14:textId="77777777" w:rsidR="004E6E16" w:rsidRDefault="004E6E16" w:rsidP="004E6E16">
      <w:pPr>
        <w:spacing w:before="200"/>
        <w:jc w:val="both"/>
        <w:rPr>
          <w:rFonts w:eastAsiaTheme="minorEastAsia" w:cs="Tahoma"/>
          <w:noProof/>
          <w:sz w:val="20"/>
          <w:lang w:val="sr-Cyrl-CS" w:eastAsia="ja-JP"/>
        </w:rPr>
      </w:pPr>
      <w:r w:rsidRPr="00BF3CDE">
        <w:rPr>
          <w:rFonts w:eastAsiaTheme="minorEastAsia" w:cs="Tahoma"/>
          <w:noProof/>
          <w:sz w:val="20"/>
          <w:lang w:val="sr-Cyrl-CS" w:eastAsia="ja-JP"/>
        </w:rPr>
        <w:t xml:space="preserve">    Трошкови пословања обухватају трошкове спровођења реосигурања, трошкове извиђаја и процене и трошкове депоновања и улагања.</w:t>
      </w:r>
    </w:p>
    <w:p w14:paraId="28274B98" w14:textId="70EBB6C3" w:rsidR="00B44D29" w:rsidRPr="00BF3CDE" w:rsidRDefault="00B44D29" w:rsidP="00B44D29">
      <w:pPr>
        <w:spacing w:before="240" w:after="120"/>
        <w:jc w:val="center"/>
        <w:rPr>
          <w:b/>
          <w:i/>
          <w:noProof/>
          <w:color w:val="4F81BD" w:themeColor="accent1"/>
          <w:sz w:val="20"/>
          <w:szCs w:val="20"/>
          <w:lang w:val="sr-Cyrl-CS" w:eastAsia="ar-SA"/>
        </w:rPr>
      </w:pPr>
      <w:r w:rsidRPr="00BF3CDE">
        <w:rPr>
          <w:b/>
          <w:i/>
          <w:noProof/>
          <w:color w:val="4F81BD" w:themeColor="accent1"/>
          <w:sz w:val="20"/>
          <w:szCs w:val="20"/>
          <w:lang w:val="sr-Cyrl-CS" w:eastAsia="ar-SA"/>
        </w:rPr>
        <w:t xml:space="preserve">Преглед </w:t>
      </w:r>
      <w:r>
        <w:rPr>
          <w:b/>
          <w:i/>
          <w:noProof/>
          <w:color w:val="4F81BD" w:themeColor="accent1"/>
          <w:sz w:val="20"/>
          <w:szCs w:val="20"/>
          <w:lang w:val="sr-Cyrl-CS" w:eastAsia="ar-SA"/>
        </w:rPr>
        <w:t xml:space="preserve">поделе укупних </w:t>
      </w:r>
      <w:r w:rsidRPr="00BF3CDE">
        <w:rPr>
          <w:b/>
          <w:i/>
          <w:noProof/>
          <w:color w:val="4F81BD" w:themeColor="accent1"/>
          <w:sz w:val="20"/>
          <w:szCs w:val="20"/>
          <w:lang w:val="sr-Cyrl-CS" w:eastAsia="ar-SA"/>
        </w:rPr>
        <w:t xml:space="preserve">трошкова </w:t>
      </w:r>
      <w:r>
        <w:rPr>
          <w:b/>
          <w:i/>
          <w:noProof/>
          <w:color w:val="4F81BD" w:themeColor="accent1"/>
          <w:sz w:val="20"/>
          <w:szCs w:val="20"/>
          <w:lang w:val="sr-Cyrl-CS" w:eastAsia="ar-SA"/>
        </w:rPr>
        <w:t>по носиоцима</w:t>
      </w:r>
      <w:r w:rsidR="001B338A">
        <w:rPr>
          <w:b/>
          <w:i/>
          <w:noProof/>
          <w:color w:val="4F81BD" w:themeColor="accent1"/>
          <w:sz w:val="20"/>
          <w:szCs w:val="20"/>
          <w:lang w:val="sr-Cyrl-CS" w:eastAsia="ar-SA"/>
        </w:rPr>
        <w:t xml:space="preserve"> у 000 РСД</w:t>
      </w:r>
    </w:p>
    <w:tbl>
      <w:tblPr>
        <w:tblW w:w="7637" w:type="dxa"/>
        <w:jc w:val="center"/>
        <w:tblInd w:w="93" w:type="dxa"/>
        <w:tblLook w:val="04A0" w:firstRow="1" w:lastRow="0" w:firstColumn="1" w:lastColumn="0" w:noHBand="0" w:noVBand="1"/>
      </w:tblPr>
      <w:tblGrid>
        <w:gridCol w:w="5737"/>
        <w:gridCol w:w="1900"/>
      </w:tblGrid>
      <w:tr w:rsidR="001B338A" w:rsidRPr="001B338A" w14:paraId="00050D6F" w14:textId="77777777" w:rsidTr="001B338A">
        <w:trPr>
          <w:trHeight w:val="300"/>
          <w:jc w:val="center"/>
        </w:trPr>
        <w:tc>
          <w:tcPr>
            <w:tcW w:w="5737" w:type="dxa"/>
            <w:tcBorders>
              <w:top w:val="single" w:sz="4" w:space="0" w:color="4F81BD" w:themeColor="accent1"/>
              <w:left w:val="nil"/>
              <w:bottom w:val="single" w:sz="4" w:space="0" w:color="4F81BD" w:themeColor="accent1"/>
              <w:right w:val="nil"/>
            </w:tcBorders>
            <w:shd w:val="clear" w:color="auto" w:fill="auto"/>
            <w:noWrap/>
            <w:vAlign w:val="center"/>
            <w:hideMark/>
          </w:tcPr>
          <w:p w14:paraId="72DBD42C" w14:textId="77777777" w:rsidR="001B338A" w:rsidRPr="001B338A" w:rsidRDefault="001B338A" w:rsidP="001B338A">
            <w:pPr>
              <w:spacing w:after="0" w:line="240" w:lineRule="auto"/>
              <w:jc w:val="center"/>
              <w:rPr>
                <w:rFonts w:ascii="Calibri" w:eastAsia="Times New Roman" w:hAnsi="Calibri" w:cs="Calibri"/>
                <w:color w:val="000000"/>
                <w:lang w:val="sr-Latn-RS" w:eastAsia="sr-Latn-RS"/>
              </w:rPr>
            </w:pPr>
          </w:p>
        </w:tc>
        <w:tc>
          <w:tcPr>
            <w:tcW w:w="1900" w:type="dxa"/>
            <w:tcBorders>
              <w:top w:val="single" w:sz="4" w:space="0" w:color="4F81BD" w:themeColor="accent1"/>
              <w:left w:val="nil"/>
              <w:bottom w:val="single" w:sz="4" w:space="0" w:color="4F81BD" w:themeColor="accent1"/>
              <w:right w:val="nil"/>
            </w:tcBorders>
            <w:shd w:val="clear" w:color="auto" w:fill="auto"/>
            <w:noWrap/>
            <w:vAlign w:val="center"/>
            <w:hideMark/>
          </w:tcPr>
          <w:p w14:paraId="76679D28" w14:textId="77777777" w:rsidR="001B338A" w:rsidRPr="001B338A" w:rsidRDefault="001B338A" w:rsidP="001B338A">
            <w:pPr>
              <w:spacing w:after="0" w:line="240" w:lineRule="auto"/>
              <w:jc w:val="center"/>
              <w:rPr>
                <w:rFonts w:ascii="Calibri" w:eastAsia="Times New Roman" w:hAnsi="Calibri" w:cs="Calibri"/>
                <w:b/>
                <w:color w:val="000000"/>
                <w:lang w:val="sr-Latn-RS" w:eastAsia="sr-Latn-RS"/>
              </w:rPr>
            </w:pPr>
            <w:r w:rsidRPr="001B338A">
              <w:rPr>
                <w:rFonts w:ascii="Calibri" w:eastAsia="Times New Roman" w:hAnsi="Calibri" w:cs="Calibri"/>
                <w:b/>
                <w:color w:val="000000"/>
                <w:lang w:val="sr-Latn-RS" w:eastAsia="sr-Latn-RS"/>
              </w:rPr>
              <w:t>остварење 2014</w:t>
            </w:r>
          </w:p>
        </w:tc>
      </w:tr>
      <w:tr w:rsidR="001B338A" w:rsidRPr="001B338A" w14:paraId="5D33896F" w14:textId="77777777" w:rsidTr="001B338A">
        <w:trPr>
          <w:trHeight w:val="300"/>
          <w:jc w:val="center"/>
        </w:trPr>
        <w:tc>
          <w:tcPr>
            <w:tcW w:w="5737" w:type="dxa"/>
            <w:tcBorders>
              <w:top w:val="single" w:sz="4" w:space="0" w:color="4F81BD" w:themeColor="accent1"/>
              <w:left w:val="nil"/>
              <w:bottom w:val="single" w:sz="4" w:space="0" w:color="BFBFBF" w:themeColor="background1" w:themeShade="BF"/>
              <w:right w:val="nil"/>
            </w:tcBorders>
            <w:shd w:val="clear" w:color="auto" w:fill="DBE5F1" w:themeFill="accent1" w:themeFillTint="33"/>
            <w:noWrap/>
            <w:vAlign w:val="center"/>
            <w:hideMark/>
          </w:tcPr>
          <w:p w14:paraId="5CE0FF37" w14:textId="77777777" w:rsidR="001B338A" w:rsidRPr="001B338A" w:rsidRDefault="001B338A" w:rsidP="001B338A">
            <w:pPr>
              <w:spacing w:after="0" w:line="240" w:lineRule="auto"/>
              <w:rPr>
                <w:rFonts w:ascii="Verdana" w:eastAsia="Times New Roman" w:hAnsi="Verdana" w:cs="Calibri"/>
                <w:color w:val="000000"/>
                <w:sz w:val="20"/>
                <w:szCs w:val="20"/>
                <w:lang w:val="sr-Latn-RS" w:eastAsia="sr-Latn-RS"/>
              </w:rPr>
            </w:pPr>
            <w:r w:rsidRPr="001B338A">
              <w:rPr>
                <w:rFonts w:ascii="Verdana" w:eastAsia="Times New Roman" w:hAnsi="Verdana" w:cs="Calibri"/>
                <w:color w:val="000000"/>
                <w:sz w:val="20"/>
                <w:szCs w:val="20"/>
                <w:lang w:val="sr-Latn-RS" w:eastAsia="sr-Latn-RS"/>
              </w:rPr>
              <w:t>Трошкови прибаве</w:t>
            </w:r>
          </w:p>
        </w:tc>
        <w:tc>
          <w:tcPr>
            <w:tcW w:w="1900" w:type="dxa"/>
            <w:tcBorders>
              <w:top w:val="single" w:sz="4" w:space="0" w:color="4F81BD" w:themeColor="accent1"/>
              <w:left w:val="nil"/>
              <w:bottom w:val="single" w:sz="4" w:space="0" w:color="BFBFBF" w:themeColor="background1" w:themeShade="BF"/>
              <w:right w:val="nil"/>
            </w:tcBorders>
            <w:shd w:val="clear" w:color="auto" w:fill="DBE5F1" w:themeFill="accent1" w:themeFillTint="33"/>
            <w:noWrap/>
            <w:vAlign w:val="center"/>
            <w:hideMark/>
          </w:tcPr>
          <w:p w14:paraId="3EABBB0C" w14:textId="77777777" w:rsidR="001B338A" w:rsidRPr="001B338A" w:rsidRDefault="001B338A" w:rsidP="001B338A">
            <w:pPr>
              <w:spacing w:after="0" w:line="240" w:lineRule="auto"/>
              <w:jc w:val="right"/>
              <w:rPr>
                <w:rFonts w:ascii="Verdana" w:eastAsia="Times New Roman" w:hAnsi="Verdana" w:cs="Calibri"/>
                <w:color w:val="000000"/>
                <w:sz w:val="20"/>
                <w:szCs w:val="20"/>
                <w:lang w:val="sr-Latn-RS" w:eastAsia="sr-Latn-RS"/>
              </w:rPr>
            </w:pPr>
            <w:r w:rsidRPr="001B338A">
              <w:rPr>
                <w:rFonts w:ascii="Verdana" w:eastAsia="Times New Roman" w:hAnsi="Verdana" w:cs="Calibri"/>
                <w:color w:val="000000"/>
                <w:sz w:val="20"/>
                <w:szCs w:val="20"/>
                <w:lang w:val="sr-Latn-RS" w:eastAsia="sr-Latn-RS"/>
              </w:rPr>
              <w:t>317,047</w:t>
            </w:r>
          </w:p>
        </w:tc>
      </w:tr>
      <w:tr w:rsidR="001B338A" w:rsidRPr="001B338A" w14:paraId="4BFACDC3" w14:textId="77777777" w:rsidTr="001B338A">
        <w:trPr>
          <w:trHeight w:val="300"/>
          <w:jc w:val="center"/>
        </w:trPr>
        <w:tc>
          <w:tcPr>
            <w:tcW w:w="5737" w:type="dxa"/>
            <w:tcBorders>
              <w:top w:val="single" w:sz="4" w:space="0" w:color="BFBFBF" w:themeColor="background1" w:themeShade="BF"/>
              <w:left w:val="nil"/>
              <w:right w:val="nil"/>
            </w:tcBorders>
            <w:shd w:val="clear" w:color="auto" w:fill="auto"/>
            <w:noWrap/>
            <w:vAlign w:val="center"/>
            <w:hideMark/>
          </w:tcPr>
          <w:p w14:paraId="1D2C4B81" w14:textId="77777777" w:rsidR="001B338A" w:rsidRPr="001B338A" w:rsidRDefault="001B338A" w:rsidP="001B338A">
            <w:pPr>
              <w:spacing w:after="0" w:line="240" w:lineRule="auto"/>
              <w:rPr>
                <w:rFonts w:ascii="Verdana" w:eastAsia="Times New Roman" w:hAnsi="Verdana" w:cs="Calibri"/>
                <w:i/>
                <w:iCs/>
                <w:color w:val="000000"/>
                <w:sz w:val="20"/>
                <w:szCs w:val="20"/>
                <w:lang w:val="sr-Latn-RS" w:eastAsia="sr-Latn-RS"/>
              </w:rPr>
            </w:pPr>
            <w:r w:rsidRPr="001B338A">
              <w:rPr>
                <w:rFonts w:ascii="Verdana" w:eastAsia="Times New Roman" w:hAnsi="Verdana" w:cs="Calibri"/>
                <w:i/>
                <w:iCs/>
                <w:color w:val="000000"/>
                <w:sz w:val="20"/>
                <w:szCs w:val="20"/>
                <w:lang w:val="sr-Latn-RS" w:eastAsia="sr-Latn-RS"/>
              </w:rPr>
              <w:t>Трошкови провизије реосигурања</w:t>
            </w:r>
          </w:p>
        </w:tc>
        <w:tc>
          <w:tcPr>
            <w:tcW w:w="1900" w:type="dxa"/>
            <w:tcBorders>
              <w:top w:val="single" w:sz="4" w:space="0" w:color="BFBFBF" w:themeColor="background1" w:themeShade="BF"/>
              <w:left w:val="nil"/>
              <w:right w:val="nil"/>
            </w:tcBorders>
            <w:shd w:val="clear" w:color="auto" w:fill="auto"/>
            <w:noWrap/>
            <w:vAlign w:val="center"/>
            <w:hideMark/>
          </w:tcPr>
          <w:p w14:paraId="47596815" w14:textId="77777777" w:rsidR="001B338A" w:rsidRPr="001B338A" w:rsidRDefault="001B338A" w:rsidP="001B338A">
            <w:pPr>
              <w:spacing w:after="0" w:line="240" w:lineRule="auto"/>
              <w:jc w:val="right"/>
              <w:rPr>
                <w:rFonts w:ascii="Verdana" w:eastAsia="Times New Roman" w:hAnsi="Verdana" w:cs="Calibri"/>
                <w:i/>
                <w:iCs/>
                <w:color w:val="000000"/>
                <w:sz w:val="20"/>
                <w:szCs w:val="20"/>
                <w:lang w:val="sr-Latn-RS" w:eastAsia="sr-Latn-RS"/>
              </w:rPr>
            </w:pPr>
            <w:r w:rsidRPr="001B338A">
              <w:rPr>
                <w:rFonts w:ascii="Verdana" w:eastAsia="Times New Roman" w:hAnsi="Verdana" w:cs="Calibri"/>
                <w:i/>
                <w:iCs/>
                <w:color w:val="000000"/>
                <w:sz w:val="20"/>
                <w:szCs w:val="20"/>
                <w:lang w:val="sr-Latn-RS" w:eastAsia="sr-Latn-RS"/>
              </w:rPr>
              <w:t>264,035</w:t>
            </w:r>
          </w:p>
        </w:tc>
      </w:tr>
      <w:tr w:rsidR="001B338A" w:rsidRPr="001B338A" w14:paraId="5ADB320D" w14:textId="77777777" w:rsidTr="001B338A">
        <w:trPr>
          <w:trHeight w:val="300"/>
          <w:jc w:val="center"/>
        </w:trPr>
        <w:tc>
          <w:tcPr>
            <w:tcW w:w="5737" w:type="dxa"/>
            <w:tcBorders>
              <w:top w:val="nil"/>
              <w:left w:val="nil"/>
              <w:bottom w:val="single" w:sz="4" w:space="0" w:color="BFBFBF" w:themeColor="background1" w:themeShade="BF"/>
              <w:right w:val="nil"/>
            </w:tcBorders>
            <w:shd w:val="clear" w:color="auto" w:fill="auto"/>
            <w:noWrap/>
            <w:vAlign w:val="center"/>
            <w:hideMark/>
          </w:tcPr>
          <w:p w14:paraId="6FB48D66" w14:textId="77777777" w:rsidR="001B338A" w:rsidRPr="001B338A" w:rsidRDefault="001B338A" w:rsidP="001B338A">
            <w:pPr>
              <w:spacing w:after="0" w:line="240" w:lineRule="auto"/>
              <w:rPr>
                <w:rFonts w:ascii="Verdana" w:eastAsia="Times New Roman" w:hAnsi="Verdana" w:cs="Calibri"/>
                <w:i/>
                <w:iCs/>
                <w:color w:val="000000"/>
                <w:sz w:val="20"/>
                <w:szCs w:val="20"/>
                <w:lang w:val="sr-Latn-RS" w:eastAsia="sr-Latn-RS"/>
              </w:rPr>
            </w:pPr>
            <w:r w:rsidRPr="001B338A">
              <w:rPr>
                <w:rFonts w:ascii="Verdana" w:eastAsia="Times New Roman" w:hAnsi="Verdana" w:cs="Calibri"/>
                <w:i/>
                <w:iCs/>
                <w:color w:val="000000"/>
                <w:sz w:val="20"/>
                <w:szCs w:val="20"/>
                <w:lang w:val="sr-Latn-RS" w:eastAsia="sr-Latn-RS"/>
              </w:rPr>
              <w:t>Остали трошкови прибаве</w:t>
            </w:r>
          </w:p>
        </w:tc>
        <w:tc>
          <w:tcPr>
            <w:tcW w:w="1900" w:type="dxa"/>
            <w:tcBorders>
              <w:top w:val="nil"/>
              <w:left w:val="nil"/>
              <w:bottom w:val="single" w:sz="4" w:space="0" w:color="BFBFBF" w:themeColor="background1" w:themeShade="BF"/>
              <w:right w:val="nil"/>
            </w:tcBorders>
            <w:shd w:val="clear" w:color="auto" w:fill="auto"/>
            <w:noWrap/>
            <w:vAlign w:val="center"/>
            <w:hideMark/>
          </w:tcPr>
          <w:p w14:paraId="7CA180E8" w14:textId="77777777" w:rsidR="001B338A" w:rsidRPr="001B338A" w:rsidRDefault="001B338A" w:rsidP="001B338A">
            <w:pPr>
              <w:spacing w:after="0" w:line="240" w:lineRule="auto"/>
              <w:jc w:val="right"/>
              <w:rPr>
                <w:rFonts w:ascii="Verdana" w:eastAsia="Times New Roman" w:hAnsi="Verdana" w:cs="Calibri"/>
                <w:i/>
                <w:iCs/>
                <w:color w:val="000000"/>
                <w:sz w:val="20"/>
                <w:szCs w:val="20"/>
                <w:lang w:val="sr-Latn-RS" w:eastAsia="sr-Latn-RS"/>
              </w:rPr>
            </w:pPr>
            <w:r w:rsidRPr="001B338A">
              <w:rPr>
                <w:rFonts w:ascii="Verdana" w:eastAsia="Times New Roman" w:hAnsi="Verdana" w:cs="Calibri"/>
                <w:i/>
                <w:iCs/>
                <w:color w:val="000000"/>
                <w:sz w:val="20"/>
                <w:szCs w:val="20"/>
                <w:lang w:val="sr-Latn-RS" w:eastAsia="sr-Latn-RS"/>
              </w:rPr>
              <w:t>53,012</w:t>
            </w:r>
          </w:p>
        </w:tc>
      </w:tr>
      <w:tr w:rsidR="001B338A" w:rsidRPr="001B338A" w14:paraId="6F1BCA08" w14:textId="77777777" w:rsidTr="001B338A">
        <w:trPr>
          <w:trHeight w:val="300"/>
          <w:jc w:val="center"/>
        </w:trPr>
        <w:tc>
          <w:tcPr>
            <w:tcW w:w="5737" w:type="dxa"/>
            <w:tcBorders>
              <w:top w:val="single" w:sz="4" w:space="0" w:color="BFBFBF" w:themeColor="background1" w:themeShade="BF"/>
              <w:left w:val="nil"/>
              <w:bottom w:val="nil"/>
              <w:right w:val="nil"/>
            </w:tcBorders>
            <w:shd w:val="clear" w:color="auto" w:fill="DBE5F1" w:themeFill="accent1" w:themeFillTint="33"/>
            <w:noWrap/>
            <w:vAlign w:val="center"/>
            <w:hideMark/>
          </w:tcPr>
          <w:p w14:paraId="261BFA9C" w14:textId="77777777" w:rsidR="001B338A" w:rsidRPr="001B338A" w:rsidRDefault="001B338A" w:rsidP="001B338A">
            <w:pPr>
              <w:spacing w:after="0" w:line="240" w:lineRule="auto"/>
              <w:rPr>
                <w:rFonts w:ascii="Verdana" w:eastAsia="Times New Roman" w:hAnsi="Verdana" w:cs="Calibri"/>
                <w:color w:val="000000"/>
                <w:sz w:val="20"/>
                <w:szCs w:val="20"/>
                <w:lang w:val="sr-Latn-RS" w:eastAsia="sr-Latn-RS"/>
              </w:rPr>
            </w:pPr>
            <w:r w:rsidRPr="001B338A">
              <w:rPr>
                <w:rFonts w:ascii="Verdana" w:eastAsia="Times New Roman" w:hAnsi="Verdana" w:cs="Calibri"/>
                <w:color w:val="000000"/>
                <w:sz w:val="20"/>
                <w:szCs w:val="20"/>
                <w:lang w:val="sr-Latn-RS" w:eastAsia="sr-Latn-RS"/>
              </w:rPr>
              <w:t>Трошкови управе</w:t>
            </w:r>
          </w:p>
        </w:tc>
        <w:tc>
          <w:tcPr>
            <w:tcW w:w="1900" w:type="dxa"/>
            <w:tcBorders>
              <w:top w:val="single" w:sz="4" w:space="0" w:color="BFBFBF" w:themeColor="background1" w:themeShade="BF"/>
              <w:left w:val="nil"/>
              <w:bottom w:val="nil"/>
              <w:right w:val="nil"/>
            </w:tcBorders>
            <w:shd w:val="clear" w:color="auto" w:fill="DBE5F1" w:themeFill="accent1" w:themeFillTint="33"/>
            <w:noWrap/>
            <w:vAlign w:val="center"/>
            <w:hideMark/>
          </w:tcPr>
          <w:p w14:paraId="1A69FD01" w14:textId="77777777" w:rsidR="001B338A" w:rsidRPr="001B338A" w:rsidRDefault="001B338A" w:rsidP="001B338A">
            <w:pPr>
              <w:spacing w:after="0" w:line="240" w:lineRule="auto"/>
              <w:jc w:val="right"/>
              <w:rPr>
                <w:rFonts w:ascii="Verdana" w:eastAsia="Times New Roman" w:hAnsi="Verdana" w:cs="Calibri"/>
                <w:color w:val="000000"/>
                <w:sz w:val="20"/>
                <w:szCs w:val="20"/>
                <w:lang w:val="sr-Latn-RS" w:eastAsia="sr-Latn-RS"/>
              </w:rPr>
            </w:pPr>
            <w:r w:rsidRPr="001B338A">
              <w:rPr>
                <w:rFonts w:ascii="Verdana" w:eastAsia="Times New Roman" w:hAnsi="Verdana" w:cs="Calibri"/>
                <w:color w:val="000000"/>
                <w:sz w:val="20"/>
                <w:szCs w:val="20"/>
                <w:lang w:val="sr-Latn-RS" w:eastAsia="sr-Latn-RS"/>
              </w:rPr>
              <w:t>83,894</w:t>
            </w:r>
          </w:p>
        </w:tc>
      </w:tr>
      <w:tr w:rsidR="001B338A" w:rsidRPr="001B338A" w14:paraId="19C31545" w14:textId="77777777" w:rsidTr="001B338A">
        <w:trPr>
          <w:trHeight w:val="300"/>
          <w:jc w:val="center"/>
        </w:trPr>
        <w:tc>
          <w:tcPr>
            <w:tcW w:w="5737" w:type="dxa"/>
            <w:tcBorders>
              <w:top w:val="nil"/>
              <w:left w:val="nil"/>
              <w:bottom w:val="nil"/>
              <w:right w:val="nil"/>
            </w:tcBorders>
            <w:shd w:val="clear" w:color="auto" w:fill="auto"/>
            <w:noWrap/>
            <w:vAlign w:val="center"/>
            <w:hideMark/>
          </w:tcPr>
          <w:p w14:paraId="1822775D" w14:textId="77777777" w:rsidR="001B338A" w:rsidRPr="001B338A" w:rsidRDefault="001B338A" w:rsidP="001B338A">
            <w:pPr>
              <w:spacing w:after="0" w:line="240" w:lineRule="auto"/>
              <w:rPr>
                <w:rFonts w:ascii="Verdana" w:eastAsia="Times New Roman" w:hAnsi="Verdana" w:cs="Calibri"/>
                <w:color w:val="000000"/>
                <w:sz w:val="20"/>
                <w:szCs w:val="20"/>
                <w:lang w:val="sr-Latn-RS" w:eastAsia="sr-Latn-RS"/>
              </w:rPr>
            </w:pPr>
            <w:r w:rsidRPr="001B338A">
              <w:rPr>
                <w:rFonts w:ascii="Verdana" w:eastAsia="Times New Roman" w:hAnsi="Verdana" w:cs="Calibri"/>
                <w:color w:val="000000"/>
                <w:sz w:val="20"/>
                <w:szCs w:val="20"/>
                <w:lang w:val="sr-Latn-RS" w:eastAsia="sr-Latn-RS"/>
              </w:rPr>
              <w:t>Трошкови извиђаја, процене и ликвидације штета</w:t>
            </w:r>
          </w:p>
        </w:tc>
        <w:tc>
          <w:tcPr>
            <w:tcW w:w="1900" w:type="dxa"/>
            <w:tcBorders>
              <w:top w:val="nil"/>
              <w:left w:val="nil"/>
              <w:bottom w:val="nil"/>
              <w:right w:val="nil"/>
            </w:tcBorders>
            <w:shd w:val="clear" w:color="auto" w:fill="auto"/>
            <w:noWrap/>
            <w:vAlign w:val="center"/>
            <w:hideMark/>
          </w:tcPr>
          <w:p w14:paraId="7D49F82F" w14:textId="77777777" w:rsidR="001B338A" w:rsidRPr="001B338A" w:rsidRDefault="001B338A" w:rsidP="001B338A">
            <w:pPr>
              <w:spacing w:after="0" w:line="240" w:lineRule="auto"/>
              <w:jc w:val="right"/>
              <w:rPr>
                <w:rFonts w:ascii="Verdana" w:eastAsia="Times New Roman" w:hAnsi="Verdana" w:cs="Calibri"/>
                <w:color w:val="000000"/>
                <w:sz w:val="20"/>
                <w:szCs w:val="20"/>
                <w:lang w:val="sr-Latn-RS" w:eastAsia="sr-Latn-RS"/>
              </w:rPr>
            </w:pPr>
            <w:r w:rsidRPr="001B338A">
              <w:rPr>
                <w:rFonts w:ascii="Verdana" w:eastAsia="Times New Roman" w:hAnsi="Verdana" w:cs="Calibri"/>
                <w:color w:val="000000"/>
                <w:sz w:val="20"/>
                <w:szCs w:val="20"/>
                <w:lang w:val="sr-Latn-RS" w:eastAsia="sr-Latn-RS"/>
              </w:rPr>
              <w:t>18,275</w:t>
            </w:r>
          </w:p>
        </w:tc>
      </w:tr>
      <w:tr w:rsidR="001B338A" w:rsidRPr="001B338A" w14:paraId="4952CE12" w14:textId="77777777" w:rsidTr="001B338A">
        <w:trPr>
          <w:trHeight w:val="300"/>
          <w:jc w:val="center"/>
        </w:trPr>
        <w:tc>
          <w:tcPr>
            <w:tcW w:w="5737" w:type="dxa"/>
            <w:tcBorders>
              <w:top w:val="nil"/>
              <w:left w:val="nil"/>
              <w:bottom w:val="nil"/>
              <w:right w:val="nil"/>
            </w:tcBorders>
            <w:shd w:val="clear" w:color="auto" w:fill="DBE5F1" w:themeFill="accent1" w:themeFillTint="33"/>
            <w:noWrap/>
            <w:vAlign w:val="center"/>
            <w:hideMark/>
          </w:tcPr>
          <w:p w14:paraId="6C13A4A5" w14:textId="77777777" w:rsidR="001B338A" w:rsidRPr="001B338A" w:rsidRDefault="001B338A" w:rsidP="001B338A">
            <w:pPr>
              <w:spacing w:after="0" w:line="240" w:lineRule="auto"/>
              <w:rPr>
                <w:rFonts w:ascii="Verdana" w:eastAsia="Times New Roman" w:hAnsi="Verdana" w:cs="Calibri"/>
                <w:color w:val="000000"/>
                <w:sz w:val="20"/>
                <w:szCs w:val="20"/>
                <w:lang w:val="sr-Latn-RS" w:eastAsia="sr-Latn-RS"/>
              </w:rPr>
            </w:pPr>
            <w:r w:rsidRPr="001B338A">
              <w:rPr>
                <w:rFonts w:ascii="Verdana" w:eastAsia="Times New Roman" w:hAnsi="Verdana" w:cs="Calibri"/>
                <w:color w:val="000000"/>
                <w:sz w:val="20"/>
                <w:szCs w:val="20"/>
                <w:lang w:val="sr-Latn-RS" w:eastAsia="sr-Latn-RS"/>
              </w:rPr>
              <w:t>Трошкови депоновања и улагања</w:t>
            </w:r>
          </w:p>
        </w:tc>
        <w:tc>
          <w:tcPr>
            <w:tcW w:w="1900" w:type="dxa"/>
            <w:tcBorders>
              <w:top w:val="nil"/>
              <w:left w:val="nil"/>
              <w:bottom w:val="nil"/>
              <w:right w:val="nil"/>
            </w:tcBorders>
            <w:shd w:val="clear" w:color="auto" w:fill="DBE5F1" w:themeFill="accent1" w:themeFillTint="33"/>
            <w:noWrap/>
            <w:vAlign w:val="center"/>
            <w:hideMark/>
          </w:tcPr>
          <w:p w14:paraId="48A05111" w14:textId="77777777" w:rsidR="001B338A" w:rsidRPr="001B338A" w:rsidRDefault="001B338A" w:rsidP="001B338A">
            <w:pPr>
              <w:spacing w:after="0" w:line="240" w:lineRule="auto"/>
              <w:jc w:val="right"/>
              <w:rPr>
                <w:rFonts w:ascii="Verdana" w:eastAsia="Times New Roman" w:hAnsi="Verdana" w:cs="Calibri"/>
                <w:color w:val="000000"/>
                <w:sz w:val="20"/>
                <w:szCs w:val="20"/>
                <w:lang w:val="sr-Latn-RS" w:eastAsia="sr-Latn-RS"/>
              </w:rPr>
            </w:pPr>
            <w:r w:rsidRPr="001B338A">
              <w:rPr>
                <w:rFonts w:ascii="Verdana" w:eastAsia="Times New Roman" w:hAnsi="Verdana" w:cs="Calibri"/>
                <w:color w:val="000000"/>
                <w:sz w:val="20"/>
                <w:szCs w:val="20"/>
                <w:lang w:val="sr-Latn-RS" w:eastAsia="sr-Latn-RS"/>
              </w:rPr>
              <w:t>2,382</w:t>
            </w:r>
          </w:p>
        </w:tc>
      </w:tr>
      <w:tr w:rsidR="001B338A" w:rsidRPr="001B338A" w14:paraId="3C45CD4C" w14:textId="77777777" w:rsidTr="001B338A">
        <w:trPr>
          <w:trHeight w:val="300"/>
          <w:jc w:val="center"/>
        </w:trPr>
        <w:tc>
          <w:tcPr>
            <w:tcW w:w="5737" w:type="dxa"/>
            <w:tcBorders>
              <w:top w:val="nil"/>
              <w:left w:val="nil"/>
              <w:bottom w:val="single" w:sz="4" w:space="0" w:color="4F81BD" w:themeColor="accent1"/>
              <w:right w:val="nil"/>
            </w:tcBorders>
            <w:shd w:val="clear" w:color="auto" w:fill="auto"/>
            <w:noWrap/>
            <w:vAlign w:val="center"/>
            <w:hideMark/>
          </w:tcPr>
          <w:p w14:paraId="08B85AAA" w14:textId="77777777" w:rsidR="001B338A" w:rsidRPr="001B338A" w:rsidRDefault="001B338A" w:rsidP="001B338A">
            <w:pPr>
              <w:spacing w:after="0" w:line="240" w:lineRule="auto"/>
              <w:rPr>
                <w:rFonts w:ascii="Verdana" w:eastAsia="Times New Roman" w:hAnsi="Verdana" w:cs="Calibri"/>
                <w:color w:val="000000"/>
                <w:sz w:val="20"/>
                <w:szCs w:val="20"/>
                <w:lang w:val="sr-Latn-RS" w:eastAsia="sr-Latn-RS"/>
              </w:rPr>
            </w:pPr>
            <w:r w:rsidRPr="001B338A">
              <w:rPr>
                <w:rFonts w:ascii="Verdana" w:eastAsia="Times New Roman" w:hAnsi="Verdana" w:cs="Calibri"/>
                <w:color w:val="000000"/>
                <w:sz w:val="20"/>
                <w:szCs w:val="20"/>
                <w:lang w:val="sr-Latn-RS" w:eastAsia="sr-Latn-RS"/>
              </w:rPr>
              <w:t>Остали трошкови спровођења реосигурања</w:t>
            </w:r>
          </w:p>
        </w:tc>
        <w:tc>
          <w:tcPr>
            <w:tcW w:w="1900" w:type="dxa"/>
            <w:tcBorders>
              <w:top w:val="nil"/>
              <w:left w:val="nil"/>
              <w:bottom w:val="single" w:sz="4" w:space="0" w:color="4F81BD" w:themeColor="accent1"/>
              <w:right w:val="nil"/>
            </w:tcBorders>
            <w:shd w:val="clear" w:color="auto" w:fill="auto"/>
            <w:noWrap/>
            <w:vAlign w:val="center"/>
            <w:hideMark/>
          </w:tcPr>
          <w:p w14:paraId="237AE23C" w14:textId="77777777" w:rsidR="001B338A" w:rsidRPr="001B338A" w:rsidRDefault="001B338A" w:rsidP="001B338A">
            <w:pPr>
              <w:spacing w:after="0" w:line="240" w:lineRule="auto"/>
              <w:jc w:val="right"/>
              <w:rPr>
                <w:rFonts w:ascii="Verdana" w:eastAsia="Times New Roman" w:hAnsi="Verdana" w:cs="Calibri"/>
                <w:color w:val="000000"/>
                <w:sz w:val="20"/>
                <w:szCs w:val="20"/>
                <w:lang w:val="sr-Latn-RS" w:eastAsia="sr-Latn-RS"/>
              </w:rPr>
            </w:pPr>
            <w:r w:rsidRPr="001B338A">
              <w:rPr>
                <w:rFonts w:ascii="Verdana" w:eastAsia="Times New Roman" w:hAnsi="Verdana" w:cs="Calibri"/>
                <w:color w:val="000000"/>
                <w:sz w:val="20"/>
                <w:szCs w:val="20"/>
                <w:lang w:val="sr-Latn-RS" w:eastAsia="sr-Latn-RS"/>
              </w:rPr>
              <w:t>5,236</w:t>
            </w:r>
          </w:p>
        </w:tc>
      </w:tr>
      <w:tr w:rsidR="001B338A" w:rsidRPr="001B338A" w14:paraId="36175971" w14:textId="77777777" w:rsidTr="001B338A">
        <w:trPr>
          <w:trHeight w:val="300"/>
          <w:jc w:val="center"/>
        </w:trPr>
        <w:tc>
          <w:tcPr>
            <w:tcW w:w="5737" w:type="dxa"/>
            <w:tcBorders>
              <w:top w:val="single" w:sz="4" w:space="0" w:color="4F81BD" w:themeColor="accent1"/>
              <w:left w:val="nil"/>
              <w:bottom w:val="single" w:sz="4" w:space="0" w:color="4F81BD" w:themeColor="accent1"/>
              <w:right w:val="nil"/>
            </w:tcBorders>
            <w:shd w:val="clear" w:color="auto" w:fill="auto"/>
            <w:noWrap/>
            <w:vAlign w:val="center"/>
            <w:hideMark/>
          </w:tcPr>
          <w:p w14:paraId="5CE1AA9C" w14:textId="77777777" w:rsidR="001B338A" w:rsidRPr="001B338A" w:rsidRDefault="001B338A" w:rsidP="001B338A">
            <w:pPr>
              <w:spacing w:after="0" w:line="240" w:lineRule="auto"/>
              <w:rPr>
                <w:rFonts w:ascii="Verdana" w:eastAsia="Times New Roman" w:hAnsi="Verdana" w:cs="Calibri"/>
                <w:b/>
                <w:color w:val="000000"/>
                <w:sz w:val="20"/>
                <w:szCs w:val="20"/>
                <w:lang w:val="sr-Latn-RS" w:eastAsia="sr-Latn-RS"/>
              </w:rPr>
            </w:pPr>
            <w:r w:rsidRPr="001B338A">
              <w:rPr>
                <w:rFonts w:ascii="Verdana" w:eastAsia="Times New Roman" w:hAnsi="Verdana" w:cs="Calibri"/>
                <w:b/>
                <w:color w:val="000000"/>
                <w:sz w:val="20"/>
                <w:szCs w:val="20"/>
                <w:lang w:val="sr-Latn-RS" w:eastAsia="sr-Latn-RS"/>
              </w:rPr>
              <w:t>УКУПНИ ТРОШКОВИ</w:t>
            </w:r>
          </w:p>
        </w:tc>
        <w:tc>
          <w:tcPr>
            <w:tcW w:w="1900" w:type="dxa"/>
            <w:tcBorders>
              <w:top w:val="single" w:sz="4" w:space="0" w:color="4F81BD" w:themeColor="accent1"/>
              <w:left w:val="nil"/>
              <w:bottom w:val="single" w:sz="4" w:space="0" w:color="4F81BD" w:themeColor="accent1"/>
              <w:right w:val="nil"/>
            </w:tcBorders>
            <w:shd w:val="clear" w:color="auto" w:fill="auto"/>
            <w:noWrap/>
            <w:vAlign w:val="center"/>
            <w:hideMark/>
          </w:tcPr>
          <w:p w14:paraId="585AFFE2" w14:textId="77777777" w:rsidR="001B338A" w:rsidRPr="001B338A" w:rsidRDefault="001B338A" w:rsidP="001B338A">
            <w:pPr>
              <w:spacing w:after="0" w:line="240" w:lineRule="auto"/>
              <w:jc w:val="right"/>
              <w:rPr>
                <w:rFonts w:ascii="Verdana" w:eastAsia="Times New Roman" w:hAnsi="Verdana" w:cs="Calibri"/>
                <w:b/>
                <w:color w:val="000000"/>
                <w:sz w:val="20"/>
                <w:szCs w:val="20"/>
                <w:lang w:val="sr-Latn-RS" w:eastAsia="sr-Latn-RS"/>
              </w:rPr>
            </w:pPr>
            <w:r w:rsidRPr="001B338A">
              <w:rPr>
                <w:rFonts w:ascii="Verdana" w:eastAsia="Times New Roman" w:hAnsi="Verdana" w:cs="Calibri"/>
                <w:b/>
                <w:color w:val="000000"/>
                <w:sz w:val="20"/>
                <w:szCs w:val="20"/>
                <w:lang w:val="sr-Latn-RS" w:eastAsia="sr-Latn-RS"/>
              </w:rPr>
              <w:t>426,835</w:t>
            </w:r>
          </w:p>
        </w:tc>
      </w:tr>
      <w:tr w:rsidR="001B338A" w:rsidRPr="001B338A" w14:paraId="225B0641" w14:textId="77777777" w:rsidTr="001B338A">
        <w:trPr>
          <w:trHeight w:val="300"/>
          <w:jc w:val="center"/>
        </w:trPr>
        <w:tc>
          <w:tcPr>
            <w:tcW w:w="5737" w:type="dxa"/>
            <w:tcBorders>
              <w:top w:val="single" w:sz="4" w:space="0" w:color="4F81BD" w:themeColor="accent1"/>
              <w:left w:val="nil"/>
              <w:bottom w:val="single" w:sz="4" w:space="0" w:color="4F81BD" w:themeColor="accent1"/>
              <w:right w:val="nil"/>
            </w:tcBorders>
            <w:shd w:val="clear" w:color="auto" w:fill="DBE5F1" w:themeFill="accent1" w:themeFillTint="33"/>
            <w:noWrap/>
            <w:vAlign w:val="center"/>
            <w:hideMark/>
          </w:tcPr>
          <w:p w14:paraId="38CF23CF" w14:textId="77777777" w:rsidR="001B338A" w:rsidRPr="001B338A" w:rsidRDefault="001B338A" w:rsidP="001B338A">
            <w:pPr>
              <w:spacing w:after="0" w:line="240" w:lineRule="auto"/>
              <w:rPr>
                <w:rFonts w:ascii="Verdana" w:eastAsia="Times New Roman" w:hAnsi="Verdana" w:cs="Calibri"/>
                <w:color w:val="000000"/>
                <w:sz w:val="20"/>
                <w:szCs w:val="20"/>
                <w:lang w:val="sr-Latn-RS" w:eastAsia="sr-Latn-RS"/>
              </w:rPr>
            </w:pPr>
            <w:r w:rsidRPr="001B338A">
              <w:rPr>
                <w:rFonts w:ascii="Verdana" w:eastAsia="Times New Roman" w:hAnsi="Verdana" w:cs="Calibri"/>
                <w:color w:val="000000"/>
                <w:sz w:val="20"/>
                <w:szCs w:val="20"/>
                <w:lang w:val="sr-Latn-RS" w:eastAsia="sr-Latn-RS"/>
              </w:rPr>
              <w:t>Приходи од провизије реосигурања</w:t>
            </w:r>
          </w:p>
        </w:tc>
        <w:tc>
          <w:tcPr>
            <w:tcW w:w="1900" w:type="dxa"/>
            <w:tcBorders>
              <w:top w:val="single" w:sz="4" w:space="0" w:color="4F81BD" w:themeColor="accent1"/>
              <w:left w:val="nil"/>
              <w:bottom w:val="single" w:sz="4" w:space="0" w:color="4F81BD" w:themeColor="accent1"/>
              <w:right w:val="nil"/>
            </w:tcBorders>
            <w:shd w:val="clear" w:color="auto" w:fill="DBE5F1" w:themeFill="accent1" w:themeFillTint="33"/>
            <w:noWrap/>
            <w:vAlign w:val="center"/>
            <w:hideMark/>
          </w:tcPr>
          <w:p w14:paraId="7D9D9B48" w14:textId="77777777" w:rsidR="001B338A" w:rsidRPr="001B338A" w:rsidRDefault="001B338A" w:rsidP="001B338A">
            <w:pPr>
              <w:spacing w:after="0" w:line="240" w:lineRule="auto"/>
              <w:jc w:val="right"/>
              <w:rPr>
                <w:rFonts w:ascii="Verdana" w:eastAsia="Times New Roman" w:hAnsi="Verdana" w:cs="Calibri"/>
                <w:color w:val="000000"/>
                <w:sz w:val="20"/>
                <w:szCs w:val="20"/>
                <w:lang w:val="sr-Latn-RS" w:eastAsia="sr-Latn-RS"/>
              </w:rPr>
            </w:pPr>
            <w:r w:rsidRPr="001B338A">
              <w:rPr>
                <w:rFonts w:ascii="Verdana" w:eastAsia="Times New Roman" w:hAnsi="Verdana" w:cs="Calibri"/>
                <w:color w:val="000000"/>
                <w:sz w:val="20"/>
                <w:szCs w:val="20"/>
                <w:lang w:val="sr-Latn-RS" w:eastAsia="sr-Latn-RS"/>
              </w:rPr>
              <w:t>278,393</w:t>
            </w:r>
          </w:p>
        </w:tc>
      </w:tr>
      <w:tr w:rsidR="001B338A" w:rsidRPr="001B338A" w14:paraId="1B94B6B2" w14:textId="77777777" w:rsidTr="001B338A">
        <w:trPr>
          <w:trHeight w:val="300"/>
          <w:jc w:val="center"/>
        </w:trPr>
        <w:tc>
          <w:tcPr>
            <w:tcW w:w="5737" w:type="dxa"/>
            <w:tcBorders>
              <w:top w:val="single" w:sz="4" w:space="0" w:color="4F81BD" w:themeColor="accent1"/>
              <w:left w:val="nil"/>
              <w:bottom w:val="single" w:sz="4" w:space="0" w:color="4F81BD" w:themeColor="accent1"/>
              <w:right w:val="nil"/>
            </w:tcBorders>
            <w:shd w:val="clear" w:color="auto" w:fill="auto"/>
            <w:noWrap/>
            <w:vAlign w:val="center"/>
            <w:hideMark/>
          </w:tcPr>
          <w:p w14:paraId="190BB113" w14:textId="77777777" w:rsidR="001B338A" w:rsidRPr="001B338A" w:rsidRDefault="001B338A" w:rsidP="001B338A">
            <w:pPr>
              <w:spacing w:after="0" w:line="240" w:lineRule="auto"/>
              <w:rPr>
                <w:rFonts w:ascii="Verdana" w:eastAsia="Times New Roman" w:hAnsi="Verdana" w:cs="Calibri"/>
                <w:b/>
                <w:color w:val="000000"/>
                <w:sz w:val="20"/>
                <w:szCs w:val="20"/>
                <w:lang w:val="sr-Latn-RS" w:eastAsia="sr-Latn-RS"/>
              </w:rPr>
            </w:pPr>
            <w:r w:rsidRPr="001B338A">
              <w:rPr>
                <w:rFonts w:ascii="Verdana" w:eastAsia="Times New Roman" w:hAnsi="Verdana" w:cs="Calibri"/>
                <w:b/>
                <w:color w:val="000000"/>
                <w:sz w:val="20"/>
                <w:szCs w:val="20"/>
                <w:lang w:val="sr-Latn-RS" w:eastAsia="sr-Latn-RS"/>
              </w:rPr>
              <w:t>УКУПНИ НЕТО ТРОШКОВИ</w:t>
            </w:r>
          </w:p>
        </w:tc>
        <w:tc>
          <w:tcPr>
            <w:tcW w:w="1900" w:type="dxa"/>
            <w:tcBorders>
              <w:top w:val="single" w:sz="4" w:space="0" w:color="4F81BD" w:themeColor="accent1"/>
              <w:left w:val="nil"/>
              <w:bottom w:val="single" w:sz="4" w:space="0" w:color="4F81BD" w:themeColor="accent1"/>
              <w:right w:val="nil"/>
            </w:tcBorders>
            <w:shd w:val="clear" w:color="auto" w:fill="auto"/>
            <w:noWrap/>
            <w:vAlign w:val="center"/>
            <w:hideMark/>
          </w:tcPr>
          <w:p w14:paraId="7094E7FD" w14:textId="77777777" w:rsidR="001B338A" w:rsidRPr="001B338A" w:rsidRDefault="001B338A" w:rsidP="001B338A">
            <w:pPr>
              <w:spacing w:after="0" w:line="240" w:lineRule="auto"/>
              <w:jc w:val="right"/>
              <w:rPr>
                <w:rFonts w:ascii="Verdana" w:eastAsia="Times New Roman" w:hAnsi="Verdana" w:cs="Calibri"/>
                <w:b/>
                <w:color w:val="000000"/>
                <w:sz w:val="20"/>
                <w:szCs w:val="20"/>
                <w:lang w:val="sr-Latn-RS" w:eastAsia="sr-Latn-RS"/>
              </w:rPr>
            </w:pPr>
            <w:r w:rsidRPr="001B338A">
              <w:rPr>
                <w:rFonts w:ascii="Verdana" w:eastAsia="Times New Roman" w:hAnsi="Verdana" w:cs="Calibri"/>
                <w:b/>
                <w:color w:val="000000"/>
                <w:sz w:val="20"/>
                <w:szCs w:val="20"/>
                <w:lang w:val="sr-Latn-RS" w:eastAsia="sr-Latn-RS"/>
              </w:rPr>
              <w:t>148,442</w:t>
            </w:r>
          </w:p>
        </w:tc>
      </w:tr>
      <w:tr w:rsidR="001B338A" w:rsidRPr="001B338A" w14:paraId="5CBA44BC" w14:textId="77777777" w:rsidTr="001B338A">
        <w:trPr>
          <w:trHeight w:val="525"/>
          <w:jc w:val="center"/>
        </w:trPr>
        <w:tc>
          <w:tcPr>
            <w:tcW w:w="5737" w:type="dxa"/>
            <w:tcBorders>
              <w:top w:val="single" w:sz="4" w:space="0" w:color="4F81BD" w:themeColor="accent1"/>
              <w:left w:val="nil"/>
              <w:bottom w:val="single" w:sz="4" w:space="0" w:color="4F81BD" w:themeColor="accent1"/>
              <w:right w:val="nil"/>
            </w:tcBorders>
            <w:shd w:val="clear" w:color="auto" w:fill="auto"/>
            <w:vAlign w:val="center"/>
            <w:hideMark/>
          </w:tcPr>
          <w:p w14:paraId="4D7F43C1" w14:textId="4EBFA29D" w:rsidR="001B338A" w:rsidRPr="001B338A" w:rsidRDefault="001B338A" w:rsidP="001B338A">
            <w:pPr>
              <w:spacing w:after="0" w:line="240" w:lineRule="auto"/>
              <w:rPr>
                <w:rFonts w:ascii="Verdana" w:eastAsia="Times New Roman" w:hAnsi="Verdana" w:cs="Calibri"/>
                <w:b/>
                <w:color w:val="000000"/>
                <w:sz w:val="20"/>
                <w:szCs w:val="20"/>
                <w:lang w:val="sr-Cyrl-RS" w:eastAsia="sr-Latn-RS"/>
              </w:rPr>
            </w:pPr>
            <w:r w:rsidRPr="001B338A">
              <w:rPr>
                <w:rFonts w:ascii="Verdana" w:eastAsia="Times New Roman" w:hAnsi="Verdana" w:cs="Calibri"/>
                <w:b/>
                <w:color w:val="000000"/>
                <w:sz w:val="20"/>
                <w:szCs w:val="20"/>
                <w:lang w:val="sr-Latn-RS" w:eastAsia="sr-Latn-RS"/>
              </w:rPr>
              <w:t>УКУПНИ ТРОШКОВИ</w:t>
            </w:r>
          </w:p>
          <w:p w14:paraId="33317FCA" w14:textId="26571370" w:rsidR="001B338A" w:rsidRPr="001B338A" w:rsidRDefault="001B338A" w:rsidP="001B338A">
            <w:pPr>
              <w:spacing w:after="0" w:line="240" w:lineRule="auto"/>
              <w:rPr>
                <w:rFonts w:ascii="Verdana" w:eastAsia="Times New Roman" w:hAnsi="Verdana" w:cs="Calibri"/>
                <w:b/>
                <w:color w:val="000000"/>
                <w:sz w:val="20"/>
                <w:szCs w:val="20"/>
                <w:lang w:val="sr-Latn-RS" w:eastAsia="sr-Latn-RS"/>
              </w:rPr>
            </w:pPr>
            <w:r w:rsidRPr="001B338A">
              <w:rPr>
                <w:rFonts w:ascii="Verdana" w:eastAsia="Times New Roman" w:hAnsi="Verdana" w:cs="Calibri"/>
                <w:b/>
                <w:color w:val="000000"/>
                <w:sz w:val="20"/>
                <w:szCs w:val="20"/>
                <w:lang w:val="sr-Latn-RS" w:eastAsia="sr-Latn-RS"/>
              </w:rPr>
              <w:t>који се покривају из режијског додатка</w:t>
            </w:r>
          </w:p>
        </w:tc>
        <w:tc>
          <w:tcPr>
            <w:tcW w:w="1900" w:type="dxa"/>
            <w:tcBorders>
              <w:top w:val="single" w:sz="4" w:space="0" w:color="4F81BD" w:themeColor="accent1"/>
              <w:left w:val="nil"/>
              <w:bottom w:val="single" w:sz="4" w:space="0" w:color="4F81BD" w:themeColor="accent1"/>
              <w:right w:val="nil"/>
            </w:tcBorders>
            <w:shd w:val="clear" w:color="auto" w:fill="auto"/>
            <w:noWrap/>
            <w:vAlign w:val="center"/>
            <w:hideMark/>
          </w:tcPr>
          <w:p w14:paraId="0D0039E9" w14:textId="77777777" w:rsidR="001B338A" w:rsidRPr="001B338A" w:rsidRDefault="001B338A" w:rsidP="001B338A">
            <w:pPr>
              <w:spacing w:after="0" w:line="240" w:lineRule="auto"/>
              <w:jc w:val="right"/>
              <w:rPr>
                <w:rFonts w:ascii="Verdana" w:eastAsia="Times New Roman" w:hAnsi="Verdana" w:cs="Calibri"/>
                <w:b/>
                <w:color w:val="000000"/>
                <w:sz w:val="20"/>
                <w:szCs w:val="20"/>
                <w:lang w:val="sr-Latn-RS" w:eastAsia="sr-Latn-RS"/>
              </w:rPr>
            </w:pPr>
            <w:r w:rsidRPr="001B338A">
              <w:rPr>
                <w:rFonts w:ascii="Verdana" w:eastAsia="Times New Roman" w:hAnsi="Verdana" w:cs="Calibri"/>
                <w:b/>
                <w:color w:val="000000"/>
                <w:sz w:val="20"/>
                <w:szCs w:val="20"/>
                <w:lang w:val="sr-Latn-RS" w:eastAsia="sr-Latn-RS"/>
              </w:rPr>
              <w:t>127,784</w:t>
            </w:r>
          </w:p>
        </w:tc>
      </w:tr>
    </w:tbl>
    <w:p w14:paraId="5F85ECAF" w14:textId="77777777" w:rsidR="00CA342D" w:rsidRPr="00BF3CDE" w:rsidRDefault="00CA342D" w:rsidP="00D85921">
      <w:pPr>
        <w:spacing w:before="240" w:after="120"/>
        <w:rPr>
          <w:b/>
          <w:i/>
          <w:noProof/>
          <w:color w:val="4F81BD" w:themeColor="accent1"/>
          <w:sz w:val="20"/>
          <w:szCs w:val="20"/>
          <w:lang w:val="sr-Cyrl-CS" w:eastAsia="ar-SA"/>
        </w:rPr>
      </w:pPr>
      <w:r w:rsidRPr="00BF3CDE">
        <w:rPr>
          <w:b/>
          <w:i/>
          <w:noProof/>
          <w:color w:val="4F81BD" w:themeColor="accent1"/>
          <w:sz w:val="20"/>
          <w:szCs w:val="20"/>
          <w:lang w:val="sr-Cyrl-CS" w:eastAsia="ar-SA"/>
        </w:rPr>
        <w:t>Преглед остварења укупних трошкова према новом начину евидентирања</w:t>
      </w:r>
    </w:p>
    <w:p w14:paraId="2FD5F088" w14:textId="77777777" w:rsidR="00B02089" w:rsidRPr="00D85921" w:rsidRDefault="00B02089" w:rsidP="00D85921">
      <w:pPr>
        <w:spacing w:before="60" w:after="60"/>
        <w:jc w:val="right"/>
        <w:rPr>
          <w:noProof/>
          <w:sz w:val="20"/>
          <w:lang w:val="sr-Cyrl-CS" w:eastAsia="ar-SA"/>
        </w:rPr>
      </w:pPr>
      <w:r w:rsidRPr="00D85921">
        <w:rPr>
          <w:noProof/>
          <w:sz w:val="20"/>
          <w:lang w:val="sr-Cyrl-CS" w:eastAsia="ar-SA"/>
        </w:rPr>
        <w:t>у 000 РСД</w:t>
      </w:r>
    </w:p>
    <w:tbl>
      <w:tblPr>
        <w:tblStyle w:val="LightShading-Accent11"/>
        <w:tblW w:w="9271" w:type="dxa"/>
        <w:tblLayout w:type="fixed"/>
        <w:tblLook w:val="04E0" w:firstRow="1" w:lastRow="1" w:firstColumn="1" w:lastColumn="0" w:noHBand="0" w:noVBand="1"/>
      </w:tblPr>
      <w:tblGrid>
        <w:gridCol w:w="658"/>
        <w:gridCol w:w="2569"/>
        <w:gridCol w:w="1244"/>
        <w:gridCol w:w="973"/>
        <w:gridCol w:w="1326"/>
        <w:gridCol w:w="1244"/>
        <w:gridCol w:w="1257"/>
      </w:tblGrid>
      <w:tr w:rsidR="00702534" w:rsidRPr="00BF3CDE" w14:paraId="495E6B51" w14:textId="77777777" w:rsidTr="00D85921">
        <w:trPr>
          <w:cnfStyle w:val="100000000000" w:firstRow="1" w:lastRow="0" w:firstColumn="0" w:lastColumn="0" w:oddVBand="0" w:evenVBand="0" w:oddHBand="0" w:evenHBand="0" w:firstRowFirstColumn="0" w:firstRowLastColumn="0" w:lastRowFirstColumn="0" w:lastRowLastColumn="0"/>
          <w:trHeight w:val="850"/>
        </w:trPr>
        <w:tc>
          <w:tcPr>
            <w:cnfStyle w:val="001000000000" w:firstRow="0" w:lastRow="0" w:firstColumn="1" w:lastColumn="0" w:oddVBand="0" w:evenVBand="0" w:oddHBand="0" w:evenHBand="0" w:firstRowFirstColumn="0" w:firstRowLastColumn="0" w:lastRowFirstColumn="0" w:lastRowLastColumn="0"/>
            <w:tcW w:w="658" w:type="dxa"/>
            <w:vAlign w:val="center"/>
            <w:hideMark/>
          </w:tcPr>
          <w:p w14:paraId="3D796E05" w14:textId="77777777" w:rsidR="00702534" w:rsidRPr="00BF3CDE" w:rsidRDefault="00702534" w:rsidP="00D85921">
            <w:pPr>
              <w:jc w:val="center"/>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РБ</w:t>
            </w:r>
          </w:p>
        </w:tc>
        <w:tc>
          <w:tcPr>
            <w:tcW w:w="2569" w:type="dxa"/>
            <w:vAlign w:val="center"/>
            <w:hideMark/>
          </w:tcPr>
          <w:p w14:paraId="767E7CC5" w14:textId="77777777" w:rsidR="00702534" w:rsidRPr="00BF3CDE" w:rsidRDefault="00702534" w:rsidP="00D85921">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врста трошка</w:t>
            </w:r>
          </w:p>
        </w:tc>
        <w:tc>
          <w:tcPr>
            <w:tcW w:w="1244" w:type="dxa"/>
            <w:vAlign w:val="center"/>
            <w:hideMark/>
          </w:tcPr>
          <w:p w14:paraId="6D85924A" w14:textId="77777777" w:rsidR="00702534" w:rsidRPr="00BF3CDE" w:rsidRDefault="00702534" w:rsidP="00D85921">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остварење 2013</w:t>
            </w:r>
          </w:p>
        </w:tc>
        <w:tc>
          <w:tcPr>
            <w:tcW w:w="973" w:type="dxa"/>
            <w:vAlign w:val="center"/>
            <w:hideMark/>
          </w:tcPr>
          <w:p w14:paraId="384A237C" w14:textId="77777777" w:rsidR="00702534" w:rsidRPr="00BF3CDE" w:rsidRDefault="00702534" w:rsidP="00D85921">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план 2014</w:t>
            </w:r>
          </w:p>
        </w:tc>
        <w:tc>
          <w:tcPr>
            <w:tcW w:w="1326" w:type="dxa"/>
            <w:vAlign w:val="center"/>
            <w:hideMark/>
          </w:tcPr>
          <w:p w14:paraId="0F40169B" w14:textId="77777777" w:rsidR="00702534" w:rsidRPr="00BF3CDE" w:rsidRDefault="00702534" w:rsidP="00D85921">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остварење 2014</w:t>
            </w:r>
          </w:p>
        </w:tc>
        <w:tc>
          <w:tcPr>
            <w:tcW w:w="1244" w:type="dxa"/>
            <w:vAlign w:val="center"/>
            <w:hideMark/>
          </w:tcPr>
          <w:p w14:paraId="28AFE185" w14:textId="77777777" w:rsidR="00702534" w:rsidRPr="00BF3CDE" w:rsidRDefault="00702534" w:rsidP="00D85921">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остварење 2014/</w:t>
            </w:r>
          </w:p>
          <w:p w14:paraId="7E6B8168" w14:textId="77777777" w:rsidR="00702534" w:rsidRPr="00BF3CDE" w:rsidRDefault="00702534" w:rsidP="00D85921">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остварење 2013</w:t>
            </w:r>
          </w:p>
        </w:tc>
        <w:tc>
          <w:tcPr>
            <w:tcW w:w="1257" w:type="dxa"/>
            <w:vAlign w:val="center"/>
            <w:hideMark/>
          </w:tcPr>
          <w:p w14:paraId="7D5067AA" w14:textId="77777777" w:rsidR="00702534" w:rsidRPr="00BF3CDE" w:rsidRDefault="00702534" w:rsidP="00D85921">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план 2014/</w:t>
            </w:r>
          </w:p>
          <w:p w14:paraId="10A5F2C0" w14:textId="77777777" w:rsidR="00702534" w:rsidRPr="00BF3CDE" w:rsidRDefault="00D85921" w:rsidP="00D85921">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 xml:space="preserve">остварење </w:t>
            </w:r>
            <w:r w:rsidR="00702534" w:rsidRPr="00BF3CDE">
              <w:rPr>
                <w:rFonts w:ascii="Calibri" w:eastAsia="Times New Roman" w:hAnsi="Calibri" w:cs="Times New Roman"/>
                <w:noProof/>
                <w:color w:val="000000"/>
                <w:lang w:val="sr-Cyrl-CS" w:eastAsia="sr-Latn-RS"/>
              </w:rPr>
              <w:t>201</w:t>
            </w:r>
            <w:r>
              <w:rPr>
                <w:rFonts w:ascii="Calibri" w:eastAsia="Times New Roman" w:hAnsi="Calibri" w:cs="Times New Roman"/>
                <w:noProof/>
                <w:color w:val="000000"/>
                <w:lang w:val="sr-Cyrl-CS" w:eastAsia="sr-Latn-RS"/>
              </w:rPr>
              <w:t>4</w:t>
            </w:r>
          </w:p>
        </w:tc>
      </w:tr>
      <w:tr w:rsidR="00702534" w:rsidRPr="00BF3CDE" w14:paraId="45D77B57" w14:textId="77777777" w:rsidTr="00D85921">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58" w:type="dxa"/>
            <w:noWrap/>
            <w:vAlign w:val="center"/>
            <w:hideMark/>
          </w:tcPr>
          <w:p w14:paraId="4647EBC6" w14:textId="77777777" w:rsidR="00702534" w:rsidRPr="00BF3CDE" w:rsidRDefault="00702534" w:rsidP="00D85921">
            <w:pPr>
              <w:jc w:val="center"/>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w:t>
            </w:r>
          </w:p>
        </w:tc>
        <w:tc>
          <w:tcPr>
            <w:tcW w:w="2569" w:type="dxa"/>
            <w:vAlign w:val="center"/>
            <w:hideMark/>
          </w:tcPr>
          <w:p w14:paraId="502CF39B" w14:textId="77777777" w:rsidR="00D85921" w:rsidRDefault="00702534" w:rsidP="00D8592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noProof/>
                <w:color w:val="000000"/>
                <w:lang w:val="sr-Cyrl-CS" w:eastAsia="sr-Latn-RS"/>
              </w:rPr>
            </w:pPr>
            <w:r w:rsidRPr="00D85921">
              <w:rPr>
                <w:rFonts w:ascii="Calibri" w:eastAsia="Times New Roman" w:hAnsi="Calibri" w:cs="Times New Roman"/>
                <w:b/>
                <w:noProof/>
                <w:color w:val="000000"/>
                <w:lang w:val="sr-Cyrl-CS" w:eastAsia="sr-Latn-RS"/>
              </w:rPr>
              <w:t>Укупни трошкови</w:t>
            </w:r>
            <w:r w:rsidR="00536368" w:rsidRPr="00D85921">
              <w:rPr>
                <w:rFonts w:ascii="Calibri" w:eastAsia="Times New Roman" w:hAnsi="Calibri" w:cs="Times New Roman"/>
                <w:b/>
                <w:noProof/>
                <w:color w:val="000000"/>
                <w:lang w:val="sr-Cyrl-CS" w:eastAsia="sr-Latn-RS"/>
              </w:rPr>
              <w:t xml:space="preserve"> </w:t>
            </w:r>
          </w:p>
          <w:p w14:paraId="678A51A1" w14:textId="77777777" w:rsidR="00702534" w:rsidRPr="00D85921" w:rsidRDefault="00536368" w:rsidP="00D8592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noProof/>
                <w:color w:val="000000"/>
                <w:lang w:val="sr-Cyrl-CS" w:eastAsia="sr-Latn-RS"/>
              </w:rPr>
            </w:pPr>
            <w:r w:rsidRPr="00D85921">
              <w:rPr>
                <w:rFonts w:ascii="Calibri" w:eastAsia="Times New Roman" w:hAnsi="Calibri" w:cs="Times New Roman"/>
                <w:b/>
                <w:noProof/>
                <w:color w:val="000000"/>
                <w:lang w:val="sr-Cyrl-CS" w:eastAsia="sr-Latn-RS"/>
              </w:rPr>
              <w:t>без провизије</w:t>
            </w:r>
          </w:p>
        </w:tc>
        <w:tc>
          <w:tcPr>
            <w:tcW w:w="1244" w:type="dxa"/>
            <w:noWrap/>
            <w:vAlign w:val="center"/>
            <w:hideMark/>
          </w:tcPr>
          <w:p w14:paraId="406A82E7" w14:textId="77777777" w:rsidR="00702534" w:rsidRPr="00BF3CDE" w:rsidRDefault="00536368" w:rsidP="00D8592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162,229</w:t>
            </w:r>
          </w:p>
        </w:tc>
        <w:tc>
          <w:tcPr>
            <w:tcW w:w="973" w:type="dxa"/>
            <w:noWrap/>
            <w:vAlign w:val="center"/>
            <w:hideMark/>
          </w:tcPr>
          <w:p w14:paraId="512CA398" w14:textId="77777777" w:rsidR="00702534" w:rsidRPr="00BF3CDE" w:rsidRDefault="00536368" w:rsidP="00D8592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161,859</w:t>
            </w:r>
          </w:p>
        </w:tc>
        <w:tc>
          <w:tcPr>
            <w:tcW w:w="1326" w:type="dxa"/>
            <w:noWrap/>
            <w:vAlign w:val="center"/>
            <w:hideMark/>
          </w:tcPr>
          <w:p w14:paraId="388CE997" w14:textId="77777777" w:rsidR="00702534" w:rsidRPr="00BF3CDE" w:rsidRDefault="00536368" w:rsidP="00D8592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162,799</w:t>
            </w:r>
          </w:p>
        </w:tc>
        <w:tc>
          <w:tcPr>
            <w:tcW w:w="1244" w:type="dxa"/>
            <w:noWrap/>
            <w:vAlign w:val="center"/>
            <w:hideMark/>
          </w:tcPr>
          <w:p w14:paraId="10EA2ADD" w14:textId="77777777" w:rsidR="00702534" w:rsidRPr="00BF3CDE" w:rsidRDefault="00536368" w:rsidP="00D8592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100,35</w:t>
            </w:r>
          </w:p>
        </w:tc>
        <w:tc>
          <w:tcPr>
            <w:tcW w:w="1257" w:type="dxa"/>
            <w:noWrap/>
            <w:vAlign w:val="center"/>
            <w:hideMark/>
          </w:tcPr>
          <w:p w14:paraId="027B0E12" w14:textId="77777777" w:rsidR="00702534" w:rsidRPr="00BF3CDE" w:rsidRDefault="00536368" w:rsidP="00D8592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100,58</w:t>
            </w:r>
          </w:p>
        </w:tc>
      </w:tr>
      <w:tr w:rsidR="00536368" w:rsidRPr="00BF3CDE" w14:paraId="523F7853" w14:textId="77777777" w:rsidTr="00D85921">
        <w:trPr>
          <w:trHeight w:val="567"/>
        </w:trPr>
        <w:tc>
          <w:tcPr>
            <w:cnfStyle w:val="001000000000" w:firstRow="0" w:lastRow="0" w:firstColumn="1" w:lastColumn="0" w:oddVBand="0" w:evenVBand="0" w:oddHBand="0" w:evenHBand="0" w:firstRowFirstColumn="0" w:firstRowLastColumn="0" w:lastRowFirstColumn="0" w:lastRowLastColumn="0"/>
            <w:tcW w:w="658" w:type="dxa"/>
            <w:noWrap/>
            <w:vAlign w:val="center"/>
          </w:tcPr>
          <w:p w14:paraId="76A3984A" w14:textId="77777777" w:rsidR="00536368" w:rsidRPr="00BF3CDE" w:rsidRDefault="00D85921" w:rsidP="00D85921">
            <w:pPr>
              <w:jc w:val="center"/>
              <w:rPr>
                <w:rFonts w:ascii="Calibri" w:eastAsia="Times New Roman" w:hAnsi="Calibri" w:cs="Times New Roman"/>
                <w:noProof/>
                <w:color w:val="000000"/>
                <w:lang w:val="sr-Cyrl-CS" w:eastAsia="sr-Latn-RS"/>
              </w:rPr>
            </w:pPr>
            <w:r>
              <w:rPr>
                <w:rFonts w:ascii="Calibri" w:eastAsia="Times New Roman" w:hAnsi="Calibri" w:cs="Times New Roman"/>
                <w:noProof/>
                <w:color w:val="000000"/>
                <w:lang w:val="sr-Cyrl-CS" w:eastAsia="sr-Latn-RS"/>
              </w:rPr>
              <w:t>2</w:t>
            </w:r>
          </w:p>
        </w:tc>
        <w:tc>
          <w:tcPr>
            <w:tcW w:w="2569" w:type="dxa"/>
            <w:vAlign w:val="center"/>
          </w:tcPr>
          <w:p w14:paraId="7D163E00" w14:textId="77777777" w:rsidR="00536368" w:rsidRPr="00D85921" w:rsidRDefault="00536368" w:rsidP="00D8592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noProof/>
                <w:color w:val="000000"/>
                <w:lang w:val="sr-Cyrl-CS" w:eastAsia="sr-Latn-RS"/>
              </w:rPr>
            </w:pPr>
            <w:r w:rsidRPr="00D85921">
              <w:rPr>
                <w:rFonts w:ascii="Calibri" w:eastAsia="Times New Roman" w:hAnsi="Calibri" w:cs="Times New Roman"/>
                <w:b/>
                <w:noProof/>
                <w:color w:val="000000"/>
                <w:lang w:val="sr-Cyrl-CS" w:eastAsia="sr-Latn-RS"/>
              </w:rPr>
              <w:t>Расходи  провизије</w:t>
            </w:r>
          </w:p>
        </w:tc>
        <w:tc>
          <w:tcPr>
            <w:tcW w:w="1244" w:type="dxa"/>
            <w:noWrap/>
            <w:vAlign w:val="center"/>
          </w:tcPr>
          <w:p w14:paraId="59556E39" w14:textId="77777777" w:rsidR="00536368" w:rsidRPr="00BF3CDE" w:rsidRDefault="00536368" w:rsidP="00D8592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397,730</w:t>
            </w:r>
          </w:p>
        </w:tc>
        <w:tc>
          <w:tcPr>
            <w:tcW w:w="973" w:type="dxa"/>
            <w:noWrap/>
            <w:vAlign w:val="center"/>
          </w:tcPr>
          <w:p w14:paraId="3D727406" w14:textId="77777777" w:rsidR="00536368" w:rsidRPr="00BF3CDE" w:rsidRDefault="00536368" w:rsidP="00D8592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373,366</w:t>
            </w:r>
          </w:p>
        </w:tc>
        <w:tc>
          <w:tcPr>
            <w:tcW w:w="1326" w:type="dxa"/>
            <w:noWrap/>
            <w:vAlign w:val="center"/>
          </w:tcPr>
          <w:p w14:paraId="6AD9D28F" w14:textId="77777777" w:rsidR="00536368" w:rsidRPr="00BF3CDE" w:rsidRDefault="00536368" w:rsidP="00D8592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264,036</w:t>
            </w:r>
          </w:p>
        </w:tc>
        <w:tc>
          <w:tcPr>
            <w:tcW w:w="1244" w:type="dxa"/>
            <w:noWrap/>
            <w:vAlign w:val="center"/>
          </w:tcPr>
          <w:p w14:paraId="416FA39F" w14:textId="77777777" w:rsidR="00536368" w:rsidRPr="00BF3CDE" w:rsidRDefault="00536368" w:rsidP="00D8592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66,39</w:t>
            </w:r>
          </w:p>
        </w:tc>
        <w:tc>
          <w:tcPr>
            <w:tcW w:w="1257" w:type="dxa"/>
            <w:noWrap/>
            <w:vAlign w:val="center"/>
          </w:tcPr>
          <w:p w14:paraId="72E4E559" w14:textId="77777777" w:rsidR="00536368" w:rsidRPr="00BF3CDE" w:rsidRDefault="00536368" w:rsidP="00D8592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70,72</w:t>
            </w:r>
          </w:p>
        </w:tc>
      </w:tr>
      <w:tr w:rsidR="00CA342D" w:rsidRPr="00BF3CDE" w14:paraId="1AF4B611" w14:textId="77777777" w:rsidTr="00D85921">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658" w:type="dxa"/>
            <w:noWrap/>
            <w:vAlign w:val="center"/>
            <w:hideMark/>
          </w:tcPr>
          <w:p w14:paraId="67F7DEB1" w14:textId="77777777" w:rsidR="00702534" w:rsidRPr="00BF3CDE" w:rsidRDefault="00D85921" w:rsidP="00D85921">
            <w:pPr>
              <w:jc w:val="center"/>
              <w:rPr>
                <w:rFonts w:ascii="Calibri" w:eastAsia="Times New Roman" w:hAnsi="Calibri" w:cs="Times New Roman"/>
                <w:noProof/>
                <w:color w:val="000000"/>
                <w:lang w:val="sr-Cyrl-CS" w:eastAsia="sr-Latn-RS"/>
              </w:rPr>
            </w:pPr>
            <w:r>
              <w:rPr>
                <w:rFonts w:ascii="Calibri" w:eastAsia="Times New Roman" w:hAnsi="Calibri" w:cs="Times New Roman"/>
                <w:noProof/>
                <w:color w:val="000000"/>
                <w:lang w:val="sr-Cyrl-CS" w:eastAsia="sr-Latn-RS"/>
              </w:rPr>
              <w:t>3</w:t>
            </w:r>
          </w:p>
        </w:tc>
        <w:tc>
          <w:tcPr>
            <w:tcW w:w="2569" w:type="dxa"/>
            <w:vAlign w:val="center"/>
            <w:hideMark/>
          </w:tcPr>
          <w:p w14:paraId="2B2724A3" w14:textId="77777777" w:rsidR="00D85921" w:rsidRDefault="00702534" w:rsidP="00D8592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noProof/>
                <w:color w:val="000000"/>
                <w:lang w:val="sr-Cyrl-CS" w:eastAsia="sr-Latn-RS"/>
              </w:rPr>
            </w:pPr>
            <w:r w:rsidRPr="00D85921">
              <w:rPr>
                <w:rFonts w:ascii="Calibri" w:eastAsia="Times New Roman" w:hAnsi="Calibri" w:cs="Times New Roman"/>
                <w:b/>
                <w:noProof/>
                <w:color w:val="000000"/>
                <w:lang w:val="sr-Cyrl-CS" w:eastAsia="sr-Latn-RS"/>
              </w:rPr>
              <w:t xml:space="preserve">Приходи од </w:t>
            </w:r>
          </w:p>
          <w:p w14:paraId="17B5501E" w14:textId="77777777" w:rsidR="00702534" w:rsidRPr="00D85921" w:rsidRDefault="00702534" w:rsidP="00D8592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noProof/>
                <w:color w:val="000000"/>
                <w:lang w:val="sr-Cyrl-CS" w:eastAsia="sr-Latn-RS"/>
              </w:rPr>
            </w:pPr>
            <w:r w:rsidRPr="00D85921">
              <w:rPr>
                <w:rFonts w:ascii="Calibri" w:eastAsia="Times New Roman" w:hAnsi="Calibri" w:cs="Times New Roman"/>
                <w:b/>
                <w:noProof/>
                <w:color w:val="000000"/>
                <w:lang w:val="sr-Cyrl-CS" w:eastAsia="sr-Latn-RS"/>
              </w:rPr>
              <w:t>провизије реосигурања</w:t>
            </w:r>
          </w:p>
        </w:tc>
        <w:tc>
          <w:tcPr>
            <w:tcW w:w="1244" w:type="dxa"/>
            <w:noWrap/>
            <w:vAlign w:val="center"/>
            <w:hideMark/>
          </w:tcPr>
          <w:p w14:paraId="21CF4CA4" w14:textId="77777777" w:rsidR="00702534" w:rsidRPr="00BF3CDE" w:rsidRDefault="00702534" w:rsidP="00D8592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-364,315</w:t>
            </w:r>
          </w:p>
        </w:tc>
        <w:tc>
          <w:tcPr>
            <w:tcW w:w="973" w:type="dxa"/>
            <w:noWrap/>
            <w:vAlign w:val="center"/>
            <w:hideMark/>
          </w:tcPr>
          <w:p w14:paraId="28BBFCD5" w14:textId="77777777" w:rsidR="00702534" w:rsidRPr="00BF3CDE" w:rsidRDefault="00702534" w:rsidP="00D8592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-357,642</w:t>
            </w:r>
          </w:p>
        </w:tc>
        <w:tc>
          <w:tcPr>
            <w:tcW w:w="1326" w:type="dxa"/>
            <w:noWrap/>
            <w:vAlign w:val="center"/>
            <w:hideMark/>
          </w:tcPr>
          <w:p w14:paraId="4EDF3545" w14:textId="77777777" w:rsidR="00702534" w:rsidRPr="00BF3CDE" w:rsidRDefault="00702534" w:rsidP="00D8592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-278,394</w:t>
            </w:r>
          </w:p>
        </w:tc>
        <w:tc>
          <w:tcPr>
            <w:tcW w:w="1244" w:type="dxa"/>
            <w:noWrap/>
            <w:vAlign w:val="center"/>
            <w:hideMark/>
          </w:tcPr>
          <w:p w14:paraId="640B7341" w14:textId="77777777" w:rsidR="00702534" w:rsidRPr="00BF3CDE" w:rsidRDefault="00702534" w:rsidP="00D8592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76.42</w:t>
            </w:r>
          </w:p>
        </w:tc>
        <w:tc>
          <w:tcPr>
            <w:tcW w:w="1257" w:type="dxa"/>
            <w:noWrap/>
            <w:vAlign w:val="center"/>
            <w:hideMark/>
          </w:tcPr>
          <w:p w14:paraId="265160A1" w14:textId="77777777" w:rsidR="00702534" w:rsidRPr="00BF3CDE" w:rsidRDefault="00702534" w:rsidP="00D8592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77.84</w:t>
            </w:r>
          </w:p>
        </w:tc>
      </w:tr>
      <w:tr w:rsidR="00702534" w:rsidRPr="00BF3CDE" w14:paraId="5A6030C1" w14:textId="77777777" w:rsidTr="00D85921">
        <w:trPr>
          <w:cnfStyle w:val="010000000000" w:firstRow="0" w:lastRow="1"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658" w:type="dxa"/>
            <w:noWrap/>
            <w:vAlign w:val="center"/>
            <w:hideMark/>
          </w:tcPr>
          <w:p w14:paraId="38F958C8" w14:textId="77777777" w:rsidR="00702534" w:rsidRPr="00BF3CDE" w:rsidRDefault="00702534" w:rsidP="00D85921">
            <w:pPr>
              <w:jc w:val="center"/>
              <w:rPr>
                <w:rFonts w:ascii="Calibri" w:eastAsia="Times New Roman" w:hAnsi="Calibri" w:cs="Times New Roman"/>
                <w:noProof/>
                <w:color w:val="000000"/>
                <w:lang w:val="sr-Cyrl-CS" w:eastAsia="sr-Latn-RS"/>
              </w:rPr>
            </w:pPr>
          </w:p>
        </w:tc>
        <w:tc>
          <w:tcPr>
            <w:tcW w:w="2569" w:type="dxa"/>
            <w:vAlign w:val="center"/>
            <w:hideMark/>
          </w:tcPr>
          <w:p w14:paraId="50CFC9BF" w14:textId="77777777" w:rsidR="00702534" w:rsidRPr="00BF3CDE" w:rsidRDefault="00702534" w:rsidP="00D85921">
            <w:pPr>
              <w:jc w:val="center"/>
              <w:cnfStyle w:val="010000000000" w:firstRow="0" w:lastRow="1"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Укупно (1+2)</w:t>
            </w:r>
          </w:p>
        </w:tc>
        <w:tc>
          <w:tcPr>
            <w:tcW w:w="1244" w:type="dxa"/>
            <w:noWrap/>
            <w:vAlign w:val="center"/>
            <w:hideMark/>
          </w:tcPr>
          <w:p w14:paraId="4E7B7D1A" w14:textId="77777777" w:rsidR="00702534" w:rsidRPr="00BF3CDE" w:rsidRDefault="00702534" w:rsidP="00D85921">
            <w:pPr>
              <w:jc w:val="right"/>
              <w:cnfStyle w:val="010000000000" w:firstRow="0" w:lastRow="1"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195,644</w:t>
            </w:r>
          </w:p>
        </w:tc>
        <w:tc>
          <w:tcPr>
            <w:tcW w:w="973" w:type="dxa"/>
            <w:noWrap/>
            <w:vAlign w:val="center"/>
            <w:hideMark/>
          </w:tcPr>
          <w:p w14:paraId="727B2AAE" w14:textId="77777777" w:rsidR="00702534" w:rsidRPr="00BF3CDE" w:rsidRDefault="00702534" w:rsidP="00D85921">
            <w:pPr>
              <w:jc w:val="right"/>
              <w:cnfStyle w:val="010000000000" w:firstRow="0" w:lastRow="1"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177,583</w:t>
            </w:r>
          </w:p>
        </w:tc>
        <w:tc>
          <w:tcPr>
            <w:tcW w:w="1326" w:type="dxa"/>
            <w:noWrap/>
            <w:vAlign w:val="center"/>
            <w:hideMark/>
          </w:tcPr>
          <w:p w14:paraId="7A21460D" w14:textId="77777777" w:rsidR="00702534" w:rsidRPr="00BF3CDE" w:rsidRDefault="00702534" w:rsidP="00D85921">
            <w:pPr>
              <w:jc w:val="right"/>
              <w:cnfStyle w:val="010000000000" w:firstRow="0" w:lastRow="1"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148,441</w:t>
            </w:r>
          </w:p>
        </w:tc>
        <w:tc>
          <w:tcPr>
            <w:tcW w:w="1244" w:type="dxa"/>
            <w:noWrap/>
            <w:vAlign w:val="center"/>
            <w:hideMark/>
          </w:tcPr>
          <w:p w14:paraId="69894FD7" w14:textId="77777777" w:rsidR="00702534" w:rsidRPr="00BF3CDE" w:rsidRDefault="00702534" w:rsidP="00D85921">
            <w:pPr>
              <w:jc w:val="center"/>
              <w:cnfStyle w:val="010000000000" w:firstRow="0" w:lastRow="1"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75.87</w:t>
            </w:r>
          </w:p>
        </w:tc>
        <w:tc>
          <w:tcPr>
            <w:tcW w:w="1257" w:type="dxa"/>
            <w:noWrap/>
            <w:vAlign w:val="center"/>
            <w:hideMark/>
          </w:tcPr>
          <w:p w14:paraId="53C8D354" w14:textId="77777777" w:rsidR="00702534" w:rsidRPr="00BF3CDE" w:rsidRDefault="00702534" w:rsidP="00D85921">
            <w:pPr>
              <w:jc w:val="center"/>
              <w:cnfStyle w:val="010000000000" w:firstRow="0" w:lastRow="1" w:firstColumn="0" w:lastColumn="0" w:oddVBand="0" w:evenVBand="0" w:oddHBand="0" w:evenHBand="0" w:firstRowFirstColumn="0" w:firstRowLastColumn="0" w:lastRowFirstColumn="0" w:lastRowLastColumn="0"/>
              <w:rPr>
                <w:rFonts w:ascii="Calibri" w:eastAsia="Times New Roman" w:hAnsi="Calibri" w:cs="Times New Roman"/>
                <w:noProof/>
                <w:color w:val="000000"/>
                <w:lang w:val="sr-Cyrl-CS" w:eastAsia="sr-Latn-RS"/>
              </w:rPr>
            </w:pPr>
            <w:r w:rsidRPr="00BF3CDE">
              <w:rPr>
                <w:rFonts w:ascii="Calibri" w:eastAsia="Times New Roman" w:hAnsi="Calibri" w:cs="Times New Roman"/>
                <w:noProof/>
                <w:color w:val="000000"/>
                <w:lang w:val="sr-Cyrl-CS" w:eastAsia="sr-Latn-RS"/>
              </w:rPr>
              <w:t>83.59</w:t>
            </w:r>
          </w:p>
        </w:tc>
      </w:tr>
    </w:tbl>
    <w:p w14:paraId="373B43E4" w14:textId="77777777" w:rsidR="00CA342D" w:rsidRPr="00BF3CDE" w:rsidRDefault="00CA342D" w:rsidP="00D85921">
      <w:pPr>
        <w:pStyle w:val="NoSpacing"/>
        <w:spacing w:before="200" w:after="120" w:line="276" w:lineRule="auto"/>
        <w:ind w:firstLine="284"/>
        <w:jc w:val="both"/>
        <w:rPr>
          <w:rFonts w:cs="Tahoma"/>
          <w:noProof/>
          <w:sz w:val="20"/>
          <w:lang w:val="sr-Cyrl-CS"/>
        </w:rPr>
      </w:pPr>
      <w:r w:rsidRPr="00BF3CDE">
        <w:rPr>
          <w:rFonts w:cs="Tahoma"/>
          <w:noProof/>
          <w:sz w:val="20"/>
          <w:lang w:val="sr-Cyrl-CS"/>
        </w:rPr>
        <w:lastRenderedPageBreak/>
        <w:t>Остварени укупни трошкови су у односу претходну годину мањи за 24,13%, а у односу на план за 16,41%.</w:t>
      </w:r>
    </w:p>
    <w:p w14:paraId="77A84B41" w14:textId="77777777" w:rsidR="008F30FA" w:rsidRPr="00BF3CDE" w:rsidRDefault="008F30FA" w:rsidP="00D85921">
      <w:pPr>
        <w:pStyle w:val="Heading1"/>
        <w:numPr>
          <w:ilvl w:val="3"/>
          <w:numId w:val="7"/>
        </w:numPr>
        <w:spacing w:before="360" w:after="360"/>
        <w:jc w:val="left"/>
        <w:rPr>
          <w:rFonts w:asciiTheme="majorHAnsi" w:hAnsiTheme="majorHAnsi" w:cs="Tahoma"/>
          <w:i/>
          <w:noProof/>
          <w:color w:val="4F81BD"/>
          <w:sz w:val="22"/>
          <w:szCs w:val="18"/>
          <w:lang w:val="sr-Cyrl-CS"/>
        </w:rPr>
      </w:pPr>
      <w:bookmarkStart w:id="54" w:name="_Toc414356831"/>
      <w:r w:rsidRPr="00BF3CDE">
        <w:rPr>
          <w:rFonts w:asciiTheme="majorHAnsi" w:hAnsiTheme="majorHAnsi" w:cs="Tahoma"/>
          <w:i/>
          <w:noProof/>
          <w:color w:val="4F81BD"/>
          <w:sz w:val="22"/>
          <w:szCs w:val="18"/>
          <w:lang w:val="sr-Cyrl-CS"/>
        </w:rPr>
        <w:t>Трошкови спровођења реосигурарња ТСР</w:t>
      </w:r>
      <w:bookmarkEnd w:id="54"/>
    </w:p>
    <w:p w14:paraId="0E5BFD1E" w14:textId="77777777" w:rsidR="00F81DEE" w:rsidRPr="00BF3CDE" w:rsidRDefault="00F81DEE" w:rsidP="00D50EE5">
      <w:pPr>
        <w:spacing w:before="120" w:after="120"/>
        <w:ind w:firstLine="284"/>
        <w:jc w:val="both"/>
        <w:rPr>
          <w:rFonts w:ascii="Verdana" w:eastAsia="Calibri" w:hAnsi="Verdana"/>
          <w:noProof/>
          <w:sz w:val="20"/>
          <w:lang w:val="sr-Cyrl-CS"/>
        </w:rPr>
      </w:pPr>
      <w:r w:rsidRPr="00BF3CDE">
        <w:rPr>
          <w:rFonts w:ascii="Verdana" w:eastAsia="Calibri" w:hAnsi="Verdana"/>
          <w:noProof/>
          <w:sz w:val="20"/>
          <w:lang w:val="sr-Cyrl-CS"/>
        </w:rPr>
        <w:t>Остварени трошкови спровођења реосигурања</w:t>
      </w:r>
      <w:r w:rsidR="00CA632F" w:rsidRPr="00BF3CDE">
        <w:rPr>
          <w:rFonts w:ascii="Verdana" w:eastAsia="Calibri" w:hAnsi="Verdana"/>
          <w:noProof/>
          <w:sz w:val="20"/>
          <w:lang w:val="sr-Cyrl-CS"/>
        </w:rPr>
        <w:t xml:space="preserve"> који се покривају из режијског додатка</w:t>
      </w:r>
      <w:r w:rsidRPr="00BF3CDE">
        <w:rPr>
          <w:rFonts w:ascii="Verdana" w:eastAsia="Calibri" w:hAnsi="Verdana"/>
          <w:noProof/>
          <w:sz w:val="20"/>
          <w:lang w:val="sr-Cyrl-CS"/>
        </w:rPr>
        <w:t xml:space="preserve"> износе 127,784 хиљада динара и мањи су односу на претходну годину за 31,67%, а у односу на план за 25,50%. </w:t>
      </w:r>
      <w:r w:rsidR="00CA632F" w:rsidRPr="00BF3CDE">
        <w:rPr>
          <w:rFonts w:ascii="Verdana" w:eastAsia="Calibri" w:hAnsi="Verdana"/>
          <w:noProof/>
          <w:sz w:val="20"/>
          <w:lang w:val="sr-Cyrl-CS"/>
        </w:rPr>
        <w:t>Највећи утицај на  смањење трошкова је имао резултат између прихода и расхода по основу провизије реосигурања. У 2014. години је исказана позитивна разлика од 14.357, док је  у 2013</w:t>
      </w:r>
      <w:r w:rsidR="00D85921">
        <w:rPr>
          <w:rFonts w:ascii="Verdana" w:eastAsia="Calibri" w:hAnsi="Verdana"/>
          <w:noProof/>
          <w:sz w:val="20"/>
          <w:lang w:val="sr-Cyrl-CS"/>
        </w:rPr>
        <w:t>.</w:t>
      </w:r>
      <w:r w:rsidR="00CA632F" w:rsidRPr="00BF3CDE">
        <w:rPr>
          <w:rFonts w:ascii="Verdana" w:eastAsia="Calibri" w:hAnsi="Verdana"/>
          <w:noProof/>
          <w:sz w:val="20"/>
          <w:lang w:val="sr-Cyrl-CS"/>
        </w:rPr>
        <w:t xml:space="preserve"> години исказана негативна разлика од 33.415 хиљада динара.</w:t>
      </w:r>
    </w:p>
    <w:p w14:paraId="7A0A2F27" w14:textId="77777777" w:rsidR="00CA632F" w:rsidRPr="00BF3CDE" w:rsidRDefault="00CA632F" w:rsidP="00D50EE5">
      <w:pPr>
        <w:spacing w:before="120" w:after="120"/>
        <w:ind w:firstLine="284"/>
        <w:jc w:val="both"/>
        <w:rPr>
          <w:rFonts w:ascii="Verdana" w:eastAsia="Calibri" w:hAnsi="Verdana"/>
          <w:noProof/>
          <w:sz w:val="20"/>
          <w:lang w:val="sr-Cyrl-CS"/>
        </w:rPr>
      </w:pPr>
      <w:r w:rsidRPr="00BF3CDE">
        <w:rPr>
          <w:rFonts w:ascii="Verdana" w:eastAsia="Calibri" w:hAnsi="Verdana"/>
          <w:noProof/>
          <w:sz w:val="20"/>
          <w:lang w:val="sr-Cyrl-CS"/>
        </w:rPr>
        <w:t>У 2014. години остварен</w:t>
      </w:r>
      <w:r w:rsidR="00A25960" w:rsidRPr="00BF3CDE">
        <w:rPr>
          <w:rFonts w:ascii="Verdana" w:eastAsia="Calibri" w:hAnsi="Verdana"/>
          <w:noProof/>
          <w:sz w:val="20"/>
          <w:lang w:val="sr-Cyrl-CS"/>
        </w:rPr>
        <w:t xml:space="preserve"> је</w:t>
      </w:r>
      <w:r w:rsidRPr="00BF3CDE">
        <w:rPr>
          <w:rFonts w:ascii="Verdana" w:eastAsia="Calibri" w:hAnsi="Verdana"/>
          <w:noProof/>
          <w:sz w:val="20"/>
          <w:lang w:val="sr-Cyrl-CS"/>
        </w:rPr>
        <w:t xml:space="preserve"> режијски додатак у износу од </w:t>
      </w:r>
      <w:r w:rsidR="00A25960" w:rsidRPr="00BF3CDE">
        <w:rPr>
          <w:rFonts w:ascii="Verdana" w:eastAsia="Calibri" w:hAnsi="Verdana"/>
          <w:noProof/>
          <w:sz w:val="20"/>
          <w:lang w:val="sr-Cyrl-CS"/>
        </w:rPr>
        <w:t>109.887 хиљада динара и мањи је од остварења у претходној години за 13%, док је у односу на план мањи за 38%.</w:t>
      </w:r>
    </w:p>
    <w:p w14:paraId="73BFE167" w14:textId="77777777" w:rsidR="00A25960" w:rsidRDefault="00A25960" w:rsidP="00D50EE5">
      <w:pPr>
        <w:spacing w:before="120" w:after="120"/>
        <w:ind w:firstLine="284"/>
        <w:jc w:val="both"/>
        <w:rPr>
          <w:rFonts w:ascii="Verdana" w:eastAsia="Calibri" w:hAnsi="Verdana"/>
          <w:noProof/>
          <w:sz w:val="20"/>
          <w:lang w:val="sr-Cyrl-CS"/>
        </w:rPr>
      </w:pPr>
      <w:r w:rsidRPr="00BF3CDE">
        <w:rPr>
          <w:rFonts w:ascii="Verdana" w:eastAsia="Calibri" w:hAnsi="Verdana"/>
          <w:noProof/>
          <w:sz w:val="20"/>
          <w:lang w:val="sr-Cyrl-CS"/>
        </w:rPr>
        <w:t>Друштво није обезбедило покриће трошкова за 17.897 хиљада динара</w:t>
      </w:r>
      <w:r w:rsidR="007E7D3F" w:rsidRPr="00BF3CDE">
        <w:rPr>
          <w:rFonts w:ascii="Verdana" w:eastAsia="Calibri" w:hAnsi="Verdana"/>
          <w:noProof/>
          <w:sz w:val="20"/>
          <w:lang w:val="sr-Cyrl-CS"/>
        </w:rPr>
        <w:t>,</w:t>
      </w:r>
      <w:r w:rsidRPr="00BF3CDE">
        <w:rPr>
          <w:rFonts w:ascii="Verdana" w:eastAsia="Calibri" w:hAnsi="Verdana"/>
          <w:noProof/>
          <w:sz w:val="20"/>
          <w:lang w:val="sr-Cyrl-CS"/>
        </w:rPr>
        <w:t xml:space="preserve"> односно за 14%.</w:t>
      </w:r>
    </w:p>
    <w:p w14:paraId="22061524" w14:textId="77777777" w:rsidR="009B140A" w:rsidRPr="00BF3CDE" w:rsidRDefault="009B140A" w:rsidP="00D50EE5">
      <w:pPr>
        <w:spacing w:before="120" w:after="120"/>
        <w:ind w:firstLine="284"/>
        <w:jc w:val="both"/>
        <w:rPr>
          <w:rFonts w:ascii="Verdana" w:eastAsia="Calibri" w:hAnsi="Verdana"/>
          <w:noProof/>
          <w:sz w:val="20"/>
          <w:lang w:val="sr-Cyrl-CS"/>
        </w:rPr>
      </w:pPr>
      <w:r w:rsidRPr="00BF3CDE">
        <w:rPr>
          <w:rFonts w:ascii="Verdana" w:eastAsia="Calibri" w:hAnsi="Verdana"/>
          <w:noProof/>
          <w:sz w:val="20"/>
          <w:lang w:val="sr-Cyrl-CS"/>
        </w:rPr>
        <w:t>Друштво је препознало ризик неусклађености трошкова спровођења са режисјки</w:t>
      </w:r>
      <w:r w:rsidR="001E0DAA" w:rsidRPr="00BF3CDE">
        <w:rPr>
          <w:rFonts w:ascii="Verdana" w:eastAsia="Calibri" w:hAnsi="Verdana"/>
          <w:noProof/>
          <w:sz w:val="20"/>
          <w:lang w:val="sr-Cyrl-CS"/>
        </w:rPr>
        <w:t>м додатком и оценило као висок ризик.</w:t>
      </w:r>
    </w:p>
    <w:p w14:paraId="5E65D67A" w14:textId="77777777" w:rsidR="001E0DAA" w:rsidRPr="00BF3CDE" w:rsidRDefault="001E0DAA" w:rsidP="00D85921">
      <w:pPr>
        <w:pStyle w:val="ListParagraph"/>
        <w:spacing w:after="120"/>
        <w:ind w:left="0" w:firstLine="284"/>
        <w:contextualSpacing w:val="0"/>
        <w:jc w:val="both"/>
        <w:rPr>
          <w:rFonts w:ascii="Verdana" w:eastAsia="Calibri" w:hAnsi="Verdana"/>
          <w:noProof/>
          <w:sz w:val="20"/>
          <w:lang w:val="sr-Cyrl-CS"/>
        </w:rPr>
      </w:pPr>
      <w:r w:rsidRPr="00BF3CDE">
        <w:rPr>
          <w:rFonts w:ascii="Verdana" w:eastAsia="Calibri" w:hAnsi="Verdana"/>
          <w:noProof/>
          <w:sz w:val="20"/>
          <w:lang w:val="sr-Cyrl-CS"/>
        </w:rPr>
        <w:t xml:space="preserve">У </w:t>
      </w:r>
      <w:r w:rsidR="009B140A" w:rsidRPr="00BF3CDE">
        <w:rPr>
          <w:rFonts w:ascii="Verdana" w:eastAsia="Calibri" w:hAnsi="Verdana"/>
          <w:noProof/>
          <w:sz w:val="20"/>
          <w:lang w:val="sr-Cyrl-CS"/>
        </w:rPr>
        <w:t>циљу рационализације трошкова</w:t>
      </w:r>
      <w:r w:rsidRPr="00BF3CDE">
        <w:rPr>
          <w:rFonts w:ascii="Verdana" w:eastAsia="Calibri" w:hAnsi="Verdana"/>
          <w:noProof/>
          <w:sz w:val="20"/>
          <w:lang w:val="sr-Cyrl-CS"/>
        </w:rPr>
        <w:t xml:space="preserve"> Друштво ће </w:t>
      </w:r>
      <w:r w:rsidR="009B140A" w:rsidRPr="00BF3CDE">
        <w:rPr>
          <w:rFonts w:ascii="Verdana" w:eastAsia="Calibri" w:hAnsi="Verdana"/>
          <w:noProof/>
          <w:sz w:val="20"/>
          <w:lang w:val="sr-Cyrl-CS"/>
        </w:rPr>
        <w:t xml:space="preserve"> </w:t>
      </w:r>
      <w:r w:rsidRPr="00BF3CDE">
        <w:rPr>
          <w:rFonts w:ascii="Verdana" w:eastAsia="Calibri" w:hAnsi="Verdana"/>
          <w:noProof/>
          <w:sz w:val="20"/>
          <w:lang w:val="sr-Cyrl-CS"/>
        </w:rPr>
        <w:t>предузети су следеће мере:</w:t>
      </w:r>
    </w:p>
    <w:p w14:paraId="03E1DC58" w14:textId="77777777" w:rsidR="009B140A" w:rsidRPr="00BF3CDE" w:rsidRDefault="009B140A" w:rsidP="00D85921">
      <w:pPr>
        <w:pStyle w:val="ListParagraph"/>
        <w:numPr>
          <w:ilvl w:val="0"/>
          <w:numId w:val="42"/>
        </w:numPr>
        <w:spacing w:before="120" w:after="120"/>
        <w:ind w:left="1003" w:hanging="357"/>
        <w:contextualSpacing w:val="0"/>
        <w:jc w:val="both"/>
        <w:rPr>
          <w:rFonts w:ascii="Verdana" w:eastAsia="Calibri" w:hAnsi="Verdana"/>
          <w:noProof/>
          <w:sz w:val="20"/>
          <w:lang w:val="sr-Cyrl-CS"/>
        </w:rPr>
      </w:pPr>
      <w:r w:rsidRPr="00BF3CDE">
        <w:rPr>
          <w:rFonts w:ascii="Verdana" w:eastAsia="Calibri" w:hAnsi="Verdana"/>
          <w:noProof/>
          <w:sz w:val="20"/>
          <w:lang w:val="sr-Cyrl-CS"/>
        </w:rPr>
        <w:t>Изврш</w:t>
      </w:r>
      <w:r w:rsidR="001E0DAA" w:rsidRPr="00BF3CDE">
        <w:rPr>
          <w:rFonts w:ascii="Verdana" w:eastAsia="Calibri" w:hAnsi="Verdana"/>
          <w:noProof/>
          <w:sz w:val="20"/>
          <w:lang w:val="sr-Cyrl-CS"/>
        </w:rPr>
        <w:t xml:space="preserve">ити реорганизацију тако што ће </w:t>
      </w:r>
      <w:r w:rsidRPr="00BF3CDE">
        <w:rPr>
          <w:rFonts w:ascii="Verdana" w:eastAsia="Calibri" w:hAnsi="Verdana"/>
          <w:noProof/>
          <w:sz w:val="20"/>
          <w:lang w:val="sr-Cyrl-CS"/>
        </w:rPr>
        <w:t xml:space="preserve"> смањити број сектора  са четири на 2 и чланова Извршног одбора са пет на три.</w:t>
      </w:r>
    </w:p>
    <w:p w14:paraId="0ACEBD2A" w14:textId="77777777" w:rsidR="009B140A" w:rsidRPr="00BF3CDE" w:rsidRDefault="009B140A" w:rsidP="00D85921">
      <w:pPr>
        <w:pStyle w:val="ListParagraph"/>
        <w:numPr>
          <w:ilvl w:val="0"/>
          <w:numId w:val="42"/>
        </w:numPr>
        <w:suppressAutoHyphens/>
        <w:spacing w:before="120" w:after="120"/>
        <w:contextualSpacing w:val="0"/>
        <w:jc w:val="both"/>
        <w:rPr>
          <w:rFonts w:ascii="Verdana" w:eastAsia="Calibri" w:hAnsi="Verdana"/>
          <w:noProof/>
          <w:sz w:val="20"/>
          <w:lang w:val="sr-Cyrl-CS"/>
        </w:rPr>
      </w:pPr>
      <w:r w:rsidRPr="00BF3CDE">
        <w:rPr>
          <w:rFonts w:ascii="Verdana" w:eastAsia="Calibri" w:hAnsi="Verdana"/>
          <w:noProof/>
          <w:sz w:val="20"/>
          <w:lang w:val="sr-Cyrl-CS"/>
        </w:rPr>
        <w:t>Унапредити систем одређивања дела зарада по основу радног учинка у намери да стимулише сваког запосленог да свој поса</w:t>
      </w:r>
      <w:r w:rsidR="00D85921">
        <w:rPr>
          <w:rFonts w:ascii="Verdana" w:eastAsia="Calibri" w:hAnsi="Verdana"/>
          <w:noProof/>
          <w:sz w:val="20"/>
          <w:lang w:val="sr-Cyrl-CS"/>
        </w:rPr>
        <w:t>о обавља на најбољи могућ начин</w:t>
      </w:r>
      <w:r w:rsidRPr="00BF3CDE">
        <w:rPr>
          <w:rFonts w:ascii="Verdana" w:eastAsia="Calibri" w:hAnsi="Verdana"/>
          <w:noProof/>
          <w:sz w:val="20"/>
          <w:lang w:val="sr-Cyrl-CS"/>
        </w:rPr>
        <w:t xml:space="preserve"> и тиме допринесе побољшању пословних резултата. </w:t>
      </w:r>
    </w:p>
    <w:p w14:paraId="383BB9A4" w14:textId="77777777" w:rsidR="009B140A" w:rsidRPr="00BF3CDE" w:rsidRDefault="001E0DAA" w:rsidP="00D85921">
      <w:pPr>
        <w:pStyle w:val="ListParagraph"/>
        <w:numPr>
          <w:ilvl w:val="0"/>
          <w:numId w:val="42"/>
        </w:numPr>
        <w:suppressAutoHyphens/>
        <w:spacing w:before="120" w:after="120"/>
        <w:ind w:left="1003" w:hanging="357"/>
        <w:contextualSpacing w:val="0"/>
        <w:jc w:val="both"/>
        <w:rPr>
          <w:rFonts w:ascii="Verdana" w:eastAsia="Calibri" w:hAnsi="Verdana"/>
          <w:noProof/>
          <w:sz w:val="20"/>
          <w:lang w:val="sr-Cyrl-CS"/>
        </w:rPr>
      </w:pPr>
      <w:r w:rsidRPr="00BF3CDE">
        <w:rPr>
          <w:rFonts w:ascii="Verdana" w:eastAsia="Calibri" w:hAnsi="Verdana"/>
          <w:noProof/>
          <w:sz w:val="20"/>
          <w:lang w:val="sr-Cyrl-CS"/>
        </w:rPr>
        <w:t>У</w:t>
      </w:r>
      <w:r w:rsidR="009B140A" w:rsidRPr="00BF3CDE">
        <w:rPr>
          <w:rFonts w:ascii="Verdana" w:eastAsia="Calibri" w:hAnsi="Verdana"/>
          <w:noProof/>
          <w:sz w:val="20"/>
          <w:lang w:val="sr-Cyrl-CS"/>
        </w:rPr>
        <w:t>склади</w:t>
      </w:r>
      <w:r w:rsidRPr="00BF3CDE">
        <w:rPr>
          <w:rFonts w:ascii="Verdana" w:eastAsia="Calibri" w:hAnsi="Verdana"/>
          <w:noProof/>
          <w:sz w:val="20"/>
          <w:lang w:val="sr-Cyrl-CS"/>
        </w:rPr>
        <w:t xml:space="preserve">ти </w:t>
      </w:r>
      <w:r w:rsidR="009B140A" w:rsidRPr="00BF3CDE">
        <w:rPr>
          <w:rFonts w:ascii="Verdana" w:eastAsia="Calibri" w:hAnsi="Verdana"/>
          <w:noProof/>
          <w:sz w:val="20"/>
          <w:lang w:val="sr-Cyrl-CS"/>
        </w:rPr>
        <w:t xml:space="preserve">Колективни уговор са Законом о раду. У циљу смањења трошкова </w:t>
      </w:r>
      <w:r w:rsidRPr="00BF3CDE">
        <w:rPr>
          <w:rFonts w:ascii="Verdana" w:eastAsia="Calibri" w:hAnsi="Verdana"/>
          <w:noProof/>
          <w:sz w:val="20"/>
          <w:lang w:val="sr-Cyrl-CS"/>
        </w:rPr>
        <w:t>планиране</w:t>
      </w:r>
      <w:r w:rsidR="009B140A" w:rsidRPr="00BF3CDE">
        <w:rPr>
          <w:rFonts w:ascii="Verdana" w:eastAsia="Calibri" w:hAnsi="Verdana"/>
          <w:noProof/>
          <w:sz w:val="20"/>
          <w:lang w:val="sr-Cyrl-CS"/>
        </w:rPr>
        <w:t xml:space="preserve"> су следеће изме</w:t>
      </w:r>
      <w:r w:rsidRPr="00BF3CDE">
        <w:rPr>
          <w:rFonts w:ascii="Verdana" w:eastAsia="Calibri" w:hAnsi="Verdana"/>
          <w:noProof/>
          <w:sz w:val="20"/>
          <w:lang w:val="sr-Cyrl-CS"/>
        </w:rPr>
        <w:t>не у односу на претходни уговор:</w:t>
      </w:r>
    </w:p>
    <w:p w14:paraId="664DAA0F" w14:textId="77777777" w:rsidR="009B140A" w:rsidRPr="00BF3CDE" w:rsidRDefault="009B140A" w:rsidP="00D85921">
      <w:pPr>
        <w:pStyle w:val="ListParagraph"/>
        <w:numPr>
          <w:ilvl w:val="0"/>
          <w:numId w:val="43"/>
        </w:numPr>
        <w:suppressAutoHyphens/>
        <w:spacing w:before="120" w:after="120"/>
        <w:contextualSpacing w:val="0"/>
        <w:jc w:val="both"/>
        <w:rPr>
          <w:rFonts w:ascii="Verdana" w:eastAsia="Calibri" w:hAnsi="Verdana"/>
          <w:noProof/>
          <w:sz w:val="20"/>
          <w:lang w:val="sr-Cyrl-CS"/>
        </w:rPr>
      </w:pPr>
      <w:r w:rsidRPr="00BF3CDE">
        <w:rPr>
          <w:rFonts w:ascii="Verdana" w:eastAsia="Calibri" w:hAnsi="Verdana"/>
          <w:noProof/>
          <w:sz w:val="20"/>
          <w:lang w:val="sr-Cyrl-CS"/>
        </w:rPr>
        <w:t>Смање</w:t>
      </w:r>
      <w:r w:rsidR="001E0DAA" w:rsidRPr="00BF3CDE">
        <w:rPr>
          <w:rFonts w:ascii="Verdana" w:eastAsia="Calibri" w:hAnsi="Verdana"/>
          <w:noProof/>
          <w:sz w:val="20"/>
          <w:lang w:val="sr-Cyrl-CS"/>
        </w:rPr>
        <w:t>ње</w:t>
      </w:r>
      <w:r w:rsidRPr="00BF3CDE">
        <w:rPr>
          <w:rFonts w:ascii="Verdana" w:eastAsia="Calibri" w:hAnsi="Verdana"/>
          <w:noProof/>
          <w:sz w:val="20"/>
          <w:lang w:val="sr-Cyrl-CS"/>
        </w:rPr>
        <w:t xml:space="preserve">  цен</w:t>
      </w:r>
      <w:r w:rsidR="001E0DAA" w:rsidRPr="00BF3CDE">
        <w:rPr>
          <w:rFonts w:ascii="Verdana" w:eastAsia="Calibri" w:hAnsi="Verdana"/>
          <w:noProof/>
          <w:sz w:val="20"/>
          <w:lang w:val="sr-Cyrl-CS"/>
        </w:rPr>
        <w:t>е</w:t>
      </w:r>
      <w:r w:rsidRPr="00BF3CDE">
        <w:rPr>
          <w:rFonts w:ascii="Verdana" w:eastAsia="Calibri" w:hAnsi="Verdana"/>
          <w:noProof/>
          <w:sz w:val="20"/>
          <w:lang w:val="sr-Cyrl-CS"/>
        </w:rPr>
        <w:t xml:space="preserve"> рада</w:t>
      </w:r>
      <w:r w:rsidR="00D85921">
        <w:rPr>
          <w:rFonts w:ascii="Verdana" w:eastAsia="Calibri" w:hAnsi="Verdana"/>
          <w:noProof/>
          <w:sz w:val="20"/>
          <w:lang w:val="sr-Cyrl-CS"/>
        </w:rPr>
        <w:t>;</w:t>
      </w:r>
      <w:r w:rsidR="001E0DAA" w:rsidRPr="00BF3CDE">
        <w:rPr>
          <w:rFonts w:ascii="Verdana" w:eastAsia="Calibri" w:hAnsi="Verdana"/>
          <w:noProof/>
          <w:sz w:val="20"/>
          <w:lang w:val="sr-Cyrl-CS"/>
        </w:rPr>
        <w:t xml:space="preserve"> </w:t>
      </w:r>
    </w:p>
    <w:p w14:paraId="4C81E75A" w14:textId="77777777" w:rsidR="009B140A" w:rsidRPr="00BF3CDE" w:rsidRDefault="009B140A" w:rsidP="00D85921">
      <w:pPr>
        <w:numPr>
          <w:ilvl w:val="0"/>
          <w:numId w:val="43"/>
        </w:numPr>
        <w:spacing w:before="120" w:after="120"/>
        <w:jc w:val="both"/>
        <w:rPr>
          <w:rFonts w:ascii="Verdana" w:eastAsia="Calibri" w:hAnsi="Verdana"/>
          <w:noProof/>
          <w:sz w:val="20"/>
          <w:lang w:val="sr-Cyrl-CS"/>
        </w:rPr>
      </w:pPr>
      <w:r w:rsidRPr="00BF3CDE">
        <w:rPr>
          <w:rFonts w:ascii="Verdana" w:eastAsia="Calibri" w:hAnsi="Verdana"/>
          <w:noProof/>
          <w:sz w:val="20"/>
          <w:lang w:val="sr-Cyrl-CS"/>
        </w:rPr>
        <w:t>Смање</w:t>
      </w:r>
      <w:r w:rsidR="001E0DAA" w:rsidRPr="00BF3CDE">
        <w:rPr>
          <w:rFonts w:ascii="Verdana" w:eastAsia="Calibri" w:hAnsi="Verdana"/>
          <w:noProof/>
          <w:sz w:val="20"/>
          <w:lang w:val="sr-Cyrl-CS"/>
        </w:rPr>
        <w:t>ње</w:t>
      </w:r>
      <w:r w:rsidRPr="00BF3CDE">
        <w:rPr>
          <w:rFonts w:ascii="Verdana" w:eastAsia="Calibri" w:hAnsi="Verdana"/>
          <w:noProof/>
          <w:sz w:val="20"/>
          <w:lang w:val="sr-Cyrl-CS"/>
        </w:rPr>
        <w:t xml:space="preserve"> прав</w:t>
      </w:r>
      <w:r w:rsidR="001E0DAA" w:rsidRPr="00BF3CDE">
        <w:rPr>
          <w:rFonts w:ascii="Verdana" w:eastAsia="Calibri" w:hAnsi="Verdana"/>
          <w:noProof/>
          <w:sz w:val="20"/>
          <w:lang w:val="sr-Cyrl-CS"/>
        </w:rPr>
        <w:t>а</w:t>
      </w:r>
      <w:r w:rsidRPr="00BF3CDE">
        <w:rPr>
          <w:rFonts w:ascii="Verdana" w:eastAsia="Calibri" w:hAnsi="Verdana"/>
          <w:noProof/>
          <w:sz w:val="20"/>
          <w:lang w:val="sr-Cyrl-CS"/>
        </w:rPr>
        <w:t xml:space="preserve"> на увећање зараде по о</w:t>
      </w:r>
      <w:r w:rsidR="00D85921">
        <w:rPr>
          <w:rFonts w:ascii="Verdana" w:eastAsia="Calibri" w:hAnsi="Verdana"/>
          <w:noProof/>
          <w:sz w:val="20"/>
          <w:lang w:val="sr-Cyrl-CS"/>
        </w:rPr>
        <w:t>снову  минулог рада са  0,7% на</w:t>
      </w:r>
      <w:r w:rsidRPr="00BF3CDE">
        <w:rPr>
          <w:rFonts w:ascii="Verdana" w:eastAsia="Calibri" w:hAnsi="Verdana"/>
          <w:noProof/>
          <w:sz w:val="20"/>
          <w:lang w:val="sr-Cyrl-CS"/>
        </w:rPr>
        <w:t xml:space="preserve"> 0,4%; </w:t>
      </w:r>
    </w:p>
    <w:p w14:paraId="2E9542BC" w14:textId="77777777" w:rsidR="009B140A" w:rsidRPr="00BF3CDE" w:rsidRDefault="009B140A" w:rsidP="00D85921">
      <w:pPr>
        <w:numPr>
          <w:ilvl w:val="0"/>
          <w:numId w:val="43"/>
        </w:numPr>
        <w:spacing w:before="120" w:after="120"/>
        <w:jc w:val="both"/>
        <w:rPr>
          <w:rFonts w:ascii="Verdana" w:eastAsia="Calibri" w:hAnsi="Verdana"/>
          <w:noProof/>
          <w:sz w:val="20"/>
          <w:lang w:val="sr-Cyrl-CS"/>
        </w:rPr>
      </w:pPr>
      <w:r w:rsidRPr="00BF3CDE">
        <w:rPr>
          <w:rFonts w:ascii="Verdana" w:eastAsia="Calibri" w:hAnsi="Verdana"/>
          <w:noProof/>
          <w:sz w:val="20"/>
          <w:lang w:val="sr-Cyrl-CS"/>
        </w:rPr>
        <w:t>Смање</w:t>
      </w:r>
      <w:r w:rsidR="001E0DAA" w:rsidRPr="00BF3CDE">
        <w:rPr>
          <w:rFonts w:ascii="Verdana" w:eastAsia="Calibri" w:hAnsi="Verdana"/>
          <w:noProof/>
          <w:sz w:val="20"/>
          <w:lang w:val="sr-Cyrl-CS"/>
        </w:rPr>
        <w:t>ње</w:t>
      </w:r>
      <w:r w:rsidRPr="00BF3CDE">
        <w:rPr>
          <w:rFonts w:ascii="Verdana" w:eastAsia="Calibri" w:hAnsi="Verdana"/>
          <w:noProof/>
          <w:sz w:val="20"/>
          <w:lang w:val="sr-Cyrl-CS"/>
        </w:rPr>
        <w:t xml:space="preserve"> прав</w:t>
      </w:r>
      <w:r w:rsidR="001E0DAA" w:rsidRPr="00BF3CDE">
        <w:rPr>
          <w:rFonts w:ascii="Verdana" w:eastAsia="Calibri" w:hAnsi="Verdana"/>
          <w:noProof/>
          <w:sz w:val="20"/>
          <w:lang w:val="sr-Cyrl-CS"/>
        </w:rPr>
        <w:t>а</w:t>
      </w:r>
      <w:r w:rsidRPr="00BF3CDE">
        <w:rPr>
          <w:rFonts w:ascii="Verdana" w:eastAsia="Calibri" w:hAnsi="Verdana"/>
          <w:noProof/>
          <w:sz w:val="20"/>
          <w:lang w:val="sr-Cyrl-CS"/>
        </w:rPr>
        <w:t xml:space="preserve"> на накнаду зараде за време одсуствовања са рада због привремене сперечности за рад до 30 дана на 65% уместо 85% од остварене просечне зараде претходних 12 месеци</w:t>
      </w:r>
      <w:r w:rsidR="00D85921">
        <w:rPr>
          <w:rFonts w:ascii="Verdana" w:eastAsia="Calibri" w:hAnsi="Verdana"/>
          <w:noProof/>
          <w:sz w:val="20"/>
          <w:lang w:val="sr-Cyrl-CS"/>
        </w:rPr>
        <w:t>;</w:t>
      </w:r>
    </w:p>
    <w:p w14:paraId="2F2DF460" w14:textId="77777777" w:rsidR="009B140A" w:rsidRPr="00BF3CDE" w:rsidRDefault="009B140A" w:rsidP="00D85921">
      <w:pPr>
        <w:numPr>
          <w:ilvl w:val="0"/>
          <w:numId w:val="43"/>
        </w:numPr>
        <w:spacing w:before="120" w:after="120"/>
        <w:jc w:val="both"/>
        <w:rPr>
          <w:rFonts w:ascii="Verdana" w:eastAsia="Calibri" w:hAnsi="Verdana"/>
          <w:noProof/>
          <w:sz w:val="20"/>
          <w:lang w:val="sr-Cyrl-CS"/>
        </w:rPr>
      </w:pPr>
      <w:r w:rsidRPr="00BF3CDE">
        <w:rPr>
          <w:rFonts w:ascii="Verdana" w:eastAsia="Calibri" w:hAnsi="Verdana"/>
          <w:noProof/>
          <w:sz w:val="20"/>
          <w:lang w:val="sr-Cyrl-CS"/>
        </w:rPr>
        <w:t>Смање</w:t>
      </w:r>
      <w:r w:rsidR="001E0DAA" w:rsidRPr="00BF3CDE">
        <w:rPr>
          <w:rFonts w:ascii="Verdana" w:eastAsia="Calibri" w:hAnsi="Verdana"/>
          <w:noProof/>
          <w:sz w:val="20"/>
          <w:lang w:val="sr-Cyrl-CS"/>
        </w:rPr>
        <w:t>ње</w:t>
      </w:r>
      <w:r w:rsidRPr="00BF3CDE">
        <w:rPr>
          <w:rFonts w:ascii="Verdana" w:eastAsia="Calibri" w:hAnsi="Verdana"/>
          <w:noProof/>
          <w:sz w:val="20"/>
          <w:lang w:val="sr-Cyrl-CS"/>
        </w:rPr>
        <w:t xml:space="preserve"> прав</w:t>
      </w:r>
      <w:r w:rsidR="001E0DAA" w:rsidRPr="00BF3CDE">
        <w:rPr>
          <w:rFonts w:ascii="Verdana" w:eastAsia="Calibri" w:hAnsi="Verdana"/>
          <w:noProof/>
          <w:sz w:val="20"/>
          <w:lang w:val="sr-Cyrl-CS"/>
        </w:rPr>
        <w:t>а</w:t>
      </w:r>
      <w:r w:rsidRPr="00BF3CDE">
        <w:rPr>
          <w:rFonts w:ascii="Verdana" w:eastAsia="Calibri" w:hAnsi="Verdana"/>
          <w:noProof/>
          <w:sz w:val="20"/>
          <w:lang w:val="sr-Cyrl-CS"/>
        </w:rPr>
        <w:t xml:space="preserve"> на нето накнаду трошкова  на име исхране у току рада на 200 РСД по радном дану уместо 20% од остварене просечне зараде у Републици Србији</w:t>
      </w:r>
      <w:r w:rsidR="00D85921">
        <w:rPr>
          <w:rFonts w:ascii="Verdana" w:eastAsia="Calibri" w:hAnsi="Verdana"/>
          <w:noProof/>
          <w:sz w:val="20"/>
          <w:lang w:val="sr-Cyrl-CS"/>
        </w:rPr>
        <w:t>;</w:t>
      </w:r>
    </w:p>
    <w:p w14:paraId="1104C4B2" w14:textId="77777777" w:rsidR="009B140A" w:rsidRPr="00BF3CDE" w:rsidRDefault="001E0DAA" w:rsidP="00D85921">
      <w:pPr>
        <w:numPr>
          <w:ilvl w:val="0"/>
          <w:numId w:val="43"/>
        </w:numPr>
        <w:spacing w:before="120" w:after="120"/>
        <w:ind w:left="1361" w:hanging="357"/>
        <w:jc w:val="both"/>
        <w:rPr>
          <w:rFonts w:ascii="Verdana" w:eastAsia="Calibri" w:hAnsi="Verdana"/>
          <w:noProof/>
          <w:sz w:val="20"/>
          <w:lang w:val="sr-Cyrl-CS"/>
        </w:rPr>
      </w:pPr>
      <w:r w:rsidRPr="00BF3CDE">
        <w:rPr>
          <w:rFonts w:ascii="Verdana" w:eastAsia="Calibri" w:hAnsi="Verdana"/>
          <w:noProof/>
          <w:sz w:val="20"/>
          <w:lang w:val="sr-Cyrl-CS"/>
        </w:rPr>
        <w:t>Смањење права</w:t>
      </w:r>
      <w:r w:rsidR="009B140A" w:rsidRPr="00BF3CDE">
        <w:rPr>
          <w:rFonts w:ascii="Verdana" w:eastAsia="Calibri" w:hAnsi="Verdana"/>
          <w:noProof/>
          <w:sz w:val="20"/>
          <w:lang w:val="sr-Cyrl-CS"/>
        </w:rPr>
        <w:t xml:space="preserve"> на регрес за коришћење годишњег одмора  на 12.000</w:t>
      </w:r>
      <w:r w:rsidR="00D85921">
        <w:rPr>
          <w:rFonts w:ascii="Verdana" w:eastAsia="Calibri" w:hAnsi="Verdana"/>
          <w:noProof/>
          <w:sz w:val="20"/>
          <w:lang w:val="sr-Cyrl-CS"/>
        </w:rPr>
        <w:t xml:space="preserve"> динара;</w:t>
      </w:r>
      <w:r w:rsidR="009B140A" w:rsidRPr="00BF3CDE">
        <w:rPr>
          <w:rFonts w:ascii="Verdana" w:eastAsia="Calibri" w:hAnsi="Verdana"/>
          <w:noProof/>
          <w:sz w:val="20"/>
          <w:lang w:val="sr-Cyrl-CS"/>
        </w:rPr>
        <w:t xml:space="preserve"> </w:t>
      </w:r>
    </w:p>
    <w:p w14:paraId="7EFA8E84" w14:textId="77777777" w:rsidR="00F81DEE" w:rsidRPr="00BF3CDE" w:rsidRDefault="00F81DEE" w:rsidP="00D50EE5">
      <w:pPr>
        <w:spacing w:before="120" w:after="120"/>
        <w:ind w:firstLine="284"/>
        <w:jc w:val="both"/>
        <w:rPr>
          <w:rFonts w:ascii="Verdana" w:eastAsia="Calibri" w:hAnsi="Verdana"/>
          <w:noProof/>
          <w:sz w:val="20"/>
          <w:lang w:val="sr-Cyrl-CS"/>
        </w:rPr>
      </w:pPr>
      <w:r w:rsidRPr="00BF3CDE">
        <w:rPr>
          <w:rFonts w:ascii="Verdana" w:eastAsia="Calibri" w:hAnsi="Verdana"/>
          <w:noProof/>
          <w:sz w:val="20"/>
          <w:lang w:val="sr-Cyrl-CS"/>
        </w:rPr>
        <w:t>Распоред трошкова спровођења реосигурања се врши се у целости на поједину категорију трошкова код унапред дефинисане врсте трошка, где се може утврдити расподела се врши према стварном трошку и у случају да се распоред не може утврдити по стварном трошку исти се распоређује према кључу.</w:t>
      </w:r>
    </w:p>
    <w:p w14:paraId="6D3A6472" w14:textId="77777777" w:rsidR="00F81DEE" w:rsidRPr="00BF3CDE" w:rsidRDefault="00F81DEE" w:rsidP="00D50EE5">
      <w:pPr>
        <w:spacing w:before="120" w:after="120"/>
        <w:ind w:firstLine="284"/>
        <w:jc w:val="both"/>
        <w:rPr>
          <w:rFonts w:ascii="Verdana" w:eastAsia="Calibri" w:hAnsi="Verdana"/>
          <w:noProof/>
          <w:sz w:val="20"/>
          <w:lang w:val="sr-Cyrl-CS"/>
        </w:rPr>
      </w:pPr>
      <w:r w:rsidRPr="00BF3CDE">
        <w:rPr>
          <w:rFonts w:ascii="Verdana" w:eastAsia="Calibri" w:hAnsi="Verdana"/>
          <w:noProof/>
          <w:sz w:val="20"/>
          <w:lang w:val="sr-Cyrl-CS"/>
        </w:rPr>
        <w:t xml:space="preserve">Трошкови којима се  у моменту настанка не може одредити место трошка, расподељују се системом кључа. Кључ за распоред трошкова доноси шеф </w:t>
      </w:r>
      <w:r w:rsidRPr="00BF3CDE">
        <w:rPr>
          <w:rFonts w:ascii="Verdana" w:eastAsia="Calibri" w:hAnsi="Verdana"/>
          <w:noProof/>
          <w:sz w:val="20"/>
          <w:lang w:val="sr-Cyrl-CS"/>
        </w:rPr>
        <w:lastRenderedPageBreak/>
        <w:t>рачуноводства, а утврђује се на основу података о броју запослених у секторима и вансекторсим службама достављених од правне службе. Кључ се одређује квартално.</w:t>
      </w:r>
    </w:p>
    <w:p w14:paraId="742C6B69" w14:textId="77777777" w:rsidR="00F81DEE" w:rsidRPr="00BF3CDE" w:rsidRDefault="00F81DEE" w:rsidP="00D85921">
      <w:pPr>
        <w:spacing w:before="200"/>
        <w:ind w:firstLine="284"/>
        <w:jc w:val="both"/>
        <w:rPr>
          <w:rFonts w:ascii="Verdana" w:eastAsia="Calibri" w:hAnsi="Verdana"/>
          <w:noProof/>
          <w:sz w:val="20"/>
          <w:lang w:val="sr-Cyrl-CS"/>
        </w:rPr>
      </w:pPr>
      <w:r w:rsidRPr="00BF3CDE">
        <w:rPr>
          <w:rFonts w:ascii="Verdana" w:eastAsia="Calibri" w:hAnsi="Verdana"/>
          <w:noProof/>
          <w:sz w:val="20"/>
          <w:lang w:val="sr-Cyrl-CS"/>
        </w:rPr>
        <w:t>Трошкови прибаве представљају трошкове настале приликом обављања пословних активности реосигурања са сврхом повећања или одржавања  постојећег обима послова и прихода по истим.</w:t>
      </w:r>
    </w:p>
    <w:p w14:paraId="6721A10A" w14:textId="77777777" w:rsidR="00F81DEE" w:rsidRPr="00BF3CDE" w:rsidRDefault="00F81DEE" w:rsidP="00D85921">
      <w:pPr>
        <w:spacing w:before="200"/>
        <w:ind w:firstLine="284"/>
        <w:jc w:val="both"/>
        <w:rPr>
          <w:rFonts w:ascii="Verdana" w:eastAsia="Calibri" w:hAnsi="Verdana"/>
          <w:noProof/>
          <w:sz w:val="20"/>
          <w:lang w:val="sr-Cyrl-CS"/>
        </w:rPr>
      </w:pPr>
      <w:r w:rsidRPr="00BF3CDE">
        <w:rPr>
          <w:rFonts w:ascii="Verdana" w:eastAsia="Calibri" w:hAnsi="Verdana"/>
          <w:noProof/>
          <w:sz w:val="20"/>
          <w:lang w:val="sr-Cyrl-CS"/>
        </w:rPr>
        <w:t>Трошкови</w:t>
      </w:r>
      <w:r w:rsidRPr="00BF3CDE">
        <w:rPr>
          <w:noProof/>
          <w:lang w:val="sr-Cyrl-CS"/>
        </w:rPr>
        <w:t xml:space="preserve"> </w:t>
      </w:r>
      <w:r w:rsidRPr="00BF3CDE">
        <w:rPr>
          <w:rFonts w:ascii="Verdana" w:eastAsia="Calibri" w:hAnsi="Verdana"/>
          <w:noProof/>
          <w:sz w:val="20"/>
          <w:lang w:val="sr-Cyrl-CS"/>
        </w:rPr>
        <w:t>управе обухватају све административне трошкове који се не односе непостредно на закључивање уговора о реосигурању, ликвидацију штета и инвестициону активности Друштва, а чине их трошкови амортизације, трошкови уговвора о делу (за актуаре и остало), накнаде члановима Надзорног одбора и Комисије за ревизију, као и зараде свих запослених ван сектора реосигурања.</w:t>
      </w:r>
    </w:p>
    <w:p w14:paraId="42F1319B" w14:textId="77777777" w:rsidR="00F81DEE" w:rsidRPr="00BF3CDE" w:rsidRDefault="00F81DEE" w:rsidP="00D85921">
      <w:pPr>
        <w:jc w:val="center"/>
        <w:rPr>
          <w:b/>
          <w:i/>
          <w:noProof/>
          <w:color w:val="4F81BD" w:themeColor="accent1"/>
          <w:sz w:val="20"/>
          <w:szCs w:val="20"/>
          <w:lang w:val="sr-Cyrl-CS" w:eastAsia="ar-SA"/>
        </w:rPr>
      </w:pPr>
      <w:r w:rsidRPr="00BF3CDE">
        <w:rPr>
          <w:b/>
          <w:i/>
          <w:noProof/>
          <w:color w:val="4F81BD" w:themeColor="accent1"/>
          <w:sz w:val="20"/>
          <w:szCs w:val="20"/>
          <w:lang w:val="sr-Cyrl-CS" w:eastAsia="ar-SA"/>
        </w:rPr>
        <w:t>Преглед остварења ТСР према новом начину евидентирања у 000 РСД</w:t>
      </w:r>
    </w:p>
    <w:tbl>
      <w:tblPr>
        <w:tblStyle w:val="LightShading-Accent11"/>
        <w:tblW w:w="10050" w:type="dxa"/>
        <w:tblInd w:w="-318" w:type="dxa"/>
        <w:tblLayout w:type="fixed"/>
        <w:tblLook w:val="04E0" w:firstRow="1" w:lastRow="1" w:firstColumn="1" w:lastColumn="0" w:noHBand="0" w:noVBand="1"/>
      </w:tblPr>
      <w:tblGrid>
        <w:gridCol w:w="551"/>
        <w:gridCol w:w="3101"/>
        <w:gridCol w:w="1398"/>
        <w:gridCol w:w="1295"/>
        <w:gridCol w:w="1418"/>
        <w:gridCol w:w="1276"/>
        <w:gridCol w:w="1011"/>
      </w:tblGrid>
      <w:tr w:rsidR="001E0DAA" w:rsidRPr="00D95BED" w14:paraId="36AF1570" w14:textId="77777777" w:rsidTr="00D95BED">
        <w:trPr>
          <w:cnfStyle w:val="100000000000" w:firstRow="1" w:lastRow="0" w:firstColumn="0" w:lastColumn="0" w:oddVBand="0" w:evenVBand="0" w:oddHBand="0"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551" w:type="dxa"/>
            <w:vAlign w:val="center"/>
            <w:hideMark/>
          </w:tcPr>
          <w:p w14:paraId="3A08E50B" w14:textId="77777777" w:rsidR="005216BD" w:rsidRPr="00D95BED" w:rsidRDefault="005216BD" w:rsidP="00D95BED">
            <w:pPr>
              <w:jc w:val="center"/>
              <w:rPr>
                <w:rFonts w:eastAsia="Times New Roman" w:cs="Times New Roman"/>
                <w:noProof/>
                <w:color w:val="000000"/>
                <w:sz w:val="16"/>
                <w:szCs w:val="18"/>
                <w:lang w:val="sr-Cyrl-CS" w:eastAsia="sr-Latn-RS"/>
              </w:rPr>
            </w:pPr>
            <w:r w:rsidRPr="00D95BED">
              <w:rPr>
                <w:rFonts w:eastAsia="Times New Roman" w:cs="Times New Roman"/>
                <w:noProof/>
                <w:color w:val="000000"/>
                <w:sz w:val="16"/>
                <w:szCs w:val="18"/>
                <w:lang w:val="sr-Cyrl-CS" w:eastAsia="sr-Latn-RS"/>
              </w:rPr>
              <w:t>РБ</w:t>
            </w:r>
          </w:p>
        </w:tc>
        <w:tc>
          <w:tcPr>
            <w:tcW w:w="3101" w:type="dxa"/>
            <w:vAlign w:val="center"/>
            <w:hideMark/>
          </w:tcPr>
          <w:p w14:paraId="0247B9C1" w14:textId="77777777" w:rsidR="005216BD" w:rsidRPr="00D95BED" w:rsidRDefault="00D95BED" w:rsidP="00D95B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noProof/>
                <w:color w:val="000000"/>
                <w:sz w:val="16"/>
                <w:szCs w:val="18"/>
                <w:lang w:val="sr-Cyrl-CS" w:eastAsia="sr-Latn-RS"/>
              </w:rPr>
            </w:pPr>
            <w:r w:rsidRPr="00D95BED">
              <w:rPr>
                <w:rFonts w:eastAsia="Times New Roman" w:cs="Times New Roman"/>
                <w:noProof/>
                <w:color w:val="000000"/>
                <w:sz w:val="16"/>
                <w:szCs w:val="18"/>
                <w:lang w:val="sr-Cyrl-CS" w:eastAsia="sr-Latn-RS"/>
              </w:rPr>
              <w:t>В</w:t>
            </w:r>
            <w:r w:rsidR="005216BD" w:rsidRPr="00D95BED">
              <w:rPr>
                <w:rFonts w:eastAsia="Times New Roman" w:cs="Times New Roman"/>
                <w:noProof/>
                <w:color w:val="000000"/>
                <w:sz w:val="16"/>
                <w:szCs w:val="18"/>
                <w:lang w:val="sr-Cyrl-CS" w:eastAsia="sr-Latn-RS"/>
              </w:rPr>
              <w:t>рста трошка</w:t>
            </w:r>
          </w:p>
        </w:tc>
        <w:tc>
          <w:tcPr>
            <w:tcW w:w="1398" w:type="dxa"/>
            <w:vAlign w:val="center"/>
            <w:hideMark/>
          </w:tcPr>
          <w:p w14:paraId="14ADE407" w14:textId="77777777" w:rsidR="005216BD" w:rsidRPr="00D95BED" w:rsidRDefault="005216BD" w:rsidP="00D95B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noProof/>
                <w:color w:val="000000"/>
                <w:sz w:val="16"/>
                <w:szCs w:val="18"/>
                <w:lang w:val="sr-Cyrl-CS" w:eastAsia="sr-Latn-RS"/>
              </w:rPr>
            </w:pPr>
            <w:r w:rsidRPr="00D95BED">
              <w:rPr>
                <w:rFonts w:eastAsia="Times New Roman" w:cs="Times New Roman"/>
                <w:noProof/>
                <w:color w:val="000000"/>
                <w:sz w:val="16"/>
                <w:szCs w:val="18"/>
                <w:lang w:val="sr-Cyrl-CS" w:eastAsia="sr-Latn-RS"/>
              </w:rPr>
              <w:t>Остварење 2013</w:t>
            </w:r>
          </w:p>
        </w:tc>
        <w:tc>
          <w:tcPr>
            <w:tcW w:w="1295" w:type="dxa"/>
            <w:vAlign w:val="center"/>
            <w:hideMark/>
          </w:tcPr>
          <w:p w14:paraId="6E119BE3" w14:textId="77777777" w:rsidR="005216BD" w:rsidRPr="00D95BED" w:rsidRDefault="005216BD" w:rsidP="00D95B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noProof/>
                <w:color w:val="000000"/>
                <w:sz w:val="16"/>
                <w:szCs w:val="18"/>
                <w:lang w:val="sr-Cyrl-CS" w:eastAsia="sr-Latn-RS"/>
              </w:rPr>
            </w:pPr>
            <w:r w:rsidRPr="00D95BED">
              <w:rPr>
                <w:rFonts w:eastAsia="Times New Roman" w:cs="Times New Roman"/>
                <w:noProof/>
                <w:color w:val="000000"/>
                <w:sz w:val="16"/>
                <w:szCs w:val="18"/>
                <w:lang w:val="sr-Cyrl-CS" w:eastAsia="sr-Latn-RS"/>
              </w:rPr>
              <w:t>План</w:t>
            </w:r>
          </w:p>
          <w:p w14:paraId="34963EEA" w14:textId="77777777" w:rsidR="005216BD" w:rsidRPr="00D95BED" w:rsidRDefault="005216BD" w:rsidP="00D95B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noProof/>
                <w:color w:val="000000"/>
                <w:sz w:val="16"/>
                <w:szCs w:val="18"/>
                <w:lang w:val="sr-Cyrl-CS" w:eastAsia="sr-Latn-RS"/>
              </w:rPr>
            </w:pPr>
            <w:r w:rsidRPr="00D95BED">
              <w:rPr>
                <w:rFonts w:eastAsia="Times New Roman" w:cs="Times New Roman"/>
                <w:noProof/>
                <w:color w:val="000000"/>
                <w:sz w:val="16"/>
                <w:szCs w:val="18"/>
                <w:lang w:val="sr-Cyrl-CS" w:eastAsia="sr-Latn-RS"/>
              </w:rPr>
              <w:t>2014</w:t>
            </w:r>
          </w:p>
        </w:tc>
        <w:tc>
          <w:tcPr>
            <w:tcW w:w="1418" w:type="dxa"/>
            <w:vAlign w:val="center"/>
            <w:hideMark/>
          </w:tcPr>
          <w:p w14:paraId="02F85CC5" w14:textId="77777777" w:rsidR="005216BD" w:rsidRPr="00D95BED" w:rsidRDefault="005216BD" w:rsidP="00D95B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noProof/>
                <w:color w:val="000000"/>
                <w:sz w:val="16"/>
                <w:szCs w:val="18"/>
                <w:lang w:val="sr-Cyrl-CS" w:eastAsia="sr-Latn-RS"/>
              </w:rPr>
            </w:pPr>
            <w:r w:rsidRPr="00D95BED">
              <w:rPr>
                <w:rFonts w:eastAsia="Times New Roman" w:cs="Times New Roman"/>
                <w:noProof/>
                <w:color w:val="000000"/>
                <w:sz w:val="16"/>
                <w:szCs w:val="18"/>
                <w:lang w:val="sr-Cyrl-CS" w:eastAsia="sr-Latn-RS"/>
              </w:rPr>
              <w:t>Остварење</w:t>
            </w:r>
          </w:p>
          <w:p w14:paraId="0D0BA92B" w14:textId="77777777" w:rsidR="005216BD" w:rsidRPr="00D95BED" w:rsidRDefault="005216BD" w:rsidP="00D95B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noProof/>
                <w:color w:val="000000"/>
                <w:sz w:val="16"/>
                <w:szCs w:val="18"/>
                <w:lang w:val="sr-Cyrl-CS" w:eastAsia="sr-Latn-RS"/>
              </w:rPr>
            </w:pPr>
            <w:r w:rsidRPr="00D95BED">
              <w:rPr>
                <w:rFonts w:eastAsia="Times New Roman" w:cs="Times New Roman"/>
                <w:noProof/>
                <w:color w:val="000000"/>
                <w:sz w:val="16"/>
                <w:szCs w:val="18"/>
                <w:lang w:val="sr-Cyrl-CS" w:eastAsia="sr-Latn-RS"/>
              </w:rPr>
              <w:t>2014</w:t>
            </w:r>
          </w:p>
        </w:tc>
        <w:tc>
          <w:tcPr>
            <w:tcW w:w="1276" w:type="dxa"/>
            <w:vAlign w:val="center"/>
            <w:hideMark/>
          </w:tcPr>
          <w:p w14:paraId="1365818F" w14:textId="77777777" w:rsidR="005216BD" w:rsidRPr="00D95BED" w:rsidRDefault="005216BD" w:rsidP="00D95B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noProof/>
                <w:color w:val="000000"/>
                <w:sz w:val="16"/>
                <w:szCs w:val="18"/>
                <w:lang w:val="sr-Cyrl-CS" w:eastAsia="sr-Latn-RS"/>
              </w:rPr>
            </w:pPr>
            <w:r w:rsidRPr="00D95BED">
              <w:rPr>
                <w:rFonts w:eastAsia="Times New Roman" w:cs="Times New Roman"/>
                <w:noProof/>
                <w:color w:val="000000"/>
                <w:sz w:val="16"/>
                <w:szCs w:val="18"/>
                <w:lang w:val="sr-Cyrl-CS" w:eastAsia="sr-Latn-RS"/>
              </w:rPr>
              <w:t>Остварење 2014/</w:t>
            </w:r>
          </w:p>
          <w:p w14:paraId="3828187E" w14:textId="77777777" w:rsidR="005216BD" w:rsidRPr="00D95BED" w:rsidRDefault="005216BD" w:rsidP="00D95B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noProof/>
                <w:color w:val="000000"/>
                <w:sz w:val="16"/>
                <w:szCs w:val="18"/>
                <w:lang w:val="sr-Cyrl-CS" w:eastAsia="sr-Latn-RS"/>
              </w:rPr>
            </w:pPr>
            <w:r w:rsidRPr="00D95BED">
              <w:rPr>
                <w:rFonts w:eastAsia="Times New Roman" w:cs="Times New Roman"/>
                <w:noProof/>
                <w:color w:val="000000"/>
                <w:sz w:val="16"/>
                <w:szCs w:val="18"/>
                <w:lang w:val="sr-Cyrl-CS" w:eastAsia="sr-Latn-RS"/>
              </w:rPr>
              <w:t>Остварење 2013</w:t>
            </w:r>
          </w:p>
        </w:tc>
        <w:tc>
          <w:tcPr>
            <w:tcW w:w="1011" w:type="dxa"/>
            <w:vAlign w:val="center"/>
            <w:hideMark/>
          </w:tcPr>
          <w:p w14:paraId="75406449" w14:textId="77777777" w:rsidR="005216BD" w:rsidRPr="00D95BED" w:rsidRDefault="005216BD" w:rsidP="00D95B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noProof/>
                <w:color w:val="000000"/>
                <w:sz w:val="16"/>
                <w:szCs w:val="18"/>
                <w:lang w:val="sr-Cyrl-CS" w:eastAsia="sr-Latn-RS"/>
              </w:rPr>
            </w:pPr>
            <w:r w:rsidRPr="00D95BED">
              <w:rPr>
                <w:rFonts w:eastAsia="Times New Roman" w:cs="Times New Roman"/>
                <w:noProof/>
                <w:color w:val="000000"/>
                <w:sz w:val="16"/>
                <w:szCs w:val="18"/>
                <w:lang w:val="sr-Cyrl-CS" w:eastAsia="sr-Latn-RS"/>
              </w:rPr>
              <w:t>План 2014/</w:t>
            </w:r>
          </w:p>
          <w:p w14:paraId="42544A31" w14:textId="77777777" w:rsidR="005216BD" w:rsidRPr="00D95BED" w:rsidRDefault="005216BD" w:rsidP="00D95B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noProof/>
                <w:color w:val="000000"/>
                <w:sz w:val="16"/>
                <w:szCs w:val="18"/>
                <w:lang w:val="sr-Cyrl-CS" w:eastAsia="sr-Latn-RS"/>
              </w:rPr>
            </w:pPr>
            <w:r w:rsidRPr="00D95BED">
              <w:rPr>
                <w:rFonts w:eastAsia="Times New Roman" w:cs="Times New Roman"/>
                <w:noProof/>
                <w:color w:val="000000"/>
                <w:sz w:val="16"/>
                <w:szCs w:val="18"/>
                <w:lang w:val="sr-Cyrl-CS" w:eastAsia="sr-Latn-RS"/>
              </w:rPr>
              <w:t>План 2013</w:t>
            </w:r>
          </w:p>
        </w:tc>
      </w:tr>
      <w:tr w:rsidR="005216BD" w:rsidRPr="00D95BED" w14:paraId="3A1EB683" w14:textId="77777777" w:rsidTr="00D95BED">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551" w:type="dxa"/>
            <w:tcBorders>
              <w:top w:val="single" w:sz="8" w:space="0" w:color="4F81BD" w:themeColor="accent1"/>
              <w:bottom w:val="single" w:sz="8" w:space="0" w:color="4F81BD" w:themeColor="accent1"/>
            </w:tcBorders>
            <w:shd w:val="clear" w:color="auto" w:fill="auto"/>
            <w:vAlign w:val="center"/>
            <w:hideMark/>
          </w:tcPr>
          <w:p w14:paraId="75D64925" w14:textId="77777777" w:rsidR="005216BD" w:rsidRPr="00D95BED" w:rsidRDefault="005216BD" w:rsidP="00D95BED">
            <w:pPr>
              <w:jc w:val="center"/>
              <w:rPr>
                <w:rFonts w:eastAsia="Times New Roman" w:cs="Times New Roman"/>
                <w:noProof/>
                <w:color w:val="000000"/>
                <w:sz w:val="14"/>
                <w:szCs w:val="18"/>
                <w:lang w:val="sr-Cyrl-CS" w:eastAsia="sr-Latn-RS"/>
              </w:rPr>
            </w:pPr>
            <w:r w:rsidRPr="00D95BED">
              <w:rPr>
                <w:rFonts w:eastAsia="Times New Roman" w:cs="Times New Roman"/>
                <w:noProof/>
                <w:color w:val="000000"/>
                <w:sz w:val="14"/>
                <w:szCs w:val="18"/>
                <w:lang w:val="sr-Cyrl-CS" w:eastAsia="sr-Latn-RS"/>
              </w:rPr>
              <w:t>0</w:t>
            </w:r>
          </w:p>
        </w:tc>
        <w:tc>
          <w:tcPr>
            <w:tcW w:w="3101" w:type="dxa"/>
            <w:tcBorders>
              <w:top w:val="single" w:sz="8" w:space="0" w:color="4F81BD" w:themeColor="accent1"/>
              <w:bottom w:val="single" w:sz="8" w:space="0" w:color="4F81BD" w:themeColor="accent1"/>
            </w:tcBorders>
            <w:shd w:val="clear" w:color="auto" w:fill="auto"/>
            <w:vAlign w:val="center"/>
            <w:hideMark/>
          </w:tcPr>
          <w:p w14:paraId="38C0FA04" w14:textId="77777777" w:rsidR="005216BD" w:rsidRPr="00D95BED" w:rsidRDefault="005216BD" w:rsidP="00D95BED">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noProof/>
                <w:color w:val="000000"/>
                <w:sz w:val="14"/>
                <w:szCs w:val="18"/>
                <w:lang w:val="sr-Cyrl-CS" w:eastAsia="sr-Latn-RS"/>
              </w:rPr>
            </w:pPr>
            <w:r w:rsidRPr="00D95BED">
              <w:rPr>
                <w:rFonts w:eastAsia="Times New Roman" w:cs="Times New Roman"/>
                <w:b/>
                <w:noProof/>
                <w:color w:val="000000"/>
                <w:sz w:val="14"/>
                <w:szCs w:val="18"/>
                <w:lang w:val="sr-Cyrl-CS" w:eastAsia="sr-Latn-RS"/>
              </w:rPr>
              <w:t>1</w:t>
            </w:r>
          </w:p>
        </w:tc>
        <w:tc>
          <w:tcPr>
            <w:tcW w:w="1398" w:type="dxa"/>
            <w:tcBorders>
              <w:top w:val="single" w:sz="8" w:space="0" w:color="4F81BD" w:themeColor="accent1"/>
              <w:bottom w:val="single" w:sz="8" w:space="0" w:color="4F81BD" w:themeColor="accent1"/>
            </w:tcBorders>
            <w:shd w:val="clear" w:color="auto" w:fill="auto"/>
            <w:vAlign w:val="center"/>
            <w:hideMark/>
          </w:tcPr>
          <w:p w14:paraId="5E4442BE" w14:textId="77777777" w:rsidR="005216BD" w:rsidRPr="00D95BED" w:rsidRDefault="005216BD" w:rsidP="00D95BED">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14"/>
                <w:szCs w:val="18"/>
                <w:lang w:val="sr-Cyrl-CS" w:eastAsia="sr-Latn-RS"/>
              </w:rPr>
            </w:pPr>
            <w:r w:rsidRPr="00D95BED">
              <w:rPr>
                <w:rFonts w:eastAsia="Times New Roman" w:cs="Times New Roman"/>
                <w:noProof/>
                <w:color w:val="000000"/>
                <w:sz w:val="14"/>
                <w:szCs w:val="18"/>
                <w:lang w:val="sr-Cyrl-CS" w:eastAsia="sr-Latn-RS"/>
              </w:rPr>
              <w:t>2</w:t>
            </w:r>
          </w:p>
        </w:tc>
        <w:tc>
          <w:tcPr>
            <w:tcW w:w="1295" w:type="dxa"/>
            <w:tcBorders>
              <w:top w:val="single" w:sz="8" w:space="0" w:color="4F81BD" w:themeColor="accent1"/>
              <w:bottom w:val="single" w:sz="8" w:space="0" w:color="4F81BD" w:themeColor="accent1"/>
            </w:tcBorders>
            <w:shd w:val="clear" w:color="auto" w:fill="auto"/>
            <w:vAlign w:val="center"/>
            <w:hideMark/>
          </w:tcPr>
          <w:p w14:paraId="7BC16450" w14:textId="77777777" w:rsidR="005216BD" w:rsidRPr="00D95BED" w:rsidRDefault="00F81DEE" w:rsidP="00D95BED">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14"/>
                <w:szCs w:val="18"/>
                <w:lang w:val="sr-Cyrl-CS" w:eastAsia="sr-Latn-RS"/>
              </w:rPr>
            </w:pPr>
            <w:r w:rsidRPr="00D95BED">
              <w:rPr>
                <w:rFonts w:eastAsia="Times New Roman" w:cs="Times New Roman"/>
                <w:noProof/>
                <w:color w:val="000000"/>
                <w:sz w:val="14"/>
                <w:szCs w:val="18"/>
                <w:lang w:val="sr-Cyrl-CS" w:eastAsia="sr-Latn-RS"/>
              </w:rPr>
              <w:t>3</w:t>
            </w:r>
          </w:p>
        </w:tc>
        <w:tc>
          <w:tcPr>
            <w:tcW w:w="1418" w:type="dxa"/>
            <w:tcBorders>
              <w:top w:val="single" w:sz="8" w:space="0" w:color="4F81BD" w:themeColor="accent1"/>
              <w:bottom w:val="single" w:sz="8" w:space="0" w:color="4F81BD" w:themeColor="accent1"/>
            </w:tcBorders>
            <w:shd w:val="clear" w:color="auto" w:fill="auto"/>
            <w:vAlign w:val="center"/>
            <w:hideMark/>
          </w:tcPr>
          <w:p w14:paraId="4532437A" w14:textId="77777777" w:rsidR="005216BD" w:rsidRPr="00D95BED" w:rsidRDefault="00F81DEE" w:rsidP="00D95BED">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14"/>
                <w:szCs w:val="18"/>
                <w:lang w:val="sr-Cyrl-CS" w:eastAsia="sr-Latn-RS"/>
              </w:rPr>
            </w:pPr>
            <w:r w:rsidRPr="00D95BED">
              <w:rPr>
                <w:rFonts w:eastAsia="Times New Roman" w:cs="Times New Roman"/>
                <w:noProof/>
                <w:color w:val="000000"/>
                <w:sz w:val="14"/>
                <w:szCs w:val="18"/>
                <w:lang w:val="sr-Cyrl-CS" w:eastAsia="sr-Latn-RS"/>
              </w:rPr>
              <w:t>4</w:t>
            </w:r>
          </w:p>
        </w:tc>
        <w:tc>
          <w:tcPr>
            <w:tcW w:w="1276" w:type="dxa"/>
            <w:tcBorders>
              <w:top w:val="single" w:sz="8" w:space="0" w:color="4F81BD" w:themeColor="accent1"/>
              <w:bottom w:val="single" w:sz="8" w:space="0" w:color="4F81BD" w:themeColor="accent1"/>
            </w:tcBorders>
            <w:shd w:val="clear" w:color="auto" w:fill="auto"/>
            <w:vAlign w:val="center"/>
            <w:hideMark/>
          </w:tcPr>
          <w:p w14:paraId="3453873F" w14:textId="77777777" w:rsidR="005216BD" w:rsidRPr="00D95BED" w:rsidRDefault="00F81DEE" w:rsidP="00D95BED">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14"/>
                <w:szCs w:val="18"/>
                <w:lang w:val="sr-Cyrl-CS" w:eastAsia="sr-Latn-RS"/>
              </w:rPr>
            </w:pPr>
            <w:r w:rsidRPr="00D95BED">
              <w:rPr>
                <w:rFonts w:eastAsia="Times New Roman" w:cs="Times New Roman"/>
                <w:noProof/>
                <w:color w:val="000000"/>
                <w:sz w:val="14"/>
                <w:szCs w:val="18"/>
                <w:lang w:val="sr-Cyrl-CS" w:eastAsia="sr-Latn-RS"/>
              </w:rPr>
              <w:t>5(4/2)</w:t>
            </w:r>
          </w:p>
        </w:tc>
        <w:tc>
          <w:tcPr>
            <w:tcW w:w="1011" w:type="dxa"/>
            <w:tcBorders>
              <w:top w:val="single" w:sz="8" w:space="0" w:color="4F81BD" w:themeColor="accent1"/>
              <w:bottom w:val="single" w:sz="8" w:space="0" w:color="4F81BD" w:themeColor="accent1"/>
            </w:tcBorders>
            <w:shd w:val="clear" w:color="auto" w:fill="auto"/>
            <w:vAlign w:val="center"/>
            <w:hideMark/>
          </w:tcPr>
          <w:p w14:paraId="03785342" w14:textId="77777777" w:rsidR="005216BD" w:rsidRPr="00D95BED" w:rsidRDefault="00F81DEE" w:rsidP="00D95BED">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14"/>
                <w:szCs w:val="18"/>
                <w:lang w:val="sr-Cyrl-CS" w:eastAsia="sr-Latn-RS"/>
              </w:rPr>
            </w:pPr>
            <w:r w:rsidRPr="00D95BED">
              <w:rPr>
                <w:rFonts w:eastAsia="Times New Roman" w:cs="Times New Roman"/>
                <w:noProof/>
                <w:color w:val="000000"/>
                <w:sz w:val="14"/>
                <w:szCs w:val="18"/>
                <w:lang w:val="sr-Cyrl-CS" w:eastAsia="sr-Latn-RS"/>
              </w:rPr>
              <w:t>6(4/3)</w:t>
            </w:r>
          </w:p>
        </w:tc>
      </w:tr>
      <w:tr w:rsidR="001E0DAA" w:rsidRPr="00D95BED" w14:paraId="17EF44CF" w14:textId="77777777" w:rsidTr="00D95BED">
        <w:trPr>
          <w:trHeight w:val="283"/>
        </w:trPr>
        <w:tc>
          <w:tcPr>
            <w:cnfStyle w:val="001000000000" w:firstRow="0" w:lastRow="0" w:firstColumn="1" w:lastColumn="0" w:oddVBand="0" w:evenVBand="0" w:oddHBand="0" w:evenHBand="0" w:firstRowFirstColumn="0" w:firstRowLastColumn="0" w:lastRowFirstColumn="0" w:lastRowLastColumn="0"/>
            <w:tcW w:w="551" w:type="dxa"/>
            <w:tcBorders>
              <w:top w:val="single" w:sz="8" w:space="0" w:color="4F81BD" w:themeColor="accent1"/>
            </w:tcBorders>
            <w:noWrap/>
            <w:vAlign w:val="center"/>
            <w:hideMark/>
          </w:tcPr>
          <w:p w14:paraId="474C8785" w14:textId="77777777" w:rsidR="005216BD" w:rsidRPr="00D95BED" w:rsidRDefault="005216BD" w:rsidP="00D95BED">
            <w:pPr>
              <w:jc w:val="center"/>
              <w:rPr>
                <w:rFonts w:eastAsia="Times New Roman" w:cs="Times New Roman"/>
                <w:b w:val="0"/>
                <w:noProof/>
                <w:color w:val="000000"/>
                <w:sz w:val="20"/>
                <w:szCs w:val="20"/>
                <w:lang w:val="sr-Cyrl-CS" w:eastAsia="sr-Latn-RS"/>
              </w:rPr>
            </w:pPr>
            <w:r w:rsidRPr="00D95BED">
              <w:rPr>
                <w:rFonts w:eastAsia="Times New Roman" w:cs="Times New Roman"/>
                <w:b w:val="0"/>
                <w:noProof/>
                <w:color w:val="000000"/>
                <w:sz w:val="20"/>
                <w:szCs w:val="20"/>
                <w:lang w:val="sr-Cyrl-CS" w:eastAsia="sr-Latn-RS"/>
              </w:rPr>
              <w:t>1</w:t>
            </w:r>
          </w:p>
        </w:tc>
        <w:tc>
          <w:tcPr>
            <w:tcW w:w="3101" w:type="dxa"/>
            <w:tcBorders>
              <w:top w:val="single" w:sz="8" w:space="0" w:color="4F81BD" w:themeColor="accent1"/>
            </w:tcBorders>
            <w:vAlign w:val="center"/>
            <w:hideMark/>
          </w:tcPr>
          <w:p w14:paraId="5DF7E18A" w14:textId="77777777" w:rsidR="005216BD" w:rsidRPr="00D95BED" w:rsidRDefault="005216BD" w:rsidP="00D95BED">
            <w:pPr>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Амортизација</w:t>
            </w:r>
          </w:p>
        </w:tc>
        <w:tc>
          <w:tcPr>
            <w:tcW w:w="1398" w:type="dxa"/>
            <w:tcBorders>
              <w:top w:val="single" w:sz="8" w:space="0" w:color="4F81BD" w:themeColor="accent1"/>
            </w:tcBorders>
            <w:noWrap/>
            <w:vAlign w:val="center"/>
            <w:hideMark/>
          </w:tcPr>
          <w:p w14:paraId="09945E60" w14:textId="77777777" w:rsidR="005216BD" w:rsidRPr="00D95BED" w:rsidRDefault="005216BD" w:rsidP="00D95B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10,304</w:t>
            </w:r>
          </w:p>
        </w:tc>
        <w:tc>
          <w:tcPr>
            <w:tcW w:w="1295" w:type="dxa"/>
            <w:tcBorders>
              <w:top w:val="single" w:sz="8" w:space="0" w:color="4F81BD" w:themeColor="accent1"/>
            </w:tcBorders>
            <w:noWrap/>
            <w:vAlign w:val="center"/>
            <w:hideMark/>
          </w:tcPr>
          <w:p w14:paraId="1BF54A4A" w14:textId="77777777" w:rsidR="005216BD" w:rsidRPr="00D95BED" w:rsidRDefault="005216BD" w:rsidP="00D95B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10,510</w:t>
            </w:r>
          </w:p>
        </w:tc>
        <w:tc>
          <w:tcPr>
            <w:tcW w:w="1418" w:type="dxa"/>
            <w:tcBorders>
              <w:top w:val="single" w:sz="8" w:space="0" w:color="4F81BD" w:themeColor="accent1"/>
            </w:tcBorders>
            <w:noWrap/>
            <w:vAlign w:val="center"/>
            <w:hideMark/>
          </w:tcPr>
          <w:p w14:paraId="2C2FC250" w14:textId="77777777" w:rsidR="005216BD" w:rsidRPr="00D95BED" w:rsidRDefault="005216BD" w:rsidP="00D95B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10,625</w:t>
            </w:r>
          </w:p>
        </w:tc>
        <w:tc>
          <w:tcPr>
            <w:tcW w:w="1276" w:type="dxa"/>
            <w:tcBorders>
              <w:top w:val="single" w:sz="8" w:space="0" w:color="4F81BD" w:themeColor="accent1"/>
            </w:tcBorders>
            <w:noWrap/>
            <w:vAlign w:val="center"/>
            <w:hideMark/>
          </w:tcPr>
          <w:p w14:paraId="3F3E5134" w14:textId="77777777" w:rsidR="005216BD" w:rsidRPr="00D95BED" w:rsidRDefault="005216BD" w:rsidP="00D95BED">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103.12</w:t>
            </w:r>
          </w:p>
        </w:tc>
        <w:tc>
          <w:tcPr>
            <w:tcW w:w="1011" w:type="dxa"/>
            <w:tcBorders>
              <w:top w:val="single" w:sz="8" w:space="0" w:color="4F81BD" w:themeColor="accent1"/>
            </w:tcBorders>
            <w:noWrap/>
            <w:vAlign w:val="center"/>
            <w:hideMark/>
          </w:tcPr>
          <w:p w14:paraId="54BDFF12" w14:textId="77777777" w:rsidR="005216BD" w:rsidRPr="00D95BED" w:rsidRDefault="005216BD" w:rsidP="00D95BED">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101.09</w:t>
            </w:r>
          </w:p>
        </w:tc>
      </w:tr>
      <w:tr w:rsidR="005216BD" w:rsidRPr="00D95BED" w14:paraId="41B1EB1B" w14:textId="77777777" w:rsidTr="00D95BE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551" w:type="dxa"/>
            <w:noWrap/>
            <w:vAlign w:val="center"/>
            <w:hideMark/>
          </w:tcPr>
          <w:p w14:paraId="512F88EC" w14:textId="77777777" w:rsidR="005216BD" w:rsidRPr="00D95BED" w:rsidRDefault="005216BD" w:rsidP="00D95BED">
            <w:pPr>
              <w:jc w:val="center"/>
              <w:rPr>
                <w:rFonts w:eastAsia="Times New Roman" w:cs="Times New Roman"/>
                <w:b w:val="0"/>
                <w:noProof/>
                <w:color w:val="000000"/>
                <w:sz w:val="20"/>
                <w:szCs w:val="20"/>
                <w:lang w:val="sr-Cyrl-CS" w:eastAsia="sr-Latn-RS"/>
              </w:rPr>
            </w:pPr>
            <w:r w:rsidRPr="00D95BED">
              <w:rPr>
                <w:rFonts w:eastAsia="Times New Roman" w:cs="Times New Roman"/>
                <w:b w:val="0"/>
                <w:noProof/>
                <w:color w:val="000000"/>
                <w:sz w:val="20"/>
                <w:szCs w:val="20"/>
                <w:lang w:val="sr-Cyrl-CS" w:eastAsia="sr-Latn-RS"/>
              </w:rPr>
              <w:t>2</w:t>
            </w:r>
          </w:p>
        </w:tc>
        <w:tc>
          <w:tcPr>
            <w:tcW w:w="3101" w:type="dxa"/>
            <w:vAlign w:val="center"/>
            <w:hideMark/>
          </w:tcPr>
          <w:p w14:paraId="27A4A9C4" w14:textId="77777777" w:rsidR="005216BD" w:rsidRPr="00D95BED" w:rsidRDefault="005216BD" w:rsidP="00D95BED">
            <w:pPr>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Резервисања по МРС</w:t>
            </w:r>
          </w:p>
        </w:tc>
        <w:tc>
          <w:tcPr>
            <w:tcW w:w="1398" w:type="dxa"/>
            <w:noWrap/>
            <w:vAlign w:val="center"/>
            <w:hideMark/>
          </w:tcPr>
          <w:p w14:paraId="73118A7C" w14:textId="77777777" w:rsidR="005216BD" w:rsidRPr="00D95BED" w:rsidRDefault="005216BD" w:rsidP="00D95B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778</w:t>
            </w:r>
          </w:p>
        </w:tc>
        <w:tc>
          <w:tcPr>
            <w:tcW w:w="1295" w:type="dxa"/>
            <w:noWrap/>
            <w:vAlign w:val="center"/>
            <w:hideMark/>
          </w:tcPr>
          <w:p w14:paraId="02FA9F6D" w14:textId="77777777" w:rsidR="005216BD" w:rsidRPr="00D95BED" w:rsidRDefault="005216BD" w:rsidP="00D95B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1,911</w:t>
            </w:r>
          </w:p>
        </w:tc>
        <w:tc>
          <w:tcPr>
            <w:tcW w:w="1418" w:type="dxa"/>
            <w:noWrap/>
            <w:vAlign w:val="center"/>
            <w:hideMark/>
          </w:tcPr>
          <w:p w14:paraId="63C2CD1F" w14:textId="77777777" w:rsidR="005216BD" w:rsidRPr="00D95BED" w:rsidRDefault="005216BD" w:rsidP="00D95B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1,073</w:t>
            </w:r>
          </w:p>
        </w:tc>
        <w:tc>
          <w:tcPr>
            <w:tcW w:w="1276" w:type="dxa"/>
            <w:noWrap/>
            <w:vAlign w:val="center"/>
            <w:hideMark/>
          </w:tcPr>
          <w:p w14:paraId="434404C4" w14:textId="77777777" w:rsidR="005216BD" w:rsidRPr="00D95BED" w:rsidRDefault="005216BD" w:rsidP="00D95BED">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137.82</w:t>
            </w:r>
          </w:p>
        </w:tc>
        <w:tc>
          <w:tcPr>
            <w:tcW w:w="1011" w:type="dxa"/>
            <w:noWrap/>
            <w:vAlign w:val="center"/>
            <w:hideMark/>
          </w:tcPr>
          <w:p w14:paraId="2377B044" w14:textId="77777777" w:rsidR="005216BD" w:rsidRPr="00D95BED" w:rsidRDefault="005216BD" w:rsidP="00D95BED">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56.14</w:t>
            </w:r>
          </w:p>
        </w:tc>
      </w:tr>
      <w:tr w:rsidR="001E0DAA" w:rsidRPr="00D95BED" w14:paraId="3EF0B37D" w14:textId="77777777" w:rsidTr="00D95BED">
        <w:trPr>
          <w:trHeight w:val="283"/>
        </w:trPr>
        <w:tc>
          <w:tcPr>
            <w:cnfStyle w:val="001000000000" w:firstRow="0" w:lastRow="0" w:firstColumn="1" w:lastColumn="0" w:oddVBand="0" w:evenVBand="0" w:oddHBand="0" w:evenHBand="0" w:firstRowFirstColumn="0" w:firstRowLastColumn="0" w:lastRowFirstColumn="0" w:lastRowLastColumn="0"/>
            <w:tcW w:w="551" w:type="dxa"/>
            <w:noWrap/>
            <w:vAlign w:val="center"/>
            <w:hideMark/>
          </w:tcPr>
          <w:p w14:paraId="619552CF" w14:textId="77777777" w:rsidR="005216BD" w:rsidRPr="00D95BED" w:rsidRDefault="005216BD" w:rsidP="00D95BED">
            <w:pPr>
              <w:jc w:val="center"/>
              <w:rPr>
                <w:rFonts w:eastAsia="Times New Roman" w:cs="Times New Roman"/>
                <w:b w:val="0"/>
                <w:noProof/>
                <w:color w:val="000000"/>
                <w:sz w:val="20"/>
                <w:szCs w:val="20"/>
                <w:lang w:val="sr-Cyrl-CS" w:eastAsia="sr-Latn-RS"/>
              </w:rPr>
            </w:pPr>
            <w:r w:rsidRPr="00D95BED">
              <w:rPr>
                <w:rFonts w:eastAsia="Times New Roman" w:cs="Times New Roman"/>
                <w:b w:val="0"/>
                <w:noProof/>
                <w:color w:val="000000"/>
                <w:sz w:val="20"/>
                <w:szCs w:val="20"/>
                <w:lang w:val="sr-Cyrl-CS" w:eastAsia="sr-Latn-RS"/>
              </w:rPr>
              <w:t>3</w:t>
            </w:r>
          </w:p>
        </w:tc>
        <w:tc>
          <w:tcPr>
            <w:tcW w:w="3101" w:type="dxa"/>
            <w:vAlign w:val="center"/>
            <w:hideMark/>
          </w:tcPr>
          <w:p w14:paraId="3896AD89" w14:textId="77777777" w:rsidR="005216BD" w:rsidRPr="00D95BED" w:rsidRDefault="005216BD" w:rsidP="00D95BED">
            <w:pPr>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Трошкови материјала</w:t>
            </w:r>
          </w:p>
        </w:tc>
        <w:tc>
          <w:tcPr>
            <w:tcW w:w="1398" w:type="dxa"/>
            <w:noWrap/>
            <w:vAlign w:val="center"/>
            <w:hideMark/>
          </w:tcPr>
          <w:p w14:paraId="078C2E8D" w14:textId="77777777" w:rsidR="005216BD" w:rsidRPr="00D95BED" w:rsidRDefault="005216BD" w:rsidP="00D95B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1,058</w:t>
            </w:r>
          </w:p>
        </w:tc>
        <w:tc>
          <w:tcPr>
            <w:tcW w:w="1295" w:type="dxa"/>
            <w:noWrap/>
            <w:vAlign w:val="center"/>
            <w:hideMark/>
          </w:tcPr>
          <w:p w14:paraId="27E2792B" w14:textId="77777777" w:rsidR="005216BD" w:rsidRPr="00D95BED" w:rsidRDefault="005216BD" w:rsidP="00D95B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1,136</w:t>
            </w:r>
          </w:p>
        </w:tc>
        <w:tc>
          <w:tcPr>
            <w:tcW w:w="1418" w:type="dxa"/>
            <w:noWrap/>
            <w:vAlign w:val="center"/>
            <w:hideMark/>
          </w:tcPr>
          <w:p w14:paraId="364F24F6" w14:textId="77777777" w:rsidR="005216BD" w:rsidRPr="00D95BED" w:rsidRDefault="005216BD" w:rsidP="00D95B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729</w:t>
            </w:r>
          </w:p>
        </w:tc>
        <w:tc>
          <w:tcPr>
            <w:tcW w:w="1276" w:type="dxa"/>
            <w:noWrap/>
            <w:vAlign w:val="center"/>
            <w:hideMark/>
          </w:tcPr>
          <w:p w14:paraId="1549D001" w14:textId="77777777" w:rsidR="005216BD" w:rsidRPr="00D95BED" w:rsidRDefault="005216BD" w:rsidP="00D95BED">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68.95</w:t>
            </w:r>
          </w:p>
        </w:tc>
        <w:tc>
          <w:tcPr>
            <w:tcW w:w="1011" w:type="dxa"/>
            <w:noWrap/>
            <w:vAlign w:val="center"/>
            <w:hideMark/>
          </w:tcPr>
          <w:p w14:paraId="4BBD79A6" w14:textId="77777777" w:rsidR="005216BD" w:rsidRPr="00D95BED" w:rsidRDefault="005216BD" w:rsidP="00D95BED">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64.20</w:t>
            </w:r>
          </w:p>
        </w:tc>
      </w:tr>
      <w:tr w:rsidR="005216BD" w:rsidRPr="00D95BED" w14:paraId="7E65832B" w14:textId="77777777" w:rsidTr="00D95BE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551" w:type="dxa"/>
            <w:noWrap/>
            <w:vAlign w:val="center"/>
            <w:hideMark/>
          </w:tcPr>
          <w:p w14:paraId="3322A89D" w14:textId="77777777" w:rsidR="005216BD" w:rsidRPr="00D95BED" w:rsidRDefault="005216BD" w:rsidP="00D95BED">
            <w:pPr>
              <w:jc w:val="center"/>
              <w:rPr>
                <w:rFonts w:eastAsia="Times New Roman" w:cs="Times New Roman"/>
                <w:b w:val="0"/>
                <w:noProof/>
                <w:color w:val="000000"/>
                <w:sz w:val="20"/>
                <w:szCs w:val="20"/>
                <w:lang w:val="sr-Cyrl-CS" w:eastAsia="sr-Latn-RS"/>
              </w:rPr>
            </w:pPr>
            <w:r w:rsidRPr="00D95BED">
              <w:rPr>
                <w:rFonts w:eastAsia="Times New Roman" w:cs="Times New Roman"/>
                <w:b w:val="0"/>
                <w:noProof/>
                <w:color w:val="000000"/>
                <w:sz w:val="20"/>
                <w:szCs w:val="20"/>
                <w:lang w:val="sr-Cyrl-CS" w:eastAsia="sr-Latn-RS"/>
              </w:rPr>
              <w:t>4</w:t>
            </w:r>
          </w:p>
        </w:tc>
        <w:tc>
          <w:tcPr>
            <w:tcW w:w="3101" w:type="dxa"/>
            <w:vAlign w:val="center"/>
            <w:hideMark/>
          </w:tcPr>
          <w:p w14:paraId="53AB5F95" w14:textId="77777777" w:rsidR="005216BD" w:rsidRPr="00D95BED" w:rsidRDefault="005216BD" w:rsidP="00D95BED">
            <w:pPr>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Гориво и енергија</w:t>
            </w:r>
          </w:p>
        </w:tc>
        <w:tc>
          <w:tcPr>
            <w:tcW w:w="1398" w:type="dxa"/>
            <w:noWrap/>
            <w:vAlign w:val="center"/>
            <w:hideMark/>
          </w:tcPr>
          <w:p w14:paraId="707EBB15" w14:textId="77777777" w:rsidR="005216BD" w:rsidRPr="00D95BED" w:rsidRDefault="005216BD" w:rsidP="00D95B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1,881</w:t>
            </w:r>
          </w:p>
        </w:tc>
        <w:tc>
          <w:tcPr>
            <w:tcW w:w="1295" w:type="dxa"/>
            <w:noWrap/>
            <w:vAlign w:val="center"/>
            <w:hideMark/>
          </w:tcPr>
          <w:p w14:paraId="48DBFA4E" w14:textId="77777777" w:rsidR="005216BD" w:rsidRPr="00D95BED" w:rsidRDefault="005216BD" w:rsidP="00D95B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2,389</w:t>
            </w:r>
          </w:p>
        </w:tc>
        <w:tc>
          <w:tcPr>
            <w:tcW w:w="1418" w:type="dxa"/>
            <w:noWrap/>
            <w:vAlign w:val="center"/>
            <w:hideMark/>
          </w:tcPr>
          <w:p w14:paraId="3A1E6EE8" w14:textId="77777777" w:rsidR="005216BD" w:rsidRPr="00D95BED" w:rsidRDefault="005216BD" w:rsidP="00D95B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707</w:t>
            </w:r>
          </w:p>
        </w:tc>
        <w:tc>
          <w:tcPr>
            <w:tcW w:w="1276" w:type="dxa"/>
            <w:noWrap/>
            <w:vAlign w:val="center"/>
            <w:hideMark/>
          </w:tcPr>
          <w:p w14:paraId="3C919BB0" w14:textId="77777777" w:rsidR="005216BD" w:rsidRPr="00D95BED" w:rsidRDefault="005216BD" w:rsidP="00D95BED">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37.60</w:t>
            </w:r>
          </w:p>
        </w:tc>
        <w:tc>
          <w:tcPr>
            <w:tcW w:w="1011" w:type="dxa"/>
            <w:noWrap/>
            <w:vAlign w:val="center"/>
            <w:hideMark/>
          </w:tcPr>
          <w:p w14:paraId="390E8DDF" w14:textId="77777777" w:rsidR="005216BD" w:rsidRPr="00D95BED" w:rsidRDefault="005216BD" w:rsidP="00D95BED">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29.61</w:t>
            </w:r>
          </w:p>
        </w:tc>
      </w:tr>
      <w:tr w:rsidR="001E0DAA" w:rsidRPr="00D95BED" w14:paraId="74FDA687" w14:textId="77777777" w:rsidTr="00D95BED">
        <w:trPr>
          <w:trHeight w:val="283"/>
        </w:trPr>
        <w:tc>
          <w:tcPr>
            <w:cnfStyle w:val="001000000000" w:firstRow="0" w:lastRow="0" w:firstColumn="1" w:lastColumn="0" w:oddVBand="0" w:evenVBand="0" w:oddHBand="0" w:evenHBand="0" w:firstRowFirstColumn="0" w:firstRowLastColumn="0" w:lastRowFirstColumn="0" w:lastRowLastColumn="0"/>
            <w:tcW w:w="551" w:type="dxa"/>
            <w:noWrap/>
            <w:vAlign w:val="center"/>
            <w:hideMark/>
          </w:tcPr>
          <w:p w14:paraId="1765FCB0" w14:textId="77777777" w:rsidR="005216BD" w:rsidRPr="00D95BED" w:rsidRDefault="005216BD" w:rsidP="00D95BED">
            <w:pPr>
              <w:jc w:val="center"/>
              <w:rPr>
                <w:rFonts w:eastAsia="Times New Roman" w:cs="Times New Roman"/>
                <w:b w:val="0"/>
                <w:noProof/>
                <w:color w:val="000000"/>
                <w:sz w:val="20"/>
                <w:szCs w:val="20"/>
                <w:lang w:val="sr-Cyrl-CS" w:eastAsia="sr-Latn-RS"/>
              </w:rPr>
            </w:pPr>
            <w:r w:rsidRPr="00D95BED">
              <w:rPr>
                <w:rFonts w:eastAsia="Times New Roman" w:cs="Times New Roman"/>
                <w:b w:val="0"/>
                <w:noProof/>
                <w:color w:val="000000"/>
                <w:sz w:val="20"/>
                <w:szCs w:val="20"/>
                <w:lang w:val="sr-Cyrl-CS" w:eastAsia="sr-Latn-RS"/>
              </w:rPr>
              <w:t>5</w:t>
            </w:r>
          </w:p>
        </w:tc>
        <w:tc>
          <w:tcPr>
            <w:tcW w:w="3101" w:type="dxa"/>
            <w:vAlign w:val="center"/>
            <w:hideMark/>
          </w:tcPr>
          <w:p w14:paraId="3E9BAD5A" w14:textId="77777777" w:rsidR="005216BD" w:rsidRPr="00D95BED" w:rsidRDefault="005216BD" w:rsidP="00D95BED">
            <w:pPr>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Производне услуге</w:t>
            </w:r>
          </w:p>
        </w:tc>
        <w:tc>
          <w:tcPr>
            <w:tcW w:w="1398" w:type="dxa"/>
            <w:noWrap/>
            <w:vAlign w:val="center"/>
            <w:hideMark/>
          </w:tcPr>
          <w:p w14:paraId="75561F1F" w14:textId="77777777" w:rsidR="005216BD" w:rsidRPr="00D95BED" w:rsidRDefault="005216BD" w:rsidP="00D95B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409,472</w:t>
            </w:r>
          </w:p>
        </w:tc>
        <w:tc>
          <w:tcPr>
            <w:tcW w:w="1295" w:type="dxa"/>
            <w:noWrap/>
            <w:vAlign w:val="center"/>
            <w:hideMark/>
          </w:tcPr>
          <w:p w14:paraId="03F4E8C5" w14:textId="77777777" w:rsidR="005216BD" w:rsidRPr="00D95BED" w:rsidRDefault="005216BD" w:rsidP="00D95B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386,419</w:t>
            </w:r>
          </w:p>
        </w:tc>
        <w:tc>
          <w:tcPr>
            <w:tcW w:w="1418" w:type="dxa"/>
            <w:noWrap/>
            <w:vAlign w:val="center"/>
            <w:hideMark/>
          </w:tcPr>
          <w:p w14:paraId="65926E75" w14:textId="77777777" w:rsidR="005216BD" w:rsidRPr="00D95BED" w:rsidRDefault="005216BD" w:rsidP="00D95B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275,607</w:t>
            </w:r>
          </w:p>
        </w:tc>
        <w:tc>
          <w:tcPr>
            <w:tcW w:w="1276" w:type="dxa"/>
            <w:noWrap/>
            <w:vAlign w:val="center"/>
            <w:hideMark/>
          </w:tcPr>
          <w:p w14:paraId="3DA474BE" w14:textId="77777777" w:rsidR="005216BD" w:rsidRPr="00D95BED" w:rsidRDefault="005216BD" w:rsidP="00D95BED">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67.31</w:t>
            </w:r>
          </w:p>
        </w:tc>
        <w:tc>
          <w:tcPr>
            <w:tcW w:w="1011" w:type="dxa"/>
            <w:noWrap/>
            <w:vAlign w:val="center"/>
            <w:hideMark/>
          </w:tcPr>
          <w:p w14:paraId="691F68A0" w14:textId="77777777" w:rsidR="005216BD" w:rsidRPr="00D95BED" w:rsidRDefault="005216BD" w:rsidP="00D95BED">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71.32</w:t>
            </w:r>
          </w:p>
        </w:tc>
      </w:tr>
      <w:tr w:rsidR="005216BD" w:rsidRPr="00D95BED" w14:paraId="0540946B" w14:textId="77777777" w:rsidTr="00D95BE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551" w:type="dxa"/>
            <w:noWrap/>
            <w:vAlign w:val="center"/>
            <w:hideMark/>
          </w:tcPr>
          <w:p w14:paraId="41EA722B" w14:textId="77777777" w:rsidR="005216BD" w:rsidRPr="00D95BED" w:rsidRDefault="005216BD" w:rsidP="00D95BED">
            <w:pPr>
              <w:jc w:val="center"/>
              <w:rPr>
                <w:rFonts w:eastAsia="Times New Roman" w:cs="Times New Roman"/>
                <w:b w:val="0"/>
                <w:noProof/>
                <w:color w:val="000000"/>
                <w:sz w:val="20"/>
                <w:szCs w:val="20"/>
                <w:lang w:val="sr-Cyrl-CS" w:eastAsia="sr-Latn-RS"/>
              </w:rPr>
            </w:pPr>
            <w:r w:rsidRPr="00D95BED">
              <w:rPr>
                <w:rFonts w:eastAsia="Times New Roman" w:cs="Times New Roman"/>
                <w:b w:val="0"/>
                <w:noProof/>
                <w:color w:val="000000"/>
                <w:sz w:val="20"/>
                <w:szCs w:val="20"/>
                <w:lang w:val="sr-Cyrl-CS" w:eastAsia="sr-Latn-RS"/>
              </w:rPr>
              <w:t>6</w:t>
            </w:r>
          </w:p>
        </w:tc>
        <w:tc>
          <w:tcPr>
            <w:tcW w:w="3101" w:type="dxa"/>
            <w:vAlign w:val="center"/>
            <w:hideMark/>
          </w:tcPr>
          <w:p w14:paraId="5A2AAF77" w14:textId="77777777" w:rsidR="005216BD" w:rsidRPr="00D95BED" w:rsidRDefault="005216BD" w:rsidP="00D95BED">
            <w:pPr>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Трошкови рекламе</w:t>
            </w:r>
          </w:p>
        </w:tc>
        <w:tc>
          <w:tcPr>
            <w:tcW w:w="1398" w:type="dxa"/>
            <w:noWrap/>
            <w:vAlign w:val="center"/>
            <w:hideMark/>
          </w:tcPr>
          <w:p w14:paraId="329A4BE3" w14:textId="77777777" w:rsidR="005216BD" w:rsidRPr="00D95BED" w:rsidRDefault="005216BD" w:rsidP="00D95B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89</w:t>
            </w:r>
          </w:p>
        </w:tc>
        <w:tc>
          <w:tcPr>
            <w:tcW w:w="1295" w:type="dxa"/>
            <w:noWrap/>
            <w:vAlign w:val="center"/>
            <w:hideMark/>
          </w:tcPr>
          <w:p w14:paraId="645E0D44" w14:textId="77777777" w:rsidR="005216BD" w:rsidRPr="00D95BED" w:rsidRDefault="005216BD" w:rsidP="00D95B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100</w:t>
            </w:r>
          </w:p>
        </w:tc>
        <w:tc>
          <w:tcPr>
            <w:tcW w:w="1418" w:type="dxa"/>
            <w:noWrap/>
            <w:vAlign w:val="center"/>
            <w:hideMark/>
          </w:tcPr>
          <w:p w14:paraId="072FE6B0" w14:textId="77777777" w:rsidR="005216BD" w:rsidRPr="00D95BED" w:rsidRDefault="005216BD" w:rsidP="00D95B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0</w:t>
            </w:r>
          </w:p>
        </w:tc>
        <w:tc>
          <w:tcPr>
            <w:tcW w:w="1276" w:type="dxa"/>
            <w:noWrap/>
            <w:vAlign w:val="center"/>
            <w:hideMark/>
          </w:tcPr>
          <w:p w14:paraId="53B1A083" w14:textId="77777777" w:rsidR="005216BD" w:rsidRPr="00D95BED" w:rsidRDefault="005216BD" w:rsidP="00D95BED">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0.00</w:t>
            </w:r>
          </w:p>
        </w:tc>
        <w:tc>
          <w:tcPr>
            <w:tcW w:w="1011" w:type="dxa"/>
            <w:noWrap/>
            <w:vAlign w:val="center"/>
            <w:hideMark/>
          </w:tcPr>
          <w:p w14:paraId="6067B2BB" w14:textId="77777777" w:rsidR="005216BD" w:rsidRPr="00D95BED" w:rsidRDefault="005216BD" w:rsidP="00D95BED">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0.00</w:t>
            </w:r>
          </w:p>
        </w:tc>
      </w:tr>
      <w:tr w:rsidR="001E0DAA" w:rsidRPr="00D95BED" w14:paraId="207F9FFB" w14:textId="77777777" w:rsidTr="00D95BED">
        <w:trPr>
          <w:trHeight w:val="283"/>
        </w:trPr>
        <w:tc>
          <w:tcPr>
            <w:cnfStyle w:val="001000000000" w:firstRow="0" w:lastRow="0" w:firstColumn="1" w:lastColumn="0" w:oddVBand="0" w:evenVBand="0" w:oddHBand="0" w:evenHBand="0" w:firstRowFirstColumn="0" w:firstRowLastColumn="0" w:lastRowFirstColumn="0" w:lastRowLastColumn="0"/>
            <w:tcW w:w="551" w:type="dxa"/>
            <w:noWrap/>
            <w:vAlign w:val="center"/>
            <w:hideMark/>
          </w:tcPr>
          <w:p w14:paraId="198A703D" w14:textId="77777777" w:rsidR="005216BD" w:rsidRPr="00D95BED" w:rsidRDefault="005216BD" w:rsidP="00D95BED">
            <w:pPr>
              <w:jc w:val="center"/>
              <w:rPr>
                <w:rFonts w:eastAsia="Times New Roman" w:cs="Times New Roman"/>
                <w:b w:val="0"/>
                <w:noProof/>
                <w:color w:val="000000"/>
                <w:sz w:val="20"/>
                <w:szCs w:val="20"/>
                <w:lang w:val="sr-Cyrl-CS" w:eastAsia="sr-Latn-RS"/>
              </w:rPr>
            </w:pPr>
            <w:r w:rsidRPr="00D95BED">
              <w:rPr>
                <w:rFonts w:eastAsia="Times New Roman" w:cs="Times New Roman"/>
                <w:b w:val="0"/>
                <w:noProof/>
                <w:color w:val="000000"/>
                <w:sz w:val="20"/>
                <w:szCs w:val="20"/>
                <w:lang w:val="sr-Cyrl-CS" w:eastAsia="sr-Latn-RS"/>
              </w:rPr>
              <w:t>7</w:t>
            </w:r>
          </w:p>
        </w:tc>
        <w:tc>
          <w:tcPr>
            <w:tcW w:w="3101" w:type="dxa"/>
            <w:vAlign w:val="center"/>
            <w:hideMark/>
          </w:tcPr>
          <w:p w14:paraId="6F00A3CE" w14:textId="77777777" w:rsidR="005216BD" w:rsidRPr="00D95BED" w:rsidRDefault="005216BD" w:rsidP="00D95BED">
            <w:pPr>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Репрезентација</w:t>
            </w:r>
          </w:p>
        </w:tc>
        <w:tc>
          <w:tcPr>
            <w:tcW w:w="1398" w:type="dxa"/>
            <w:noWrap/>
            <w:vAlign w:val="center"/>
            <w:hideMark/>
          </w:tcPr>
          <w:p w14:paraId="06991944" w14:textId="77777777" w:rsidR="005216BD" w:rsidRPr="00D95BED" w:rsidRDefault="005216BD" w:rsidP="00D95B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611</w:t>
            </w:r>
          </w:p>
        </w:tc>
        <w:tc>
          <w:tcPr>
            <w:tcW w:w="1295" w:type="dxa"/>
            <w:noWrap/>
            <w:vAlign w:val="center"/>
            <w:hideMark/>
          </w:tcPr>
          <w:p w14:paraId="3A6AE9E5" w14:textId="77777777" w:rsidR="005216BD" w:rsidRPr="00D95BED" w:rsidRDefault="005216BD" w:rsidP="00D95B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661</w:t>
            </w:r>
          </w:p>
        </w:tc>
        <w:tc>
          <w:tcPr>
            <w:tcW w:w="1418" w:type="dxa"/>
            <w:noWrap/>
            <w:vAlign w:val="center"/>
            <w:hideMark/>
          </w:tcPr>
          <w:p w14:paraId="329BC5C4" w14:textId="77777777" w:rsidR="005216BD" w:rsidRPr="00D95BED" w:rsidRDefault="005216BD" w:rsidP="00D95B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766</w:t>
            </w:r>
          </w:p>
        </w:tc>
        <w:tc>
          <w:tcPr>
            <w:tcW w:w="1276" w:type="dxa"/>
            <w:noWrap/>
            <w:vAlign w:val="center"/>
            <w:hideMark/>
          </w:tcPr>
          <w:p w14:paraId="1CFEC64C" w14:textId="77777777" w:rsidR="005216BD" w:rsidRPr="00D95BED" w:rsidRDefault="005216BD" w:rsidP="00D95BED">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125.39</w:t>
            </w:r>
          </w:p>
        </w:tc>
        <w:tc>
          <w:tcPr>
            <w:tcW w:w="1011" w:type="dxa"/>
            <w:noWrap/>
            <w:vAlign w:val="center"/>
            <w:hideMark/>
          </w:tcPr>
          <w:p w14:paraId="750A2022" w14:textId="77777777" w:rsidR="005216BD" w:rsidRPr="00D95BED" w:rsidRDefault="005216BD" w:rsidP="00D95BED">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115.80</w:t>
            </w:r>
          </w:p>
        </w:tc>
      </w:tr>
      <w:tr w:rsidR="005216BD" w:rsidRPr="00D95BED" w14:paraId="117CF06E" w14:textId="77777777" w:rsidTr="00D95BE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551" w:type="dxa"/>
            <w:noWrap/>
            <w:vAlign w:val="center"/>
            <w:hideMark/>
          </w:tcPr>
          <w:p w14:paraId="5B291BC0" w14:textId="77777777" w:rsidR="005216BD" w:rsidRPr="00D95BED" w:rsidRDefault="005216BD" w:rsidP="00D95BED">
            <w:pPr>
              <w:jc w:val="center"/>
              <w:rPr>
                <w:rFonts w:eastAsia="Times New Roman" w:cs="Times New Roman"/>
                <w:b w:val="0"/>
                <w:noProof/>
                <w:color w:val="000000"/>
                <w:sz w:val="20"/>
                <w:szCs w:val="20"/>
                <w:lang w:val="sr-Cyrl-CS" w:eastAsia="sr-Latn-RS"/>
              </w:rPr>
            </w:pPr>
            <w:r w:rsidRPr="00D95BED">
              <w:rPr>
                <w:rFonts w:eastAsia="Times New Roman" w:cs="Times New Roman"/>
                <w:b w:val="0"/>
                <w:noProof/>
                <w:color w:val="000000"/>
                <w:sz w:val="20"/>
                <w:szCs w:val="20"/>
                <w:lang w:val="sr-Cyrl-CS" w:eastAsia="sr-Latn-RS"/>
              </w:rPr>
              <w:t>8</w:t>
            </w:r>
          </w:p>
        </w:tc>
        <w:tc>
          <w:tcPr>
            <w:tcW w:w="3101" w:type="dxa"/>
            <w:vAlign w:val="center"/>
            <w:hideMark/>
          </w:tcPr>
          <w:p w14:paraId="531A7E19" w14:textId="77777777" w:rsidR="005216BD" w:rsidRPr="00D95BED" w:rsidRDefault="005216BD" w:rsidP="00D95BED">
            <w:pPr>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Премија осигурања</w:t>
            </w:r>
          </w:p>
        </w:tc>
        <w:tc>
          <w:tcPr>
            <w:tcW w:w="1398" w:type="dxa"/>
            <w:noWrap/>
            <w:vAlign w:val="center"/>
            <w:hideMark/>
          </w:tcPr>
          <w:p w14:paraId="3A646DC2" w14:textId="77777777" w:rsidR="005216BD" w:rsidRPr="00D95BED" w:rsidRDefault="005216BD" w:rsidP="00D95B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546</w:t>
            </w:r>
          </w:p>
        </w:tc>
        <w:tc>
          <w:tcPr>
            <w:tcW w:w="1295" w:type="dxa"/>
            <w:noWrap/>
            <w:vAlign w:val="center"/>
            <w:hideMark/>
          </w:tcPr>
          <w:p w14:paraId="39D37BCD" w14:textId="77777777" w:rsidR="005216BD" w:rsidRPr="00D95BED" w:rsidRDefault="005216BD" w:rsidP="00D95B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707</w:t>
            </w:r>
          </w:p>
        </w:tc>
        <w:tc>
          <w:tcPr>
            <w:tcW w:w="1418" w:type="dxa"/>
            <w:noWrap/>
            <w:vAlign w:val="center"/>
            <w:hideMark/>
          </w:tcPr>
          <w:p w14:paraId="01413687" w14:textId="77777777" w:rsidR="005216BD" w:rsidRPr="00D95BED" w:rsidRDefault="005216BD" w:rsidP="00D95B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713</w:t>
            </w:r>
          </w:p>
        </w:tc>
        <w:tc>
          <w:tcPr>
            <w:tcW w:w="1276" w:type="dxa"/>
            <w:noWrap/>
            <w:vAlign w:val="center"/>
            <w:hideMark/>
          </w:tcPr>
          <w:p w14:paraId="3DD57E5C" w14:textId="77777777" w:rsidR="005216BD" w:rsidRPr="00D95BED" w:rsidRDefault="005216BD" w:rsidP="00D95BED">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130.68</w:t>
            </w:r>
          </w:p>
        </w:tc>
        <w:tc>
          <w:tcPr>
            <w:tcW w:w="1011" w:type="dxa"/>
            <w:noWrap/>
            <w:vAlign w:val="center"/>
            <w:hideMark/>
          </w:tcPr>
          <w:p w14:paraId="425D546F" w14:textId="77777777" w:rsidR="005216BD" w:rsidRPr="00D95BED" w:rsidRDefault="005216BD" w:rsidP="00D95BED">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100.87</w:t>
            </w:r>
          </w:p>
        </w:tc>
      </w:tr>
      <w:tr w:rsidR="001E0DAA" w:rsidRPr="00D95BED" w14:paraId="045184D4" w14:textId="77777777" w:rsidTr="00D95BED">
        <w:trPr>
          <w:trHeight w:val="283"/>
        </w:trPr>
        <w:tc>
          <w:tcPr>
            <w:cnfStyle w:val="001000000000" w:firstRow="0" w:lastRow="0" w:firstColumn="1" w:lastColumn="0" w:oddVBand="0" w:evenVBand="0" w:oddHBand="0" w:evenHBand="0" w:firstRowFirstColumn="0" w:firstRowLastColumn="0" w:lastRowFirstColumn="0" w:lastRowLastColumn="0"/>
            <w:tcW w:w="551" w:type="dxa"/>
            <w:noWrap/>
            <w:vAlign w:val="center"/>
            <w:hideMark/>
          </w:tcPr>
          <w:p w14:paraId="01207818" w14:textId="77777777" w:rsidR="005216BD" w:rsidRPr="00D95BED" w:rsidRDefault="005216BD" w:rsidP="00D95BED">
            <w:pPr>
              <w:jc w:val="center"/>
              <w:rPr>
                <w:rFonts w:eastAsia="Times New Roman" w:cs="Times New Roman"/>
                <w:b w:val="0"/>
                <w:noProof/>
                <w:color w:val="000000"/>
                <w:sz w:val="20"/>
                <w:szCs w:val="20"/>
                <w:lang w:val="sr-Cyrl-CS" w:eastAsia="sr-Latn-RS"/>
              </w:rPr>
            </w:pPr>
            <w:r w:rsidRPr="00D95BED">
              <w:rPr>
                <w:rFonts w:eastAsia="Times New Roman" w:cs="Times New Roman"/>
                <w:b w:val="0"/>
                <w:noProof/>
                <w:color w:val="000000"/>
                <w:sz w:val="20"/>
                <w:szCs w:val="20"/>
                <w:lang w:val="sr-Cyrl-CS" w:eastAsia="sr-Latn-RS"/>
              </w:rPr>
              <w:t>9</w:t>
            </w:r>
          </w:p>
        </w:tc>
        <w:tc>
          <w:tcPr>
            <w:tcW w:w="3101" w:type="dxa"/>
            <w:vAlign w:val="center"/>
            <w:hideMark/>
          </w:tcPr>
          <w:p w14:paraId="55ABD2CF" w14:textId="77777777" w:rsidR="005216BD" w:rsidRPr="00D95BED" w:rsidRDefault="005216BD" w:rsidP="00D95BED">
            <w:pPr>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Порези и доприноси</w:t>
            </w:r>
          </w:p>
        </w:tc>
        <w:tc>
          <w:tcPr>
            <w:tcW w:w="1398" w:type="dxa"/>
            <w:noWrap/>
            <w:vAlign w:val="center"/>
            <w:hideMark/>
          </w:tcPr>
          <w:p w14:paraId="3BC341D7" w14:textId="77777777" w:rsidR="005216BD" w:rsidRPr="00D95BED" w:rsidRDefault="005216BD" w:rsidP="00D95B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2,697</w:t>
            </w:r>
          </w:p>
        </w:tc>
        <w:tc>
          <w:tcPr>
            <w:tcW w:w="1295" w:type="dxa"/>
            <w:noWrap/>
            <w:vAlign w:val="center"/>
            <w:hideMark/>
          </w:tcPr>
          <w:p w14:paraId="4CC1B6F6" w14:textId="77777777" w:rsidR="005216BD" w:rsidRPr="00D95BED" w:rsidRDefault="005216BD" w:rsidP="00D95B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1,255</w:t>
            </w:r>
          </w:p>
        </w:tc>
        <w:tc>
          <w:tcPr>
            <w:tcW w:w="1418" w:type="dxa"/>
            <w:noWrap/>
            <w:vAlign w:val="center"/>
            <w:hideMark/>
          </w:tcPr>
          <w:p w14:paraId="3E94DDC0" w14:textId="77777777" w:rsidR="005216BD" w:rsidRPr="00D95BED" w:rsidRDefault="005216BD" w:rsidP="00D95B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5,236</w:t>
            </w:r>
          </w:p>
        </w:tc>
        <w:tc>
          <w:tcPr>
            <w:tcW w:w="1276" w:type="dxa"/>
            <w:noWrap/>
            <w:vAlign w:val="center"/>
            <w:hideMark/>
          </w:tcPr>
          <w:p w14:paraId="700BD52E" w14:textId="77777777" w:rsidR="005216BD" w:rsidRPr="00D95BED" w:rsidRDefault="005216BD" w:rsidP="00D95BED">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194.14</w:t>
            </w:r>
          </w:p>
        </w:tc>
        <w:tc>
          <w:tcPr>
            <w:tcW w:w="1011" w:type="dxa"/>
            <w:noWrap/>
            <w:vAlign w:val="center"/>
            <w:hideMark/>
          </w:tcPr>
          <w:p w14:paraId="10FE3C07" w14:textId="77777777" w:rsidR="005216BD" w:rsidRPr="00D95BED" w:rsidRDefault="005216BD" w:rsidP="00D95BED">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417.21</w:t>
            </w:r>
          </w:p>
        </w:tc>
      </w:tr>
      <w:tr w:rsidR="005216BD" w:rsidRPr="00D95BED" w14:paraId="75EBB2E8" w14:textId="77777777" w:rsidTr="00D95BE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551" w:type="dxa"/>
            <w:noWrap/>
            <w:vAlign w:val="center"/>
            <w:hideMark/>
          </w:tcPr>
          <w:p w14:paraId="466179E7" w14:textId="77777777" w:rsidR="005216BD" w:rsidRPr="00D95BED" w:rsidRDefault="005216BD" w:rsidP="00D95BED">
            <w:pPr>
              <w:jc w:val="center"/>
              <w:rPr>
                <w:rFonts w:eastAsia="Times New Roman" w:cs="Times New Roman"/>
                <w:b w:val="0"/>
                <w:noProof/>
                <w:color w:val="000000"/>
                <w:sz w:val="20"/>
                <w:szCs w:val="20"/>
                <w:lang w:val="sr-Cyrl-CS" w:eastAsia="sr-Latn-RS"/>
              </w:rPr>
            </w:pPr>
            <w:r w:rsidRPr="00D95BED">
              <w:rPr>
                <w:rFonts w:eastAsia="Times New Roman" w:cs="Times New Roman"/>
                <w:b w:val="0"/>
                <w:noProof/>
                <w:color w:val="000000"/>
                <w:sz w:val="20"/>
                <w:szCs w:val="20"/>
                <w:lang w:val="sr-Cyrl-CS" w:eastAsia="sr-Latn-RS"/>
              </w:rPr>
              <w:t>10</w:t>
            </w:r>
          </w:p>
        </w:tc>
        <w:tc>
          <w:tcPr>
            <w:tcW w:w="3101" w:type="dxa"/>
            <w:vAlign w:val="center"/>
            <w:hideMark/>
          </w:tcPr>
          <w:p w14:paraId="248E784C" w14:textId="77777777" w:rsidR="005216BD" w:rsidRPr="00D95BED" w:rsidRDefault="005216BD" w:rsidP="00D95BED">
            <w:pPr>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Банкарске услуге</w:t>
            </w:r>
          </w:p>
        </w:tc>
        <w:tc>
          <w:tcPr>
            <w:tcW w:w="1398" w:type="dxa"/>
            <w:noWrap/>
            <w:vAlign w:val="center"/>
            <w:hideMark/>
          </w:tcPr>
          <w:p w14:paraId="08A9CC3C" w14:textId="77777777" w:rsidR="005216BD" w:rsidRPr="00D95BED" w:rsidRDefault="005216BD" w:rsidP="00D95B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1,459</w:t>
            </w:r>
          </w:p>
        </w:tc>
        <w:tc>
          <w:tcPr>
            <w:tcW w:w="1295" w:type="dxa"/>
            <w:noWrap/>
            <w:vAlign w:val="center"/>
            <w:hideMark/>
          </w:tcPr>
          <w:p w14:paraId="750CDE5A" w14:textId="77777777" w:rsidR="005216BD" w:rsidRPr="00D95BED" w:rsidRDefault="005216BD" w:rsidP="00D95B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2,225</w:t>
            </w:r>
          </w:p>
        </w:tc>
        <w:tc>
          <w:tcPr>
            <w:tcW w:w="1418" w:type="dxa"/>
            <w:noWrap/>
            <w:vAlign w:val="center"/>
            <w:hideMark/>
          </w:tcPr>
          <w:p w14:paraId="09BB2A9E" w14:textId="77777777" w:rsidR="005216BD" w:rsidRPr="00D95BED" w:rsidRDefault="005216BD" w:rsidP="00D95B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1,406</w:t>
            </w:r>
          </w:p>
        </w:tc>
        <w:tc>
          <w:tcPr>
            <w:tcW w:w="1276" w:type="dxa"/>
            <w:noWrap/>
            <w:vAlign w:val="center"/>
            <w:hideMark/>
          </w:tcPr>
          <w:p w14:paraId="6C5EB60E" w14:textId="77777777" w:rsidR="005216BD" w:rsidRPr="00D95BED" w:rsidRDefault="005216BD" w:rsidP="00D95BED">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96.37</w:t>
            </w:r>
          </w:p>
        </w:tc>
        <w:tc>
          <w:tcPr>
            <w:tcW w:w="1011" w:type="dxa"/>
            <w:noWrap/>
            <w:vAlign w:val="center"/>
            <w:hideMark/>
          </w:tcPr>
          <w:p w14:paraId="087B1BF1" w14:textId="77777777" w:rsidR="005216BD" w:rsidRPr="00D95BED" w:rsidRDefault="005216BD" w:rsidP="00D95BED">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63.19</w:t>
            </w:r>
          </w:p>
        </w:tc>
      </w:tr>
      <w:tr w:rsidR="001E0DAA" w:rsidRPr="00D95BED" w14:paraId="22522078" w14:textId="77777777" w:rsidTr="00D95BED">
        <w:trPr>
          <w:trHeight w:val="283"/>
        </w:trPr>
        <w:tc>
          <w:tcPr>
            <w:cnfStyle w:val="001000000000" w:firstRow="0" w:lastRow="0" w:firstColumn="1" w:lastColumn="0" w:oddVBand="0" w:evenVBand="0" w:oddHBand="0" w:evenHBand="0" w:firstRowFirstColumn="0" w:firstRowLastColumn="0" w:lastRowFirstColumn="0" w:lastRowLastColumn="0"/>
            <w:tcW w:w="551" w:type="dxa"/>
            <w:noWrap/>
            <w:vAlign w:val="center"/>
            <w:hideMark/>
          </w:tcPr>
          <w:p w14:paraId="6E3B5D9F" w14:textId="77777777" w:rsidR="005216BD" w:rsidRPr="00D95BED" w:rsidRDefault="005216BD" w:rsidP="00D95BED">
            <w:pPr>
              <w:jc w:val="center"/>
              <w:rPr>
                <w:rFonts w:eastAsia="Times New Roman" w:cs="Times New Roman"/>
                <w:b w:val="0"/>
                <w:noProof/>
                <w:color w:val="000000"/>
                <w:sz w:val="20"/>
                <w:szCs w:val="20"/>
                <w:lang w:val="sr-Cyrl-CS" w:eastAsia="sr-Latn-RS"/>
              </w:rPr>
            </w:pPr>
            <w:r w:rsidRPr="00D95BED">
              <w:rPr>
                <w:rFonts w:eastAsia="Times New Roman" w:cs="Times New Roman"/>
                <w:b w:val="0"/>
                <w:noProof/>
                <w:color w:val="000000"/>
                <w:sz w:val="20"/>
                <w:szCs w:val="20"/>
                <w:lang w:val="sr-Cyrl-CS" w:eastAsia="sr-Latn-RS"/>
              </w:rPr>
              <w:t>11</w:t>
            </w:r>
          </w:p>
        </w:tc>
        <w:tc>
          <w:tcPr>
            <w:tcW w:w="3101" w:type="dxa"/>
            <w:vAlign w:val="center"/>
            <w:hideMark/>
          </w:tcPr>
          <w:p w14:paraId="768399F7" w14:textId="77777777" w:rsidR="005216BD" w:rsidRPr="00D95BED" w:rsidRDefault="005216BD" w:rsidP="00D95BED">
            <w:pPr>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Непроизводне услуге</w:t>
            </w:r>
          </w:p>
        </w:tc>
        <w:tc>
          <w:tcPr>
            <w:tcW w:w="1398" w:type="dxa"/>
            <w:noWrap/>
            <w:vAlign w:val="center"/>
            <w:hideMark/>
          </w:tcPr>
          <w:p w14:paraId="31B686A7" w14:textId="77777777" w:rsidR="005216BD" w:rsidRPr="00D95BED" w:rsidRDefault="005216BD" w:rsidP="00D95B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13,534</w:t>
            </w:r>
          </w:p>
        </w:tc>
        <w:tc>
          <w:tcPr>
            <w:tcW w:w="1295" w:type="dxa"/>
            <w:noWrap/>
            <w:vAlign w:val="center"/>
            <w:hideMark/>
          </w:tcPr>
          <w:p w14:paraId="42587A20" w14:textId="77777777" w:rsidR="005216BD" w:rsidRPr="00D95BED" w:rsidRDefault="005216BD" w:rsidP="00D95B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15,337</w:t>
            </w:r>
          </w:p>
        </w:tc>
        <w:tc>
          <w:tcPr>
            <w:tcW w:w="1418" w:type="dxa"/>
            <w:noWrap/>
            <w:vAlign w:val="center"/>
            <w:hideMark/>
          </w:tcPr>
          <w:p w14:paraId="57520613" w14:textId="77777777" w:rsidR="005216BD" w:rsidRPr="00D95BED" w:rsidRDefault="005216BD" w:rsidP="00D95B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12,181</w:t>
            </w:r>
          </w:p>
        </w:tc>
        <w:tc>
          <w:tcPr>
            <w:tcW w:w="1276" w:type="dxa"/>
            <w:noWrap/>
            <w:vAlign w:val="center"/>
            <w:hideMark/>
          </w:tcPr>
          <w:p w14:paraId="00BFE8B0" w14:textId="77777777" w:rsidR="005216BD" w:rsidRPr="00D95BED" w:rsidRDefault="005216BD" w:rsidP="00D95BED">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90.00</w:t>
            </w:r>
          </w:p>
        </w:tc>
        <w:tc>
          <w:tcPr>
            <w:tcW w:w="1011" w:type="dxa"/>
            <w:noWrap/>
            <w:vAlign w:val="center"/>
            <w:hideMark/>
          </w:tcPr>
          <w:p w14:paraId="5D4E5CFC" w14:textId="77777777" w:rsidR="005216BD" w:rsidRPr="00D95BED" w:rsidRDefault="005216BD" w:rsidP="00D95BED">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79.43</w:t>
            </w:r>
          </w:p>
        </w:tc>
      </w:tr>
      <w:tr w:rsidR="005216BD" w:rsidRPr="00D95BED" w14:paraId="2EBFBDE5" w14:textId="77777777" w:rsidTr="00D95BE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551" w:type="dxa"/>
            <w:noWrap/>
            <w:vAlign w:val="center"/>
            <w:hideMark/>
          </w:tcPr>
          <w:p w14:paraId="43B45045" w14:textId="77777777" w:rsidR="005216BD" w:rsidRPr="00D95BED" w:rsidRDefault="005216BD" w:rsidP="00D95BED">
            <w:pPr>
              <w:jc w:val="center"/>
              <w:rPr>
                <w:rFonts w:eastAsia="Times New Roman" w:cs="Times New Roman"/>
                <w:b w:val="0"/>
                <w:noProof/>
                <w:color w:val="000000"/>
                <w:sz w:val="20"/>
                <w:szCs w:val="20"/>
                <w:lang w:val="sr-Cyrl-CS" w:eastAsia="sr-Latn-RS"/>
              </w:rPr>
            </w:pPr>
            <w:r w:rsidRPr="00D95BED">
              <w:rPr>
                <w:rFonts w:eastAsia="Times New Roman" w:cs="Times New Roman"/>
                <w:b w:val="0"/>
                <w:noProof/>
                <w:color w:val="000000"/>
                <w:sz w:val="20"/>
                <w:szCs w:val="20"/>
                <w:lang w:val="sr-Cyrl-CS" w:eastAsia="sr-Latn-RS"/>
              </w:rPr>
              <w:t>12</w:t>
            </w:r>
          </w:p>
        </w:tc>
        <w:tc>
          <w:tcPr>
            <w:tcW w:w="3101" w:type="dxa"/>
            <w:vAlign w:val="center"/>
            <w:hideMark/>
          </w:tcPr>
          <w:p w14:paraId="77783523" w14:textId="77777777" w:rsidR="005216BD" w:rsidRPr="00D95BED" w:rsidRDefault="005216BD" w:rsidP="00D95BED">
            <w:pPr>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Остали нематеријални тр</w:t>
            </w:r>
            <w:r w:rsidR="00D95BED">
              <w:rPr>
                <w:rFonts w:eastAsia="Times New Roman" w:cs="Times New Roman"/>
                <w:noProof/>
                <w:color w:val="000000"/>
                <w:sz w:val="20"/>
                <w:szCs w:val="20"/>
                <w:lang w:val="sr-Cyrl-CS" w:eastAsia="sr-Latn-RS"/>
              </w:rPr>
              <w:t>.</w:t>
            </w:r>
          </w:p>
        </w:tc>
        <w:tc>
          <w:tcPr>
            <w:tcW w:w="1398" w:type="dxa"/>
            <w:noWrap/>
            <w:vAlign w:val="center"/>
            <w:hideMark/>
          </w:tcPr>
          <w:p w14:paraId="599B8A42" w14:textId="77777777" w:rsidR="005216BD" w:rsidRPr="00D95BED" w:rsidRDefault="005216BD" w:rsidP="00D95B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1,323</w:t>
            </w:r>
          </w:p>
        </w:tc>
        <w:tc>
          <w:tcPr>
            <w:tcW w:w="1295" w:type="dxa"/>
            <w:noWrap/>
            <w:vAlign w:val="center"/>
            <w:hideMark/>
          </w:tcPr>
          <w:p w14:paraId="3F13DA45" w14:textId="77777777" w:rsidR="005216BD" w:rsidRPr="00D95BED" w:rsidRDefault="005216BD" w:rsidP="00D95B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1,808</w:t>
            </w:r>
          </w:p>
        </w:tc>
        <w:tc>
          <w:tcPr>
            <w:tcW w:w="1418" w:type="dxa"/>
            <w:noWrap/>
            <w:vAlign w:val="center"/>
            <w:hideMark/>
          </w:tcPr>
          <w:p w14:paraId="77A9702A" w14:textId="77777777" w:rsidR="005216BD" w:rsidRPr="00D95BED" w:rsidRDefault="005216BD" w:rsidP="00D95B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2,372</w:t>
            </w:r>
          </w:p>
        </w:tc>
        <w:tc>
          <w:tcPr>
            <w:tcW w:w="1276" w:type="dxa"/>
            <w:noWrap/>
            <w:vAlign w:val="center"/>
            <w:hideMark/>
          </w:tcPr>
          <w:p w14:paraId="3A40F910" w14:textId="77777777" w:rsidR="005216BD" w:rsidRPr="00D95BED" w:rsidRDefault="005216BD" w:rsidP="00D95BED">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179.28</w:t>
            </w:r>
          </w:p>
        </w:tc>
        <w:tc>
          <w:tcPr>
            <w:tcW w:w="1011" w:type="dxa"/>
            <w:noWrap/>
            <w:vAlign w:val="center"/>
            <w:hideMark/>
          </w:tcPr>
          <w:p w14:paraId="699FB3C0" w14:textId="77777777" w:rsidR="005216BD" w:rsidRPr="00D95BED" w:rsidRDefault="005216BD" w:rsidP="00D95BED">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131.23</w:t>
            </w:r>
          </w:p>
        </w:tc>
      </w:tr>
      <w:tr w:rsidR="001E0DAA" w:rsidRPr="00D95BED" w14:paraId="557C1C83" w14:textId="77777777" w:rsidTr="00D95BED">
        <w:trPr>
          <w:trHeight w:val="283"/>
        </w:trPr>
        <w:tc>
          <w:tcPr>
            <w:cnfStyle w:val="001000000000" w:firstRow="0" w:lastRow="0" w:firstColumn="1" w:lastColumn="0" w:oddVBand="0" w:evenVBand="0" w:oddHBand="0" w:evenHBand="0" w:firstRowFirstColumn="0" w:firstRowLastColumn="0" w:lastRowFirstColumn="0" w:lastRowLastColumn="0"/>
            <w:tcW w:w="551" w:type="dxa"/>
            <w:noWrap/>
            <w:vAlign w:val="center"/>
            <w:hideMark/>
          </w:tcPr>
          <w:p w14:paraId="0CE4B84F" w14:textId="77777777" w:rsidR="005216BD" w:rsidRPr="00D95BED" w:rsidRDefault="005216BD" w:rsidP="00D95BED">
            <w:pPr>
              <w:jc w:val="center"/>
              <w:rPr>
                <w:rFonts w:eastAsia="Times New Roman" w:cs="Times New Roman"/>
                <w:b w:val="0"/>
                <w:noProof/>
                <w:color w:val="000000"/>
                <w:sz w:val="20"/>
                <w:szCs w:val="20"/>
                <w:lang w:val="sr-Cyrl-CS" w:eastAsia="sr-Latn-RS"/>
              </w:rPr>
            </w:pPr>
            <w:r w:rsidRPr="00D95BED">
              <w:rPr>
                <w:rFonts w:eastAsia="Times New Roman" w:cs="Times New Roman"/>
                <w:b w:val="0"/>
                <w:noProof/>
                <w:color w:val="000000"/>
                <w:sz w:val="20"/>
                <w:szCs w:val="20"/>
                <w:lang w:val="sr-Cyrl-CS" w:eastAsia="sr-Latn-RS"/>
              </w:rPr>
              <w:t>13</w:t>
            </w:r>
          </w:p>
        </w:tc>
        <w:tc>
          <w:tcPr>
            <w:tcW w:w="3101" w:type="dxa"/>
            <w:vAlign w:val="center"/>
            <w:hideMark/>
          </w:tcPr>
          <w:p w14:paraId="3D7F786E" w14:textId="77777777" w:rsidR="005216BD" w:rsidRPr="00D95BED" w:rsidRDefault="005216BD" w:rsidP="00D95BED">
            <w:pPr>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Зараде и накнаде</w:t>
            </w:r>
          </w:p>
        </w:tc>
        <w:tc>
          <w:tcPr>
            <w:tcW w:w="1398" w:type="dxa"/>
            <w:noWrap/>
            <w:vAlign w:val="center"/>
            <w:hideMark/>
          </w:tcPr>
          <w:p w14:paraId="5E3BE39C" w14:textId="77777777" w:rsidR="005216BD" w:rsidRPr="00D95BED" w:rsidRDefault="005216BD" w:rsidP="00D95B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79,917</w:t>
            </w:r>
          </w:p>
        </w:tc>
        <w:tc>
          <w:tcPr>
            <w:tcW w:w="1295" w:type="dxa"/>
            <w:noWrap/>
            <w:vAlign w:val="center"/>
            <w:hideMark/>
          </w:tcPr>
          <w:p w14:paraId="3A97B4BC" w14:textId="77777777" w:rsidR="005216BD" w:rsidRPr="00D95BED" w:rsidRDefault="005216BD" w:rsidP="00D95B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75,858</w:t>
            </w:r>
          </w:p>
        </w:tc>
        <w:tc>
          <w:tcPr>
            <w:tcW w:w="1418" w:type="dxa"/>
            <w:noWrap/>
            <w:vAlign w:val="center"/>
            <w:hideMark/>
          </w:tcPr>
          <w:p w14:paraId="68FD5AB3" w14:textId="77777777" w:rsidR="005216BD" w:rsidRPr="00D95BED" w:rsidRDefault="005216BD" w:rsidP="00D95B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68,727</w:t>
            </w:r>
          </w:p>
        </w:tc>
        <w:tc>
          <w:tcPr>
            <w:tcW w:w="1276" w:type="dxa"/>
            <w:noWrap/>
            <w:vAlign w:val="center"/>
            <w:hideMark/>
          </w:tcPr>
          <w:p w14:paraId="5A8D6D07" w14:textId="77777777" w:rsidR="005216BD" w:rsidRPr="00D95BED" w:rsidRDefault="005216BD" w:rsidP="00D95BED">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86.00</w:t>
            </w:r>
          </w:p>
        </w:tc>
        <w:tc>
          <w:tcPr>
            <w:tcW w:w="1011" w:type="dxa"/>
            <w:noWrap/>
            <w:vAlign w:val="center"/>
            <w:hideMark/>
          </w:tcPr>
          <w:p w14:paraId="7E9C83E0" w14:textId="77777777" w:rsidR="005216BD" w:rsidRPr="00D95BED" w:rsidRDefault="005216BD" w:rsidP="00D95BED">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90.60</w:t>
            </w:r>
          </w:p>
        </w:tc>
      </w:tr>
      <w:tr w:rsidR="005216BD" w:rsidRPr="00D95BED" w14:paraId="4524D545" w14:textId="77777777" w:rsidTr="00D95BE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551" w:type="dxa"/>
            <w:noWrap/>
            <w:vAlign w:val="center"/>
            <w:hideMark/>
          </w:tcPr>
          <w:p w14:paraId="155EBC69" w14:textId="77777777" w:rsidR="005216BD" w:rsidRPr="00D95BED" w:rsidRDefault="005216BD" w:rsidP="00D95BED">
            <w:pPr>
              <w:jc w:val="center"/>
              <w:rPr>
                <w:rFonts w:eastAsia="Times New Roman" w:cs="Times New Roman"/>
                <w:b w:val="0"/>
                <w:noProof/>
                <w:color w:val="000000"/>
                <w:sz w:val="20"/>
                <w:szCs w:val="20"/>
                <w:lang w:val="sr-Cyrl-CS" w:eastAsia="sr-Latn-RS"/>
              </w:rPr>
            </w:pPr>
            <w:r w:rsidRPr="00D95BED">
              <w:rPr>
                <w:rFonts w:eastAsia="Times New Roman" w:cs="Times New Roman"/>
                <w:b w:val="0"/>
                <w:noProof/>
                <w:color w:val="000000"/>
                <w:sz w:val="20"/>
                <w:szCs w:val="20"/>
                <w:lang w:val="sr-Cyrl-CS" w:eastAsia="sr-Latn-RS"/>
              </w:rPr>
              <w:t>14</w:t>
            </w:r>
          </w:p>
        </w:tc>
        <w:tc>
          <w:tcPr>
            <w:tcW w:w="3101" w:type="dxa"/>
            <w:vAlign w:val="center"/>
            <w:hideMark/>
          </w:tcPr>
          <w:p w14:paraId="6E6ED46B" w14:textId="77777777" w:rsidR="005216BD" w:rsidRPr="00D95BED" w:rsidRDefault="005216BD" w:rsidP="00D95BED">
            <w:pPr>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Доприноси на зараде</w:t>
            </w:r>
          </w:p>
        </w:tc>
        <w:tc>
          <w:tcPr>
            <w:tcW w:w="1398" w:type="dxa"/>
            <w:noWrap/>
            <w:vAlign w:val="center"/>
            <w:hideMark/>
          </w:tcPr>
          <w:p w14:paraId="2CD809A1" w14:textId="77777777" w:rsidR="005216BD" w:rsidRPr="00D95BED" w:rsidRDefault="005216BD" w:rsidP="00D95B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13,155</w:t>
            </w:r>
          </w:p>
        </w:tc>
        <w:tc>
          <w:tcPr>
            <w:tcW w:w="1295" w:type="dxa"/>
            <w:noWrap/>
            <w:vAlign w:val="center"/>
            <w:hideMark/>
          </w:tcPr>
          <w:p w14:paraId="76F62998" w14:textId="77777777" w:rsidR="005216BD" w:rsidRPr="00D95BED" w:rsidRDefault="005216BD" w:rsidP="00D95B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12,632</w:t>
            </w:r>
          </w:p>
        </w:tc>
        <w:tc>
          <w:tcPr>
            <w:tcW w:w="1418" w:type="dxa"/>
            <w:noWrap/>
            <w:vAlign w:val="center"/>
            <w:hideMark/>
          </w:tcPr>
          <w:p w14:paraId="5CA6B0B1" w14:textId="77777777" w:rsidR="005216BD" w:rsidRPr="00D95BED" w:rsidRDefault="005216BD" w:rsidP="00D95B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11,717</w:t>
            </w:r>
          </w:p>
        </w:tc>
        <w:tc>
          <w:tcPr>
            <w:tcW w:w="1276" w:type="dxa"/>
            <w:noWrap/>
            <w:vAlign w:val="center"/>
            <w:hideMark/>
          </w:tcPr>
          <w:p w14:paraId="01D5558A" w14:textId="77777777" w:rsidR="005216BD" w:rsidRPr="00D95BED" w:rsidRDefault="005216BD" w:rsidP="00D95BED">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89.07</w:t>
            </w:r>
          </w:p>
        </w:tc>
        <w:tc>
          <w:tcPr>
            <w:tcW w:w="1011" w:type="dxa"/>
            <w:noWrap/>
            <w:vAlign w:val="center"/>
            <w:hideMark/>
          </w:tcPr>
          <w:p w14:paraId="703F3D70" w14:textId="77777777" w:rsidR="005216BD" w:rsidRPr="00D95BED" w:rsidRDefault="005216BD" w:rsidP="00D95BED">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92.76</w:t>
            </w:r>
          </w:p>
        </w:tc>
      </w:tr>
      <w:tr w:rsidR="001E0DAA" w:rsidRPr="00D95BED" w14:paraId="73D0BD82" w14:textId="77777777" w:rsidTr="00D95BED">
        <w:trPr>
          <w:trHeight w:val="283"/>
        </w:trPr>
        <w:tc>
          <w:tcPr>
            <w:cnfStyle w:val="001000000000" w:firstRow="0" w:lastRow="0" w:firstColumn="1" w:lastColumn="0" w:oddVBand="0" w:evenVBand="0" w:oddHBand="0" w:evenHBand="0" w:firstRowFirstColumn="0" w:firstRowLastColumn="0" w:lastRowFirstColumn="0" w:lastRowLastColumn="0"/>
            <w:tcW w:w="551" w:type="dxa"/>
            <w:noWrap/>
            <w:vAlign w:val="center"/>
            <w:hideMark/>
          </w:tcPr>
          <w:p w14:paraId="311691E8" w14:textId="77777777" w:rsidR="005216BD" w:rsidRPr="00D95BED" w:rsidRDefault="005216BD" w:rsidP="00D95BED">
            <w:pPr>
              <w:jc w:val="center"/>
              <w:rPr>
                <w:rFonts w:eastAsia="Times New Roman" w:cs="Times New Roman"/>
                <w:b w:val="0"/>
                <w:noProof/>
                <w:color w:val="000000"/>
                <w:sz w:val="20"/>
                <w:szCs w:val="20"/>
                <w:lang w:val="sr-Cyrl-CS" w:eastAsia="sr-Latn-RS"/>
              </w:rPr>
            </w:pPr>
            <w:r w:rsidRPr="00D95BED">
              <w:rPr>
                <w:rFonts w:eastAsia="Times New Roman" w:cs="Times New Roman"/>
                <w:b w:val="0"/>
                <w:noProof/>
                <w:color w:val="000000"/>
                <w:sz w:val="20"/>
                <w:szCs w:val="20"/>
                <w:lang w:val="sr-Cyrl-CS" w:eastAsia="sr-Latn-RS"/>
              </w:rPr>
              <w:t>15</w:t>
            </w:r>
          </w:p>
        </w:tc>
        <w:tc>
          <w:tcPr>
            <w:tcW w:w="3101" w:type="dxa"/>
            <w:vAlign w:val="center"/>
            <w:hideMark/>
          </w:tcPr>
          <w:p w14:paraId="49E842F4" w14:textId="77777777" w:rsidR="005216BD" w:rsidRPr="00D95BED" w:rsidRDefault="005216BD" w:rsidP="00D95BED">
            <w:pPr>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Накнаде по уговору о делу</w:t>
            </w:r>
          </w:p>
        </w:tc>
        <w:tc>
          <w:tcPr>
            <w:tcW w:w="1398" w:type="dxa"/>
            <w:noWrap/>
            <w:vAlign w:val="center"/>
            <w:hideMark/>
          </w:tcPr>
          <w:p w14:paraId="6E5D6407" w14:textId="77777777" w:rsidR="005216BD" w:rsidRPr="00D95BED" w:rsidRDefault="005216BD" w:rsidP="00D95B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2,931</w:t>
            </w:r>
          </w:p>
        </w:tc>
        <w:tc>
          <w:tcPr>
            <w:tcW w:w="1295" w:type="dxa"/>
            <w:noWrap/>
            <w:vAlign w:val="center"/>
            <w:hideMark/>
          </w:tcPr>
          <w:p w14:paraId="0FD35522" w14:textId="77777777" w:rsidR="005216BD" w:rsidRPr="00D95BED" w:rsidRDefault="005216BD" w:rsidP="00D95B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4,110</w:t>
            </w:r>
          </w:p>
        </w:tc>
        <w:tc>
          <w:tcPr>
            <w:tcW w:w="1418" w:type="dxa"/>
            <w:noWrap/>
            <w:vAlign w:val="center"/>
            <w:hideMark/>
          </w:tcPr>
          <w:p w14:paraId="3975C51B" w14:textId="77777777" w:rsidR="005216BD" w:rsidRPr="00D95BED" w:rsidRDefault="005216BD" w:rsidP="00D95B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3,228</w:t>
            </w:r>
          </w:p>
        </w:tc>
        <w:tc>
          <w:tcPr>
            <w:tcW w:w="1276" w:type="dxa"/>
            <w:noWrap/>
            <w:vAlign w:val="center"/>
            <w:hideMark/>
          </w:tcPr>
          <w:p w14:paraId="761768C8" w14:textId="77777777" w:rsidR="005216BD" w:rsidRPr="00D95BED" w:rsidRDefault="005216BD" w:rsidP="00D95BED">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110.13</w:t>
            </w:r>
          </w:p>
        </w:tc>
        <w:tc>
          <w:tcPr>
            <w:tcW w:w="1011" w:type="dxa"/>
            <w:noWrap/>
            <w:vAlign w:val="center"/>
            <w:hideMark/>
          </w:tcPr>
          <w:p w14:paraId="7B1BC7E6" w14:textId="77777777" w:rsidR="005216BD" w:rsidRPr="00D95BED" w:rsidRDefault="005216BD" w:rsidP="00D95BED">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78.54</w:t>
            </w:r>
          </w:p>
        </w:tc>
      </w:tr>
      <w:tr w:rsidR="005216BD" w:rsidRPr="00D95BED" w14:paraId="38D887AA" w14:textId="77777777" w:rsidTr="00D95BE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551" w:type="dxa"/>
            <w:noWrap/>
            <w:vAlign w:val="center"/>
            <w:hideMark/>
          </w:tcPr>
          <w:p w14:paraId="2A032747" w14:textId="77777777" w:rsidR="005216BD" w:rsidRPr="00D95BED" w:rsidRDefault="005216BD" w:rsidP="00D95BED">
            <w:pPr>
              <w:jc w:val="center"/>
              <w:rPr>
                <w:rFonts w:eastAsia="Times New Roman" w:cs="Times New Roman"/>
                <w:b w:val="0"/>
                <w:noProof/>
                <w:color w:val="000000"/>
                <w:sz w:val="20"/>
                <w:szCs w:val="20"/>
                <w:lang w:val="sr-Cyrl-CS" w:eastAsia="sr-Latn-RS"/>
              </w:rPr>
            </w:pPr>
            <w:r w:rsidRPr="00D95BED">
              <w:rPr>
                <w:rFonts w:eastAsia="Times New Roman" w:cs="Times New Roman"/>
                <w:b w:val="0"/>
                <w:noProof/>
                <w:color w:val="000000"/>
                <w:sz w:val="20"/>
                <w:szCs w:val="20"/>
                <w:lang w:val="sr-Cyrl-CS" w:eastAsia="sr-Latn-RS"/>
              </w:rPr>
              <w:t>16</w:t>
            </w:r>
          </w:p>
        </w:tc>
        <w:tc>
          <w:tcPr>
            <w:tcW w:w="3101" w:type="dxa"/>
            <w:vAlign w:val="center"/>
            <w:hideMark/>
          </w:tcPr>
          <w:p w14:paraId="56069CCB" w14:textId="77777777" w:rsidR="005216BD" w:rsidRPr="00D95BED" w:rsidRDefault="005216BD" w:rsidP="00D95BED">
            <w:pPr>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Накнаде члановима НО и Комисије за ревизију</w:t>
            </w:r>
          </w:p>
        </w:tc>
        <w:tc>
          <w:tcPr>
            <w:tcW w:w="1398" w:type="dxa"/>
            <w:noWrap/>
            <w:vAlign w:val="center"/>
            <w:hideMark/>
          </w:tcPr>
          <w:p w14:paraId="56B9F4F5" w14:textId="77777777" w:rsidR="005216BD" w:rsidRPr="00D95BED" w:rsidRDefault="005216BD" w:rsidP="00D95B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6,666</w:t>
            </w:r>
          </w:p>
        </w:tc>
        <w:tc>
          <w:tcPr>
            <w:tcW w:w="1295" w:type="dxa"/>
            <w:noWrap/>
            <w:vAlign w:val="center"/>
            <w:hideMark/>
          </w:tcPr>
          <w:p w14:paraId="36F73358" w14:textId="77777777" w:rsidR="005216BD" w:rsidRPr="00D95BED" w:rsidRDefault="005216BD" w:rsidP="00D95B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6,714</w:t>
            </w:r>
          </w:p>
        </w:tc>
        <w:tc>
          <w:tcPr>
            <w:tcW w:w="1418" w:type="dxa"/>
            <w:noWrap/>
            <w:vAlign w:val="center"/>
            <w:hideMark/>
          </w:tcPr>
          <w:p w14:paraId="447996BA" w14:textId="77777777" w:rsidR="005216BD" w:rsidRPr="00D95BED" w:rsidRDefault="005216BD" w:rsidP="00D95B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6,345</w:t>
            </w:r>
          </w:p>
        </w:tc>
        <w:tc>
          <w:tcPr>
            <w:tcW w:w="1276" w:type="dxa"/>
            <w:noWrap/>
            <w:vAlign w:val="center"/>
            <w:hideMark/>
          </w:tcPr>
          <w:p w14:paraId="07983CA8" w14:textId="77777777" w:rsidR="005216BD" w:rsidRPr="00D95BED" w:rsidRDefault="005216BD" w:rsidP="00D95BED">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95.18</w:t>
            </w:r>
          </w:p>
        </w:tc>
        <w:tc>
          <w:tcPr>
            <w:tcW w:w="1011" w:type="dxa"/>
            <w:noWrap/>
            <w:vAlign w:val="center"/>
            <w:hideMark/>
          </w:tcPr>
          <w:p w14:paraId="765BBFC3" w14:textId="77777777" w:rsidR="005216BD" w:rsidRPr="00D95BED" w:rsidRDefault="005216BD" w:rsidP="00D95BED">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94.50</w:t>
            </w:r>
          </w:p>
        </w:tc>
      </w:tr>
      <w:tr w:rsidR="001E0DAA" w:rsidRPr="00D95BED" w14:paraId="6F1CB341" w14:textId="77777777" w:rsidTr="00D95BED">
        <w:trPr>
          <w:trHeight w:val="283"/>
        </w:trPr>
        <w:tc>
          <w:tcPr>
            <w:cnfStyle w:val="001000000000" w:firstRow="0" w:lastRow="0" w:firstColumn="1" w:lastColumn="0" w:oddVBand="0" w:evenVBand="0" w:oddHBand="0" w:evenHBand="0" w:firstRowFirstColumn="0" w:firstRowLastColumn="0" w:lastRowFirstColumn="0" w:lastRowLastColumn="0"/>
            <w:tcW w:w="551" w:type="dxa"/>
            <w:noWrap/>
            <w:vAlign w:val="center"/>
            <w:hideMark/>
          </w:tcPr>
          <w:p w14:paraId="65D946EB" w14:textId="77777777" w:rsidR="005216BD" w:rsidRPr="00D95BED" w:rsidRDefault="005216BD" w:rsidP="00D95BED">
            <w:pPr>
              <w:jc w:val="center"/>
              <w:rPr>
                <w:rFonts w:eastAsia="Times New Roman" w:cs="Times New Roman"/>
                <w:b w:val="0"/>
                <w:noProof/>
                <w:color w:val="000000"/>
                <w:sz w:val="20"/>
                <w:szCs w:val="20"/>
                <w:lang w:val="sr-Cyrl-CS" w:eastAsia="sr-Latn-RS"/>
              </w:rPr>
            </w:pPr>
            <w:r w:rsidRPr="00D95BED">
              <w:rPr>
                <w:rFonts w:eastAsia="Times New Roman" w:cs="Times New Roman"/>
                <w:b w:val="0"/>
                <w:noProof/>
                <w:color w:val="000000"/>
                <w:sz w:val="20"/>
                <w:szCs w:val="20"/>
                <w:lang w:val="sr-Cyrl-CS" w:eastAsia="sr-Latn-RS"/>
              </w:rPr>
              <w:t>17</w:t>
            </w:r>
          </w:p>
        </w:tc>
        <w:tc>
          <w:tcPr>
            <w:tcW w:w="3101" w:type="dxa"/>
            <w:vAlign w:val="center"/>
            <w:hideMark/>
          </w:tcPr>
          <w:p w14:paraId="5B828E1F" w14:textId="77777777" w:rsidR="005216BD" w:rsidRPr="00D95BED" w:rsidRDefault="005216BD" w:rsidP="00D95BED">
            <w:pPr>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Остали лични расходи</w:t>
            </w:r>
          </w:p>
        </w:tc>
        <w:tc>
          <w:tcPr>
            <w:tcW w:w="1398" w:type="dxa"/>
            <w:noWrap/>
            <w:vAlign w:val="center"/>
            <w:hideMark/>
          </w:tcPr>
          <w:p w14:paraId="3A93128E" w14:textId="77777777" w:rsidR="005216BD" w:rsidRPr="00D95BED" w:rsidRDefault="005216BD" w:rsidP="00D95B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4,894</w:t>
            </w:r>
          </w:p>
        </w:tc>
        <w:tc>
          <w:tcPr>
            <w:tcW w:w="1295" w:type="dxa"/>
            <w:noWrap/>
            <w:vAlign w:val="center"/>
            <w:hideMark/>
          </w:tcPr>
          <w:p w14:paraId="373B9C84" w14:textId="77777777" w:rsidR="005216BD" w:rsidRPr="00D95BED" w:rsidRDefault="005216BD" w:rsidP="00D95B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5,395</w:t>
            </w:r>
          </w:p>
        </w:tc>
        <w:tc>
          <w:tcPr>
            <w:tcW w:w="1418" w:type="dxa"/>
            <w:noWrap/>
            <w:vAlign w:val="center"/>
            <w:hideMark/>
          </w:tcPr>
          <w:p w14:paraId="04F04002" w14:textId="77777777" w:rsidR="005216BD" w:rsidRPr="00D95BED" w:rsidRDefault="005216BD" w:rsidP="00D95B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4,743</w:t>
            </w:r>
          </w:p>
        </w:tc>
        <w:tc>
          <w:tcPr>
            <w:tcW w:w="1276" w:type="dxa"/>
            <w:noWrap/>
            <w:vAlign w:val="center"/>
            <w:hideMark/>
          </w:tcPr>
          <w:p w14:paraId="0FD44E38" w14:textId="77777777" w:rsidR="005216BD" w:rsidRPr="00D95BED" w:rsidRDefault="005216BD" w:rsidP="00D95BED">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96.92</w:t>
            </w:r>
          </w:p>
        </w:tc>
        <w:tc>
          <w:tcPr>
            <w:tcW w:w="1011" w:type="dxa"/>
            <w:noWrap/>
            <w:vAlign w:val="center"/>
            <w:hideMark/>
          </w:tcPr>
          <w:p w14:paraId="5EC96461" w14:textId="77777777" w:rsidR="005216BD" w:rsidRPr="00D95BED" w:rsidRDefault="005216BD" w:rsidP="00D95BED">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87.92</w:t>
            </w:r>
          </w:p>
        </w:tc>
      </w:tr>
      <w:tr w:rsidR="005216BD" w:rsidRPr="00D95BED" w14:paraId="3C1CA057" w14:textId="77777777" w:rsidTr="00D95BE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551" w:type="dxa"/>
            <w:noWrap/>
            <w:vAlign w:val="center"/>
            <w:hideMark/>
          </w:tcPr>
          <w:p w14:paraId="3B15B289" w14:textId="77777777" w:rsidR="005216BD" w:rsidRPr="00D95BED" w:rsidRDefault="005216BD" w:rsidP="00D95BED">
            <w:pPr>
              <w:jc w:val="center"/>
              <w:rPr>
                <w:rFonts w:eastAsia="Times New Roman" w:cs="Times New Roman"/>
                <w:b w:val="0"/>
                <w:noProof/>
                <w:color w:val="000000"/>
                <w:sz w:val="20"/>
                <w:szCs w:val="20"/>
                <w:lang w:val="sr-Cyrl-CS" w:eastAsia="sr-Latn-RS"/>
              </w:rPr>
            </w:pPr>
            <w:r w:rsidRPr="00D95BED">
              <w:rPr>
                <w:rFonts w:eastAsia="Times New Roman" w:cs="Times New Roman"/>
                <w:b w:val="0"/>
                <w:noProof/>
                <w:color w:val="000000"/>
                <w:sz w:val="20"/>
                <w:szCs w:val="20"/>
                <w:lang w:val="sr-Cyrl-CS" w:eastAsia="sr-Latn-RS"/>
              </w:rPr>
              <w:t>18</w:t>
            </w:r>
          </w:p>
        </w:tc>
        <w:tc>
          <w:tcPr>
            <w:tcW w:w="3101" w:type="dxa"/>
            <w:vAlign w:val="center"/>
            <w:hideMark/>
          </w:tcPr>
          <w:p w14:paraId="4A6EF73A" w14:textId="77777777" w:rsidR="005216BD" w:rsidRPr="00D95BED" w:rsidRDefault="005216BD" w:rsidP="00D95BED">
            <w:pPr>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Укупни трошкови</w:t>
            </w:r>
          </w:p>
        </w:tc>
        <w:tc>
          <w:tcPr>
            <w:tcW w:w="1398" w:type="dxa"/>
            <w:noWrap/>
            <w:vAlign w:val="center"/>
            <w:hideMark/>
          </w:tcPr>
          <w:p w14:paraId="1E0F5486" w14:textId="77777777" w:rsidR="005216BD" w:rsidRPr="00D95BED" w:rsidRDefault="005216BD" w:rsidP="00D95B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551,316</w:t>
            </w:r>
          </w:p>
        </w:tc>
        <w:tc>
          <w:tcPr>
            <w:tcW w:w="1295" w:type="dxa"/>
            <w:noWrap/>
            <w:vAlign w:val="center"/>
            <w:hideMark/>
          </w:tcPr>
          <w:p w14:paraId="4D2A5419" w14:textId="77777777" w:rsidR="005216BD" w:rsidRPr="00D95BED" w:rsidRDefault="005216BD" w:rsidP="00D95B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529,166</w:t>
            </w:r>
          </w:p>
        </w:tc>
        <w:tc>
          <w:tcPr>
            <w:tcW w:w="1418" w:type="dxa"/>
            <w:noWrap/>
            <w:vAlign w:val="center"/>
            <w:hideMark/>
          </w:tcPr>
          <w:p w14:paraId="6BE91E7E" w14:textId="77777777" w:rsidR="005216BD" w:rsidRPr="00D95BED" w:rsidRDefault="005216BD" w:rsidP="00D95B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406,178</w:t>
            </w:r>
          </w:p>
        </w:tc>
        <w:tc>
          <w:tcPr>
            <w:tcW w:w="1276" w:type="dxa"/>
            <w:noWrap/>
            <w:vAlign w:val="center"/>
            <w:hideMark/>
          </w:tcPr>
          <w:p w14:paraId="6943B8B0" w14:textId="77777777" w:rsidR="005216BD" w:rsidRPr="00D95BED" w:rsidRDefault="005216BD" w:rsidP="00D95BED">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73.67</w:t>
            </w:r>
          </w:p>
        </w:tc>
        <w:tc>
          <w:tcPr>
            <w:tcW w:w="1011" w:type="dxa"/>
            <w:noWrap/>
            <w:vAlign w:val="center"/>
            <w:hideMark/>
          </w:tcPr>
          <w:p w14:paraId="66112DF3" w14:textId="77777777" w:rsidR="005216BD" w:rsidRPr="00D95BED" w:rsidRDefault="005216BD" w:rsidP="00D95BED">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76.76</w:t>
            </w:r>
          </w:p>
        </w:tc>
      </w:tr>
      <w:tr w:rsidR="001E0DAA" w:rsidRPr="00D95BED" w14:paraId="404454F8" w14:textId="77777777" w:rsidTr="00D95BED">
        <w:trPr>
          <w:trHeight w:val="283"/>
        </w:trPr>
        <w:tc>
          <w:tcPr>
            <w:cnfStyle w:val="001000000000" w:firstRow="0" w:lastRow="0" w:firstColumn="1" w:lastColumn="0" w:oddVBand="0" w:evenVBand="0" w:oddHBand="0" w:evenHBand="0" w:firstRowFirstColumn="0" w:firstRowLastColumn="0" w:lastRowFirstColumn="0" w:lastRowLastColumn="0"/>
            <w:tcW w:w="551" w:type="dxa"/>
            <w:noWrap/>
            <w:vAlign w:val="center"/>
            <w:hideMark/>
          </w:tcPr>
          <w:p w14:paraId="313FF403" w14:textId="77777777" w:rsidR="005216BD" w:rsidRPr="00D95BED" w:rsidRDefault="005216BD" w:rsidP="00D95BED">
            <w:pPr>
              <w:jc w:val="center"/>
              <w:rPr>
                <w:rFonts w:eastAsia="Times New Roman" w:cs="Times New Roman"/>
                <w:b w:val="0"/>
                <w:noProof/>
                <w:color w:val="000000"/>
                <w:sz w:val="20"/>
                <w:szCs w:val="20"/>
                <w:lang w:val="sr-Cyrl-CS" w:eastAsia="sr-Latn-RS"/>
              </w:rPr>
            </w:pPr>
            <w:r w:rsidRPr="00D95BED">
              <w:rPr>
                <w:rFonts w:eastAsia="Times New Roman" w:cs="Times New Roman"/>
                <w:b w:val="0"/>
                <w:noProof/>
                <w:color w:val="000000"/>
                <w:sz w:val="20"/>
                <w:szCs w:val="20"/>
                <w:lang w:val="sr-Cyrl-CS" w:eastAsia="sr-Latn-RS"/>
              </w:rPr>
              <w:t>19</w:t>
            </w:r>
          </w:p>
        </w:tc>
        <w:tc>
          <w:tcPr>
            <w:tcW w:w="3101" w:type="dxa"/>
            <w:vAlign w:val="center"/>
            <w:hideMark/>
          </w:tcPr>
          <w:p w14:paraId="7D80D8B9" w14:textId="77777777" w:rsidR="005216BD" w:rsidRPr="00D95BED" w:rsidRDefault="005216BD" w:rsidP="00D95BED">
            <w:pPr>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Приходи од провизије реосигурања</w:t>
            </w:r>
          </w:p>
        </w:tc>
        <w:tc>
          <w:tcPr>
            <w:tcW w:w="1398" w:type="dxa"/>
            <w:noWrap/>
            <w:vAlign w:val="center"/>
            <w:hideMark/>
          </w:tcPr>
          <w:p w14:paraId="530735E7" w14:textId="77777777" w:rsidR="005216BD" w:rsidRPr="00D95BED" w:rsidRDefault="005216BD" w:rsidP="00D95B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-364,315</w:t>
            </w:r>
          </w:p>
        </w:tc>
        <w:tc>
          <w:tcPr>
            <w:tcW w:w="1295" w:type="dxa"/>
            <w:noWrap/>
            <w:vAlign w:val="center"/>
            <w:hideMark/>
          </w:tcPr>
          <w:p w14:paraId="56ABD321" w14:textId="77777777" w:rsidR="005216BD" w:rsidRPr="00D95BED" w:rsidRDefault="005216BD" w:rsidP="00D95B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-357,642</w:t>
            </w:r>
          </w:p>
        </w:tc>
        <w:tc>
          <w:tcPr>
            <w:tcW w:w="1418" w:type="dxa"/>
            <w:noWrap/>
            <w:vAlign w:val="center"/>
            <w:hideMark/>
          </w:tcPr>
          <w:p w14:paraId="18CF8EA1" w14:textId="77777777" w:rsidR="005216BD" w:rsidRPr="00D95BED" w:rsidRDefault="005216BD" w:rsidP="00D95B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-278,394</w:t>
            </w:r>
          </w:p>
        </w:tc>
        <w:tc>
          <w:tcPr>
            <w:tcW w:w="1276" w:type="dxa"/>
            <w:noWrap/>
            <w:vAlign w:val="center"/>
            <w:hideMark/>
          </w:tcPr>
          <w:p w14:paraId="6D9F70B5" w14:textId="77777777" w:rsidR="005216BD" w:rsidRPr="00D95BED" w:rsidRDefault="005216BD" w:rsidP="00D95BED">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76.42</w:t>
            </w:r>
          </w:p>
        </w:tc>
        <w:tc>
          <w:tcPr>
            <w:tcW w:w="1011" w:type="dxa"/>
            <w:noWrap/>
            <w:vAlign w:val="center"/>
            <w:hideMark/>
          </w:tcPr>
          <w:p w14:paraId="18B3AEC4" w14:textId="77777777" w:rsidR="005216BD" w:rsidRPr="00D95BED" w:rsidRDefault="005216BD" w:rsidP="00D95BED">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noProof/>
                <w:color w:val="000000"/>
                <w:sz w:val="20"/>
                <w:szCs w:val="20"/>
                <w:lang w:val="sr-Cyrl-CS" w:eastAsia="sr-Latn-RS"/>
              </w:rPr>
            </w:pPr>
            <w:r w:rsidRPr="00D95BED">
              <w:rPr>
                <w:rFonts w:eastAsia="Times New Roman" w:cs="Times New Roman"/>
                <w:noProof/>
                <w:color w:val="000000"/>
                <w:sz w:val="20"/>
                <w:szCs w:val="20"/>
                <w:lang w:val="sr-Cyrl-CS" w:eastAsia="sr-Latn-RS"/>
              </w:rPr>
              <w:t>77.84</w:t>
            </w:r>
          </w:p>
        </w:tc>
      </w:tr>
      <w:tr w:rsidR="005216BD" w:rsidRPr="00D95BED" w14:paraId="68536091" w14:textId="77777777" w:rsidTr="00D95BED">
        <w:trPr>
          <w:cnfStyle w:val="010000000000" w:firstRow="0" w:lastRow="1" w:firstColumn="0" w:lastColumn="0" w:oddVBand="0" w:evenVBand="0" w:oddHBand="0"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551" w:type="dxa"/>
            <w:noWrap/>
            <w:vAlign w:val="center"/>
            <w:hideMark/>
          </w:tcPr>
          <w:p w14:paraId="187C77AD" w14:textId="77777777" w:rsidR="005216BD" w:rsidRPr="00D95BED" w:rsidRDefault="005216BD" w:rsidP="00D95BED">
            <w:pPr>
              <w:jc w:val="center"/>
              <w:rPr>
                <w:rFonts w:eastAsia="Times New Roman" w:cs="Times New Roman"/>
                <w:noProof/>
                <w:color w:val="000000"/>
                <w:sz w:val="18"/>
                <w:szCs w:val="18"/>
                <w:lang w:val="sr-Cyrl-CS" w:eastAsia="sr-Latn-RS"/>
              </w:rPr>
            </w:pPr>
          </w:p>
        </w:tc>
        <w:tc>
          <w:tcPr>
            <w:tcW w:w="3101" w:type="dxa"/>
            <w:vAlign w:val="center"/>
            <w:hideMark/>
          </w:tcPr>
          <w:p w14:paraId="7A07E98E" w14:textId="77777777" w:rsidR="005216BD" w:rsidRPr="00D95BED" w:rsidRDefault="005216BD" w:rsidP="00D95BED">
            <w:pPr>
              <w:jc w:val="center"/>
              <w:cnfStyle w:val="010000000000" w:firstRow="0" w:lastRow="1" w:firstColumn="0" w:lastColumn="0" w:oddVBand="0" w:evenVBand="0" w:oddHBand="0" w:evenHBand="0" w:firstRowFirstColumn="0" w:firstRowLastColumn="0" w:lastRowFirstColumn="0" w:lastRowLastColumn="0"/>
              <w:rPr>
                <w:rFonts w:eastAsia="Times New Roman" w:cs="Times New Roman"/>
                <w:noProof/>
                <w:color w:val="000000"/>
                <w:sz w:val="18"/>
                <w:szCs w:val="18"/>
                <w:lang w:val="sr-Cyrl-CS" w:eastAsia="sr-Latn-RS"/>
              </w:rPr>
            </w:pPr>
            <w:r w:rsidRPr="00D95BED">
              <w:rPr>
                <w:rFonts w:eastAsia="Times New Roman" w:cs="Times New Roman"/>
                <w:noProof/>
                <w:color w:val="000000"/>
                <w:sz w:val="18"/>
                <w:szCs w:val="18"/>
                <w:lang w:val="sr-Cyrl-CS" w:eastAsia="sr-Latn-RS"/>
              </w:rPr>
              <w:t>Укупно (18-19)</w:t>
            </w:r>
          </w:p>
        </w:tc>
        <w:tc>
          <w:tcPr>
            <w:tcW w:w="1398" w:type="dxa"/>
            <w:noWrap/>
            <w:vAlign w:val="center"/>
            <w:hideMark/>
          </w:tcPr>
          <w:p w14:paraId="1C97F841" w14:textId="6BA9318E" w:rsidR="005216BD" w:rsidRPr="00D95BED" w:rsidRDefault="005216BD" w:rsidP="000919B7">
            <w:pPr>
              <w:jc w:val="right"/>
              <w:cnfStyle w:val="010000000000" w:firstRow="0" w:lastRow="1" w:firstColumn="0" w:lastColumn="0" w:oddVBand="0" w:evenVBand="0" w:oddHBand="0" w:evenHBand="0" w:firstRowFirstColumn="0" w:firstRowLastColumn="0" w:lastRowFirstColumn="0" w:lastRowLastColumn="0"/>
              <w:rPr>
                <w:rFonts w:eastAsia="Times New Roman" w:cs="Times New Roman"/>
                <w:noProof/>
                <w:color w:val="000000"/>
                <w:sz w:val="18"/>
                <w:szCs w:val="18"/>
                <w:lang w:val="sr-Cyrl-CS" w:eastAsia="sr-Latn-RS"/>
              </w:rPr>
            </w:pPr>
            <w:r w:rsidRPr="00D95BED">
              <w:rPr>
                <w:rFonts w:eastAsia="Times New Roman" w:cs="Times New Roman"/>
                <w:noProof/>
                <w:color w:val="000000"/>
                <w:sz w:val="18"/>
                <w:szCs w:val="18"/>
                <w:lang w:val="sr-Cyrl-CS" w:eastAsia="sr-Latn-RS"/>
              </w:rPr>
              <w:t>187,</w:t>
            </w:r>
            <w:r w:rsidR="000919B7" w:rsidRPr="00D95BED">
              <w:rPr>
                <w:rFonts w:eastAsia="Times New Roman" w:cs="Times New Roman"/>
                <w:noProof/>
                <w:color w:val="000000"/>
                <w:sz w:val="18"/>
                <w:szCs w:val="18"/>
                <w:lang w:val="sr-Cyrl-CS" w:eastAsia="sr-Latn-RS"/>
              </w:rPr>
              <w:t>00</w:t>
            </w:r>
            <w:r w:rsidR="000919B7">
              <w:rPr>
                <w:rFonts w:eastAsia="Times New Roman" w:cs="Times New Roman"/>
                <w:noProof/>
                <w:color w:val="000000"/>
                <w:sz w:val="18"/>
                <w:szCs w:val="18"/>
                <w:lang w:val="sr-Cyrl-CS" w:eastAsia="sr-Latn-RS"/>
              </w:rPr>
              <w:t>2</w:t>
            </w:r>
          </w:p>
        </w:tc>
        <w:tc>
          <w:tcPr>
            <w:tcW w:w="1295" w:type="dxa"/>
            <w:noWrap/>
            <w:vAlign w:val="center"/>
            <w:hideMark/>
          </w:tcPr>
          <w:p w14:paraId="0D1B9F45" w14:textId="77777777" w:rsidR="005216BD" w:rsidRPr="00D95BED" w:rsidRDefault="005216BD" w:rsidP="00D95BED">
            <w:pPr>
              <w:jc w:val="right"/>
              <w:cnfStyle w:val="010000000000" w:firstRow="0" w:lastRow="1" w:firstColumn="0" w:lastColumn="0" w:oddVBand="0" w:evenVBand="0" w:oddHBand="0" w:evenHBand="0" w:firstRowFirstColumn="0" w:firstRowLastColumn="0" w:lastRowFirstColumn="0" w:lastRowLastColumn="0"/>
              <w:rPr>
                <w:rFonts w:eastAsia="Times New Roman" w:cs="Times New Roman"/>
                <w:noProof/>
                <w:color w:val="000000"/>
                <w:sz w:val="18"/>
                <w:szCs w:val="18"/>
                <w:lang w:val="sr-Cyrl-CS" w:eastAsia="sr-Latn-RS"/>
              </w:rPr>
            </w:pPr>
            <w:r w:rsidRPr="00D95BED">
              <w:rPr>
                <w:rFonts w:eastAsia="Times New Roman" w:cs="Times New Roman"/>
                <w:noProof/>
                <w:color w:val="000000"/>
                <w:sz w:val="18"/>
                <w:szCs w:val="18"/>
                <w:lang w:val="sr-Cyrl-CS" w:eastAsia="sr-Latn-RS"/>
              </w:rPr>
              <w:t>171,524</w:t>
            </w:r>
          </w:p>
        </w:tc>
        <w:tc>
          <w:tcPr>
            <w:tcW w:w="1418" w:type="dxa"/>
            <w:noWrap/>
            <w:vAlign w:val="center"/>
            <w:hideMark/>
          </w:tcPr>
          <w:p w14:paraId="77B9E2BE" w14:textId="77777777" w:rsidR="005216BD" w:rsidRPr="00D95BED" w:rsidRDefault="005216BD" w:rsidP="00D95BED">
            <w:pPr>
              <w:jc w:val="right"/>
              <w:cnfStyle w:val="010000000000" w:firstRow="0" w:lastRow="1" w:firstColumn="0" w:lastColumn="0" w:oddVBand="0" w:evenVBand="0" w:oddHBand="0" w:evenHBand="0" w:firstRowFirstColumn="0" w:firstRowLastColumn="0" w:lastRowFirstColumn="0" w:lastRowLastColumn="0"/>
              <w:rPr>
                <w:rFonts w:eastAsia="Times New Roman" w:cs="Times New Roman"/>
                <w:noProof/>
                <w:color w:val="000000"/>
                <w:sz w:val="18"/>
                <w:szCs w:val="18"/>
                <w:lang w:val="sr-Cyrl-CS" w:eastAsia="sr-Latn-RS"/>
              </w:rPr>
            </w:pPr>
            <w:r w:rsidRPr="00D95BED">
              <w:rPr>
                <w:rFonts w:eastAsia="Times New Roman" w:cs="Times New Roman"/>
                <w:noProof/>
                <w:color w:val="000000"/>
                <w:sz w:val="18"/>
                <w:szCs w:val="18"/>
                <w:lang w:val="sr-Cyrl-CS" w:eastAsia="sr-Latn-RS"/>
              </w:rPr>
              <w:t>127,784</w:t>
            </w:r>
          </w:p>
        </w:tc>
        <w:tc>
          <w:tcPr>
            <w:tcW w:w="1276" w:type="dxa"/>
            <w:noWrap/>
            <w:vAlign w:val="center"/>
            <w:hideMark/>
          </w:tcPr>
          <w:p w14:paraId="313C9A92" w14:textId="77777777" w:rsidR="005216BD" w:rsidRPr="00D95BED" w:rsidRDefault="005216BD" w:rsidP="00D95BED">
            <w:pPr>
              <w:jc w:val="center"/>
              <w:cnfStyle w:val="010000000000" w:firstRow="0" w:lastRow="1" w:firstColumn="0" w:lastColumn="0" w:oddVBand="0" w:evenVBand="0" w:oddHBand="0" w:evenHBand="0" w:firstRowFirstColumn="0" w:firstRowLastColumn="0" w:lastRowFirstColumn="0" w:lastRowLastColumn="0"/>
              <w:rPr>
                <w:rFonts w:eastAsia="Times New Roman" w:cs="Times New Roman"/>
                <w:noProof/>
                <w:color w:val="000000"/>
                <w:sz w:val="18"/>
                <w:szCs w:val="18"/>
                <w:lang w:val="sr-Cyrl-CS" w:eastAsia="sr-Latn-RS"/>
              </w:rPr>
            </w:pPr>
            <w:r w:rsidRPr="00D95BED">
              <w:rPr>
                <w:rFonts w:eastAsia="Times New Roman" w:cs="Times New Roman"/>
                <w:noProof/>
                <w:color w:val="000000"/>
                <w:sz w:val="18"/>
                <w:szCs w:val="18"/>
                <w:lang w:val="sr-Cyrl-CS" w:eastAsia="sr-Latn-RS"/>
              </w:rPr>
              <w:t>68.33</w:t>
            </w:r>
          </w:p>
        </w:tc>
        <w:tc>
          <w:tcPr>
            <w:tcW w:w="1011" w:type="dxa"/>
            <w:noWrap/>
            <w:vAlign w:val="center"/>
            <w:hideMark/>
          </w:tcPr>
          <w:p w14:paraId="7D029D24" w14:textId="77777777" w:rsidR="005216BD" w:rsidRPr="00D95BED" w:rsidRDefault="005216BD" w:rsidP="00D95BED">
            <w:pPr>
              <w:jc w:val="center"/>
              <w:cnfStyle w:val="010000000000" w:firstRow="0" w:lastRow="1" w:firstColumn="0" w:lastColumn="0" w:oddVBand="0" w:evenVBand="0" w:oddHBand="0" w:evenHBand="0" w:firstRowFirstColumn="0" w:firstRowLastColumn="0" w:lastRowFirstColumn="0" w:lastRowLastColumn="0"/>
              <w:rPr>
                <w:rFonts w:eastAsia="Times New Roman" w:cs="Times New Roman"/>
                <w:noProof/>
                <w:color w:val="000000"/>
                <w:sz w:val="18"/>
                <w:szCs w:val="18"/>
                <w:lang w:val="sr-Cyrl-CS" w:eastAsia="sr-Latn-RS"/>
              </w:rPr>
            </w:pPr>
            <w:r w:rsidRPr="00D95BED">
              <w:rPr>
                <w:rFonts w:eastAsia="Times New Roman" w:cs="Times New Roman"/>
                <w:noProof/>
                <w:color w:val="000000"/>
                <w:sz w:val="18"/>
                <w:szCs w:val="18"/>
                <w:lang w:val="sr-Cyrl-CS" w:eastAsia="sr-Latn-RS"/>
              </w:rPr>
              <w:t>74.50</w:t>
            </w:r>
          </w:p>
        </w:tc>
      </w:tr>
    </w:tbl>
    <w:p w14:paraId="61AC897E" w14:textId="77777777" w:rsidR="001E0DAA" w:rsidRPr="00BF3CDE" w:rsidRDefault="001B208C" w:rsidP="00547C31">
      <w:pPr>
        <w:pStyle w:val="NoSpacing"/>
        <w:spacing w:before="120" w:after="120" w:line="276" w:lineRule="auto"/>
        <w:ind w:firstLine="284"/>
        <w:jc w:val="both"/>
        <w:rPr>
          <w:rFonts w:cs="Tahoma"/>
          <w:noProof/>
          <w:sz w:val="20"/>
          <w:lang w:val="sr-Cyrl-CS"/>
        </w:rPr>
      </w:pPr>
      <w:r w:rsidRPr="00BF3CDE">
        <w:rPr>
          <w:rFonts w:cs="Tahoma"/>
          <w:b/>
          <w:i/>
          <w:noProof/>
          <w:sz w:val="20"/>
          <w:lang w:val="sr-Cyrl-CS"/>
        </w:rPr>
        <w:t xml:space="preserve">Повећање </w:t>
      </w:r>
      <w:r w:rsidR="00BB47E7" w:rsidRPr="00BF3CDE">
        <w:rPr>
          <w:rFonts w:cs="Tahoma"/>
          <w:b/>
          <w:i/>
          <w:noProof/>
          <w:sz w:val="20"/>
          <w:lang w:val="sr-Cyrl-CS"/>
        </w:rPr>
        <w:t xml:space="preserve">трошкова </w:t>
      </w:r>
      <w:r w:rsidRPr="00BF3CDE">
        <w:rPr>
          <w:rFonts w:cs="Tahoma"/>
          <w:b/>
          <w:i/>
          <w:noProof/>
          <w:sz w:val="20"/>
          <w:lang w:val="sr-Cyrl-CS"/>
        </w:rPr>
        <w:t>је забележено код следећих позиција</w:t>
      </w:r>
      <w:r w:rsidRPr="00BF3CDE">
        <w:rPr>
          <w:rFonts w:cs="Tahoma"/>
          <w:noProof/>
          <w:sz w:val="20"/>
          <w:lang w:val="sr-Cyrl-CS"/>
        </w:rPr>
        <w:t>:</w:t>
      </w:r>
    </w:p>
    <w:p w14:paraId="3323996A" w14:textId="77777777" w:rsidR="001B208C" w:rsidRPr="00BF3CDE" w:rsidRDefault="00D95BED" w:rsidP="00D50EE5">
      <w:pPr>
        <w:pStyle w:val="NoSpacing"/>
        <w:spacing w:before="240" w:after="240"/>
        <w:ind w:firstLine="284"/>
        <w:jc w:val="both"/>
        <w:rPr>
          <w:rFonts w:cs="Tahoma"/>
          <w:noProof/>
          <w:sz w:val="20"/>
          <w:lang w:val="sr-Cyrl-CS"/>
        </w:rPr>
      </w:pPr>
      <w:r>
        <w:rPr>
          <w:rFonts w:cs="Tahoma"/>
          <w:b/>
          <w:noProof/>
          <w:sz w:val="20"/>
          <w:u w:val="single"/>
          <w:lang w:val="sr-Cyrl-CS"/>
        </w:rPr>
        <w:t>Резервисања по МРС 19</w:t>
      </w:r>
      <w:r>
        <w:rPr>
          <w:rFonts w:cs="Tahoma"/>
          <w:noProof/>
          <w:sz w:val="20"/>
          <w:lang w:val="sr-Cyrl-CS"/>
        </w:rPr>
        <w:t xml:space="preserve">, односно </w:t>
      </w:r>
      <w:r w:rsidR="001B208C" w:rsidRPr="00BF3CDE">
        <w:rPr>
          <w:rFonts w:cs="Tahoma"/>
          <w:noProof/>
          <w:sz w:val="20"/>
          <w:lang w:val="sr-Cyrl-CS"/>
        </w:rPr>
        <w:t>резервисања за јубиларне награде</w:t>
      </w:r>
      <w:r>
        <w:rPr>
          <w:rFonts w:cs="Tahoma"/>
          <w:noProof/>
          <w:sz w:val="20"/>
          <w:lang w:val="sr-Cyrl-CS"/>
        </w:rPr>
        <w:t>,</w:t>
      </w:r>
      <w:r w:rsidR="001B208C" w:rsidRPr="00BF3CDE">
        <w:rPr>
          <w:rFonts w:cs="Tahoma"/>
          <w:noProof/>
          <w:sz w:val="20"/>
          <w:lang w:val="sr-Cyrl-CS"/>
        </w:rPr>
        <w:t xml:space="preserve"> веће су за 37,82% у односу на 2013.</w:t>
      </w:r>
      <w:r>
        <w:rPr>
          <w:rFonts w:cs="Tahoma"/>
          <w:noProof/>
          <w:sz w:val="20"/>
          <w:lang w:val="sr-Cyrl-CS"/>
        </w:rPr>
        <w:t xml:space="preserve"> </w:t>
      </w:r>
      <w:r w:rsidR="001B208C" w:rsidRPr="00BF3CDE">
        <w:rPr>
          <w:rFonts w:cs="Tahoma"/>
          <w:noProof/>
          <w:sz w:val="20"/>
          <w:lang w:val="sr-Cyrl-CS"/>
        </w:rPr>
        <w:t>годину. Ово резервисање утврђује се на крају године</w:t>
      </w:r>
      <w:r>
        <w:rPr>
          <w:rFonts w:cs="Tahoma"/>
          <w:noProof/>
          <w:sz w:val="20"/>
          <w:lang w:val="sr-Cyrl-CS"/>
        </w:rPr>
        <w:t xml:space="preserve"> и представља </w:t>
      </w:r>
      <w:r w:rsidR="001B208C" w:rsidRPr="00BF3CDE">
        <w:rPr>
          <w:rFonts w:cs="Tahoma"/>
          <w:noProof/>
          <w:sz w:val="20"/>
          <w:lang w:val="sr-Cyrl-CS"/>
        </w:rPr>
        <w:t>категориј</w:t>
      </w:r>
      <w:r>
        <w:rPr>
          <w:rFonts w:cs="Tahoma"/>
          <w:noProof/>
          <w:sz w:val="20"/>
          <w:lang w:val="sr-Cyrl-CS"/>
        </w:rPr>
        <w:t>у</w:t>
      </w:r>
      <w:r w:rsidR="001B208C" w:rsidRPr="00BF3CDE">
        <w:rPr>
          <w:rFonts w:cs="Tahoma"/>
          <w:noProof/>
          <w:sz w:val="20"/>
          <w:lang w:val="sr-Cyrl-CS"/>
        </w:rPr>
        <w:t xml:space="preserve"> која се утвђује актуарским методама, а висина зависи од старости запослених, висине бруто зараде по запосленом</w:t>
      </w:r>
      <w:r>
        <w:rPr>
          <w:rFonts w:cs="Tahoma"/>
          <w:noProof/>
          <w:sz w:val="20"/>
          <w:lang w:val="sr-Cyrl-CS"/>
        </w:rPr>
        <w:t xml:space="preserve"> и</w:t>
      </w:r>
      <w:r w:rsidR="001B208C" w:rsidRPr="00BF3CDE">
        <w:rPr>
          <w:rFonts w:cs="Tahoma"/>
          <w:noProof/>
          <w:sz w:val="20"/>
          <w:lang w:val="sr-Cyrl-CS"/>
        </w:rPr>
        <w:t xml:space="preserve"> броја запослених који у 2015. години остварују право на отпремнину и јубиларну награду.</w:t>
      </w:r>
    </w:p>
    <w:p w14:paraId="77C14DE6" w14:textId="77777777" w:rsidR="001B208C" w:rsidRDefault="001B208C" w:rsidP="00D50EE5">
      <w:pPr>
        <w:pStyle w:val="NoSpacing"/>
        <w:spacing w:before="240" w:after="240"/>
        <w:ind w:firstLine="284"/>
        <w:jc w:val="both"/>
        <w:rPr>
          <w:rFonts w:cs="Tahoma"/>
          <w:noProof/>
          <w:sz w:val="20"/>
          <w:lang w:val="sr-Cyrl-CS"/>
        </w:rPr>
      </w:pPr>
      <w:r w:rsidRPr="00BF3CDE">
        <w:rPr>
          <w:rFonts w:cs="Tahoma"/>
          <w:b/>
          <w:noProof/>
          <w:sz w:val="20"/>
          <w:u w:val="single"/>
          <w:lang w:val="sr-Cyrl-CS"/>
        </w:rPr>
        <w:lastRenderedPageBreak/>
        <w:t>Трошкови премије осигурања</w:t>
      </w:r>
      <w:r w:rsidR="00D95BED">
        <w:rPr>
          <w:rFonts w:cs="Tahoma"/>
          <w:noProof/>
          <w:sz w:val="20"/>
          <w:lang w:val="sr-Cyrl-CS"/>
        </w:rPr>
        <w:t xml:space="preserve"> већа су</w:t>
      </w:r>
      <w:r w:rsidRPr="00BF3CDE">
        <w:rPr>
          <w:rFonts w:cs="Tahoma"/>
          <w:noProof/>
          <w:sz w:val="20"/>
          <w:lang w:val="sr-Cyrl-CS"/>
        </w:rPr>
        <w:t xml:space="preserve"> за 30,68% у односу на претходну годину. Ови трошкови односе се на трошкове имовине (путничких аутомобили, опрема, осигурање запослених и пензионера).</w:t>
      </w:r>
    </w:p>
    <w:p w14:paraId="179BE4D9" w14:textId="77777777" w:rsidR="00D50EE5" w:rsidRPr="00BF3CDE" w:rsidRDefault="00D50EE5" w:rsidP="00D50EE5">
      <w:pPr>
        <w:pStyle w:val="NoSpacing"/>
        <w:spacing w:before="240" w:after="240"/>
        <w:ind w:firstLine="284"/>
        <w:jc w:val="both"/>
        <w:rPr>
          <w:rFonts w:cs="Tahoma"/>
          <w:noProof/>
          <w:sz w:val="20"/>
          <w:lang w:val="sr-Cyrl-CS"/>
        </w:rPr>
      </w:pPr>
    </w:p>
    <w:p w14:paraId="4DD65AF4" w14:textId="77777777" w:rsidR="001B208C" w:rsidRPr="00BF3CDE" w:rsidRDefault="001B208C" w:rsidP="00D50EE5">
      <w:pPr>
        <w:pStyle w:val="NoSpacing"/>
        <w:spacing w:before="120" w:after="120"/>
        <w:ind w:firstLine="284"/>
        <w:jc w:val="both"/>
        <w:rPr>
          <w:rFonts w:cs="Tahoma"/>
          <w:noProof/>
          <w:sz w:val="20"/>
          <w:lang w:val="sr-Cyrl-CS"/>
        </w:rPr>
      </w:pPr>
      <w:r w:rsidRPr="00BF3CDE">
        <w:rPr>
          <w:rFonts w:cs="Tahoma"/>
          <w:b/>
          <w:noProof/>
          <w:sz w:val="20"/>
          <w:u w:val="single"/>
          <w:lang w:val="sr-Cyrl-CS"/>
        </w:rPr>
        <w:t>Трошкови пореза и доприноса</w:t>
      </w:r>
      <w:r w:rsidRPr="00BF3CDE">
        <w:rPr>
          <w:rFonts w:cs="Tahoma"/>
          <w:noProof/>
          <w:sz w:val="20"/>
          <w:lang w:val="sr-Cyrl-CS"/>
        </w:rPr>
        <w:t xml:space="preserve"> су за 94,14% већи у односу на 2013.</w:t>
      </w:r>
      <w:r w:rsidR="00D95BED">
        <w:rPr>
          <w:rFonts w:cs="Tahoma"/>
          <w:noProof/>
          <w:sz w:val="20"/>
          <w:lang w:val="sr-Cyrl-CS"/>
        </w:rPr>
        <w:t xml:space="preserve"> </w:t>
      </w:r>
      <w:r w:rsidRPr="00BF3CDE">
        <w:rPr>
          <w:rFonts w:cs="Tahoma"/>
          <w:noProof/>
          <w:sz w:val="20"/>
          <w:lang w:val="sr-Cyrl-CS"/>
        </w:rPr>
        <w:t>годину и за 3,17 пута су већи од планираних. У току 2014. године Друштво је обрачунало и уплатило 3.248 хиљада динара пореза по одбитку по стопи од 25% по основу исплаћених накнада за услуге које је пружило нерезидентно правно лице из јурисдикције са преференцијалним пореским системом (</w:t>
      </w:r>
      <w:r w:rsidRPr="00D95BED">
        <w:rPr>
          <w:rFonts w:cs="Tahoma"/>
          <w:i/>
          <w:noProof/>
          <w:sz w:val="20"/>
          <w:lang w:val="sr-Cyrl-CS"/>
        </w:rPr>
        <w:t>World wide Insurance Hong Kong, Baloise Insurance Companz ltd Bermuda, Trust Re Bahrein</w:t>
      </w:r>
      <w:r w:rsidR="00D95BED">
        <w:rPr>
          <w:rFonts w:cs="Tahoma"/>
          <w:i/>
          <w:noProof/>
          <w:sz w:val="20"/>
          <w:lang w:val="sr-Cyrl-CS"/>
        </w:rPr>
        <w:t>,</w:t>
      </w:r>
      <w:r w:rsidRPr="00D95BED">
        <w:rPr>
          <w:rFonts w:cs="Tahoma"/>
          <w:i/>
          <w:noProof/>
          <w:sz w:val="20"/>
          <w:lang w:val="sr-Cyrl-CS"/>
        </w:rPr>
        <w:t xml:space="preserve"> Uniqa Versicherung VaduLihtenstein, Hotel Olympia Monte Carlo</w:t>
      </w:r>
      <w:r w:rsidR="00D95BED">
        <w:rPr>
          <w:rFonts w:cs="Tahoma"/>
          <w:noProof/>
          <w:sz w:val="20"/>
          <w:lang w:val="sr-Cyrl-CS"/>
        </w:rPr>
        <w:t>)</w:t>
      </w:r>
      <w:r w:rsidRPr="00BF3CDE">
        <w:rPr>
          <w:rFonts w:cs="Tahoma"/>
          <w:noProof/>
          <w:sz w:val="20"/>
          <w:lang w:val="sr-Cyrl-CS"/>
        </w:rPr>
        <w:t>.</w:t>
      </w:r>
    </w:p>
    <w:p w14:paraId="336C19C9" w14:textId="77777777" w:rsidR="001B208C" w:rsidRPr="00BF3CDE" w:rsidRDefault="001B208C" w:rsidP="001B208C">
      <w:pPr>
        <w:pStyle w:val="NoSpacing"/>
        <w:spacing w:before="120" w:after="120" w:line="276" w:lineRule="auto"/>
        <w:ind w:firstLine="284"/>
        <w:jc w:val="both"/>
        <w:rPr>
          <w:rFonts w:cs="Tahoma"/>
          <w:noProof/>
          <w:sz w:val="20"/>
          <w:lang w:val="sr-Cyrl-CS"/>
        </w:rPr>
      </w:pPr>
      <w:r w:rsidRPr="00BF3CDE">
        <w:rPr>
          <w:rFonts w:cs="Tahoma"/>
          <w:b/>
          <w:noProof/>
          <w:sz w:val="20"/>
          <w:u w:val="single"/>
          <w:lang w:val="sr-Cyrl-CS"/>
        </w:rPr>
        <w:t>Остали нематеријални трошкови</w:t>
      </w:r>
      <w:r w:rsidRPr="00BF3CDE">
        <w:rPr>
          <w:rFonts w:cs="Tahoma"/>
          <w:noProof/>
          <w:sz w:val="20"/>
          <w:lang w:val="sr-Cyrl-CS"/>
        </w:rPr>
        <w:t xml:space="preserve"> већи су за 78,28%,у односу на 2013.</w:t>
      </w:r>
      <w:r w:rsidR="00D95BED">
        <w:rPr>
          <w:rFonts w:cs="Tahoma"/>
          <w:noProof/>
          <w:sz w:val="20"/>
          <w:lang w:val="sr-Cyrl-CS"/>
        </w:rPr>
        <w:t xml:space="preserve"> </w:t>
      </w:r>
      <w:r w:rsidRPr="00BF3CDE">
        <w:rPr>
          <w:rFonts w:cs="Tahoma"/>
          <w:noProof/>
          <w:sz w:val="20"/>
          <w:lang w:val="sr-Cyrl-CS"/>
        </w:rPr>
        <w:t>годину и за 31,23% већи су од планираних. На повећање ових трошкова највећим делом утицали су трошкови донације. Уплаћено је 1.000 хиљада динара за помоћ пострадалим подручијима Републике Србије у катастрофалним поплавама.</w:t>
      </w:r>
    </w:p>
    <w:p w14:paraId="142F9AB5" w14:textId="77777777" w:rsidR="00BB47E7" w:rsidRPr="00BF3CDE" w:rsidRDefault="00BB47E7" w:rsidP="00D95BED">
      <w:pPr>
        <w:pStyle w:val="NoSpacing"/>
        <w:spacing w:before="240" w:after="240" w:line="276" w:lineRule="auto"/>
        <w:ind w:firstLine="284"/>
        <w:jc w:val="both"/>
        <w:rPr>
          <w:rFonts w:cs="Tahoma"/>
          <w:b/>
          <w:i/>
          <w:noProof/>
          <w:sz w:val="20"/>
          <w:lang w:val="sr-Cyrl-CS"/>
        </w:rPr>
      </w:pPr>
      <w:r w:rsidRPr="00BF3CDE">
        <w:rPr>
          <w:rFonts w:cs="Tahoma"/>
          <w:b/>
          <w:i/>
          <w:noProof/>
          <w:sz w:val="20"/>
          <w:lang w:val="sr-Cyrl-CS"/>
        </w:rPr>
        <w:t>Смањење трошкова је забележено код следећих позиција</w:t>
      </w:r>
    </w:p>
    <w:p w14:paraId="014EC2D6" w14:textId="77777777" w:rsidR="00BB47E7" w:rsidRPr="00BF3CDE" w:rsidRDefault="00BB47E7" w:rsidP="00D95BED">
      <w:pPr>
        <w:pStyle w:val="NoSpacing"/>
        <w:spacing w:before="240" w:after="240" w:line="276" w:lineRule="auto"/>
        <w:ind w:firstLine="284"/>
        <w:jc w:val="both"/>
        <w:rPr>
          <w:rFonts w:cs="Tahoma"/>
          <w:noProof/>
          <w:sz w:val="20"/>
          <w:lang w:val="sr-Cyrl-CS"/>
        </w:rPr>
      </w:pPr>
      <w:r w:rsidRPr="00BF3CDE">
        <w:rPr>
          <w:rFonts w:cs="Tahoma"/>
          <w:b/>
          <w:noProof/>
          <w:sz w:val="20"/>
          <w:u w:val="single"/>
          <w:lang w:val="sr-Cyrl-CS"/>
        </w:rPr>
        <w:t xml:space="preserve">Трошкови горива и енергије </w:t>
      </w:r>
      <w:r w:rsidRPr="00BF3CDE">
        <w:rPr>
          <w:rFonts w:cs="Tahoma"/>
          <w:noProof/>
          <w:sz w:val="20"/>
          <w:lang w:val="sr-Cyrl-CS"/>
        </w:rPr>
        <w:t>су мањи за 62,40%, пре свега што су трошкови грејања и електричне енергије од маја 2014. годеине укључени у цену закупа.</w:t>
      </w:r>
    </w:p>
    <w:p w14:paraId="45953E3E" w14:textId="77777777" w:rsidR="00BB47E7" w:rsidRPr="00BF3CDE" w:rsidRDefault="00BB47E7" w:rsidP="00D95BED">
      <w:pPr>
        <w:pStyle w:val="NoSpacing"/>
        <w:spacing w:before="240" w:after="240" w:line="276" w:lineRule="auto"/>
        <w:ind w:firstLine="284"/>
        <w:jc w:val="both"/>
        <w:rPr>
          <w:rFonts w:cs="Tahoma"/>
          <w:b/>
          <w:noProof/>
          <w:sz w:val="20"/>
          <w:u w:val="single"/>
          <w:lang w:val="sr-Cyrl-CS"/>
        </w:rPr>
      </w:pPr>
      <w:r w:rsidRPr="00BF3CDE">
        <w:rPr>
          <w:rFonts w:cs="Tahoma"/>
          <w:b/>
          <w:noProof/>
          <w:sz w:val="20"/>
          <w:u w:val="single"/>
          <w:lang w:val="sr-Cyrl-CS"/>
        </w:rPr>
        <w:t>Трошкови зарада и доприноса на зараде</w:t>
      </w:r>
      <w:r w:rsidRPr="00BF3CDE">
        <w:rPr>
          <w:rFonts w:cs="Tahoma"/>
          <w:noProof/>
          <w:sz w:val="20"/>
          <w:lang w:val="sr-Cyrl-CS"/>
        </w:rPr>
        <w:t xml:space="preserve"> су мањи за 14%, пре свега због одласка два запослена у пензију, као и због кадровских промена које су вршене од другог квартала 2014. године.</w:t>
      </w:r>
    </w:p>
    <w:p w14:paraId="0981BAB4" w14:textId="77777777" w:rsidR="00840EF6" w:rsidRPr="00BF3CDE" w:rsidRDefault="00840EF6" w:rsidP="00D95BED">
      <w:pPr>
        <w:pStyle w:val="Heading1"/>
        <w:numPr>
          <w:ilvl w:val="3"/>
          <w:numId w:val="7"/>
        </w:numPr>
        <w:spacing w:before="360" w:after="360"/>
        <w:jc w:val="left"/>
        <w:rPr>
          <w:rFonts w:asciiTheme="majorHAnsi" w:hAnsiTheme="majorHAnsi" w:cs="Tahoma"/>
          <w:i/>
          <w:noProof/>
          <w:color w:val="4F81BD"/>
          <w:sz w:val="22"/>
          <w:szCs w:val="18"/>
          <w:lang w:val="sr-Cyrl-CS"/>
        </w:rPr>
      </w:pPr>
      <w:bookmarkStart w:id="55" w:name="_Toc414356832"/>
      <w:r w:rsidRPr="00BF3CDE">
        <w:rPr>
          <w:rFonts w:asciiTheme="majorHAnsi" w:hAnsiTheme="majorHAnsi" w:cs="Tahoma"/>
          <w:i/>
          <w:noProof/>
          <w:color w:val="4F81BD"/>
          <w:sz w:val="22"/>
          <w:szCs w:val="18"/>
          <w:lang w:val="sr-Cyrl-CS"/>
        </w:rPr>
        <w:t>Трошкови  извиђаја ликвидације и процене штета</w:t>
      </w:r>
      <w:bookmarkEnd w:id="55"/>
    </w:p>
    <w:p w14:paraId="50E432BA" w14:textId="77777777" w:rsidR="00840EF6" w:rsidRPr="00BF3CDE" w:rsidRDefault="00840EF6" w:rsidP="00D95BED">
      <w:pPr>
        <w:spacing w:after="240"/>
        <w:jc w:val="both"/>
        <w:rPr>
          <w:rFonts w:eastAsiaTheme="minorEastAsia" w:cs="Tahoma"/>
          <w:noProof/>
          <w:sz w:val="20"/>
          <w:lang w:val="sr-Cyrl-CS" w:eastAsia="ja-JP"/>
        </w:rPr>
      </w:pPr>
      <w:r w:rsidRPr="00BF3CDE">
        <w:rPr>
          <w:rFonts w:eastAsiaTheme="minorEastAsia" w:cs="Tahoma"/>
          <w:noProof/>
          <w:sz w:val="20"/>
          <w:lang w:val="sr-Cyrl-CS" w:eastAsia="ja-JP"/>
        </w:rPr>
        <w:t xml:space="preserve">     Трошкови  извиђаја ликвидације и процене штета остварени су у </w:t>
      </w:r>
      <w:r w:rsidR="00BD6C71" w:rsidRPr="00BF3CDE">
        <w:rPr>
          <w:rFonts w:eastAsiaTheme="minorEastAsia" w:cs="Tahoma"/>
          <w:noProof/>
          <w:sz w:val="20"/>
          <w:lang w:val="sr-Cyrl-CS" w:eastAsia="ja-JP"/>
        </w:rPr>
        <w:t>и</w:t>
      </w:r>
      <w:r w:rsidRPr="00BF3CDE">
        <w:rPr>
          <w:rFonts w:eastAsiaTheme="minorEastAsia" w:cs="Tahoma"/>
          <w:noProof/>
          <w:sz w:val="20"/>
          <w:lang w:val="sr-Cyrl-CS" w:eastAsia="ja-JP"/>
        </w:rPr>
        <w:t>зносу 18.275 хиљада динара и већи су од остварења у претходној години</w:t>
      </w:r>
      <w:r w:rsidR="00752387" w:rsidRPr="00BF3CDE">
        <w:rPr>
          <w:rFonts w:eastAsiaTheme="minorEastAsia" w:cs="Tahoma"/>
          <w:noProof/>
          <w:sz w:val="20"/>
          <w:lang w:val="sr-Cyrl-CS" w:eastAsia="ja-JP"/>
        </w:rPr>
        <w:t xml:space="preserve"> за 310,78 %, а у односу на планиране за 386%. </w:t>
      </w:r>
    </w:p>
    <w:p w14:paraId="5D7AF145" w14:textId="77777777" w:rsidR="00792B25" w:rsidRPr="00BF3CDE" w:rsidRDefault="00752387" w:rsidP="00D95BED">
      <w:pPr>
        <w:spacing w:after="240"/>
        <w:jc w:val="both"/>
        <w:rPr>
          <w:rFonts w:eastAsiaTheme="minorEastAsia" w:cs="Tahoma"/>
          <w:noProof/>
          <w:sz w:val="20"/>
          <w:lang w:val="sr-Cyrl-CS" w:eastAsia="ja-JP"/>
        </w:rPr>
      </w:pPr>
      <w:r w:rsidRPr="00BF3CDE">
        <w:rPr>
          <w:rFonts w:eastAsiaTheme="minorEastAsia" w:cs="Tahoma"/>
          <w:noProof/>
          <w:sz w:val="20"/>
          <w:lang w:val="sr-Cyrl-CS" w:eastAsia="ja-JP"/>
        </w:rPr>
        <w:t xml:space="preserve">     На повећање ових трошкова су највећим делом утицали адвокатски трошкови, трошкови арбитра, </w:t>
      </w:r>
      <w:r w:rsidR="00792B25" w:rsidRPr="00BF3CDE">
        <w:rPr>
          <w:rFonts w:eastAsiaTheme="minorEastAsia" w:cs="Tahoma"/>
          <w:noProof/>
          <w:sz w:val="20"/>
          <w:lang w:val="sr-Cyrl-CS" w:eastAsia="ja-JP"/>
        </w:rPr>
        <w:t xml:space="preserve">судски трошкови </w:t>
      </w:r>
      <w:r w:rsidRPr="00BF3CDE">
        <w:rPr>
          <w:rFonts w:eastAsiaTheme="minorEastAsia" w:cs="Tahoma"/>
          <w:noProof/>
          <w:sz w:val="20"/>
          <w:lang w:val="sr-Cyrl-CS" w:eastAsia="ja-JP"/>
        </w:rPr>
        <w:t>и трошкови консултанстск</w:t>
      </w:r>
      <w:r w:rsidR="00792B25" w:rsidRPr="00BF3CDE">
        <w:rPr>
          <w:rFonts w:eastAsiaTheme="minorEastAsia" w:cs="Tahoma"/>
          <w:noProof/>
          <w:sz w:val="20"/>
          <w:lang w:val="sr-Cyrl-CS" w:eastAsia="ja-JP"/>
        </w:rPr>
        <w:t>их</w:t>
      </w:r>
      <w:r w:rsidRPr="00BF3CDE">
        <w:rPr>
          <w:rFonts w:eastAsiaTheme="minorEastAsia" w:cs="Tahoma"/>
          <w:noProof/>
          <w:sz w:val="20"/>
          <w:lang w:val="sr-Cyrl-CS" w:eastAsia="ja-JP"/>
        </w:rPr>
        <w:t xml:space="preserve"> услуга, који су везани за спорове које Друштво води</w:t>
      </w:r>
      <w:r w:rsidR="00792B25" w:rsidRPr="00BF3CDE">
        <w:rPr>
          <w:rFonts w:eastAsiaTheme="minorEastAsia" w:cs="Tahoma"/>
          <w:noProof/>
          <w:sz w:val="20"/>
          <w:lang w:val="sr-Cyrl-CS" w:eastAsia="ja-JP"/>
        </w:rPr>
        <w:t xml:space="preserve">. </w:t>
      </w:r>
    </w:p>
    <w:p w14:paraId="5086CCE4" w14:textId="77777777" w:rsidR="00752387" w:rsidRPr="00BF3CDE" w:rsidRDefault="00792B25" w:rsidP="00D95BED">
      <w:pPr>
        <w:spacing w:after="240"/>
        <w:jc w:val="both"/>
        <w:rPr>
          <w:rFonts w:eastAsiaTheme="minorEastAsia" w:cs="Tahoma"/>
          <w:noProof/>
          <w:sz w:val="20"/>
          <w:lang w:val="sr-Cyrl-CS" w:eastAsia="ja-JP"/>
        </w:rPr>
      </w:pPr>
      <w:r w:rsidRPr="00BF3CDE">
        <w:rPr>
          <w:rFonts w:eastAsiaTheme="minorEastAsia" w:cs="Tahoma"/>
          <w:noProof/>
          <w:sz w:val="20"/>
          <w:lang w:val="sr-Cyrl-CS" w:eastAsia="ja-JP"/>
        </w:rPr>
        <w:t xml:space="preserve">    Друштво учествује у два судска  са Триглавом по штети „Колзец“ и са Таковом по штети „Левоб“ док се </w:t>
      </w:r>
      <w:r w:rsidR="00BD6C71" w:rsidRPr="00BF3CDE">
        <w:rPr>
          <w:rFonts w:eastAsiaTheme="minorEastAsia" w:cs="Tahoma"/>
          <w:noProof/>
          <w:sz w:val="20"/>
          <w:lang w:val="sr-Cyrl-CS" w:eastAsia="ja-JP"/>
        </w:rPr>
        <w:t>са</w:t>
      </w:r>
      <w:r w:rsidRPr="00BF3CDE">
        <w:rPr>
          <w:rFonts w:eastAsiaTheme="minorEastAsia" w:cs="Tahoma"/>
          <w:noProof/>
          <w:sz w:val="20"/>
          <w:lang w:val="sr-Cyrl-CS" w:eastAsia="ja-JP"/>
        </w:rPr>
        <w:t xml:space="preserve"> </w:t>
      </w:r>
      <w:r w:rsidR="00BD6C71" w:rsidRPr="00BF3CDE">
        <w:rPr>
          <w:rFonts w:eastAsiaTheme="minorEastAsia" w:cs="Tahoma"/>
          <w:noProof/>
          <w:sz w:val="20"/>
          <w:lang w:val="sr-Cyrl-CS" w:eastAsia="ja-JP"/>
        </w:rPr>
        <w:t>водећимг реосигуравачем „</w:t>
      </w:r>
      <w:r w:rsidR="00BD6C71" w:rsidRPr="00D95BED">
        <w:rPr>
          <w:rFonts w:eastAsiaTheme="minorEastAsia" w:cs="Tahoma"/>
          <w:i/>
          <w:noProof/>
          <w:sz w:val="20"/>
          <w:lang w:val="sr-Cyrl-CS" w:eastAsia="ja-JP"/>
        </w:rPr>
        <w:t>Dutch Marine Insurance</w:t>
      </w:r>
      <w:r w:rsidR="00BD6C71" w:rsidRPr="00BF3CDE">
        <w:rPr>
          <w:rFonts w:eastAsiaTheme="minorEastAsia" w:cs="Tahoma"/>
          <w:noProof/>
          <w:sz w:val="20"/>
          <w:lang w:val="sr-Cyrl-CS" w:eastAsia="ja-JP"/>
        </w:rPr>
        <w:t xml:space="preserve">“ из Холандије води </w:t>
      </w:r>
      <w:r w:rsidRPr="00BF3CDE">
        <w:rPr>
          <w:rFonts w:eastAsiaTheme="minorEastAsia" w:cs="Tahoma"/>
          <w:noProof/>
          <w:sz w:val="20"/>
          <w:lang w:val="sr-Cyrl-CS" w:eastAsia="ja-JP"/>
        </w:rPr>
        <w:t>арбитажни поступак по штети на броду ЕОС</w:t>
      </w:r>
      <w:r w:rsidR="00752387" w:rsidRPr="00BF3CDE">
        <w:rPr>
          <w:rFonts w:eastAsiaTheme="minorEastAsia" w:cs="Tahoma"/>
          <w:noProof/>
          <w:sz w:val="20"/>
          <w:lang w:val="sr-Cyrl-CS" w:eastAsia="ja-JP"/>
        </w:rPr>
        <w:t xml:space="preserve">. </w:t>
      </w:r>
    </w:p>
    <w:p w14:paraId="5E6F2516" w14:textId="77777777" w:rsidR="00BD6C71" w:rsidRPr="00BF3CDE" w:rsidRDefault="00BD6C71" w:rsidP="00D95BED">
      <w:pPr>
        <w:pStyle w:val="Heading1"/>
        <w:numPr>
          <w:ilvl w:val="3"/>
          <w:numId w:val="7"/>
        </w:numPr>
        <w:spacing w:before="360" w:after="360"/>
        <w:jc w:val="left"/>
        <w:rPr>
          <w:rFonts w:asciiTheme="majorHAnsi" w:hAnsiTheme="majorHAnsi" w:cs="Tahoma"/>
          <w:i/>
          <w:noProof/>
          <w:color w:val="4F81BD"/>
          <w:sz w:val="22"/>
          <w:szCs w:val="18"/>
          <w:lang w:val="sr-Cyrl-CS"/>
        </w:rPr>
      </w:pPr>
      <w:bookmarkStart w:id="56" w:name="_Toc414356833"/>
      <w:r w:rsidRPr="00BF3CDE">
        <w:rPr>
          <w:rFonts w:asciiTheme="majorHAnsi" w:hAnsiTheme="majorHAnsi" w:cs="Tahoma"/>
          <w:i/>
          <w:noProof/>
          <w:color w:val="4F81BD"/>
          <w:sz w:val="22"/>
          <w:szCs w:val="18"/>
          <w:lang w:val="sr-Cyrl-CS"/>
        </w:rPr>
        <w:t>Трошкови  депоновања и улагања</w:t>
      </w:r>
      <w:bookmarkEnd w:id="56"/>
    </w:p>
    <w:p w14:paraId="68EEAA29" w14:textId="77777777" w:rsidR="00BD6C71" w:rsidRPr="00BF3CDE" w:rsidRDefault="00BD6C71" w:rsidP="00D95BED">
      <w:pPr>
        <w:jc w:val="both"/>
        <w:rPr>
          <w:rFonts w:eastAsiaTheme="minorEastAsia" w:cs="Tahoma"/>
          <w:noProof/>
          <w:sz w:val="20"/>
          <w:lang w:val="sr-Cyrl-CS" w:eastAsia="ja-JP"/>
        </w:rPr>
      </w:pPr>
      <w:r w:rsidRPr="00BF3CDE">
        <w:rPr>
          <w:rFonts w:eastAsiaTheme="minorEastAsia" w:cs="Tahoma"/>
          <w:noProof/>
          <w:sz w:val="20"/>
          <w:lang w:val="sr-Cyrl-CS" w:eastAsia="ja-JP"/>
        </w:rPr>
        <w:t xml:space="preserve">     Трошкови депоновања и улагања су остварени у износу од 2.382 хиљаде динара и мањи су од остваења у претходној години за 13,75%, а у односу на план су већи за 80,04%.</w:t>
      </w:r>
    </w:p>
    <w:p w14:paraId="2702D9B0" w14:textId="77777777" w:rsidR="008C2B46" w:rsidRPr="00BF3CDE" w:rsidRDefault="008C2B46" w:rsidP="00D95BED">
      <w:pPr>
        <w:pStyle w:val="Heading1"/>
        <w:numPr>
          <w:ilvl w:val="0"/>
          <w:numId w:val="2"/>
        </w:numPr>
        <w:spacing w:before="480"/>
        <w:ind w:left="431" w:hanging="431"/>
        <w:rPr>
          <w:rFonts w:asciiTheme="majorHAnsi" w:hAnsiTheme="majorHAnsi" w:cs="Tahoma"/>
          <w:noProof/>
          <w:color w:val="4F81BD"/>
          <w:sz w:val="24"/>
          <w:szCs w:val="18"/>
          <w:lang w:val="sr-Cyrl-CS"/>
        </w:rPr>
      </w:pPr>
      <w:bookmarkStart w:id="57" w:name="_Toc414356834"/>
      <w:r w:rsidRPr="00BF3CDE">
        <w:rPr>
          <w:rFonts w:asciiTheme="majorHAnsi" w:hAnsiTheme="majorHAnsi" w:cs="Tahoma"/>
          <w:noProof/>
          <w:color w:val="4F81BD"/>
          <w:sz w:val="24"/>
          <w:szCs w:val="18"/>
          <w:lang w:val="sr-Cyrl-CS"/>
        </w:rPr>
        <w:t>ТРАНСАКЦИЈЕ СА ПОВЕЗАНИМ ПРАВНИМ ЛИЦИМА</w:t>
      </w:r>
      <w:bookmarkEnd w:id="51"/>
      <w:bookmarkEnd w:id="52"/>
      <w:bookmarkEnd w:id="57"/>
    </w:p>
    <w:p w14:paraId="3365F2E7" w14:textId="77777777" w:rsidR="006A2CC9" w:rsidRPr="00BF3CDE" w:rsidRDefault="006A2CC9" w:rsidP="001F1D74">
      <w:pPr>
        <w:pStyle w:val="NoSpacing"/>
        <w:ind w:firstLine="284"/>
        <w:jc w:val="both"/>
        <w:rPr>
          <w:rFonts w:cs="Tahoma"/>
          <w:noProof/>
          <w:sz w:val="20"/>
          <w:lang w:val="sr-Cyrl-CS"/>
        </w:rPr>
      </w:pPr>
    </w:p>
    <w:p w14:paraId="69246A12" w14:textId="77777777" w:rsidR="001F1D74" w:rsidRPr="00BF3CDE" w:rsidRDefault="001F1D74" w:rsidP="00D95BED">
      <w:pPr>
        <w:pStyle w:val="NoSpacing"/>
        <w:spacing w:before="200" w:after="200" w:line="276" w:lineRule="auto"/>
        <w:ind w:firstLine="284"/>
        <w:jc w:val="both"/>
        <w:rPr>
          <w:rFonts w:cs="Tahoma"/>
          <w:noProof/>
          <w:sz w:val="20"/>
          <w:lang w:val="sr-Cyrl-CS"/>
        </w:rPr>
      </w:pPr>
      <w:r w:rsidRPr="00BF3CDE">
        <w:rPr>
          <w:rFonts w:cs="Tahoma"/>
          <w:noProof/>
          <w:sz w:val="20"/>
          <w:lang w:val="sr-Cyrl-CS"/>
        </w:rPr>
        <w:lastRenderedPageBreak/>
        <w:t>Правна лица се сматрају повезаним лицима уколико једно лице има контролу, заједничку контролу или значајан утицај на доношење финансијских и пословних одлука другог правног лица. Повезана лица су и она која су под заједничком контролом истог матичног предузећа.</w:t>
      </w:r>
    </w:p>
    <w:p w14:paraId="350632CB" w14:textId="77777777" w:rsidR="001F1D74" w:rsidRPr="00BF3CDE" w:rsidRDefault="001F1D74" w:rsidP="00D95BED">
      <w:pPr>
        <w:pStyle w:val="NoSpacing"/>
        <w:spacing w:before="200" w:after="200" w:line="276" w:lineRule="auto"/>
        <w:ind w:firstLine="284"/>
        <w:jc w:val="both"/>
        <w:rPr>
          <w:rFonts w:cs="Tahoma"/>
          <w:noProof/>
          <w:sz w:val="20"/>
          <w:lang w:val="sr-Cyrl-CS"/>
        </w:rPr>
      </w:pPr>
      <w:r w:rsidRPr="00BF3CDE">
        <w:rPr>
          <w:rFonts w:cs="Tahoma"/>
          <w:noProof/>
          <w:sz w:val="20"/>
          <w:lang w:val="sr-Cyrl-CS"/>
        </w:rPr>
        <w:t>У уобичајеним пословним активностима, Друштво обавља различите трансакције са повезаним правним лицима, првенствено по основу уговора који се тичу пружања међусобних услуга. Ове трансакције обављају се под комерцијалним и тржишним условима.</w:t>
      </w:r>
    </w:p>
    <w:p w14:paraId="49D7720F" w14:textId="77777777" w:rsidR="001F1D74" w:rsidRDefault="001F1D74" w:rsidP="00D95BED">
      <w:pPr>
        <w:pStyle w:val="NoSpacing"/>
        <w:spacing w:before="200" w:after="200" w:line="276" w:lineRule="auto"/>
        <w:ind w:firstLine="284"/>
        <w:jc w:val="both"/>
        <w:rPr>
          <w:rFonts w:cs="Tahoma"/>
          <w:noProof/>
          <w:sz w:val="20"/>
          <w:lang w:val="sr-Cyrl-CS"/>
        </w:rPr>
      </w:pPr>
      <w:r w:rsidRPr="00BF3CDE">
        <w:rPr>
          <w:rFonts w:cs="Tahoma"/>
          <w:noProof/>
          <w:sz w:val="20"/>
          <w:lang w:val="sr-Cyrl-CS"/>
        </w:rPr>
        <w:t xml:space="preserve">Трансакције са повезаним правним лицима </w:t>
      </w:r>
      <w:r w:rsidR="00361B84" w:rsidRPr="00BF3CDE">
        <w:rPr>
          <w:rFonts w:cs="Tahoma"/>
          <w:noProof/>
          <w:sz w:val="20"/>
          <w:lang w:val="sr-Cyrl-CS"/>
        </w:rPr>
        <w:t xml:space="preserve">Дунав групе </w:t>
      </w:r>
      <w:r w:rsidRPr="00BF3CDE">
        <w:rPr>
          <w:rFonts w:cs="Tahoma"/>
          <w:noProof/>
          <w:sz w:val="20"/>
          <w:lang w:val="sr-Cyrl-CS"/>
        </w:rPr>
        <w:t>из којих произлазе потраживања и обавезе односно приходи и расходи</w:t>
      </w:r>
      <w:r w:rsidR="0090445F" w:rsidRPr="00BF3CDE">
        <w:rPr>
          <w:rFonts w:cs="Tahoma"/>
          <w:noProof/>
          <w:sz w:val="20"/>
          <w:lang w:val="sr-Cyrl-CS"/>
        </w:rPr>
        <w:t xml:space="preserve"> детаљно су обелодањени у Напоменама уз финансијске извештаје, а</w:t>
      </w:r>
      <w:r w:rsidRPr="00BF3CDE">
        <w:rPr>
          <w:rFonts w:cs="Tahoma"/>
          <w:noProof/>
          <w:sz w:val="20"/>
          <w:lang w:val="sr-Cyrl-CS"/>
        </w:rPr>
        <w:t xml:space="preserve"> </w:t>
      </w:r>
      <w:r w:rsidR="0090445F" w:rsidRPr="00BF3CDE">
        <w:rPr>
          <w:rFonts w:cs="Tahoma"/>
          <w:noProof/>
          <w:sz w:val="20"/>
          <w:lang w:val="sr-Cyrl-CS"/>
        </w:rPr>
        <w:t xml:space="preserve">синтетички су </w:t>
      </w:r>
      <w:r w:rsidRPr="00BF3CDE">
        <w:rPr>
          <w:rFonts w:cs="Tahoma"/>
          <w:noProof/>
          <w:sz w:val="20"/>
          <w:lang w:val="sr-Cyrl-CS"/>
        </w:rPr>
        <w:t xml:space="preserve">приказане у следећој табели: </w:t>
      </w:r>
    </w:p>
    <w:tbl>
      <w:tblPr>
        <w:tblW w:w="4661" w:type="pct"/>
        <w:tblCellSpacing w:w="20" w:type="dxa"/>
        <w:tblInd w:w="447"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000" w:firstRow="0" w:lastRow="0" w:firstColumn="0" w:lastColumn="0" w:noHBand="0" w:noVBand="0"/>
      </w:tblPr>
      <w:tblGrid>
        <w:gridCol w:w="5747"/>
        <w:gridCol w:w="1507"/>
        <w:gridCol w:w="1505"/>
      </w:tblGrid>
      <w:tr w:rsidR="00361B84" w:rsidRPr="00BF3CDE" w14:paraId="4B2192FE" w14:textId="77777777" w:rsidTr="00361B84">
        <w:trPr>
          <w:trHeight w:val="227"/>
          <w:tblCellSpacing w:w="20" w:type="dxa"/>
        </w:trPr>
        <w:tc>
          <w:tcPr>
            <w:tcW w:w="3246" w:type="pct"/>
            <w:shd w:val="clear" w:color="auto" w:fill="auto"/>
            <w:noWrap/>
          </w:tcPr>
          <w:p w14:paraId="0407F03A" w14:textId="77777777" w:rsidR="00361B84" w:rsidRPr="00BF3CDE" w:rsidRDefault="00361B84" w:rsidP="00361B84">
            <w:pPr>
              <w:pStyle w:val="NoSpacing"/>
              <w:jc w:val="center"/>
              <w:rPr>
                <w:rFonts w:ascii="Tahoma" w:hAnsi="Tahoma" w:cs="Tahoma"/>
                <w:b/>
                <w:bCs/>
                <w:noProof/>
                <w:sz w:val="20"/>
                <w:szCs w:val="20"/>
                <w:lang w:val="sr-Cyrl-CS" w:eastAsia="sr-Latn-CS"/>
              </w:rPr>
            </w:pPr>
            <w:r w:rsidRPr="00BF3CDE">
              <w:rPr>
                <w:rFonts w:ascii="Tahoma" w:hAnsi="Tahoma" w:cs="Tahoma"/>
                <w:b/>
                <w:bCs/>
                <w:noProof/>
                <w:sz w:val="20"/>
                <w:szCs w:val="20"/>
                <w:lang w:val="sr-Cyrl-CS" w:eastAsia="sr-Latn-CS"/>
              </w:rPr>
              <w:t>ПРИХОДИ</w:t>
            </w:r>
          </w:p>
        </w:tc>
        <w:tc>
          <w:tcPr>
            <w:tcW w:w="837" w:type="pct"/>
            <w:shd w:val="clear" w:color="auto" w:fill="auto"/>
          </w:tcPr>
          <w:p w14:paraId="3F978556" w14:textId="77777777" w:rsidR="00361B84" w:rsidRPr="00BF3CDE" w:rsidRDefault="00361B84" w:rsidP="00361B84">
            <w:pPr>
              <w:pStyle w:val="NoSpacing"/>
              <w:jc w:val="center"/>
              <w:rPr>
                <w:rFonts w:ascii="Tahoma" w:hAnsi="Tahoma" w:cs="Tahoma"/>
                <w:b/>
                <w:bCs/>
                <w:noProof/>
                <w:sz w:val="20"/>
                <w:lang w:val="sr-Cyrl-CS"/>
              </w:rPr>
            </w:pPr>
            <w:r w:rsidRPr="00BF3CDE">
              <w:rPr>
                <w:rFonts w:ascii="Tahoma" w:hAnsi="Tahoma" w:cs="Tahoma"/>
                <w:b/>
                <w:bCs/>
                <w:noProof/>
                <w:sz w:val="20"/>
                <w:lang w:val="sr-Cyrl-CS"/>
              </w:rPr>
              <w:t>Текућа година</w:t>
            </w:r>
          </w:p>
        </w:tc>
        <w:tc>
          <w:tcPr>
            <w:tcW w:w="825" w:type="pct"/>
          </w:tcPr>
          <w:p w14:paraId="32E30AC9" w14:textId="77777777" w:rsidR="00361B84" w:rsidRPr="00BF3CDE" w:rsidRDefault="00361B84" w:rsidP="00361B84">
            <w:pPr>
              <w:pStyle w:val="NoSpacing"/>
              <w:ind w:right="49"/>
              <w:jc w:val="center"/>
              <w:rPr>
                <w:rFonts w:ascii="Tahoma" w:hAnsi="Tahoma" w:cs="Tahoma"/>
                <w:b/>
                <w:bCs/>
                <w:noProof/>
                <w:sz w:val="20"/>
                <w:lang w:val="sr-Cyrl-CS"/>
              </w:rPr>
            </w:pPr>
            <w:r w:rsidRPr="00BF3CDE">
              <w:rPr>
                <w:rFonts w:ascii="Tahoma" w:hAnsi="Tahoma" w:cs="Tahoma"/>
                <w:b/>
                <w:bCs/>
                <w:noProof/>
                <w:sz w:val="20"/>
                <w:lang w:val="sr-Cyrl-CS"/>
              </w:rPr>
              <w:t>Претходна година</w:t>
            </w:r>
          </w:p>
        </w:tc>
      </w:tr>
      <w:tr w:rsidR="00361B84" w:rsidRPr="00BF3CDE" w14:paraId="2D99EA90" w14:textId="77777777" w:rsidTr="00D50EE5">
        <w:trPr>
          <w:trHeight w:val="340"/>
          <w:tblCellSpacing w:w="20" w:type="dxa"/>
        </w:trPr>
        <w:tc>
          <w:tcPr>
            <w:tcW w:w="3246" w:type="pct"/>
            <w:shd w:val="clear" w:color="auto" w:fill="auto"/>
            <w:noWrap/>
          </w:tcPr>
          <w:p w14:paraId="6210E92C" w14:textId="77777777" w:rsidR="00361B84" w:rsidRPr="00BF3CDE" w:rsidRDefault="00361B84" w:rsidP="00361B84">
            <w:pPr>
              <w:pStyle w:val="NoSpacing"/>
              <w:jc w:val="both"/>
              <w:rPr>
                <w:rFonts w:ascii="Tahoma" w:hAnsi="Tahoma" w:cs="Tahoma"/>
                <w:noProof/>
                <w:sz w:val="20"/>
                <w:szCs w:val="20"/>
                <w:lang w:val="sr-Cyrl-CS" w:eastAsia="sr-Latn-CS"/>
              </w:rPr>
            </w:pPr>
            <w:r w:rsidRPr="00BF3CDE">
              <w:rPr>
                <w:rFonts w:ascii="Tahoma" w:hAnsi="Tahoma" w:cs="Tahoma"/>
                <w:noProof/>
                <w:sz w:val="20"/>
                <w:szCs w:val="20"/>
                <w:lang w:val="sr-Cyrl-CS" w:eastAsia="sr-Latn-CS"/>
              </w:rPr>
              <w:t>Приходи по основу премије реосигурања</w:t>
            </w:r>
          </w:p>
        </w:tc>
        <w:tc>
          <w:tcPr>
            <w:tcW w:w="837" w:type="pct"/>
            <w:shd w:val="clear" w:color="auto" w:fill="auto"/>
          </w:tcPr>
          <w:p w14:paraId="3DCE2117" w14:textId="77777777" w:rsidR="00361B84" w:rsidRPr="00BF3CDE" w:rsidRDefault="00361B84" w:rsidP="00361B84">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919.053</w:t>
            </w:r>
          </w:p>
        </w:tc>
        <w:tc>
          <w:tcPr>
            <w:tcW w:w="825" w:type="pct"/>
          </w:tcPr>
          <w:p w14:paraId="27D83C9C" w14:textId="77777777" w:rsidR="00361B84" w:rsidRPr="00BF3CDE" w:rsidRDefault="00361B84" w:rsidP="00361B84">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1.371.166</w:t>
            </w:r>
          </w:p>
        </w:tc>
      </w:tr>
      <w:tr w:rsidR="00361B84" w:rsidRPr="00BF3CDE" w14:paraId="05388804" w14:textId="77777777" w:rsidTr="00D50EE5">
        <w:trPr>
          <w:trHeight w:val="340"/>
          <w:tblCellSpacing w:w="20" w:type="dxa"/>
        </w:trPr>
        <w:tc>
          <w:tcPr>
            <w:tcW w:w="3246" w:type="pct"/>
            <w:shd w:val="clear" w:color="auto" w:fill="auto"/>
            <w:noWrap/>
          </w:tcPr>
          <w:p w14:paraId="04C87181" w14:textId="77777777" w:rsidR="00361B84" w:rsidRPr="00BF3CDE" w:rsidRDefault="00361B84" w:rsidP="00361B84">
            <w:pPr>
              <w:pStyle w:val="NoSpacing"/>
              <w:jc w:val="both"/>
              <w:rPr>
                <w:rFonts w:ascii="Tahoma" w:hAnsi="Tahoma" w:cs="Tahoma"/>
                <w:iCs/>
                <w:noProof/>
                <w:sz w:val="20"/>
                <w:szCs w:val="20"/>
                <w:lang w:val="sr-Cyrl-CS" w:eastAsia="sr-Latn-CS"/>
              </w:rPr>
            </w:pPr>
            <w:r w:rsidRPr="00BF3CDE">
              <w:rPr>
                <w:rFonts w:ascii="Tahoma" w:hAnsi="Tahoma" w:cs="Tahoma"/>
                <w:iCs/>
                <w:noProof/>
                <w:sz w:val="20"/>
                <w:szCs w:val="20"/>
                <w:lang w:val="sr-Cyrl-CS" w:eastAsia="sr-Latn-CS"/>
              </w:rPr>
              <w:t>Приходи по основу регреса</w:t>
            </w:r>
          </w:p>
        </w:tc>
        <w:tc>
          <w:tcPr>
            <w:tcW w:w="837" w:type="pct"/>
            <w:shd w:val="clear" w:color="auto" w:fill="auto"/>
          </w:tcPr>
          <w:p w14:paraId="18B71784" w14:textId="77777777" w:rsidR="00361B84" w:rsidRPr="00BF3CDE" w:rsidRDefault="00361B84" w:rsidP="00361B84">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6.342</w:t>
            </w:r>
          </w:p>
        </w:tc>
        <w:tc>
          <w:tcPr>
            <w:tcW w:w="825" w:type="pct"/>
          </w:tcPr>
          <w:p w14:paraId="430DD887" w14:textId="77777777" w:rsidR="00361B84" w:rsidRPr="00BF3CDE" w:rsidRDefault="00361B84" w:rsidP="00361B84">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11.925</w:t>
            </w:r>
          </w:p>
        </w:tc>
      </w:tr>
      <w:tr w:rsidR="00361B84" w:rsidRPr="00BF3CDE" w14:paraId="32979239" w14:textId="77777777" w:rsidTr="00D50EE5">
        <w:trPr>
          <w:trHeight w:val="340"/>
          <w:tblCellSpacing w:w="20" w:type="dxa"/>
        </w:trPr>
        <w:tc>
          <w:tcPr>
            <w:tcW w:w="3246" w:type="pct"/>
            <w:shd w:val="clear" w:color="auto" w:fill="auto"/>
            <w:noWrap/>
          </w:tcPr>
          <w:p w14:paraId="64C6B42D" w14:textId="77777777" w:rsidR="00361B84" w:rsidRPr="00BF3CDE" w:rsidRDefault="00361B84" w:rsidP="00361B84">
            <w:pPr>
              <w:pStyle w:val="NoSpacing"/>
              <w:jc w:val="both"/>
              <w:rPr>
                <w:rFonts w:ascii="Tahoma" w:hAnsi="Tahoma" w:cs="Tahoma"/>
                <w:noProof/>
                <w:sz w:val="20"/>
                <w:szCs w:val="20"/>
                <w:lang w:val="sr-Cyrl-CS" w:eastAsia="sr-Latn-CS"/>
              </w:rPr>
            </w:pPr>
            <w:r w:rsidRPr="00BF3CDE">
              <w:rPr>
                <w:rFonts w:ascii="Tahoma" w:hAnsi="Tahoma" w:cs="Tahoma"/>
                <w:noProof/>
                <w:sz w:val="20"/>
                <w:szCs w:val="20"/>
                <w:lang w:val="sr-Cyrl-CS" w:eastAsia="sr-Latn-CS"/>
              </w:rPr>
              <w:t>Приходи по основу  провизија</w:t>
            </w:r>
          </w:p>
        </w:tc>
        <w:tc>
          <w:tcPr>
            <w:tcW w:w="837" w:type="pct"/>
            <w:shd w:val="clear" w:color="auto" w:fill="auto"/>
          </w:tcPr>
          <w:p w14:paraId="35FB216D" w14:textId="77777777" w:rsidR="00361B84" w:rsidRPr="00BF3CDE" w:rsidRDefault="00361B84" w:rsidP="00361B84">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25.536</w:t>
            </w:r>
          </w:p>
        </w:tc>
        <w:tc>
          <w:tcPr>
            <w:tcW w:w="825" w:type="pct"/>
          </w:tcPr>
          <w:p w14:paraId="7E3E2ED5" w14:textId="77777777" w:rsidR="00361B84" w:rsidRPr="00BF3CDE" w:rsidRDefault="00361B84" w:rsidP="00361B84">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14.551</w:t>
            </w:r>
          </w:p>
        </w:tc>
      </w:tr>
      <w:tr w:rsidR="00361B84" w:rsidRPr="00BF3CDE" w14:paraId="1D1415D9" w14:textId="77777777" w:rsidTr="00D50EE5">
        <w:trPr>
          <w:trHeight w:val="340"/>
          <w:tblCellSpacing w:w="20" w:type="dxa"/>
        </w:trPr>
        <w:tc>
          <w:tcPr>
            <w:tcW w:w="3246" w:type="pct"/>
            <w:shd w:val="clear" w:color="auto" w:fill="auto"/>
            <w:noWrap/>
          </w:tcPr>
          <w:p w14:paraId="7BD15D76" w14:textId="77777777" w:rsidR="00361B84" w:rsidRPr="00BF3CDE" w:rsidRDefault="00361B84" w:rsidP="00361B84">
            <w:pPr>
              <w:pStyle w:val="NoSpacing"/>
              <w:jc w:val="both"/>
              <w:rPr>
                <w:rFonts w:ascii="Tahoma" w:hAnsi="Tahoma" w:cs="Tahoma"/>
                <w:iCs/>
                <w:noProof/>
                <w:sz w:val="20"/>
                <w:szCs w:val="20"/>
                <w:lang w:val="sr-Cyrl-CS" w:eastAsia="sr-Latn-CS"/>
              </w:rPr>
            </w:pPr>
            <w:r w:rsidRPr="00BF3CDE">
              <w:rPr>
                <w:rFonts w:ascii="Tahoma" w:hAnsi="Tahoma" w:cs="Tahoma"/>
                <w:iCs/>
                <w:noProof/>
                <w:sz w:val="20"/>
                <w:szCs w:val="20"/>
                <w:lang w:val="sr-Cyrl-CS" w:eastAsia="sr-Latn-CS"/>
              </w:rPr>
              <w:t>Приходи од камате</w:t>
            </w:r>
          </w:p>
        </w:tc>
        <w:tc>
          <w:tcPr>
            <w:tcW w:w="837" w:type="pct"/>
            <w:shd w:val="clear" w:color="auto" w:fill="auto"/>
          </w:tcPr>
          <w:p w14:paraId="29FB6005" w14:textId="77777777" w:rsidR="00361B84" w:rsidRPr="00BF3CDE" w:rsidRDefault="00361B84" w:rsidP="00361B84">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881</w:t>
            </w:r>
          </w:p>
        </w:tc>
        <w:tc>
          <w:tcPr>
            <w:tcW w:w="825" w:type="pct"/>
          </w:tcPr>
          <w:p w14:paraId="2B9F65E0" w14:textId="77777777" w:rsidR="00361B84" w:rsidRPr="00BF3CDE" w:rsidRDefault="00361B84" w:rsidP="00361B84">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15.196</w:t>
            </w:r>
          </w:p>
        </w:tc>
      </w:tr>
      <w:tr w:rsidR="00361B84" w:rsidRPr="00BF3CDE" w14:paraId="0C11F63D" w14:textId="77777777" w:rsidTr="00D50EE5">
        <w:trPr>
          <w:trHeight w:val="340"/>
          <w:tblCellSpacing w:w="20" w:type="dxa"/>
        </w:trPr>
        <w:tc>
          <w:tcPr>
            <w:tcW w:w="3246" w:type="pct"/>
            <w:shd w:val="clear" w:color="auto" w:fill="auto"/>
            <w:noWrap/>
          </w:tcPr>
          <w:p w14:paraId="2696E6A6" w14:textId="77777777" w:rsidR="00361B84" w:rsidRPr="00BF3CDE" w:rsidRDefault="00361B84" w:rsidP="00361B84">
            <w:pPr>
              <w:pStyle w:val="NoSpacing"/>
              <w:jc w:val="both"/>
              <w:rPr>
                <w:rFonts w:ascii="Tahoma" w:hAnsi="Tahoma" w:cs="Tahoma"/>
                <w:noProof/>
                <w:sz w:val="20"/>
                <w:szCs w:val="20"/>
                <w:lang w:val="sr-Cyrl-CS" w:eastAsia="sr-Latn-CS"/>
              </w:rPr>
            </w:pPr>
            <w:r w:rsidRPr="00BF3CDE">
              <w:rPr>
                <w:rFonts w:ascii="Tahoma" w:hAnsi="Tahoma" w:cs="Tahoma"/>
                <w:noProof/>
                <w:sz w:val="20"/>
                <w:szCs w:val="20"/>
                <w:lang w:val="sr-Cyrl-CS" w:eastAsia="sr-Latn-CS"/>
              </w:rPr>
              <w:t>Приходи од ефеката валутне клаузуле</w:t>
            </w:r>
          </w:p>
        </w:tc>
        <w:tc>
          <w:tcPr>
            <w:tcW w:w="837" w:type="pct"/>
            <w:shd w:val="clear" w:color="auto" w:fill="auto"/>
            <w:noWrap/>
          </w:tcPr>
          <w:p w14:paraId="061B265B" w14:textId="77777777" w:rsidR="00361B84" w:rsidRPr="00BF3CDE" w:rsidRDefault="00361B84" w:rsidP="00361B84">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9.429</w:t>
            </w:r>
          </w:p>
        </w:tc>
        <w:tc>
          <w:tcPr>
            <w:tcW w:w="825" w:type="pct"/>
          </w:tcPr>
          <w:p w14:paraId="5A9B1F70" w14:textId="77777777" w:rsidR="00361B84" w:rsidRPr="00BF3CDE" w:rsidRDefault="00361B84" w:rsidP="00361B84">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9.173</w:t>
            </w:r>
          </w:p>
        </w:tc>
      </w:tr>
      <w:tr w:rsidR="00361B84" w:rsidRPr="00BF3CDE" w14:paraId="10C59E47" w14:textId="77777777" w:rsidTr="00D50EE5">
        <w:trPr>
          <w:trHeight w:val="340"/>
          <w:tblCellSpacing w:w="20" w:type="dxa"/>
        </w:trPr>
        <w:tc>
          <w:tcPr>
            <w:tcW w:w="3246" w:type="pct"/>
            <w:shd w:val="clear" w:color="auto" w:fill="auto"/>
            <w:noWrap/>
          </w:tcPr>
          <w:p w14:paraId="282040E0" w14:textId="77777777" w:rsidR="00361B84" w:rsidRPr="00BF3CDE" w:rsidRDefault="00361B84" w:rsidP="00361B84">
            <w:pPr>
              <w:pStyle w:val="NoSpacing"/>
              <w:jc w:val="both"/>
              <w:rPr>
                <w:rFonts w:ascii="Tahoma" w:hAnsi="Tahoma" w:cs="Tahoma"/>
                <w:noProof/>
                <w:sz w:val="20"/>
                <w:szCs w:val="20"/>
                <w:lang w:val="sr-Cyrl-CS" w:eastAsia="sr-Latn-CS"/>
              </w:rPr>
            </w:pPr>
            <w:r w:rsidRPr="00BF3CDE">
              <w:rPr>
                <w:rFonts w:ascii="Tahoma" w:hAnsi="Tahoma" w:cs="Tahoma"/>
                <w:noProof/>
                <w:sz w:val="20"/>
                <w:szCs w:val="20"/>
                <w:lang w:val="sr-Cyrl-CS" w:eastAsia="sr-Latn-CS"/>
              </w:rPr>
              <w:t>Позитивне курсне разлике</w:t>
            </w:r>
          </w:p>
        </w:tc>
        <w:tc>
          <w:tcPr>
            <w:tcW w:w="837" w:type="pct"/>
            <w:shd w:val="clear" w:color="auto" w:fill="auto"/>
            <w:noWrap/>
          </w:tcPr>
          <w:p w14:paraId="7865AC7C" w14:textId="77777777" w:rsidR="00361B84" w:rsidRPr="00BF3CDE" w:rsidRDefault="00361B84" w:rsidP="00361B84">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1.444</w:t>
            </w:r>
          </w:p>
        </w:tc>
        <w:tc>
          <w:tcPr>
            <w:tcW w:w="825" w:type="pct"/>
          </w:tcPr>
          <w:p w14:paraId="6F970C74" w14:textId="77777777" w:rsidR="00361B84" w:rsidRPr="00BF3CDE" w:rsidRDefault="00361B84" w:rsidP="00361B84">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8.867</w:t>
            </w:r>
          </w:p>
        </w:tc>
      </w:tr>
      <w:tr w:rsidR="00361B84" w:rsidRPr="00BF3CDE" w14:paraId="06BE5AD1" w14:textId="77777777" w:rsidTr="00D50EE5">
        <w:trPr>
          <w:trHeight w:val="340"/>
          <w:tblCellSpacing w:w="20" w:type="dxa"/>
        </w:trPr>
        <w:tc>
          <w:tcPr>
            <w:tcW w:w="3246" w:type="pct"/>
            <w:shd w:val="clear" w:color="auto" w:fill="auto"/>
            <w:noWrap/>
          </w:tcPr>
          <w:p w14:paraId="0855BF12" w14:textId="77777777" w:rsidR="00361B84" w:rsidRPr="00BF3CDE" w:rsidRDefault="00361B84" w:rsidP="00361B84">
            <w:pPr>
              <w:pStyle w:val="NoSpacing"/>
              <w:jc w:val="both"/>
              <w:rPr>
                <w:rFonts w:ascii="Tahoma" w:hAnsi="Tahoma" w:cs="Tahoma"/>
                <w:noProof/>
                <w:sz w:val="20"/>
                <w:szCs w:val="20"/>
                <w:lang w:val="sr-Cyrl-CS" w:eastAsia="sr-Latn-CS"/>
              </w:rPr>
            </w:pPr>
            <w:r w:rsidRPr="00BF3CDE">
              <w:rPr>
                <w:rFonts w:ascii="Tahoma" w:hAnsi="Tahoma" w:cs="Tahoma"/>
                <w:noProof/>
                <w:sz w:val="20"/>
                <w:szCs w:val="20"/>
                <w:lang w:val="sr-Cyrl-CS" w:eastAsia="sr-Latn-CS"/>
              </w:rPr>
              <w:t>Приходи од усклађивања</w:t>
            </w:r>
          </w:p>
        </w:tc>
        <w:tc>
          <w:tcPr>
            <w:tcW w:w="837" w:type="pct"/>
            <w:shd w:val="clear" w:color="auto" w:fill="auto"/>
            <w:noWrap/>
          </w:tcPr>
          <w:p w14:paraId="5C8FCEA2" w14:textId="77777777" w:rsidR="00361B84" w:rsidRPr="00BF3CDE" w:rsidRDefault="00361B84" w:rsidP="00361B84">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43.730</w:t>
            </w:r>
          </w:p>
        </w:tc>
        <w:tc>
          <w:tcPr>
            <w:tcW w:w="825" w:type="pct"/>
          </w:tcPr>
          <w:p w14:paraId="13F7066E" w14:textId="77777777" w:rsidR="00361B84" w:rsidRPr="00BF3CDE" w:rsidRDefault="00361B84" w:rsidP="00361B84">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235.883</w:t>
            </w:r>
          </w:p>
        </w:tc>
      </w:tr>
      <w:tr w:rsidR="00361B84" w:rsidRPr="00BF3CDE" w14:paraId="3759354C" w14:textId="77777777" w:rsidTr="00D50EE5">
        <w:trPr>
          <w:trHeight w:val="340"/>
          <w:tblCellSpacing w:w="20" w:type="dxa"/>
        </w:trPr>
        <w:tc>
          <w:tcPr>
            <w:tcW w:w="3246" w:type="pct"/>
            <w:shd w:val="clear" w:color="auto" w:fill="auto"/>
            <w:noWrap/>
          </w:tcPr>
          <w:p w14:paraId="4FAEC7E3" w14:textId="77777777" w:rsidR="00361B84" w:rsidRPr="00BF3CDE" w:rsidRDefault="00361B84" w:rsidP="00361B84">
            <w:pPr>
              <w:pStyle w:val="NoSpacing"/>
              <w:jc w:val="both"/>
              <w:rPr>
                <w:rFonts w:ascii="Tahoma" w:hAnsi="Tahoma" w:cs="Tahoma"/>
                <w:bCs/>
                <w:iCs/>
                <w:noProof/>
                <w:sz w:val="20"/>
                <w:szCs w:val="20"/>
                <w:lang w:val="sr-Cyrl-CS" w:eastAsia="sr-Latn-CS"/>
              </w:rPr>
            </w:pPr>
            <w:r w:rsidRPr="00BF3CDE">
              <w:rPr>
                <w:rFonts w:ascii="Tahoma" w:hAnsi="Tahoma" w:cs="Tahoma"/>
                <w:bCs/>
                <w:iCs/>
                <w:noProof/>
                <w:sz w:val="20"/>
                <w:szCs w:val="20"/>
                <w:lang w:val="sr-Cyrl-CS" w:eastAsia="sr-Latn-CS"/>
              </w:rPr>
              <w:t>Приходи ранијих година</w:t>
            </w:r>
          </w:p>
        </w:tc>
        <w:tc>
          <w:tcPr>
            <w:tcW w:w="837" w:type="pct"/>
            <w:shd w:val="clear" w:color="auto" w:fill="auto"/>
            <w:noWrap/>
          </w:tcPr>
          <w:p w14:paraId="7F371FA2" w14:textId="77777777" w:rsidR="00361B84" w:rsidRPr="00BF3CDE" w:rsidRDefault="00361B84" w:rsidP="00361B84">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53.176</w:t>
            </w:r>
          </w:p>
        </w:tc>
        <w:tc>
          <w:tcPr>
            <w:tcW w:w="825" w:type="pct"/>
          </w:tcPr>
          <w:p w14:paraId="00C597B2" w14:textId="77777777" w:rsidR="00361B84" w:rsidRPr="00BF3CDE" w:rsidRDefault="00361B84" w:rsidP="00361B84">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15.150</w:t>
            </w:r>
          </w:p>
        </w:tc>
      </w:tr>
      <w:tr w:rsidR="00361B84" w:rsidRPr="00BF3CDE" w14:paraId="708CBD93" w14:textId="77777777" w:rsidTr="00D50EE5">
        <w:trPr>
          <w:trHeight w:val="340"/>
          <w:tblCellSpacing w:w="20" w:type="dxa"/>
        </w:trPr>
        <w:tc>
          <w:tcPr>
            <w:tcW w:w="3246" w:type="pct"/>
            <w:shd w:val="clear" w:color="auto" w:fill="auto"/>
            <w:noWrap/>
          </w:tcPr>
          <w:p w14:paraId="745E6FD6" w14:textId="77777777" w:rsidR="00361B84" w:rsidRPr="00BF3CDE" w:rsidRDefault="00361B84" w:rsidP="00361B84">
            <w:pPr>
              <w:pStyle w:val="NoSpacing"/>
              <w:jc w:val="both"/>
              <w:rPr>
                <w:rFonts w:ascii="Tahoma" w:hAnsi="Tahoma" w:cs="Tahoma"/>
                <w:b/>
                <w:bCs/>
                <w:iCs/>
                <w:noProof/>
                <w:sz w:val="20"/>
                <w:szCs w:val="20"/>
                <w:lang w:val="sr-Cyrl-CS" w:eastAsia="sr-Latn-CS"/>
              </w:rPr>
            </w:pPr>
            <w:r w:rsidRPr="00BF3CDE">
              <w:rPr>
                <w:rFonts w:ascii="Tahoma" w:hAnsi="Tahoma" w:cs="Tahoma"/>
                <w:b/>
                <w:bCs/>
                <w:iCs/>
                <w:noProof/>
                <w:sz w:val="20"/>
                <w:szCs w:val="20"/>
                <w:lang w:val="sr-Cyrl-CS" w:eastAsia="sr-Latn-CS"/>
              </w:rPr>
              <w:t>Укупни приходи</w:t>
            </w:r>
          </w:p>
        </w:tc>
        <w:tc>
          <w:tcPr>
            <w:tcW w:w="837" w:type="pct"/>
            <w:shd w:val="clear" w:color="auto" w:fill="auto"/>
            <w:noWrap/>
          </w:tcPr>
          <w:p w14:paraId="65F55821" w14:textId="77777777" w:rsidR="00361B84" w:rsidRPr="00BF3CDE" w:rsidRDefault="00361B84" w:rsidP="00361B84">
            <w:pPr>
              <w:pStyle w:val="NoSpacing"/>
              <w:jc w:val="right"/>
              <w:rPr>
                <w:rFonts w:ascii="Tahoma" w:hAnsi="Tahoma" w:cs="Tahoma"/>
                <w:b/>
                <w:noProof/>
                <w:sz w:val="20"/>
                <w:szCs w:val="20"/>
                <w:lang w:val="sr-Cyrl-CS" w:eastAsia="sr-Latn-CS"/>
              </w:rPr>
            </w:pPr>
            <w:r w:rsidRPr="00BF3CDE">
              <w:rPr>
                <w:rFonts w:ascii="Tahoma" w:hAnsi="Tahoma" w:cs="Tahoma"/>
                <w:b/>
                <w:noProof/>
                <w:sz w:val="20"/>
                <w:szCs w:val="20"/>
                <w:lang w:val="sr-Cyrl-CS" w:eastAsia="sr-Latn-CS"/>
              </w:rPr>
              <w:t>1.059.591</w:t>
            </w:r>
          </w:p>
        </w:tc>
        <w:tc>
          <w:tcPr>
            <w:tcW w:w="825" w:type="pct"/>
          </w:tcPr>
          <w:p w14:paraId="1042DFB4" w14:textId="77777777" w:rsidR="00361B84" w:rsidRPr="00BF3CDE" w:rsidRDefault="00361B84" w:rsidP="00361B84">
            <w:pPr>
              <w:pStyle w:val="NoSpacing"/>
              <w:jc w:val="right"/>
              <w:rPr>
                <w:rFonts w:ascii="Tahoma" w:hAnsi="Tahoma" w:cs="Tahoma"/>
                <w:b/>
                <w:noProof/>
                <w:sz w:val="20"/>
                <w:szCs w:val="20"/>
                <w:lang w:val="sr-Cyrl-CS" w:eastAsia="sr-Latn-CS"/>
              </w:rPr>
            </w:pPr>
            <w:r w:rsidRPr="00BF3CDE">
              <w:rPr>
                <w:rFonts w:ascii="Tahoma" w:hAnsi="Tahoma" w:cs="Tahoma"/>
                <w:b/>
                <w:noProof/>
                <w:sz w:val="20"/>
                <w:szCs w:val="20"/>
                <w:lang w:val="sr-Cyrl-CS" w:eastAsia="sr-Latn-CS"/>
              </w:rPr>
              <w:t>1.681.911</w:t>
            </w:r>
          </w:p>
        </w:tc>
      </w:tr>
    </w:tbl>
    <w:p w14:paraId="6251B1A7" w14:textId="77777777" w:rsidR="00361B84" w:rsidRPr="00D50EE5" w:rsidRDefault="00361B84" w:rsidP="008C2B46">
      <w:pPr>
        <w:pStyle w:val="NoSpacing"/>
        <w:spacing w:before="120" w:after="60" w:line="276" w:lineRule="auto"/>
        <w:ind w:firstLine="284"/>
        <w:jc w:val="both"/>
        <w:rPr>
          <w:rFonts w:cs="Tahoma"/>
          <w:noProof/>
          <w:sz w:val="8"/>
          <w:highlight w:val="yellow"/>
          <w:lang w:val="sr-Cyrl-CS"/>
        </w:rPr>
      </w:pPr>
    </w:p>
    <w:tbl>
      <w:tblPr>
        <w:tblW w:w="4676" w:type="pct"/>
        <w:tblCellSpacing w:w="20" w:type="dxa"/>
        <w:tblInd w:w="447"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000" w:firstRow="0" w:lastRow="0" w:firstColumn="0" w:lastColumn="0" w:noHBand="0" w:noVBand="0"/>
      </w:tblPr>
      <w:tblGrid>
        <w:gridCol w:w="5305"/>
        <w:gridCol w:w="279"/>
        <w:gridCol w:w="1508"/>
        <w:gridCol w:w="132"/>
        <w:gridCol w:w="1563"/>
      </w:tblGrid>
      <w:tr w:rsidR="00CD2F48" w:rsidRPr="00BF3CDE" w14:paraId="0C0BF19D" w14:textId="77777777" w:rsidTr="00CD2F48">
        <w:trPr>
          <w:trHeight w:val="227"/>
          <w:tblCellSpacing w:w="20" w:type="dxa"/>
        </w:trPr>
        <w:tc>
          <w:tcPr>
            <w:tcW w:w="3150" w:type="pct"/>
            <w:gridSpan w:val="2"/>
            <w:shd w:val="clear" w:color="auto" w:fill="auto"/>
            <w:noWrap/>
            <w:vAlign w:val="center"/>
          </w:tcPr>
          <w:p w14:paraId="73193A3E" w14:textId="77777777" w:rsidR="00361B84" w:rsidRPr="00BF3CDE" w:rsidRDefault="00361B84" w:rsidP="0090445F">
            <w:pPr>
              <w:pStyle w:val="NoSpacing"/>
              <w:jc w:val="center"/>
              <w:rPr>
                <w:rFonts w:ascii="Tahoma" w:hAnsi="Tahoma" w:cs="Tahoma"/>
                <w:i/>
                <w:iCs/>
                <w:noProof/>
                <w:sz w:val="20"/>
                <w:szCs w:val="20"/>
                <w:lang w:val="sr-Cyrl-CS" w:eastAsia="sr-Latn-CS"/>
              </w:rPr>
            </w:pPr>
            <w:r w:rsidRPr="00BF3CDE">
              <w:rPr>
                <w:rFonts w:ascii="Tahoma" w:hAnsi="Tahoma" w:cs="Tahoma"/>
                <w:b/>
                <w:iCs/>
                <w:noProof/>
                <w:sz w:val="20"/>
                <w:szCs w:val="20"/>
                <w:lang w:val="sr-Cyrl-CS" w:eastAsia="sr-Latn-CS"/>
              </w:rPr>
              <w:t>РАСХОДИ</w:t>
            </w:r>
          </w:p>
        </w:tc>
        <w:tc>
          <w:tcPr>
            <w:tcW w:w="896" w:type="pct"/>
            <w:gridSpan w:val="2"/>
            <w:shd w:val="clear" w:color="auto" w:fill="auto"/>
            <w:noWrap/>
            <w:vAlign w:val="center"/>
          </w:tcPr>
          <w:p w14:paraId="29DC4FEA" w14:textId="77777777" w:rsidR="00361B84" w:rsidRPr="00BF3CDE" w:rsidRDefault="00361B84" w:rsidP="0090445F">
            <w:pPr>
              <w:pStyle w:val="NoSpacing"/>
              <w:jc w:val="center"/>
              <w:rPr>
                <w:rFonts w:ascii="Tahoma" w:hAnsi="Tahoma" w:cs="Tahoma"/>
                <w:b/>
                <w:bCs/>
                <w:noProof/>
                <w:sz w:val="20"/>
                <w:lang w:val="sr-Cyrl-CS"/>
              </w:rPr>
            </w:pPr>
            <w:r w:rsidRPr="00BF3CDE">
              <w:rPr>
                <w:rFonts w:ascii="Tahoma" w:hAnsi="Tahoma" w:cs="Tahoma"/>
                <w:b/>
                <w:bCs/>
                <w:noProof/>
                <w:sz w:val="20"/>
                <w:lang w:val="sr-Cyrl-CS"/>
              </w:rPr>
              <w:t>Текућа година</w:t>
            </w:r>
          </w:p>
        </w:tc>
        <w:tc>
          <w:tcPr>
            <w:tcW w:w="863" w:type="pct"/>
            <w:vAlign w:val="center"/>
          </w:tcPr>
          <w:p w14:paraId="03F2935C" w14:textId="77777777" w:rsidR="00361B84" w:rsidRPr="00BF3CDE" w:rsidRDefault="00361B84" w:rsidP="0090445F">
            <w:pPr>
              <w:pStyle w:val="NoSpacing"/>
              <w:ind w:right="49"/>
              <w:jc w:val="center"/>
              <w:rPr>
                <w:rFonts w:ascii="Tahoma" w:hAnsi="Tahoma" w:cs="Tahoma"/>
                <w:b/>
                <w:bCs/>
                <w:noProof/>
                <w:sz w:val="20"/>
                <w:lang w:val="sr-Cyrl-CS"/>
              </w:rPr>
            </w:pPr>
            <w:r w:rsidRPr="00BF3CDE">
              <w:rPr>
                <w:rFonts w:ascii="Tahoma" w:hAnsi="Tahoma" w:cs="Tahoma"/>
                <w:b/>
                <w:bCs/>
                <w:noProof/>
                <w:sz w:val="20"/>
                <w:lang w:val="sr-Cyrl-CS"/>
              </w:rPr>
              <w:t>Претходна година</w:t>
            </w:r>
          </w:p>
        </w:tc>
      </w:tr>
      <w:tr w:rsidR="00CD2F48" w:rsidRPr="00BF3CDE" w14:paraId="7B74DC12" w14:textId="77777777" w:rsidTr="00D50EE5">
        <w:trPr>
          <w:trHeight w:val="340"/>
          <w:tblCellSpacing w:w="20" w:type="dxa"/>
        </w:trPr>
        <w:tc>
          <w:tcPr>
            <w:tcW w:w="3150" w:type="pct"/>
            <w:gridSpan w:val="2"/>
            <w:shd w:val="clear" w:color="auto" w:fill="auto"/>
            <w:noWrap/>
            <w:vAlign w:val="center"/>
          </w:tcPr>
          <w:p w14:paraId="4140C88F" w14:textId="77777777" w:rsidR="00361B84" w:rsidRPr="00BF3CDE" w:rsidRDefault="0090445F" w:rsidP="0090445F">
            <w:pPr>
              <w:pStyle w:val="NoSpacing"/>
              <w:rPr>
                <w:rFonts w:ascii="Tahoma" w:hAnsi="Tahoma" w:cs="Tahoma"/>
                <w:iCs/>
                <w:noProof/>
                <w:sz w:val="20"/>
                <w:szCs w:val="20"/>
                <w:lang w:val="sr-Cyrl-CS" w:eastAsia="sr-Latn-CS"/>
              </w:rPr>
            </w:pPr>
            <w:r w:rsidRPr="00BF3CDE">
              <w:rPr>
                <w:rFonts w:ascii="Tahoma" w:hAnsi="Tahoma" w:cs="Tahoma"/>
                <w:iCs/>
                <w:noProof/>
                <w:sz w:val="20"/>
                <w:szCs w:val="20"/>
                <w:lang w:val="sr-Cyrl-CS" w:eastAsia="sr-Latn-CS"/>
              </w:rPr>
              <w:t>Р</w:t>
            </w:r>
            <w:r w:rsidR="00361B84" w:rsidRPr="00BF3CDE">
              <w:rPr>
                <w:rFonts w:ascii="Tahoma" w:hAnsi="Tahoma" w:cs="Tahoma"/>
                <w:iCs/>
                <w:noProof/>
                <w:sz w:val="20"/>
                <w:szCs w:val="20"/>
                <w:lang w:val="sr-Cyrl-CS" w:eastAsia="sr-Latn-CS"/>
              </w:rPr>
              <w:t>асходи по основу удела у штетама</w:t>
            </w:r>
          </w:p>
        </w:tc>
        <w:tc>
          <w:tcPr>
            <w:tcW w:w="896" w:type="pct"/>
            <w:gridSpan w:val="2"/>
            <w:shd w:val="clear" w:color="auto" w:fill="auto"/>
            <w:noWrap/>
            <w:vAlign w:val="center"/>
          </w:tcPr>
          <w:p w14:paraId="6D5AFC73" w14:textId="77777777" w:rsidR="00361B84" w:rsidRPr="00BF3CDE" w:rsidRDefault="00361B84" w:rsidP="0090445F">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(214.601)</w:t>
            </w:r>
          </w:p>
        </w:tc>
        <w:tc>
          <w:tcPr>
            <w:tcW w:w="863" w:type="pct"/>
            <w:vAlign w:val="center"/>
          </w:tcPr>
          <w:p w14:paraId="5693B433" w14:textId="77777777" w:rsidR="00361B84" w:rsidRPr="00BF3CDE" w:rsidRDefault="00361B84" w:rsidP="0090445F">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(290.427)</w:t>
            </w:r>
          </w:p>
        </w:tc>
      </w:tr>
      <w:tr w:rsidR="00CD2F48" w:rsidRPr="00BF3CDE" w14:paraId="6C5B1839" w14:textId="77777777" w:rsidTr="00D50EE5">
        <w:trPr>
          <w:trHeight w:val="340"/>
          <w:tblCellSpacing w:w="20" w:type="dxa"/>
        </w:trPr>
        <w:tc>
          <w:tcPr>
            <w:tcW w:w="3150" w:type="pct"/>
            <w:gridSpan w:val="2"/>
            <w:shd w:val="clear" w:color="auto" w:fill="auto"/>
            <w:noWrap/>
            <w:vAlign w:val="center"/>
          </w:tcPr>
          <w:p w14:paraId="4D2B8CAF" w14:textId="77777777" w:rsidR="00361B84" w:rsidRPr="00BF3CDE" w:rsidRDefault="0090445F" w:rsidP="0090445F">
            <w:pPr>
              <w:pStyle w:val="NoSpacing"/>
              <w:rPr>
                <w:rFonts w:ascii="Tahoma" w:hAnsi="Tahoma" w:cs="Tahoma"/>
                <w:iCs/>
                <w:noProof/>
                <w:sz w:val="20"/>
                <w:szCs w:val="20"/>
                <w:lang w:val="sr-Cyrl-CS" w:eastAsia="sr-Latn-CS"/>
              </w:rPr>
            </w:pPr>
            <w:r w:rsidRPr="00BF3CDE">
              <w:rPr>
                <w:rFonts w:ascii="Tahoma" w:hAnsi="Tahoma" w:cs="Tahoma"/>
                <w:iCs/>
                <w:noProof/>
                <w:sz w:val="20"/>
                <w:szCs w:val="20"/>
                <w:lang w:val="sr-Cyrl-CS" w:eastAsia="sr-Latn-CS"/>
              </w:rPr>
              <w:t>Р</w:t>
            </w:r>
            <w:r w:rsidR="00361B84" w:rsidRPr="00BF3CDE">
              <w:rPr>
                <w:rFonts w:ascii="Tahoma" w:hAnsi="Tahoma" w:cs="Tahoma"/>
                <w:iCs/>
                <w:noProof/>
                <w:sz w:val="20"/>
                <w:szCs w:val="20"/>
                <w:lang w:val="sr-Cyrl-CS" w:eastAsia="sr-Latn-CS"/>
              </w:rPr>
              <w:t>асходи по основу провизије</w:t>
            </w:r>
          </w:p>
        </w:tc>
        <w:tc>
          <w:tcPr>
            <w:tcW w:w="896" w:type="pct"/>
            <w:gridSpan w:val="2"/>
            <w:shd w:val="clear" w:color="auto" w:fill="auto"/>
            <w:noWrap/>
            <w:vAlign w:val="center"/>
          </w:tcPr>
          <w:p w14:paraId="1AC0F004" w14:textId="77777777" w:rsidR="00361B84" w:rsidRPr="00BF3CDE" w:rsidRDefault="00361B84" w:rsidP="0090445F">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(100.967)</w:t>
            </w:r>
          </w:p>
        </w:tc>
        <w:tc>
          <w:tcPr>
            <w:tcW w:w="863" w:type="pct"/>
            <w:vAlign w:val="center"/>
          </w:tcPr>
          <w:p w14:paraId="76C48624" w14:textId="77777777" w:rsidR="00361B84" w:rsidRPr="00BF3CDE" w:rsidRDefault="00361B84" w:rsidP="0090445F">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(230.141)</w:t>
            </w:r>
          </w:p>
        </w:tc>
      </w:tr>
      <w:tr w:rsidR="00CD2F48" w:rsidRPr="00BF3CDE" w14:paraId="2F7E24CC" w14:textId="77777777" w:rsidTr="00D50EE5">
        <w:trPr>
          <w:trHeight w:val="340"/>
          <w:tblCellSpacing w:w="20" w:type="dxa"/>
        </w:trPr>
        <w:tc>
          <w:tcPr>
            <w:tcW w:w="3150" w:type="pct"/>
            <w:gridSpan w:val="2"/>
            <w:shd w:val="clear" w:color="auto" w:fill="auto"/>
            <w:noWrap/>
            <w:vAlign w:val="center"/>
          </w:tcPr>
          <w:p w14:paraId="7DBD3A5D" w14:textId="77777777" w:rsidR="00361B84" w:rsidRPr="00BF3CDE" w:rsidRDefault="0090445F" w:rsidP="0090445F">
            <w:pPr>
              <w:pStyle w:val="NoSpacing"/>
              <w:rPr>
                <w:rFonts w:ascii="Tahoma" w:hAnsi="Tahoma" w:cs="Tahoma"/>
                <w:iCs/>
                <w:noProof/>
                <w:sz w:val="20"/>
                <w:szCs w:val="20"/>
                <w:lang w:val="sr-Cyrl-CS" w:eastAsia="sr-Latn-CS"/>
              </w:rPr>
            </w:pPr>
            <w:r w:rsidRPr="00BF3CDE">
              <w:rPr>
                <w:rFonts w:ascii="Tahoma" w:hAnsi="Tahoma" w:cs="Tahoma"/>
                <w:iCs/>
                <w:noProof/>
                <w:sz w:val="20"/>
                <w:szCs w:val="20"/>
                <w:lang w:val="sr-Cyrl-CS" w:eastAsia="sr-Latn-CS"/>
              </w:rPr>
              <w:t>Т</w:t>
            </w:r>
            <w:r w:rsidR="00361B84" w:rsidRPr="00BF3CDE">
              <w:rPr>
                <w:rFonts w:ascii="Tahoma" w:hAnsi="Tahoma" w:cs="Tahoma"/>
                <w:iCs/>
                <w:noProof/>
                <w:sz w:val="20"/>
                <w:szCs w:val="20"/>
                <w:lang w:val="sr-Cyrl-CS" w:eastAsia="sr-Latn-CS"/>
              </w:rPr>
              <w:t>рошкови горива и енергије</w:t>
            </w:r>
          </w:p>
        </w:tc>
        <w:tc>
          <w:tcPr>
            <w:tcW w:w="896" w:type="pct"/>
            <w:gridSpan w:val="2"/>
            <w:shd w:val="clear" w:color="auto" w:fill="auto"/>
            <w:noWrap/>
            <w:vAlign w:val="center"/>
          </w:tcPr>
          <w:p w14:paraId="5F750522" w14:textId="77777777" w:rsidR="00361B84" w:rsidRPr="00BF3CDE" w:rsidRDefault="00361B84" w:rsidP="0090445F">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(78)</w:t>
            </w:r>
          </w:p>
        </w:tc>
        <w:tc>
          <w:tcPr>
            <w:tcW w:w="863" w:type="pct"/>
            <w:vAlign w:val="center"/>
          </w:tcPr>
          <w:p w14:paraId="2752D33A" w14:textId="77777777" w:rsidR="00361B84" w:rsidRPr="00BF3CDE" w:rsidRDefault="00361B84" w:rsidP="0090445F">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(1.969)</w:t>
            </w:r>
          </w:p>
        </w:tc>
      </w:tr>
      <w:tr w:rsidR="00CD2F48" w:rsidRPr="00BF3CDE" w14:paraId="2E1C9359" w14:textId="77777777" w:rsidTr="00D50EE5">
        <w:trPr>
          <w:trHeight w:val="340"/>
          <w:tblCellSpacing w:w="20" w:type="dxa"/>
        </w:trPr>
        <w:tc>
          <w:tcPr>
            <w:tcW w:w="3150" w:type="pct"/>
            <w:gridSpan w:val="2"/>
            <w:shd w:val="clear" w:color="auto" w:fill="auto"/>
            <w:noWrap/>
            <w:vAlign w:val="center"/>
          </w:tcPr>
          <w:p w14:paraId="15567FF4" w14:textId="77777777" w:rsidR="00361B84" w:rsidRPr="00BF3CDE" w:rsidRDefault="0090445F" w:rsidP="0090445F">
            <w:pPr>
              <w:pStyle w:val="NoSpacing"/>
              <w:rPr>
                <w:rFonts w:ascii="Tahoma" w:hAnsi="Tahoma" w:cs="Tahoma"/>
                <w:iCs/>
                <w:noProof/>
                <w:sz w:val="20"/>
                <w:szCs w:val="20"/>
                <w:lang w:val="sr-Cyrl-CS" w:eastAsia="sr-Latn-CS"/>
              </w:rPr>
            </w:pPr>
            <w:r w:rsidRPr="00BF3CDE">
              <w:rPr>
                <w:rFonts w:ascii="Tahoma" w:hAnsi="Tahoma" w:cs="Tahoma"/>
                <w:iCs/>
                <w:noProof/>
                <w:sz w:val="20"/>
                <w:szCs w:val="20"/>
                <w:lang w:val="sr-Cyrl-CS" w:eastAsia="sr-Latn-CS"/>
              </w:rPr>
              <w:t>Т</w:t>
            </w:r>
            <w:r w:rsidR="00361B84" w:rsidRPr="00BF3CDE">
              <w:rPr>
                <w:rFonts w:ascii="Tahoma" w:hAnsi="Tahoma" w:cs="Tahoma"/>
                <w:iCs/>
                <w:noProof/>
                <w:sz w:val="20"/>
                <w:szCs w:val="20"/>
                <w:lang w:val="sr-Cyrl-CS" w:eastAsia="sr-Latn-CS"/>
              </w:rPr>
              <w:t>рошкови производних услуга</w:t>
            </w:r>
          </w:p>
        </w:tc>
        <w:tc>
          <w:tcPr>
            <w:tcW w:w="896" w:type="pct"/>
            <w:gridSpan w:val="2"/>
            <w:shd w:val="clear" w:color="auto" w:fill="auto"/>
            <w:noWrap/>
            <w:vAlign w:val="center"/>
          </w:tcPr>
          <w:p w14:paraId="32775EF3" w14:textId="77777777" w:rsidR="00361B84" w:rsidRPr="00BF3CDE" w:rsidRDefault="00361B84" w:rsidP="0090445F">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(11.024)</w:t>
            </w:r>
          </w:p>
        </w:tc>
        <w:tc>
          <w:tcPr>
            <w:tcW w:w="863" w:type="pct"/>
            <w:vAlign w:val="center"/>
          </w:tcPr>
          <w:p w14:paraId="288269AB" w14:textId="77777777" w:rsidR="00361B84" w:rsidRPr="00BF3CDE" w:rsidRDefault="00361B84" w:rsidP="0090445F">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(8.897)</w:t>
            </w:r>
          </w:p>
        </w:tc>
      </w:tr>
      <w:tr w:rsidR="00CD2F48" w:rsidRPr="00BF3CDE" w14:paraId="3004A957" w14:textId="77777777" w:rsidTr="00D50EE5">
        <w:trPr>
          <w:trHeight w:val="340"/>
          <w:tblCellSpacing w:w="20" w:type="dxa"/>
        </w:trPr>
        <w:tc>
          <w:tcPr>
            <w:tcW w:w="3150" w:type="pct"/>
            <w:gridSpan w:val="2"/>
            <w:shd w:val="clear" w:color="auto" w:fill="auto"/>
            <w:noWrap/>
            <w:vAlign w:val="center"/>
          </w:tcPr>
          <w:p w14:paraId="194D8916" w14:textId="77777777" w:rsidR="00361B84" w:rsidRPr="00BF3CDE" w:rsidRDefault="0090445F" w:rsidP="0090445F">
            <w:pPr>
              <w:pStyle w:val="NoSpacing"/>
              <w:rPr>
                <w:rFonts w:ascii="Tahoma" w:hAnsi="Tahoma" w:cs="Tahoma"/>
                <w:iCs/>
                <w:noProof/>
                <w:sz w:val="20"/>
                <w:szCs w:val="20"/>
                <w:lang w:val="sr-Cyrl-CS" w:eastAsia="sr-Latn-CS"/>
              </w:rPr>
            </w:pPr>
            <w:r w:rsidRPr="00BF3CDE">
              <w:rPr>
                <w:rFonts w:ascii="Tahoma" w:hAnsi="Tahoma" w:cs="Tahoma"/>
                <w:iCs/>
                <w:noProof/>
                <w:sz w:val="20"/>
                <w:szCs w:val="20"/>
                <w:lang w:val="sr-Cyrl-CS" w:eastAsia="sr-Latn-CS"/>
              </w:rPr>
              <w:t>Т</w:t>
            </w:r>
            <w:r w:rsidR="00361B84" w:rsidRPr="00BF3CDE">
              <w:rPr>
                <w:rFonts w:ascii="Tahoma" w:hAnsi="Tahoma" w:cs="Tahoma"/>
                <w:iCs/>
                <w:noProof/>
                <w:sz w:val="20"/>
                <w:szCs w:val="20"/>
                <w:lang w:val="sr-Cyrl-CS" w:eastAsia="sr-Latn-CS"/>
              </w:rPr>
              <w:t>рошкови премије осигурања</w:t>
            </w:r>
          </w:p>
        </w:tc>
        <w:tc>
          <w:tcPr>
            <w:tcW w:w="896" w:type="pct"/>
            <w:gridSpan w:val="2"/>
            <w:shd w:val="clear" w:color="auto" w:fill="auto"/>
            <w:noWrap/>
            <w:vAlign w:val="center"/>
          </w:tcPr>
          <w:p w14:paraId="4E90DCF8" w14:textId="77777777" w:rsidR="00361B84" w:rsidRPr="00BF3CDE" w:rsidRDefault="00361B84" w:rsidP="0090445F">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(854)</w:t>
            </w:r>
          </w:p>
        </w:tc>
        <w:tc>
          <w:tcPr>
            <w:tcW w:w="863" w:type="pct"/>
            <w:vAlign w:val="center"/>
          </w:tcPr>
          <w:p w14:paraId="2679F6FA" w14:textId="77777777" w:rsidR="00361B84" w:rsidRPr="00BF3CDE" w:rsidRDefault="00361B84" w:rsidP="0090445F">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(571)</w:t>
            </w:r>
          </w:p>
        </w:tc>
      </w:tr>
      <w:tr w:rsidR="00CD2F48" w:rsidRPr="00BF3CDE" w14:paraId="61712A78" w14:textId="77777777" w:rsidTr="00D50EE5">
        <w:trPr>
          <w:trHeight w:val="340"/>
          <w:tblCellSpacing w:w="20" w:type="dxa"/>
        </w:trPr>
        <w:tc>
          <w:tcPr>
            <w:tcW w:w="3150" w:type="pct"/>
            <w:gridSpan w:val="2"/>
            <w:shd w:val="clear" w:color="auto" w:fill="auto"/>
            <w:noWrap/>
            <w:vAlign w:val="center"/>
          </w:tcPr>
          <w:p w14:paraId="3DE14440" w14:textId="77777777" w:rsidR="00361B84" w:rsidRPr="00BF3CDE" w:rsidRDefault="0090445F" w:rsidP="0090445F">
            <w:pPr>
              <w:pStyle w:val="NoSpacing"/>
              <w:rPr>
                <w:rFonts w:ascii="Tahoma" w:hAnsi="Tahoma" w:cs="Tahoma"/>
                <w:iCs/>
                <w:noProof/>
                <w:sz w:val="20"/>
                <w:szCs w:val="20"/>
                <w:lang w:val="sr-Cyrl-CS" w:eastAsia="sr-Latn-CS"/>
              </w:rPr>
            </w:pPr>
            <w:r w:rsidRPr="00BF3CDE">
              <w:rPr>
                <w:rFonts w:ascii="Tahoma" w:hAnsi="Tahoma" w:cs="Tahoma"/>
                <w:iCs/>
                <w:noProof/>
                <w:sz w:val="20"/>
                <w:szCs w:val="20"/>
                <w:lang w:val="sr-Cyrl-CS" w:eastAsia="sr-Latn-CS"/>
              </w:rPr>
              <w:t>Т</w:t>
            </w:r>
            <w:r w:rsidR="00361B84" w:rsidRPr="00BF3CDE">
              <w:rPr>
                <w:rFonts w:ascii="Tahoma" w:hAnsi="Tahoma" w:cs="Tahoma"/>
                <w:iCs/>
                <w:noProof/>
                <w:sz w:val="20"/>
                <w:szCs w:val="20"/>
                <w:lang w:val="sr-Cyrl-CS" w:eastAsia="sr-Latn-CS"/>
              </w:rPr>
              <w:t>рошкови банкарских услуга</w:t>
            </w:r>
          </w:p>
        </w:tc>
        <w:tc>
          <w:tcPr>
            <w:tcW w:w="896" w:type="pct"/>
            <w:gridSpan w:val="2"/>
            <w:shd w:val="clear" w:color="auto" w:fill="auto"/>
            <w:noWrap/>
            <w:vAlign w:val="center"/>
          </w:tcPr>
          <w:p w14:paraId="06041655" w14:textId="77777777" w:rsidR="00361B84" w:rsidRPr="00BF3CDE" w:rsidRDefault="00361B84" w:rsidP="0090445F">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(1.080)</w:t>
            </w:r>
          </w:p>
        </w:tc>
        <w:tc>
          <w:tcPr>
            <w:tcW w:w="863" w:type="pct"/>
            <w:vAlign w:val="center"/>
          </w:tcPr>
          <w:p w14:paraId="65D96E81" w14:textId="77777777" w:rsidR="00361B84" w:rsidRPr="00BF3CDE" w:rsidRDefault="00361B84" w:rsidP="0090445F">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(1.082)</w:t>
            </w:r>
          </w:p>
        </w:tc>
      </w:tr>
      <w:tr w:rsidR="00CD2F48" w:rsidRPr="00BF3CDE" w14:paraId="02587925" w14:textId="77777777" w:rsidTr="00D50EE5">
        <w:trPr>
          <w:trHeight w:val="340"/>
          <w:tblCellSpacing w:w="20" w:type="dxa"/>
        </w:trPr>
        <w:tc>
          <w:tcPr>
            <w:tcW w:w="3150" w:type="pct"/>
            <w:gridSpan w:val="2"/>
            <w:shd w:val="clear" w:color="auto" w:fill="auto"/>
            <w:noWrap/>
            <w:vAlign w:val="center"/>
          </w:tcPr>
          <w:p w14:paraId="4D77351B" w14:textId="77777777" w:rsidR="00361B84" w:rsidRPr="00BF3CDE" w:rsidRDefault="0090445F" w:rsidP="0090445F">
            <w:pPr>
              <w:pStyle w:val="NoSpacing"/>
              <w:rPr>
                <w:rFonts w:ascii="Tahoma" w:hAnsi="Tahoma" w:cs="Tahoma"/>
                <w:iCs/>
                <w:noProof/>
                <w:sz w:val="20"/>
                <w:szCs w:val="20"/>
                <w:lang w:val="sr-Cyrl-CS" w:eastAsia="sr-Latn-CS"/>
              </w:rPr>
            </w:pPr>
            <w:r w:rsidRPr="00BF3CDE">
              <w:rPr>
                <w:rFonts w:ascii="Tahoma" w:hAnsi="Tahoma" w:cs="Tahoma"/>
                <w:iCs/>
                <w:noProof/>
                <w:sz w:val="20"/>
                <w:szCs w:val="20"/>
                <w:lang w:val="sr-Cyrl-CS" w:eastAsia="sr-Latn-CS"/>
              </w:rPr>
              <w:t>Т</w:t>
            </w:r>
            <w:r w:rsidR="00361B84" w:rsidRPr="00BF3CDE">
              <w:rPr>
                <w:rFonts w:ascii="Tahoma" w:hAnsi="Tahoma" w:cs="Tahoma"/>
                <w:iCs/>
                <w:noProof/>
                <w:sz w:val="20"/>
                <w:szCs w:val="20"/>
                <w:lang w:val="sr-Cyrl-CS" w:eastAsia="sr-Latn-CS"/>
              </w:rPr>
              <w:t>рошкови непроизводних услуга</w:t>
            </w:r>
          </w:p>
        </w:tc>
        <w:tc>
          <w:tcPr>
            <w:tcW w:w="896" w:type="pct"/>
            <w:gridSpan w:val="2"/>
            <w:shd w:val="clear" w:color="auto" w:fill="auto"/>
            <w:noWrap/>
            <w:vAlign w:val="center"/>
          </w:tcPr>
          <w:p w14:paraId="713D1BC8" w14:textId="77777777" w:rsidR="00361B84" w:rsidRPr="00BF3CDE" w:rsidRDefault="00361B84" w:rsidP="0090445F">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(1.523)</w:t>
            </w:r>
          </w:p>
        </w:tc>
        <w:tc>
          <w:tcPr>
            <w:tcW w:w="863" w:type="pct"/>
            <w:vAlign w:val="center"/>
          </w:tcPr>
          <w:p w14:paraId="505FB2BA" w14:textId="77777777" w:rsidR="00361B84" w:rsidRPr="00BF3CDE" w:rsidRDefault="00361B84" w:rsidP="0090445F">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(1.618)</w:t>
            </w:r>
          </w:p>
        </w:tc>
      </w:tr>
      <w:tr w:rsidR="00CD2F48" w:rsidRPr="00BF3CDE" w14:paraId="19C327BB" w14:textId="77777777" w:rsidTr="00D50EE5">
        <w:trPr>
          <w:trHeight w:val="340"/>
          <w:tblCellSpacing w:w="20" w:type="dxa"/>
        </w:trPr>
        <w:tc>
          <w:tcPr>
            <w:tcW w:w="3150" w:type="pct"/>
            <w:gridSpan w:val="2"/>
            <w:shd w:val="clear" w:color="auto" w:fill="auto"/>
            <w:noWrap/>
            <w:vAlign w:val="center"/>
          </w:tcPr>
          <w:p w14:paraId="172C1F51" w14:textId="77777777" w:rsidR="00361B84" w:rsidRPr="00BF3CDE" w:rsidRDefault="0090445F" w:rsidP="0090445F">
            <w:pPr>
              <w:pStyle w:val="NoSpacing"/>
              <w:rPr>
                <w:rFonts w:ascii="Tahoma" w:hAnsi="Tahoma" w:cs="Tahoma"/>
                <w:iCs/>
                <w:noProof/>
                <w:sz w:val="20"/>
                <w:szCs w:val="20"/>
                <w:lang w:val="sr-Cyrl-CS" w:eastAsia="sr-Latn-CS"/>
              </w:rPr>
            </w:pPr>
            <w:r w:rsidRPr="00BF3CDE">
              <w:rPr>
                <w:rFonts w:ascii="Tahoma" w:hAnsi="Tahoma" w:cs="Tahoma"/>
                <w:iCs/>
                <w:noProof/>
                <w:sz w:val="20"/>
                <w:szCs w:val="20"/>
                <w:lang w:val="sr-Cyrl-CS" w:eastAsia="sr-Latn-CS"/>
              </w:rPr>
              <w:t>О</w:t>
            </w:r>
            <w:r w:rsidR="00361B84" w:rsidRPr="00BF3CDE">
              <w:rPr>
                <w:rFonts w:ascii="Tahoma" w:hAnsi="Tahoma" w:cs="Tahoma"/>
                <w:iCs/>
                <w:noProof/>
                <w:sz w:val="20"/>
                <w:szCs w:val="20"/>
                <w:lang w:val="sr-Cyrl-CS" w:eastAsia="sr-Latn-CS"/>
              </w:rPr>
              <w:t>стали непоменути трошкови</w:t>
            </w:r>
          </w:p>
        </w:tc>
        <w:tc>
          <w:tcPr>
            <w:tcW w:w="896" w:type="pct"/>
            <w:gridSpan w:val="2"/>
            <w:shd w:val="clear" w:color="auto" w:fill="auto"/>
            <w:noWrap/>
            <w:vAlign w:val="center"/>
          </w:tcPr>
          <w:p w14:paraId="12BA139D" w14:textId="77777777" w:rsidR="00361B84" w:rsidRPr="00BF3CDE" w:rsidRDefault="00361B84" w:rsidP="0090445F">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(2.018)</w:t>
            </w:r>
          </w:p>
        </w:tc>
        <w:tc>
          <w:tcPr>
            <w:tcW w:w="863" w:type="pct"/>
            <w:vAlign w:val="center"/>
          </w:tcPr>
          <w:p w14:paraId="078F2676" w14:textId="77777777" w:rsidR="00361B84" w:rsidRPr="00BF3CDE" w:rsidRDefault="00361B84" w:rsidP="0090445F">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(1.916)</w:t>
            </w:r>
          </w:p>
        </w:tc>
      </w:tr>
      <w:tr w:rsidR="00CD2F48" w:rsidRPr="00BF3CDE" w14:paraId="2DE72EED" w14:textId="77777777" w:rsidTr="00D50EE5">
        <w:trPr>
          <w:trHeight w:val="340"/>
          <w:tblCellSpacing w:w="20" w:type="dxa"/>
        </w:trPr>
        <w:tc>
          <w:tcPr>
            <w:tcW w:w="3150" w:type="pct"/>
            <w:gridSpan w:val="2"/>
            <w:shd w:val="clear" w:color="auto" w:fill="auto"/>
            <w:noWrap/>
            <w:vAlign w:val="center"/>
          </w:tcPr>
          <w:p w14:paraId="6ED7E083" w14:textId="77777777" w:rsidR="00361B84" w:rsidRPr="00BF3CDE" w:rsidRDefault="0090445F" w:rsidP="0090445F">
            <w:pPr>
              <w:pStyle w:val="NoSpacing"/>
              <w:rPr>
                <w:rFonts w:ascii="Tahoma" w:hAnsi="Tahoma" w:cs="Tahoma"/>
                <w:noProof/>
                <w:sz w:val="20"/>
                <w:szCs w:val="20"/>
                <w:lang w:val="sr-Cyrl-CS"/>
              </w:rPr>
            </w:pPr>
            <w:r w:rsidRPr="00BF3CDE">
              <w:rPr>
                <w:rFonts w:ascii="Tahoma" w:hAnsi="Tahoma" w:cs="Tahoma"/>
                <w:noProof/>
                <w:sz w:val="20"/>
                <w:szCs w:val="20"/>
                <w:lang w:val="sr-Cyrl-CS"/>
              </w:rPr>
              <w:t>Р</w:t>
            </w:r>
            <w:r w:rsidR="00361B84" w:rsidRPr="00BF3CDE">
              <w:rPr>
                <w:rFonts w:ascii="Tahoma" w:hAnsi="Tahoma" w:cs="Tahoma"/>
                <w:noProof/>
                <w:sz w:val="20"/>
                <w:szCs w:val="20"/>
                <w:lang w:val="sr-Cyrl-CS"/>
              </w:rPr>
              <w:t>асходи валутне клаузуле</w:t>
            </w:r>
          </w:p>
        </w:tc>
        <w:tc>
          <w:tcPr>
            <w:tcW w:w="896" w:type="pct"/>
            <w:gridSpan w:val="2"/>
            <w:shd w:val="clear" w:color="auto" w:fill="auto"/>
            <w:noWrap/>
            <w:vAlign w:val="center"/>
          </w:tcPr>
          <w:p w14:paraId="6ACCE88A" w14:textId="77777777" w:rsidR="00361B84" w:rsidRPr="00BF3CDE" w:rsidRDefault="00361B84" w:rsidP="0090445F">
            <w:pPr>
              <w:pStyle w:val="NoSpacing"/>
              <w:jc w:val="right"/>
              <w:rPr>
                <w:rFonts w:ascii="Tahoma" w:hAnsi="Tahoma" w:cs="Tahoma"/>
                <w:noProof/>
                <w:sz w:val="20"/>
                <w:szCs w:val="20"/>
                <w:lang w:val="sr-Cyrl-CS" w:eastAsia="sr-Latn-CS"/>
              </w:rPr>
            </w:pPr>
          </w:p>
        </w:tc>
        <w:tc>
          <w:tcPr>
            <w:tcW w:w="863" w:type="pct"/>
            <w:vAlign w:val="center"/>
          </w:tcPr>
          <w:p w14:paraId="5201E626" w14:textId="77777777" w:rsidR="00361B84" w:rsidRPr="00BF3CDE" w:rsidRDefault="00361B84" w:rsidP="0090445F">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(8.995)</w:t>
            </w:r>
          </w:p>
        </w:tc>
      </w:tr>
      <w:tr w:rsidR="00CD2F48" w:rsidRPr="00BF3CDE" w14:paraId="6EE08E32" w14:textId="77777777" w:rsidTr="00D50EE5">
        <w:trPr>
          <w:trHeight w:val="340"/>
          <w:tblCellSpacing w:w="20" w:type="dxa"/>
        </w:trPr>
        <w:tc>
          <w:tcPr>
            <w:tcW w:w="3150" w:type="pct"/>
            <w:gridSpan w:val="2"/>
            <w:shd w:val="clear" w:color="auto" w:fill="auto"/>
            <w:noWrap/>
            <w:vAlign w:val="center"/>
          </w:tcPr>
          <w:p w14:paraId="18FFFBE3" w14:textId="77777777" w:rsidR="00361B84" w:rsidRPr="00BF3CDE" w:rsidRDefault="0090445F" w:rsidP="0090445F">
            <w:pPr>
              <w:pStyle w:val="NoSpacing"/>
              <w:rPr>
                <w:rFonts w:ascii="Tahoma" w:hAnsi="Tahoma" w:cs="Tahoma"/>
                <w:noProof/>
                <w:sz w:val="20"/>
                <w:szCs w:val="20"/>
                <w:lang w:val="sr-Cyrl-CS"/>
              </w:rPr>
            </w:pPr>
            <w:r w:rsidRPr="00BF3CDE">
              <w:rPr>
                <w:rFonts w:ascii="Tahoma" w:hAnsi="Tahoma" w:cs="Tahoma"/>
                <w:noProof/>
                <w:sz w:val="20"/>
                <w:szCs w:val="20"/>
                <w:lang w:val="sr-Cyrl-CS"/>
              </w:rPr>
              <w:t>Н</w:t>
            </w:r>
            <w:r w:rsidR="00361B84" w:rsidRPr="00BF3CDE">
              <w:rPr>
                <w:rFonts w:ascii="Tahoma" w:hAnsi="Tahoma" w:cs="Tahoma"/>
                <w:noProof/>
                <w:sz w:val="20"/>
                <w:szCs w:val="20"/>
                <w:lang w:val="sr-Cyrl-CS"/>
              </w:rPr>
              <w:t>егативне курсне разлике</w:t>
            </w:r>
          </w:p>
        </w:tc>
        <w:tc>
          <w:tcPr>
            <w:tcW w:w="896" w:type="pct"/>
            <w:gridSpan w:val="2"/>
            <w:shd w:val="clear" w:color="auto" w:fill="auto"/>
            <w:noWrap/>
            <w:vAlign w:val="center"/>
          </w:tcPr>
          <w:p w14:paraId="2F6EF960" w14:textId="77777777" w:rsidR="00361B84" w:rsidRPr="00BF3CDE" w:rsidRDefault="00361B84" w:rsidP="0090445F">
            <w:pPr>
              <w:pStyle w:val="NoSpacing"/>
              <w:jc w:val="right"/>
              <w:rPr>
                <w:rFonts w:ascii="Tahoma" w:hAnsi="Tahoma" w:cs="Tahoma"/>
                <w:noProof/>
                <w:sz w:val="20"/>
                <w:szCs w:val="20"/>
                <w:lang w:val="sr-Cyrl-CS"/>
              </w:rPr>
            </w:pPr>
            <w:r w:rsidRPr="00BF3CDE">
              <w:rPr>
                <w:rFonts w:ascii="Tahoma" w:hAnsi="Tahoma" w:cs="Tahoma"/>
                <w:noProof/>
                <w:sz w:val="20"/>
                <w:szCs w:val="20"/>
                <w:lang w:val="sr-Cyrl-CS"/>
              </w:rPr>
              <w:t>(7)</w:t>
            </w:r>
          </w:p>
        </w:tc>
        <w:tc>
          <w:tcPr>
            <w:tcW w:w="863" w:type="pct"/>
            <w:vAlign w:val="center"/>
          </w:tcPr>
          <w:p w14:paraId="4F619D68" w14:textId="77777777" w:rsidR="00361B84" w:rsidRPr="00BF3CDE" w:rsidRDefault="00361B84" w:rsidP="0090445F">
            <w:pPr>
              <w:pStyle w:val="NoSpacing"/>
              <w:jc w:val="right"/>
              <w:rPr>
                <w:rFonts w:ascii="Tahoma" w:hAnsi="Tahoma" w:cs="Tahoma"/>
                <w:noProof/>
                <w:sz w:val="20"/>
                <w:szCs w:val="20"/>
                <w:lang w:val="sr-Cyrl-CS"/>
              </w:rPr>
            </w:pPr>
            <w:r w:rsidRPr="00BF3CDE">
              <w:rPr>
                <w:rFonts w:ascii="Tahoma" w:hAnsi="Tahoma" w:cs="Tahoma"/>
                <w:noProof/>
                <w:sz w:val="20"/>
                <w:szCs w:val="20"/>
                <w:lang w:val="sr-Cyrl-CS"/>
              </w:rPr>
              <w:t>(2.131)</w:t>
            </w:r>
          </w:p>
        </w:tc>
      </w:tr>
      <w:tr w:rsidR="00CD2F48" w:rsidRPr="00BF3CDE" w14:paraId="12FDDF90" w14:textId="77777777" w:rsidTr="00D50EE5">
        <w:trPr>
          <w:trHeight w:val="340"/>
          <w:tblCellSpacing w:w="20" w:type="dxa"/>
        </w:trPr>
        <w:tc>
          <w:tcPr>
            <w:tcW w:w="3150" w:type="pct"/>
            <w:gridSpan w:val="2"/>
            <w:shd w:val="clear" w:color="auto" w:fill="auto"/>
            <w:noWrap/>
            <w:vAlign w:val="center"/>
          </w:tcPr>
          <w:p w14:paraId="37BC1830" w14:textId="77777777" w:rsidR="00361B84" w:rsidRPr="00BF3CDE" w:rsidRDefault="0090445F" w:rsidP="0090445F">
            <w:pPr>
              <w:pStyle w:val="NoSpacing"/>
              <w:rPr>
                <w:rFonts w:ascii="Tahoma" w:hAnsi="Tahoma" w:cs="Tahoma"/>
                <w:noProof/>
                <w:sz w:val="20"/>
                <w:szCs w:val="20"/>
                <w:lang w:val="sr-Cyrl-CS"/>
              </w:rPr>
            </w:pPr>
            <w:r w:rsidRPr="00BF3CDE">
              <w:rPr>
                <w:rFonts w:ascii="Tahoma" w:hAnsi="Tahoma" w:cs="Tahoma"/>
                <w:noProof/>
                <w:sz w:val="20"/>
                <w:szCs w:val="20"/>
                <w:lang w:val="sr-Cyrl-CS"/>
              </w:rPr>
              <w:t>Р</w:t>
            </w:r>
            <w:r w:rsidR="00361B84" w:rsidRPr="00BF3CDE">
              <w:rPr>
                <w:rFonts w:ascii="Tahoma" w:hAnsi="Tahoma" w:cs="Tahoma"/>
                <w:noProof/>
                <w:sz w:val="20"/>
                <w:szCs w:val="20"/>
                <w:lang w:val="sr-Cyrl-CS"/>
              </w:rPr>
              <w:t>асходи од обезвређења</w:t>
            </w:r>
          </w:p>
        </w:tc>
        <w:tc>
          <w:tcPr>
            <w:tcW w:w="896" w:type="pct"/>
            <w:gridSpan w:val="2"/>
            <w:shd w:val="clear" w:color="auto" w:fill="auto"/>
            <w:noWrap/>
            <w:vAlign w:val="center"/>
          </w:tcPr>
          <w:p w14:paraId="45F8C560" w14:textId="77777777" w:rsidR="00361B84" w:rsidRPr="00BF3CDE" w:rsidRDefault="00361B84" w:rsidP="0090445F">
            <w:pPr>
              <w:pStyle w:val="NoSpacing"/>
              <w:jc w:val="right"/>
              <w:rPr>
                <w:rFonts w:ascii="Tahoma" w:hAnsi="Tahoma" w:cs="Tahoma"/>
                <w:noProof/>
                <w:sz w:val="20"/>
                <w:szCs w:val="20"/>
                <w:lang w:val="sr-Cyrl-CS"/>
              </w:rPr>
            </w:pPr>
            <w:r w:rsidRPr="00BF3CDE">
              <w:rPr>
                <w:rFonts w:ascii="Tahoma" w:hAnsi="Tahoma" w:cs="Tahoma"/>
                <w:noProof/>
                <w:sz w:val="20"/>
                <w:szCs w:val="20"/>
                <w:lang w:val="sr-Cyrl-CS"/>
              </w:rPr>
              <w:t>(172.431)</w:t>
            </w:r>
          </w:p>
        </w:tc>
        <w:tc>
          <w:tcPr>
            <w:tcW w:w="863" w:type="pct"/>
            <w:vAlign w:val="center"/>
          </w:tcPr>
          <w:p w14:paraId="73B8C8D7" w14:textId="77777777" w:rsidR="00361B84" w:rsidRPr="00BF3CDE" w:rsidRDefault="00361B84" w:rsidP="0090445F">
            <w:pPr>
              <w:pStyle w:val="NoSpacing"/>
              <w:jc w:val="right"/>
              <w:rPr>
                <w:rFonts w:ascii="Tahoma" w:hAnsi="Tahoma" w:cs="Tahoma"/>
                <w:noProof/>
                <w:sz w:val="20"/>
                <w:szCs w:val="20"/>
                <w:lang w:val="sr-Cyrl-CS"/>
              </w:rPr>
            </w:pPr>
            <w:r w:rsidRPr="00BF3CDE">
              <w:rPr>
                <w:rFonts w:ascii="Tahoma" w:hAnsi="Tahoma" w:cs="Tahoma"/>
                <w:noProof/>
                <w:sz w:val="20"/>
                <w:szCs w:val="20"/>
                <w:lang w:val="sr-Cyrl-CS"/>
              </w:rPr>
              <w:t>(43.710)</w:t>
            </w:r>
          </w:p>
        </w:tc>
      </w:tr>
      <w:tr w:rsidR="00CD2F48" w:rsidRPr="00BF3CDE" w14:paraId="213C1EB5" w14:textId="77777777" w:rsidTr="00D50EE5">
        <w:trPr>
          <w:trHeight w:val="340"/>
          <w:tblCellSpacing w:w="20" w:type="dxa"/>
        </w:trPr>
        <w:tc>
          <w:tcPr>
            <w:tcW w:w="3150" w:type="pct"/>
            <w:gridSpan w:val="2"/>
            <w:shd w:val="clear" w:color="auto" w:fill="auto"/>
            <w:noWrap/>
            <w:vAlign w:val="center"/>
          </w:tcPr>
          <w:p w14:paraId="307649BE" w14:textId="77777777" w:rsidR="00361B84" w:rsidRPr="00BF3CDE" w:rsidRDefault="0090445F" w:rsidP="0090445F">
            <w:pPr>
              <w:pStyle w:val="NoSpacing"/>
              <w:rPr>
                <w:rFonts w:ascii="Tahoma" w:hAnsi="Tahoma" w:cs="Tahoma"/>
                <w:noProof/>
                <w:sz w:val="20"/>
                <w:szCs w:val="20"/>
                <w:lang w:val="sr-Cyrl-CS" w:eastAsia="sr-Latn-CS"/>
              </w:rPr>
            </w:pPr>
            <w:r w:rsidRPr="00BF3CDE">
              <w:rPr>
                <w:rFonts w:ascii="Tahoma" w:hAnsi="Tahoma" w:cs="Tahoma"/>
                <w:noProof/>
                <w:sz w:val="20"/>
                <w:szCs w:val="20"/>
                <w:lang w:val="sr-Cyrl-CS" w:eastAsia="sr-Latn-CS"/>
              </w:rPr>
              <w:lastRenderedPageBreak/>
              <w:t>Р</w:t>
            </w:r>
            <w:r w:rsidR="00361B84" w:rsidRPr="00BF3CDE">
              <w:rPr>
                <w:rFonts w:ascii="Tahoma" w:hAnsi="Tahoma" w:cs="Tahoma"/>
                <w:noProof/>
                <w:sz w:val="20"/>
                <w:szCs w:val="20"/>
                <w:lang w:val="sr-Cyrl-CS" w:eastAsia="sr-Latn-CS"/>
              </w:rPr>
              <w:t>асходи ранијих година</w:t>
            </w:r>
          </w:p>
        </w:tc>
        <w:tc>
          <w:tcPr>
            <w:tcW w:w="896" w:type="pct"/>
            <w:gridSpan w:val="2"/>
            <w:shd w:val="clear" w:color="auto" w:fill="auto"/>
            <w:noWrap/>
            <w:vAlign w:val="center"/>
          </w:tcPr>
          <w:p w14:paraId="44F7BADE" w14:textId="77777777" w:rsidR="00361B84" w:rsidRPr="00BF3CDE" w:rsidRDefault="00361B84" w:rsidP="0090445F">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(2.431)</w:t>
            </w:r>
          </w:p>
        </w:tc>
        <w:tc>
          <w:tcPr>
            <w:tcW w:w="863" w:type="pct"/>
            <w:vAlign w:val="center"/>
          </w:tcPr>
          <w:p w14:paraId="6EC89D01" w14:textId="77777777" w:rsidR="00361B84" w:rsidRPr="00BF3CDE" w:rsidRDefault="00361B84" w:rsidP="0090445F">
            <w:pPr>
              <w:pStyle w:val="NoSpacing"/>
              <w:jc w:val="right"/>
              <w:rPr>
                <w:rFonts w:ascii="Tahoma" w:hAnsi="Tahoma" w:cs="Tahoma"/>
                <w:noProof/>
                <w:sz w:val="20"/>
                <w:szCs w:val="20"/>
                <w:lang w:val="sr-Cyrl-CS" w:eastAsia="sr-Latn-CS"/>
              </w:rPr>
            </w:pPr>
            <w:r w:rsidRPr="00BF3CDE">
              <w:rPr>
                <w:rFonts w:ascii="Tahoma" w:hAnsi="Tahoma" w:cs="Tahoma"/>
                <w:noProof/>
                <w:sz w:val="20"/>
                <w:szCs w:val="20"/>
                <w:lang w:val="sr-Cyrl-CS" w:eastAsia="sr-Latn-CS"/>
              </w:rPr>
              <w:t>(2.219)</w:t>
            </w:r>
          </w:p>
        </w:tc>
      </w:tr>
      <w:tr w:rsidR="00CD2F48" w:rsidRPr="00BF3CDE" w14:paraId="7F75D174" w14:textId="77777777" w:rsidTr="00D50EE5">
        <w:trPr>
          <w:trHeight w:val="340"/>
          <w:tblCellSpacing w:w="20" w:type="dxa"/>
        </w:trPr>
        <w:tc>
          <w:tcPr>
            <w:tcW w:w="3150" w:type="pct"/>
            <w:gridSpan w:val="2"/>
            <w:shd w:val="clear" w:color="auto" w:fill="auto"/>
            <w:noWrap/>
            <w:vAlign w:val="center"/>
          </w:tcPr>
          <w:p w14:paraId="1A72DC99" w14:textId="77777777" w:rsidR="00361B84" w:rsidRPr="00BF3CDE" w:rsidRDefault="00361B84" w:rsidP="0090445F">
            <w:pPr>
              <w:pStyle w:val="NoSpacing"/>
              <w:rPr>
                <w:rFonts w:ascii="Tahoma" w:hAnsi="Tahoma" w:cs="Tahoma"/>
                <w:b/>
                <w:bCs/>
                <w:i/>
                <w:iCs/>
                <w:noProof/>
                <w:sz w:val="20"/>
                <w:szCs w:val="20"/>
                <w:lang w:val="sr-Cyrl-CS" w:eastAsia="sr-Latn-CS"/>
              </w:rPr>
            </w:pPr>
            <w:r w:rsidRPr="00BF3CDE">
              <w:rPr>
                <w:rFonts w:ascii="Tahoma" w:hAnsi="Tahoma" w:cs="Tahoma"/>
                <w:b/>
                <w:bCs/>
                <w:i/>
                <w:iCs/>
                <w:noProof/>
                <w:sz w:val="20"/>
                <w:szCs w:val="20"/>
                <w:lang w:val="sr-Cyrl-CS" w:eastAsia="sr-Latn-CS"/>
              </w:rPr>
              <w:t>Укупни расходи</w:t>
            </w:r>
          </w:p>
        </w:tc>
        <w:tc>
          <w:tcPr>
            <w:tcW w:w="896" w:type="pct"/>
            <w:gridSpan w:val="2"/>
            <w:shd w:val="clear" w:color="auto" w:fill="auto"/>
            <w:noWrap/>
            <w:vAlign w:val="center"/>
          </w:tcPr>
          <w:p w14:paraId="4385A110" w14:textId="77777777" w:rsidR="00361B84" w:rsidRPr="00BF3CDE" w:rsidRDefault="00361B84" w:rsidP="0090445F">
            <w:pPr>
              <w:pStyle w:val="NoSpacing"/>
              <w:jc w:val="right"/>
              <w:rPr>
                <w:rFonts w:ascii="Tahoma" w:hAnsi="Tahoma" w:cs="Tahoma"/>
                <w:b/>
                <w:noProof/>
                <w:sz w:val="20"/>
                <w:szCs w:val="20"/>
                <w:lang w:val="sr-Cyrl-CS" w:eastAsia="sr-Latn-CS"/>
              </w:rPr>
            </w:pPr>
            <w:r w:rsidRPr="00BF3CDE">
              <w:rPr>
                <w:rFonts w:ascii="Tahoma" w:hAnsi="Tahoma" w:cs="Tahoma"/>
                <w:b/>
                <w:noProof/>
                <w:sz w:val="20"/>
                <w:szCs w:val="20"/>
                <w:lang w:val="sr-Cyrl-CS" w:eastAsia="sr-Latn-CS"/>
              </w:rPr>
              <w:t>(508.297)</w:t>
            </w:r>
          </w:p>
        </w:tc>
        <w:tc>
          <w:tcPr>
            <w:tcW w:w="863" w:type="pct"/>
            <w:vAlign w:val="center"/>
          </w:tcPr>
          <w:p w14:paraId="7880C797" w14:textId="77777777" w:rsidR="00361B84" w:rsidRPr="00BF3CDE" w:rsidRDefault="00361B84" w:rsidP="0090445F">
            <w:pPr>
              <w:pStyle w:val="NoSpacing"/>
              <w:jc w:val="right"/>
              <w:rPr>
                <w:rFonts w:ascii="Tahoma" w:hAnsi="Tahoma" w:cs="Tahoma"/>
                <w:b/>
                <w:noProof/>
                <w:sz w:val="20"/>
                <w:szCs w:val="20"/>
                <w:lang w:val="sr-Cyrl-CS" w:eastAsia="sr-Latn-CS"/>
              </w:rPr>
            </w:pPr>
            <w:r w:rsidRPr="00BF3CDE">
              <w:rPr>
                <w:rFonts w:ascii="Tahoma" w:hAnsi="Tahoma" w:cs="Tahoma"/>
                <w:b/>
                <w:noProof/>
                <w:sz w:val="20"/>
                <w:szCs w:val="20"/>
                <w:lang w:val="sr-Cyrl-CS" w:eastAsia="sr-Latn-CS"/>
              </w:rPr>
              <w:t>(593.676)</w:t>
            </w:r>
          </w:p>
        </w:tc>
      </w:tr>
      <w:tr w:rsidR="00CD2F48" w:rsidRPr="00BF3CDE" w14:paraId="502FD1FE" w14:textId="77777777" w:rsidTr="00D50EE5">
        <w:trPr>
          <w:trHeight w:val="340"/>
          <w:tblCellSpacing w:w="20" w:type="dxa"/>
        </w:trPr>
        <w:tc>
          <w:tcPr>
            <w:tcW w:w="3150" w:type="pct"/>
            <w:gridSpan w:val="2"/>
            <w:shd w:val="clear" w:color="auto" w:fill="auto"/>
            <w:noWrap/>
            <w:vAlign w:val="center"/>
          </w:tcPr>
          <w:p w14:paraId="65F15B08" w14:textId="77777777" w:rsidR="00361B84" w:rsidRPr="00BF3CDE" w:rsidRDefault="00361B84" w:rsidP="0090445F">
            <w:pPr>
              <w:pStyle w:val="NoSpacing"/>
              <w:rPr>
                <w:rFonts w:ascii="Tahoma" w:hAnsi="Tahoma" w:cs="Tahoma"/>
                <w:b/>
                <w:bCs/>
                <w:i/>
                <w:iCs/>
                <w:noProof/>
                <w:sz w:val="20"/>
                <w:szCs w:val="20"/>
                <w:lang w:val="sr-Cyrl-CS" w:eastAsia="sr-Latn-CS"/>
              </w:rPr>
            </w:pPr>
            <w:r w:rsidRPr="00BF3CDE">
              <w:rPr>
                <w:rFonts w:ascii="Tahoma" w:hAnsi="Tahoma" w:cs="Tahoma"/>
                <w:b/>
                <w:bCs/>
                <w:i/>
                <w:iCs/>
                <w:noProof/>
                <w:sz w:val="20"/>
                <w:szCs w:val="20"/>
                <w:lang w:val="sr-Cyrl-CS" w:eastAsia="sr-Latn-CS"/>
              </w:rPr>
              <w:t>Приходи – расходи</w:t>
            </w:r>
          </w:p>
        </w:tc>
        <w:tc>
          <w:tcPr>
            <w:tcW w:w="896" w:type="pct"/>
            <w:gridSpan w:val="2"/>
            <w:shd w:val="clear" w:color="auto" w:fill="auto"/>
            <w:noWrap/>
            <w:vAlign w:val="center"/>
          </w:tcPr>
          <w:p w14:paraId="773E208A" w14:textId="77777777" w:rsidR="00361B84" w:rsidRPr="00BF3CDE" w:rsidRDefault="00361B84" w:rsidP="0090445F">
            <w:pPr>
              <w:pStyle w:val="NoSpacing"/>
              <w:jc w:val="right"/>
              <w:rPr>
                <w:rFonts w:ascii="Tahoma" w:hAnsi="Tahoma" w:cs="Tahoma"/>
                <w:b/>
                <w:i/>
                <w:noProof/>
                <w:sz w:val="20"/>
                <w:szCs w:val="20"/>
                <w:lang w:val="sr-Cyrl-CS" w:eastAsia="sr-Latn-CS"/>
              </w:rPr>
            </w:pPr>
            <w:r w:rsidRPr="00BF3CDE">
              <w:rPr>
                <w:rFonts w:ascii="Tahoma" w:hAnsi="Tahoma" w:cs="Tahoma"/>
                <w:b/>
                <w:i/>
                <w:noProof/>
                <w:sz w:val="20"/>
                <w:szCs w:val="20"/>
                <w:lang w:val="sr-Cyrl-CS" w:eastAsia="sr-Latn-CS"/>
              </w:rPr>
              <w:t>551.294</w:t>
            </w:r>
          </w:p>
        </w:tc>
        <w:tc>
          <w:tcPr>
            <w:tcW w:w="863" w:type="pct"/>
            <w:vAlign w:val="center"/>
          </w:tcPr>
          <w:p w14:paraId="257337C9" w14:textId="77777777" w:rsidR="00361B84" w:rsidRPr="00BF3CDE" w:rsidRDefault="00361B84" w:rsidP="0090445F">
            <w:pPr>
              <w:pStyle w:val="NoSpacing"/>
              <w:jc w:val="right"/>
              <w:rPr>
                <w:rFonts w:ascii="Tahoma" w:hAnsi="Tahoma" w:cs="Tahoma"/>
                <w:b/>
                <w:i/>
                <w:noProof/>
                <w:sz w:val="20"/>
                <w:szCs w:val="20"/>
                <w:lang w:val="sr-Cyrl-CS" w:eastAsia="sr-Latn-CS"/>
              </w:rPr>
            </w:pPr>
            <w:r w:rsidRPr="00BF3CDE">
              <w:rPr>
                <w:rFonts w:ascii="Tahoma" w:hAnsi="Tahoma" w:cs="Tahoma"/>
                <w:b/>
                <w:i/>
                <w:noProof/>
                <w:sz w:val="20"/>
                <w:szCs w:val="20"/>
                <w:lang w:val="sr-Cyrl-CS" w:eastAsia="sr-Latn-CS"/>
              </w:rPr>
              <w:t>1.088.235</w:t>
            </w:r>
          </w:p>
        </w:tc>
      </w:tr>
      <w:tr w:rsidR="00CD2F48" w:rsidRPr="00BF3CDE" w14:paraId="381BA686" w14:textId="77777777" w:rsidTr="00CD2F48">
        <w:trPr>
          <w:trHeight w:val="397"/>
          <w:tblCellSpacing w:w="20" w:type="dxa"/>
        </w:trPr>
        <w:tc>
          <w:tcPr>
            <w:tcW w:w="3013" w:type="pct"/>
            <w:shd w:val="clear" w:color="auto" w:fill="auto"/>
            <w:noWrap/>
            <w:vAlign w:val="center"/>
          </w:tcPr>
          <w:p w14:paraId="5597CB0C" w14:textId="77777777" w:rsidR="00361B84" w:rsidRPr="00BF3CDE" w:rsidRDefault="00361B84" w:rsidP="00361B84">
            <w:pPr>
              <w:pStyle w:val="NoSpacing"/>
              <w:jc w:val="center"/>
              <w:rPr>
                <w:rFonts w:ascii="Tahoma" w:hAnsi="Tahoma" w:cs="Tahoma"/>
                <w:b/>
                <w:noProof/>
                <w:sz w:val="20"/>
                <w:szCs w:val="20"/>
                <w:lang w:val="sr-Cyrl-CS"/>
              </w:rPr>
            </w:pPr>
            <w:bookmarkStart w:id="58" w:name="_Toc254619899"/>
            <w:bookmarkStart w:id="59" w:name="_Toc254691562"/>
            <w:bookmarkStart w:id="60" w:name="_Toc254858780"/>
            <w:r w:rsidRPr="00BF3CDE">
              <w:rPr>
                <w:rFonts w:ascii="Tahoma" w:hAnsi="Tahoma" w:cs="Tahoma"/>
                <w:b/>
                <w:noProof/>
                <w:sz w:val="20"/>
                <w:szCs w:val="20"/>
                <w:lang w:val="sr-Cyrl-CS"/>
              </w:rPr>
              <w:t>АКТИВА</w:t>
            </w:r>
            <w:bookmarkEnd w:id="58"/>
            <w:bookmarkEnd w:id="59"/>
            <w:bookmarkEnd w:id="60"/>
          </w:p>
        </w:tc>
        <w:tc>
          <w:tcPr>
            <w:tcW w:w="980" w:type="pct"/>
            <w:gridSpan w:val="2"/>
            <w:shd w:val="clear" w:color="auto" w:fill="auto"/>
          </w:tcPr>
          <w:p w14:paraId="3B557A07" w14:textId="77777777" w:rsidR="00361B84" w:rsidRPr="00BF3CDE" w:rsidRDefault="00361B84" w:rsidP="00361B84">
            <w:pPr>
              <w:pStyle w:val="NoSpacing"/>
              <w:jc w:val="center"/>
              <w:rPr>
                <w:rFonts w:ascii="Tahoma" w:hAnsi="Tahoma" w:cs="Tahoma"/>
                <w:b/>
                <w:bCs/>
                <w:noProof/>
                <w:sz w:val="20"/>
                <w:lang w:val="sr-Cyrl-CS"/>
              </w:rPr>
            </w:pPr>
            <w:r w:rsidRPr="00BF3CDE">
              <w:rPr>
                <w:rFonts w:ascii="Tahoma" w:hAnsi="Tahoma" w:cs="Tahoma"/>
                <w:b/>
                <w:bCs/>
                <w:noProof/>
                <w:sz w:val="20"/>
                <w:lang w:val="sr-Cyrl-CS"/>
              </w:rPr>
              <w:t>Текућа година</w:t>
            </w:r>
          </w:p>
        </w:tc>
        <w:tc>
          <w:tcPr>
            <w:tcW w:w="915" w:type="pct"/>
            <w:gridSpan w:val="2"/>
          </w:tcPr>
          <w:p w14:paraId="5937433F" w14:textId="77777777" w:rsidR="00361B84" w:rsidRPr="00BF3CDE" w:rsidRDefault="00361B84" w:rsidP="00361B84">
            <w:pPr>
              <w:pStyle w:val="NoSpacing"/>
              <w:ind w:right="49"/>
              <w:jc w:val="center"/>
              <w:rPr>
                <w:rFonts w:ascii="Tahoma" w:hAnsi="Tahoma" w:cs="Tahoma"/>
                <w:b/>
                <w:bCs/>
                <w:noProof/>
                <w:sz w:val="20"/>
                <w:lang w:val="sr-Cyrl-CS"/>
              </w:rPr>
            </w:pPr>
            <w:r w:rsidRPr="00BF3CDE">
              <w:rPr>
                <w:rFonts w:ascii="Tahoma" w:hAnsi="Tahoma" w:cs="Tahoma"/>
                <w:b/>
                <w:bCs/>
                <w:noProof/>
                <w:sz w:val="20"/>
                <w:lang w:val="sr-Cyrl-CS"/>
              </w:rPr>
              <w:t>Претходна година</w:t>
            </w:r>
          </w:p>
        </w:tc>
      </w:tr>
      <w:tr w:rsidR="00CD2F48" w:rsidRPr="00BF3CDE" w14:paraId="396B052A" w14:textId="77777777" w:rsidTr="00CD2F48">
        <w:trPr>
          <w:trHeight w:val="283"/>
          <w:tblCellSpacing w:w="20" w:type="dxa"/>
        </w:trPr>
        <w:tc>
          <w:tcPr>
            <w:tcW w:w="3013" w:type="pct"/>
            <w:shd w:val="clear" w:color="auto" w:fill="auto"/>
            <w:noWrap/>
            <w:vAlign w:val="center"/>
          </w:tcPr>
          <w:p w14:paraId="17D025F8" w14:textId="77777777" w:rsidR="00361B84" w:rsidRPr="00BF3CDE" w:rsidRDefault="00361B84" w:rsidP="00361B84">
            <w:pPr>
              <w:pStyle w:val="NoSpacing"/>
              <w:rPr>
                <w:rFonts w:ascii="Tahoma" w:hAnsi="Tahoma" w:cs="Tahoma"/>
                <w:noProof/>
                <w:sz w:val="20"/>
                <w:szCs w:val="20"/>
                <w:lang w:val="sr-Cyrl-CS"/>
              </w:rPr>
            </w:pPr>
            <w:r w:rsidRPr="00BF3CDE">
              <w:rPr>
                <w:rFonts w:ascii="Tahoma" w:hAnsi="Tahoma" w:cs="Tahoma"/>
                <w:bCs/>
                <w:iCs/>
                <w:noProof/>
                <w:sz w:val="20"/>
                <w:szCs w:val="20"/>
                <w:lang w:val="sr-Cyrl-CS"/>
              </w:rPr>
              <w:t>Учешћа у капиталу</w:t>
            </w:r>
          </w:p>
        </w:tc>
        <w:tc>
          <w:tcPr>
            <w:tcW w:w="980" w:type="pct"/>
            <w:gridSpan w:val="2"/>
            <w:shd w:val="clear" w:color="auto" w:fill="auto"/>
            <w:vAlign w:val="center"/>
          </w:tcPr>
          <w:p w14:paraId="274D52EB" w14:textId="77777777" w:rsidR="00361B84" w:rsidRPr="00BF3CDE" w:rsidRDefault="00361B84" w:rsidP="00361B84">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255.687</w:t>
            </w:r>
          </w:p>
        </w:tc>
        <w:tc>
          <w:tcPr>
            <w:tcW w:w="915" w:type="pct"/>
            <w:gridSpan w:val="2"/>
            <w:vAlign w:val="center"/>
          </w:tcPr>
          <w:p w14:paraId="5C72C135" w14:textId="77777777" w:rsidR="00361B84" w:rsidRPr="00BF3CDE" w:rsidRDefault="00361B84" w:rsidP="00361B84">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254.285</w:t>
            </w:r>
          </w:p>
        </w:tc>
      </w:tr>
      <w:tr w:rsidR="00CD2F48" w:rsidRPr="00BF3CDE" w14:paraId="5EC3DD76" w14:textId="77777777" w:rsidTr="00CD2F48">
        <w:trPr>
          <w:trHeight w:val="283"/>
          <w:tblCellSpacing w:w="20" w:type="dxa"/>
        </w:trPr>
        <w:tc>
          <w:tcPr>
            <w:tcW w:w="3013" w:type="pct"/>
            <w:shd w:val="clear" w:color="auto" w:fill="auto"/>
            <w:noWrap/>
            <w:vAlign w:val="center"/>
          </w:tcPr>
          <w:p w14:paraId="59B20036" w14:textId="77777777" w:rsidR="00361B84" w:rsidRPr="00BF3CDE" w:rsidRDefault="008227CB" w:rsidP="00361B84">
            <w:pPr>
              <w:pStyle w:val="NoSpacing"/>
              <w:rPr>
                <w:rFonts w:ascii="Tahoma" w:hAnsi="Tahoma" w:cs="Tahoma"/>
                <w:noProof/>
                <w:sz w:val="20"/>
                <w:szCs w:val="20"/>
                <w:lang w:val="sr-Cyrl-CS"/>
              </w:rPr>
            </w:pPr>
            <w:r w:rsidRPr="00BF3CDE">
              <w:rPr>
                <w:rFonts w:ascii="Tahoma" w:hAnsi="Tahoma" w:cs="Tahoma"/>
                <w:noProof/>
                <w:sz w:val="20"/>
                <w:szCs w:val="20"/>
                <w:lang w:val="sr-Cyrl-CS"/>
              </w:rPr>
              <w:t>И</w:t>
            </w:r>
            <w:r w:rsidR="00361B84" w:rsidRPr="00BF3CDE">
              <w:rPr>
                <w:rFonts w:ascii="Tahoma" w:hAnsi="Tahoma" w:cs="Tahoma"/>
                <w:noProof/>
                <w:sz w:val="20"/>
                <w:szCs w:val="20"/>
                <w:lang w:val="sr-Cyrl-CS"/>
              </w:rPr>
              <w:t>справка вредности учешћа</w:t>
            </w:r>
            <w:r w:rsidRPr="00BF3CDE">
              <w:rPr>
                <w:rFonts w:ascii="Tahoma" w:hAnsi="Tahoma" w:cs="Tahoma"/>
                <w:noProof/>
                <w:sz w:val="20"/>
                <w:szCs w:val="20"/>
                <w:lang w:val="sr-Cyrl-CS"/>
              </w:rPr>
              <w:t xml:space="preserve"> у капиталу</w:t>
            </w:r>
          </w:p>
        </w:tc>
        <w:tc>
          <w:tcPr>
            <w:tcW w:w="980" w:type="pct"/>
            <w:gridSpan w:val="2"/>
            <w:shd w:val="clear" w:color="auto" w:fill="auto"/>
            <w:vAlign w:val="center"/>
          </w:tcPr>
          <w:p w14:paraId="1CBEFD4C" w14:textId="77777777" w:rsidR="00361B84" w:rsidRPr="00BF3CDE" w:rsidRDefault="00361B84" w:rsidP="00361B84">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(178.333)</w:t>
            </w:r>
          </w:p>
        </w:tc>
        <w:tc>
          <w:tcPr>
            <w:tcW w:w="915" w:type="pct"/>
            <w:gridSpan w:val="2"/>
            <w:vAlign w:val="center"/>
          </w:tcPr>
          <w:p w14:paraId="660812BE" w14:textId="77777777" w:rsidR="00361B84" w:rsidRPr="00BF3CDE" w:rsidRDefault="00361B84" w:rsidP="00361B84">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(1.164)</w:t>
            </w:r>
          </w:p>
        </w:tc>
      </w:tr>
      <w:tr w:rsidR="00CD2F48" w:rsidRPr="00BF3CDE" w14:paraId="433F4513" w14:textId="77777777" w:rsidTr="00CD2F48">
        <w:trPr>
          <w:trHeight w:val="283"/>
          <w:tblCellSpacing w:w="20" w:type="dxa"/>
        </w:trPr>
        <w:tc>
          <w:tcPr>
            <w:tcW w:w="3013" w:type="pct"/>
            <w:shd w:val="clear" w:color="auto" w:fill="auto"/>
            <w:noWrap/>
            <w:vAlign w:val="center"/>
          </w:tcPr>
          <w:p w14:paraId="1B13DAED" w14:textId="77777777" w:rsidR="00361B84" w:rsidRPr="00BF3CDE" w:rsidRDefault="008227CB" w:rsidP="00361B84">
            <w:pPr>
              <w:pStyle w:val="NoSpacing"/>
              <w:rPr>
                <w:rFonts w:ascii="Tahoma" w:hAnsi="Tahoma" w:cs="Tahoma"/>
                <w:iCs/>
                <w:noProof/>
                <w:sz w:val="20"/>
                <w:szCs w:val="20"/>
                <w:lang w:val="sr-Cyrl-CS"/>
              </w:rPr>
            </w:pPr>
            <w:r w:rsidRPr="00BF3CDE">
              <w:rPr>
                <w:rFonts w:ascii="Tahoma" w:hAnsi="Tahoma" w:cs="Tahoma"/>
                <w:iCs/>
                <w:noProof/>
                <w:sz w:val="20"/>
                <w:szCs w:val="20"/>
                <w:lang w:val="sr-Cyrl-CS"/>
              </w:rPr>
              <w:t>П</w:t>
            </w:r>
            <w:r w:rsidR="00361B84" w:rsidRPr="00BF3CDE">
              <w:rPr>
                <w:rFonts w:ascii="Tahoma" w:hAnsi="Tahoma" w:cs="Tahoma"/>
                <w:iCs/>
                <w:noProof/>
                <w:sz w:val="20"/>
                <w:szCs w:val="20"/>
                <w:lang w:val="sr-Cyrl-CS"/>
              </w:rPr>
              <w:t>отраживања по основу премије</w:t>
            </w:r>
          </w:p>
        </w:tc>
        <w:tc>
          <w:tcPr>
            <w:tcW w:w="980" w:type="pct"/>
            <w:gridSpan w:val="2"/>
            <w:shd w:val="clear" w:color="auto" w:fill="auto"/>
            <w:vAlign w:val="center"/>
          </w:tcPr>
          <w:p w14:paraId="63C26E84" w14:textId="77777777" w:rsidR="00361B84" w:rsidRPr="00BF3CDE" w:rsidRDefault="00361B84" w:rsidP="00361B84">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198.220</w:t>
            </w:r>
          </w:p>
        </w:tc>
        <w:tc>
          <w:tcPr>
            <w:tcW w:w="915" w:type="pct"/>
            <w:gridSpan w:val="2"/>
            <w:vAlign w:val="center"/>
          </w:tcPr>
          <w:p w14:paraId="3516B58A" w14:textId="77777777" w:rsidR="00361B84" w:rsidRPr="00BF3CDE" w:rsidRDefault="00361B84" w:rsidP="00361B84">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548.853</w:t>
            </w:r>
          </w:p>
        </w:tc>
      </w:tr>
      <w:tr w:rsidR="00CD2F48" w:rsidRPr="00BF3CDE" w14:paraId="185231AB" w14:textId="77777777" w:rsidTr="00CD2F48">
        <w:trPr>
          <w:trHeight w:val="283"/>
          <w:tblCellSpacing w:w="20" w:type="dxa"/>
        </w:trPr>
        <w:tc>
          <w:tcPr>
            <w:tcW w:w="3013" w:type="pct"/>
            <w:shd w:val="clear" w:color="auto" w:fill="auto"/>
            <w:noWrap/>
            <w:vAlign w:val="center"/>
          </w:tcPr>
          <w:p w14:paraId="6D49D0DA" w14:textId="77777777" w:rsidR="00361B84" w:rsidRPr="00BF3CDE" w:rsidRDefault="008227CB" w:rsidP="00361B84">
            <w:pPr>
              <w:pStyle w:val="NoSpacing"/>
              <w:rPr>
                <w:rFonts w:ascii="Tahoma" w:hAnsi="Tahoma" w:cs="Tahoma"/>
                <w:iCs/>
                <w:noProof/>
                <w:sz w:val="20"/>
                <w:szCs w:val="20"/>
                <w:lang w:val="sr-Cyrl-CS"/>
              </w:rPr>
            </w:pPr>
            <w:r w:rsidRPr="00BF3CDE">
              <w:rPr>
                <w:rFonts w:ascii="Tahoma" w:hAnsi="Tahoma" w:cs="Tahoma"/>
                <w:iCs/>
                <w:noProof/>
                <w:sz w:val="20"/>
                <w:szCs w:val="20"/>
                <w:lang w:val="sr-Cyrl-CS"/>
              </w:rPr>
              <w:t>П</w:t>
            </w:r>
            <w:r w:rsidR="00361B84" w:rsidRPr="00BF3CDE">
              <w:rPr>
                <w:rFonts w:ascii="Tahoma" w:hAnsi="Tahoma" w:cs="Tahoma"/>
                <w:iCs/>
                <w:noProof/>
                <w:sz w:val="20"/>
                <w:szCs w:val="20"/>
                <w:lang w:val="sr-Cyrl-CS"/>
              </w:rPr>
              <w:t>отраживање по основу провизије</w:t>
            </w:r>
          </w:p>
        </w:tc>
        <w:tc>
          <w:tcPr>
            <w:tcW w:w="980" w:type="pct"/>
            <w:gridSpan w:val="2"/>
            <w:shd w:val="clear" w:color="auto" w:fill="auto"/>
            <w:vAlign w:val="center"/>
          </w:tcPr>
          <w:p w14:paraId="43DE2B10" w14:textId="77777777" w:rsidR="00361B84" w:rsidRPr="00BF3CDE" w:rsidRDefault="00361B84" w:rsidP="00361B84">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637</w:t>
            </w:r>
          </w:p>
        </w:tc>
        <w:tc>
          <w:tcPr>
            <w:tcW w:w="915" w:type="pct"/>
            <w:gridSpan w:val="2"/>
            <w:vAlign w:val="center"/>
          </w:tcPr>
          <w:p w14:paraId="3D26E5FF" w14:textId="77777777" w:rsidR="00361B84" w:rsidRPr="00BF3CDE" w:rsidRDefault="00361B84" w:rsidP="00361B84">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4.059</w:t>
            </w:r>
          </w:p>
        </w:tc>
      </w:tr>
      <w:tr w:rsidR="00CD2F48" w:rsidRPr="00BF3CDE" w14:paraId="79825670" w14:textId="77777777" w:rsidTr="00CD2F48">
        <w:trPr>
          <w:trHeight w:val="283"/>
          <w:tblCellSpacing w:w="20" w:type="dxa"/>
        </w:trPr>
        <w:tc>
          <w:tcPr>
            <w:tcW w:w="3013" w:type="pct"/>
            <w:shd w:val="clear" w:color="auto" w:fill="auto"/>
            <w:noWrap/>
            <w:vAlign w:val="center"/>
          </w:tcPr>
          <w:p w14:paraId="24483248" w14:textId="77777777" w:rsidR="00361B84" w:rsidRPr="00BF3CDE" w:rsidRDefault="008227CB" w:rsidP="00361B84">
            <w:pPr>
              <w:pStyle w:val="NoSpacing"/>
              <w:rPr>
                <w:rFonts w:ascii="Tahoma" w:hAnsi="Tahoma" w:cs="Tahoma"/>
                <w:iCs/>
                <w:noProof/>
                <w:sz w:val="20"/>
                <w:szCs w:val="20"/>
                <w:lang w:val="sr-Cyrl-CS"/>
              </w:rPr>
            </w:pPr>
            <w:r w:rsidRPr="00BF3CDE">
              <w:rPr>
                <w:rFonts w:ascii="Tahoma" w:hAnsi="Tahoma" w:cs="Tahoma"/>
                <w:iCs/>
                <w:noProof/>
                <w:sz w:val="20"/>
                <w:szCs w:val="20"/>
                <w:lang w:val="sr-Cyrl-CS"/>
              </w:rPr>
              <w:t>П</w:t>
            </w:r>
            <w:r w:rsidR="00361B84" w:rsidRPr="00BF3CDE">
              <w:rPr>
                <w:rFonts w:ascii="Tahoma" w:hAnsi="Tahoma" w:cs="Tahoma"/>
                <w:iCs/>
                <w:noProof/>
                <w:sz w:val="20"/>
                <w:szCs w:val="20"/>
                <w:lang w:val="sr-Cyrl-CS"/>
              </w:rPr>
              <w:t>отраживање по основу регресних захтева</w:t>
            </w:r>
          </w:p>
        </w:tc>
        <w:tc>
          <w:tcPr>
            <w:tcW w:w="980" w:type="pct"/>
            <w:gridSpan w:val="2"/>
            <w:shd w:val="clear" w:color="auto" w:fill="auto"/>
            <w:vAlign w:val="center"/>
          </w:tcPr>
          <w:p w14:paraId="00BDC0BD" w14:textId="77777777" w:rsidR="00361B84" w:rsidRPr="00BF3CDE" w:rsidRDefault="00361B84" w:rsidP="00361B84">
            <w:pPr>
              <w:pStyle w:val="NoSpacing"/>
              <w:jc w:val="right"/>
              <w:rPr>
                <w:rFonts w:ascii="Tahoma" w:eastAsia="Arial Unicode MS" w:hAnsi="Tahoma" w:cs="Tahoma"/>
                <w:noProof/>
                <w:sz w:val="20"/>
                <w:szCs w:val="20"/>
                <w:lang w:val="sr-Cyrl-CS"/>
              </w:rPr>
            </w:pPr>
          </w:p>
        </w:tc>
        <w:tc>
          <w:tcPr>
            <w:tcW w:w="915" w:type="pct"/>
            <w:gridSpan w:val="2"/>
            <w:vAlign w:val="center"/>
          </w:tcPr>
          <w:p w14:paraId="0A97B834" w14:textId="77777777" w:rsidR="00361B84" w:rsidRPr="00BF3CDE" w:rsidRDefault="00361B84" w:rsidP="00361B84">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2.648</w:t>
            </w:r>
          </w:p>
        </w:tc>
      </w:tr>
      <w:tr w:rsidR="00CD2F48" w:rsidRPr="00BF3CDE" w14:paraId="758930C4" w14:textId="77777777" w:rsidTr="00CD2F48">
        <w:trPr>
          <w:trHeight w:val="283"/>
          <w:tblCellSpacing w:w="20" w:type="dxa"/>
        </w:trPr>
        <w:tc>
          <w:tcPr>
            <w:tcW w:w="3013" w:type="pct"/>
            <w:shd w:val="clear" w:color="auto" w:fill="auto"/>
            <w:noWrap/>
            <w:vAlign w:val="center"/>
          </w:tcPr>
          <w:p w14:paraId="183B1132" w14:textId="77777777" w:rsidR="00361B84" w:rsidRPr="00BF3CDE" w:rsidRDefault="008227CB" w:rsidP="00361B84">
            <w:pPr>
              <w:pStyle w:val="NoSpacing"/>
              <w:rPr>
                <w:rFonts w:ascii="Tahoma" w:hAnsi="Tahoma" w:cs="Tahoma"/>
                <w:iCs/>
                <w:noProof/>
                <w:sz w:val="20"/>
                <w:szCs w:val="20"/>
                <w:lang w:val="sr-Cyrl-CS"/>
              </w:rPr>
            </w:pPr>
            <w:r w:rsidRPr="00BF3CDE">
              <w:rPr>
                <w:rFonts w:ascii="Tahoma" w:hAnsi="Tahoma" w:cs="Tahoma"/>
                <w:iCs/>
                <w:noProof/>
                <w:sz w:val="20"/>
                <w:szCs w:val="20"/>
                <w:lang w:val="sr-Cyrl-CS"/>
              </w:rPr>
              <w:t>О</w:t>
            </w:r>
            <w:r w:rsidR="00361B84" w:rsidRPr="00BF3CDE">
              <w:rPr>
                <w:rFonts w:ascii="Tahoma" w:hAnsi="Tahoma" w:cs="Tahoma"/>
                <w:iCs/>
                <w:noProof/>
                <w:sz w:val="20"/>
                <w:szCs w:val="20"/>
                <w:lang w:val="sr-Cyrl-CS"/>
              </w:rPr>
              <w:t>стала потраживања</w:t>
            </w:r>
          </w:p>
        </w:tc>
        <w:tc>
          <w:tcPr>
            <w:tcW w:w="980" w:type="pct"/>
            <w:gridSpan w:val="2"/>
            <w:shd w:val="clear" w:color="auto" w:fill="auto"/>
            <w:vAlign w:val="center"/>
          </w:tcPr>
          <w:p w14:paraId="2D0F68D5" w14:textId="77777777" w:rsidR="00361B84" w:rsidRPr="00BF3CDE" w:rsidRDefault="00361B84" w:rsidP="00361B84">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23</w:t>
            </w:r>
          </w:p>
        </w:tc>
        <w:tc>
          <w:tcPr>
            <w:tcW w:w="915" w:type="pct"/>
            <w:gridSpan w:val="2"/>
            <w:vAlign w:val="center"/>
          </w:tcPr>
          <w:p w14:paraId="433579A9" w14:textId="77777777" w:rsidR="00361B84" w:rsidRPr="00BF3CDE" w:rsidRDefault="00361B84" w:rsidP="00361B84">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23</w:t>
            </w:r>
          </w:p>
        </w:tc>
      </w:tr>
      <w:tr w:rsidR="00CD2F48" w:rsidRPr="00BF3CDE" w14:paraId="4D729B44" w14:textId="77777777" w:rsidTr="00CD2F48">
        <w:trPr>
          <w:trHeight w:val="283"/>
          <w:tblCellSpacing w:w="20" w:type="dxa"/>
        </w:trPr>
        <w:tc>
          <w:tcPr>
            <w:tcW w:w="3013" w:type="pct"/>
            <w:shd w:val="clear" w:color="auto" w:fill="auto"/>
            <w:noWrap/>
            <w:vAlign w:val="center"/>
          </w:tcPr>
          <w:p w14:paraId="2B20D062" w14:textId="77777777" w:rsidR="00361B84" w:rsidRPr="00BF3CDE" w:rsidRDefault="008227CB" w:rsidP="00361B84">
            <w:pPr>
              <w:pStyle w:val="NoSpacing"/>
              <w:rPr>
                <w:rFonts w:ascii="Tahoma" w:hAnsi="Tahoma" w:cs="Tahoma"/>
                <w:iCs/>
                <w:noProof/>
                <w:sz w:val="20"/>
                <w:szCs w:val="20"/>
                <w:lang w:val="sr-Cyrl-CS"/>
              </w:rPr>
            </w:pPr>
            <w:r w:rsidRPr="00BF3CDE">
              <w:rPr>
                <w:rFonts w:ascii="Tahoma" w:hAnsi="Tahoma" w:cs="Tahoma"/>
                <w:iCs/>
                <w:noProof/>
                <w:sz w:val="20"/>
                <w:szCs w:val="20"/>
                <w:lang w:val="sr-Cyrl-CS"/>
              </w:rPr>
              <w:t>И</w:t>
            </w:r>
            <w:r w:rsidR="00361B84" w:rsidRPr="00BF3CDE">
              <w:rPr>
                <w:rFonts w:ascii="Tahoma" w:hAnsi="Tahoma" w:cs="Tahoma"/>
                <w:iCs/>
                <w:noProof/>
                <w:sz w:val="20"/>
                <w:szCs w:val="20"/>
                <w:lang w:val="sr-Cyrl-CS"/>
              </w:rPr>
              <w:t>справка вредности</w:t>
            </w:r>
            <w:r w:rsidRPr="00BF3CDE">
              <w:rPr>
                <w:rFonts w:ascii="Tahoma" w:hAnsi="Tahoma" w:cs="Tahoma"/>
                <w:iCs/>
                <w:noProof/>
                <w:sz w:val="20"/>
                <w:szCs w:val="20"/>
                <w:lang w:val="sr-Cyrl-CS"/>
              </w:rPr>
              <w:t xml:space="preserve"> укупних потраживања</w:t>
            </w:r>
          </w:p>
        </w:tc>
        <w:tc>
          <w:tcPr>
            <w:tcW w:w="980" w:type="pct"/>
            <w:gridSpan w:val="2"/>
            <w:shd w:val="clear" w:color="auto" w:fill="auto"/>
            <w:vAlign w:val="center"/>
          </w:tcPr>
          <w:p w14:paraId="24E6F8C6" w14:textId="77777777" w:rsidR="00361B84" w:rsidRPr="00BF3CDE" w:rsidRDefault="00361B84" w:rsidP="00361B84">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(357)</w:t>
            </w:r>
          </w:p>
        </w:tc>
        <w:tc>
          <w:tcPr>
            <w:tcW w:w="915" w:type="pct"/>
            <w:gridSpan w:val="2"/>
            <w:vAlign w:val="center"/>
          </w:tcPr>
          <w:p w14:paraId="4BE28E1C" w14:textId="77777777" w:rsidR="00361B84" w:rsidRPr="00BF3CDE" w:rsidRDefault="00361B84" w:rsidP="00361B84">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(43.730)</w:t>
            </w:r>
          </w:p>
        </w:tc>
      </w:tr>
      <w:tr w:rsidR="00CD2F48" w:rsidRPr="00BF3CDE" w14:paraId="2F6E1117" w14:textId="77777777" w:rsidTr="00CD2F48">
        <w:trPr>
          <w:trHeight w:val="283"/>
          <w:tblCellSpacing w:w="20" w:type="dxa"/>
        </w:trPr>
        <w:tc>
          <w:tcPr>
            <w:tcW w:w="3013" w:type="pct"/>
            <w:shd w:val="clear" w:color="auto" w:fill="auto"/>
            <w:noWrap/>
            <w:vAlign w:val="center"/>
          </w:tcPr>
          <w:p w14:paraId="40BB6A67" w14:textId="77777777" w:rsidR="00361B84" w:rsidRPr="00BF3CDE" w:rsidRDefault="00361B84" w:rsidP="008227CB">
            <w:pPr>
              <w:pStyle w:val="NoSpacing"/>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Унапред плаћени трошкови</w:t>
            </w:r>
          </w:p>
        </w:tc>
        <w:tc>
          <w:tcPr>
            <w:tcW w:w="980" w:type="pct"/>
            <w:gridSpan w:val="2"/>
            <w:shd w:val="clear" w:color="auto" w:fill="auto"/>
            <w:vAlign w:val="center"/>
          </w:tcPr>
          <w:p w14:paraId="70EDBE11" w14:textId="77777777" w:rsidR="00361B84" w:rsidRPr="00BF3CDE" w:rsidRDefault="00361B84" w:rsidP="00361B84">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68</w:t>
            </w:r>
          </w:p>
        </w:tc>
        <w:tc>
          <w:tcPr>
            <w:tcW w:w="915" w:type="pct"/>
            <w:gridSpan w:val="2"/>
            <w:vAlign w:val="center"/>
          </w:tcPr>
          <w:p w14:paraId="6BA18B68" w14:textId="77777777" w:rsidR="00361B84" w:rsidRPr="00BF3CDE" w:rsidRDefault="00361B84" w:rsidP="00361B84">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35</w:t>
            </w:r>
          </w:p>
        </w:tc>
      </w:tr>
      <w:tr w:rsidR="00CD2F48" w:rsidRPr="00BF3CDE" w14:paraId="0BC56573" w14:textId="77777777" w:rsidTr="00CD2F48">
        <w:trPr>
          <w:trHeight w:val="283"/>
          <w:tblCellSpacing w:w="20" w:type="dxa"/>
        </w:trPr>
        <w:tc>
          <w:tcPr>
            <w:tcW w:w="3013" w:type="pct"/>
            <w:shd w:val="clear" w:color="auto" w:fill="auto"/>
            <w:noWrap/>
            <w:vAlign w:val="center"/>
          </w:tcPr>
          <w:p w14:paraId="2C926005" w14:textId="77777777" w:rsidR="00361B84" w:rsidRPr="00BF3CDE" w:rsidRDefault="008227CB" w:rsidP="00361B84">
            <w:pPr>
              <w:pStyle w:val="NoSpacing"/>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П</w:t>
            </w:r>
            <w:r w:rsidR="00361B84" w:rsidRPr="00BF3CDE">
              <w:rPr>
                <w:rFonts w:ascii="Tahoma" w:eastAsia="Arial Unicode MS" w:hAnsi="Tahoma" w:cs="Tahoma"/>
                <w:noProof/>
                <w:sz w:val="20"/>
                <w:szCs w:val="20"/>
                <w:lang w:val="sr-Cyrl-CS"/>
              </w:rPr>
              <w:t>отраживање за нефактурисани приход</w:t>
            </w:r>
          </w:p>
        </w:tc>
        <w:tc>
          <w:tcPr>
            <w:tcW w:w="980" w:type="pct"/>
            <w:gridSpan w:val="2"/>
            <w:shd w:val="clear" w:color="auto" w:fill="auto"/>
            <w:vAlign w:val="center"/>
          </w:tcPr>
          <w:p w14:paraId="067A704B" w14:textId="77777777" w:rsidR="00361B84" w:rsidRPr="00BF3CDE" w:rsidRDefault="00361B84" w:rsidP="00361B84">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2.320</w:t>
            </w:r>
          </w:p>
        </w:tc>
        <w:tc>
          <w:tcPr>
            <w:tcW w:w="915" w:type="pct"/>
            <w:gridSpan w:val="2"/>
            <w:vAlign w:val="center"/>
          </w:tcPr>
          <w:p w14:paraId="2232A3DF" w14:textId="77777777" w:rsidR="00361B84" w:rsidRPr="00BF3CDE" w:rsidRDefault="00361B84" w:rsidP="00361B84">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3.043</w:t>
            </w:r>
          </w:p>
        </w:tc>
      </w:tr>
      <w:tr w:rsidR="00CD2F48" w:rsidRPr="00BF3CDE" w14:paraId="4BC79658" w14:textId="77777777" w:rsidTr="00CD2F48">
        <w:trPr>
          <w:trHeight w:val="283"/>
          <w:tblCellSpacing w:w="20" w:type="dxa"/>
        </w:trPr>
        <w:tc>
          <w:tcPr>
            <w:tcW w:w="3013" w:type="pct"/>
            <w:shd w:val="clear" w:color="auto" w:fill="auto"/>
            <w:noWrap/>
            <w:vAlign w:val="center"/>
          </w:tcPr>
          <w:p w14:paraId="2ED1B289" w14:textId="77777777" w:rsidR="00361B84" w:rsidRPr="00BF3CDE" w:rsidRDefault="00361B84" w:rsidP="00361B84">
            <w:pPr>
              <w:pStyle w:val="NoSpacing"/>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Готовина и готовински еквиваленти</w:t>
            </w:r>
          </w:p>
        </w:tc>
        <w:tc>
          <w:tcPr>
            <w:tcW w:w="980" w:type="pct"/>
            <w:gridSpan w:val="2"/>
            <w:shd w:val="clear" w:color="auto" w:fill="auto"/>
            <w:vAlign w:val="center"/>
          </w:tcPr>
          <w:p w14:paraId="3DBB0FBB" w14:textId="77777777" w:rsidR="00361B84" w:rsidRPr="00BF3CDE" w:rsidRDefault="00361B84" w:rsidP="00361B84">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18.111</w:t>
            </w:r>
          </w:p>
        </w:tc>
        <w:tc>
          <w:tcPr>
            <w:tcW w:w="915" w:type="pct"/>
            <w:gridSpan w:val="2"/>
            <w:vAlign w:val="center"/>
          </w:tcPr>
          <w:p w14:paraId="4C574A3B" w14:textId="77777777" w:rsidR="00361B84" w:rsidRPr="00BF3CDE" w:rsidRDefault="00361B84" w:rsidP="00361B84">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23.641</w:t>
            </w:r>
          </w:p>
        </w:tc>
      </w:tr>
      <w:tr w:rsidR="00CD2F48" w:rsidRPr="00BF3CDE" w14:paraId="760732F9" w14:textId="77777777" w:rsidTr="00CD2F48">
        <w:trPr>
          <w:trHeight w:val="283"/>
          <w:tblCellSpacing w:w="20" w:type="dxa"/>
        </w:trPr>
        <w:tc>
          <w:tcPr>
            <w:tcW w:w="3013" w:type="pct"/>
            <w:shd w:val="clear" w:color="auto" w:fill="auto"/>
            <w:noWrap/>
            <w:vAlign w:val="center"/>
          </w:tcPr>
          <w:p w14:paraId="42DF90CD" w14:textId="77777777" w:rsidR="00361B84" w:rsidRPr="00BF3CDE" w:rsidRDefault="00361B84" w:rsidP="00361B84">
            <w:pPr>
              <w:pStyle w:val="NoSpacing"/>
              <w:rPr>
                <w:rFonts w:ascii="Tahoma" w:eastAsia="Arial Unicode MS" w:hAnsi="Tahoma" w:cs="Tahoma"/>
                <w:b/>
                <w:bCs/>
                <w:i/>
                <w:noProof/>
                <w:sz w:val="20"/>
                <w:szCs w:val="20"/>
                <w:lang w:val="sr-Cyrl-CS"/>
              </w:rPr>
            </w:pPr>
            <w:r w:rsidRPr="00BF3CDE">
              <w:rPr>
                <w:rFonts w:ascii="Tahoma" w:eastAsia="Arial Unicode MS" w:hAnsi="Tahoma" w:cs="Tahoma"/>
                <w:b/>
                <w:bCs/>
                <w:i/>
                <w:noProof/>
                <w:sz w:val="20"/>
                <w:szCs w:val="20"/>
                <w:lang w:val="sr-Cyrl-CS"/>
              </w:rPr>
              <w:t>Укупна актива</w:t>
            </w:r>
          </w:p>
        </w:tc>
        <w:tc>
          <w:tcPr>
            <w:tcW w:w="980" w:type="pct"/>
            <w:gridSpan w:val="2"/>
            <w:shd w:val="clear" w:color="auto" w:fill="auto"/>
            <w:vAlign w:val="center"/>
          </w:tcPr>
          <w:p w14:paraId="15C2D25B" w14:textId="77777777" w:rsidR="00361B84" w:rsidRPr="00BF3CDE" w:rsidRDefault="00361B84" w:rsidP="00361B84">
            <w:pPr>
              <w:pStyle w:val="NoSpacing"/>
              <w:jc w:val="right"/>
              <w:rPr>
                <w:rFonts w:ascii="Tahoma" w:eastAsia="Arial Unicode MS" w:hAnsi="Tahoma" w:cs="Tahoma"/>
                <w:b/>
                <w:i/>
                <w:noProof/>
                <w:sz w:val="20"/>
                <w:szCs w:val="20"/>
                <w:lang w:val="sr-Cyrl-CS"/>
              </w:rPr>
            </w:pPr>
            <w:r w:rsidRPr="00BF3CDE">
              <w:rPr>
                <w:rFonts w:ascii="Tahoma" w:eastAsia="Arial Unicode MS" w:hAnsi="Tahoma" w:cs="Tahoma"/>
                <w:b/>
                <w:i/>
                <w:noProof/>
                <w:sz w:val="20"/>
                <w:szCs w:val="20"/>
                <w:lang w:val="sr-Cyrl-CS"/>
              </w:rPr>
              <w:t>296.376</w:t>
            </w:r>
          </w:p>
        </w:tc>
        <w:tc>
          <w:tcPr>
            <w:tcW w:w="915" w:type="pct"/>
            <w:gridSpan w:val="2"/>
            <w:vAlign w:val="center"/>
          </w:tcPr>
          <w:p w14:paraId="6E0CA447" w14:textId="77777777" w:rsidR="00361B84" w:rsidRPr="00BF3CDE" w:rsidRDefault="00361B84" w:rsidP="00361B84">
            <w:pPr>
              <w:pStyle w:val="NoSpacing"/>
              <w:jc w:val="right"/>
              <w:rPr>
                <w:rFonts w:ascii="Tahoma" w:eastAsia="Arial Unicode MS" w:hAnsi="Tahoma" w:cs="Tahoma"/>
                <w:b/>
                <w:i/>
                <w:noProof/>
                <w:sz w:val="20"/>
                <w:szCs w:val="20"/>
                <w:lang w:val="sr-Cyrl-CS"/>
              </w:rPr>
            </w:pPr>
            <w:r w:rsidRPr="00BF3CDE">
              <w:rPr>
                <w:rFonts w:ascii="Tahoma" w:eastAsia="Arial Unicode MS" w:hAnsi="Tahoma" w:cs="Tahoma"/>
                <w:b/>
                <w:i/>
                <w:noProof/>
                <w:sz w:val="20"/>
                <w:szCs w:val="20"/>
                <w:lang w:val="sr-Cyrl-CS"/>
              </w:rPr>
              <w:t>792.857</w:t>
            </w:r>
          </w:p>
        </w:tc>
      </w:tr>
      <w:tr w:rsidR="008227CB" w:rsidRPr="00BF3CDE" w14:paraId="7D4EAB0C" w14:textId="77777777" w:rsidTr="00CD2F48">
        <w:trPr>
          <w:trHeight w:val="283"/>
          <w:tblCellSpacing w:w="20" w:type="dxa"/>
        </w:trPr>
        <w:tc>
          <w:tcPr>
            <w:tcW w:w="3013" w:type="pct"/>
            <w:shd w:val="clear" w:color="auto" w:fill="auto"/>
            <w:noWrap/>
            <w:vAlign w:val="center"/>
          </w:tcPr>
          <w:p w14:paraId="0D3B6BFA" w14:textId="77777777" w:rsidR="008227CB" w:rsidRPr="00BF3CDE" w:rsidRDefault="008227CB" w:rsidP="008227CB">
            <w:pPr>
              <w:pStyle w:val="NoSpacing"/>
              <w:jc w:val="center"/>
              <w:rPr>
                <w:rFonts w:ascii="Tahoma" w:hAnsi="Tahoma" w:cs="Tahoma"/>
                <w:b/>
                <w:noProof/>
                <w:sz w:val="20"/>
                <w:szCs w:val="20"/>
                <w:lang w:val="sr-Cyrl-CS"/>
              </w:rPr>
            </w:pPr>
            <w:r w:rsidRPr="00BF3CDE">
              <w:rPr>
                <w:rFonts w:ascii="Tahoma" w:hAnsi="Tahoma" w:cs="Tahoma"/>
                <w:b/>
                <w:noProof/>
                <w:sz w:val="20"/>
                <w:szCs w:val="20"/>
                <w:lang w:val="sr-Cyrl-CS"/>
              </w:rPr>
              <w:t>ПАСИВА</w:t>
            </w:r>
          </w:p>
        </w:tc>
        <w:tc>
          <w:tcPr>
            <w:tcW w:w="980" w:type="pct"/>
            <w:gridSpan w:val="2"/>
            <w:shd w:val="clear" w:color="auto" w:fill="auto"/>
            <w:vAlign w:val="center"/>
          </w:tcPr>
          <w:p w14:paraId="3BAA107D" w14:textId="77777777" w:rsidR="008227CB" w:rsidRPr="00BF3CDE" w:rsidRDefault="008227CB" w:rsidP="008227CB">
            <w:pPr>
              <w:pStyle w:val="NoSpacing"/>
              <w:jc w:val="center"/>
              <w:rPr>
                <w:rFonts w:ascii="Tahoma" w:hAnsi="Tahoma" w:cs="Tahoma"/>
                <w:b/>
                <w:noProof/>
                <w:sz w:val="20"/>
                <w:szCs w:val="20"/>
                <w:lang w:val="sr-Cyrl-CS"/>
              </w:rPr>
            </w:pPr>
            <w:r w:rsidRPr="00BF3CDE">
              <w:rPr>
                <w:rFonts w:ascii="Tahoma" w:hAnsi="Tahoma" w:cs="Tahoma"/>
                <w:b/>
                <w:noProof/>
                <w:sz w:val="20"/>
                <w:szCs w:val="20"/>
                <w:lang w:val="sr-Cyrl-CS"/>
              </w:rPr>
              <w:t>Текућа година</w:t>
            </w:r>
          </w:p>
        </w:tc>
        <w:tc>
          <w:tcPr>
            <w:tcW w:w="915" w:type="pct"/>
            <w:gridSpan w:val="2"/>
            <w:vAlign w:val="center"/>
          </w:tcPr>
          <w:p w14:paraId="06476DDF" w14:textId="77777777" w:rsidR="008227CB" w:rsidRPr="00BF3CDE" w:rsidRDefault="008227CB" w:rsidP="008227CB">
            <w:pPr>
              <w:pStyle w:val="NoSpacing"/>
              <w:jc w:val="center"/>
              <w:rPr>
                <w:rFonts w:ascii="Tahoma" w:hAnsi="Tahoma" w:cs="Tahoma"/>
                <w:b/>
                <w:noProof/>
                <w:sz w:val="20"/>
                <w:szCs w:val="20"/>
                <w:lang w:val="sr-Cyrl-CS"/>
              </w:rPr>
            </w:pPr>
            <w:r w:rsidRPr="00BF3CDE">
              <w:rPr>
                <w:rFonts w:ascii="Tahoma" w:hAnsi="Tahoma" w:cs="Tahoma"/>
                <w:b/>
                <w:noProof/>
                <w:sz w:val="20"/>
                <w:szCs w:val="20"/>
                <w:lang w:val="sr-Cyrl-CS"/>
              </w:rPr>
              <w:t>Претходна година</w:t>
            </w:r>
          </w:p>
        </w:tc>
      </w:tr>
      <w:tr w:rsidR="008227CB" w:rsidRPr="00BF3CDE" w14:paraId="333FBF7F" w14:textId="77777777" w:rsidTr="00CD2F48">
        <w:trPr>
          <w:trHeight w:val="283"/>
          <w:tblCellSpacing w:w="20" w:type="dxa"/>
        </w:trPr>
        <w:tc>
          <w:tcPr>
            <w:tcW w:w="3013" w:type="pct"/>
            <w:shd w:val="clear" w:color="auto" w:fill="auto"/>
            <w:noWrap/>
            <w:vAlign w:val="center"/>
          </w:tcPr>
          <w:p w14:paraId="4E04DD8D" w14:textId="77777777" w:rsidR="008227CB" w:rsidRPr="00BF3CDE" w:rsidRDefault="008227CB" w:rsidP="008227CB">
            <w:pPr>
              <w:pStyle w:val="NoSpacing"/>
              <w:rPr>
                <w:rFonts w:ascii="Tahoma" w:hAnsi="Tahoma" w:cs="Tahoma"/>
                <w:noProof/>
                <w:sz w:val="20"/>
                <w:szCs w:val="20"/>
                <w:lang w:val="sr-Cyrl-CS"/>
              </w:rPr>
            </w:pPr>
            <w:r w:rsidRPr="00BF3CDE">
              <w:rPr>
                <w:rFonts w:ascii="Tahoma" w:hAnsi="Tahoma" w:cs="Tahoma"/>
                <w:noProof/>
                <w:sz w:val="20"/>
                <w:szCs w:val="20"/>
                <w:lang w:val="sr-Cyrl-CS"/>
              </w:rPr>
              <w:t>Акцијски капитал</w:t>
            </w:r>
          </w:p>
        </w:tc>
        <w:tc>
          <w:tcPr>
            <w:tcW w:w="980" w:type="pct"/>
            <w:gridSpan w:val="2"/>
            <w:shd w:val="clear" w:color="auto" w:fill="auto"/>
            <w:vAlign w:val="center"/>
          </w:tcPr>
          <w:p w14:paraId="2BB43D2B" w14:textId="77777777" w:rsidR="008227CB" w:rsidRPr="00BF3CDE" w:rsidRDefault="008227CB" w:rsidP="008227CB">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676.134</w:t>
            </w:r>
          </w:p>
        </w:tc>
        <w:tc>
          <w:tcPr>
            <w:tcW w:w="915" w:type="pct"/>
            <w:gridSpan w:val="2"/>
            <w:vAlign w:val="center"/>
          </w:tcPr>
          <w:p w14:paraId="3C9B7762" w14:textId="77777777" w:rsidR="008227CB" w:rsidRPr="00BF3CDE" w:rsidRDefault="008227CB" w:rsidP="008227CB">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676.134</w:t>
            </w:r>
          </w:p>
        </w:tc>
      </w:tr>
      <w:tr w:rsidR="008227CB" w:rsidRPr="00BF3CDE" w14:paraId="48959FBF" w14:textId="77777777" w:rsidTr="00CD2F48">
        <w:trPr>
          <w:trHeight w:val="283"/>
          <w:tblCellSpacing w:w="20" w:type="dxa"/>
        </w:trPr>
        <w:tc>
          <w:tcPr>
            <w:tcW w:w="3013" w:type="pct"/>
            <w:shd w:val="clear" w:color="auto" w:fill="auto"/>
            <w:noWrap/>
            <w:vAlign w:val="center"/>
          </w:tcPr>
          <w:p w14:paraId="2FA23D42" w14:textId="77777777" w:rsidR="008227CB" w:rsidRPr="00BF3CDE" w:rsidRDefault="008227CB" w:rsidP="008227CB">
            <w:pPr>
              <w:pStyle w:val="NoSpacing"/>
              <w:rPr>
                <w:rFonts w:ascii="Tahoma" w:hAnsi="Tahoma" w:cs="Tahoma"/>
                <w:noProof/>
                <w:sz w:val="20"/>
                <w:szCs w:val="20"/>
                <w:lang w:val="sr-Cyrl-CS"/>
              </w:rPr>
            </w:pPr>
            <w:r w:rsidRPr="00BF3CDE">
              <w:rPr>
                <w:rFonts w:ascii="Tahoma" w:hAnsi="Tahoma" w:cs="Tahoma"/>
                <w:noProof/>
                <w:sz w:val="20"/>
                <w:szCs w:val="20"/>
                <w:lang w:val="sr-Cyrl-CS"/>
              </w:rPr>
              <w:t>Емисиона премија</w:t>
            </w:r>
          </w:p>
        </w:tc>
        <w:tc>
          <w:tcPr>
            <w:tcW w:w="980" w:type="pct"/>
            <w:gridSpan w:val="2"/>
            <w:shd w:val="clear" w:color="auto" w:fill="auto"/>
            <w:vAlign w:val="center"/>
          </w:tcPr>
          <w:p w14:paraId="7E14E9CF" w14:textId="77777777" w:rsidR="008227CB" w:rsidRPr="00BF3CDE" w:rsidRDefault="008227CB" w:rsidP="008227CB">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57.996</w:t>
            </w:r>
          </w:p>
        </w:tc>
        <w:tc>
          <w:tcPr>
            <w:tcW w:w="915" w:type="pct"/>
            <w:gridSpan w:val="2"/>
            <w:vAlign w:val="center"/>
          </w:tcPr>
          <w:p w14:paraId="035AAC6E" w14:textId="77777777" w:rsidR="008227CB" w:rsidRPr="00BF3CDE" w:rsidRDefault="008227CB" w:rsidP="008227CB">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57.996</w:t>
            </w:r>
          </w:p>
        </w:tc>
      </w:tr>
      <w:tr w:rsidR="008227CB" w:rsidRPr="00BF3CDE" w14:paraId="367C1793" w14:textId="77777777" w:rsidTr="00CD2F48">
        <w:trPr>
          <w:trHeight w:val="283"/>
          <w:tblCellSpacing w:w="20" w:type="dxa"/>
        </w:trPr>
        <w:tc>
          <w:tcPr>
            <w:tcW w:w="3013" w:type="pct"/>
            <w:shd w:val="clear" w:color="auto" w:fill="auto"/>
            <w:noWrap/>
            <w:vAlign w:val="center"/>
          </w:tcPr>
          <w:p w14:paraId="2F1E4D89" w14:textId="77777777" w:rsidR="008227CB" w:rsidRPr="00BF3CDE" w:rsidRDefault="008227CB" w:rsidP="008227CB">
            <w:pPr>
              <w:pStyle w:val="NoSpacing"/>
              <w:rPr>
                <w:rFonts w:ascii="Tahoma" w:hAnsi="Tahoma" w:cs="Tahoma"/>
                <w:noProof/>
                <w:sz w:val="20"/>
                <w:szCs w:val="20"/>
                <w:lang w:val="sr-Cyrl-CS"/>
              </w:rPr>
            </w:pPr>
            <w:r w:rsidRPr="00BF3CDE">
              <w:rPr>
                <w:rFonts w:ascii="Tahoma" w:hAnsi="Tahoma" w:cs="Tahoma"/>
                <w:noProof/>
                <w:sz w:val="20"/>
                <w:szCs w:val="20"/>
                <w:lang w:val="sr-Cyrl-CS"/>
              </w:rPr>
              <w:t>Нереализовани  добици/губитци по основу Хов</w:t>
            </w:r>
          </w:p>
        </w:tc>
        <w:tc>
          <w:tcPr>
            <w:tcW w:w="980" w:type="pct"/>
            <w:gridSpan w:val="2"/>
            <w:shd w:val="clear" w:color="auto" w:fill="auto"/>
            <w:vAlign w:val="center"/>
          </w:tcPr>
          <w:p w14:paraId="389150DE" w14:textId="77777777" w:rsidR="008227CB" w:rsidRPr="00BF3CDE" w:rsidRDefault="008227CB" w:rsidP="008227CB">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w:t>
            </w:r>
          </w:p>
        </w:tc>
        <w:tc>
          <w:tcPr>
            <w:tcW w:w="915" w:type="pct"/>
            <w:gridSpan w:val="2"/>
            <w:vAlign w:val="center"/>
          </w:tcPr>
          <w:p w14:paraId="39D83528" w14:textId="77777777" w:rsidR="008227CB" w:rsidRPr="00BF3CDE" w:rsidRDefault="008227CB" w:rsidP="008227CB">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6.021</w:t>
            </w:r>
          </w:p>
        </w:tc>
      </w:tr>
      <w:tr w:rsidR="008227CB" w:rsidRPr="00BF3CDE" w14:paraId="2E260D67" w14:textId="77777777" w:rsidTr="00CD2F48">
        <w:trPr>
          <w:trHeight w:val="283"/>
          <w:tblCellSpacing w:w="20" w:type="dxa"/>
        </w:trPr>
        <w:tc>
          <w:tcPr>
            <w:tcW w:w="3013" w:type="pct"/>
            <w:shd w:val="clear" w:color="auto" w:fill="auto"/>
            <w:noWrap/>
            <w:vAlign w:val="center"/>
          </w:tcPr>
          <w:p w14:paraId="51A12649" w14:textId="77777777" w:rsidR="008227CB" w:rsidRPr="00BF3CDE" w:rsidRDefault="008227CB" w:rsidP="008227CB">
            <w:pPr>
              <w:pStyle w:val="NoSpacing"/>
              <w:rPr>
                <w:rFonts w:ascii="Tahoma" w:hAnsi="Tahoma" w:cs="Tahoma"/>
                <w:noProof/>
                <w:sz w:val="20"/>
                <w:szCs w:val="20"/>
                <w:lang w:val="sr-Cyrl-CS"/>
              </w:rPr>
            </w:pPr>
            <w:r w:rsidRPr="00BF3CDE">
              <w:rPr>
                <w:rFonts w:ascii="Tahoma" w:hAnsi="Tahoma" w:cs="Tahoma"/>
                <w:noProof/>
                <w:sz w:val="20"/>
                <w:szCs w:val="20"/>
                <w:lang w:val="sr-Cyrl-CS"/>
              </w:rPr>
              <w:t>Обавезе по основу штета и уговорених износа из  реосигурања</w:t>
            </w:r>
          </w:p>
        </w:tc>
        <w:tc>
          <w:tcPr>
            <w:tcW w:w="980" w:type="pct"/>
            <w:gridSpan w:val="2"/>
            <w:shd w:val="clear" w:color="auto" w:fill="auto"/>
            <w:vAlign w:val="center"/>
          </w:tcPr>
          <w:p w14:paraId="2E46AE17" w14:textId="77777777" w:rsidR="008227CB" w:rsidRPr="00BF3CDE" w:rsidRDefault="008227CB" w:rsidP="008227CB">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112.839</w:t>
            </w:r>
          </w:p>
        </w:tc>
        <w:tc>
          <w:tcPr>
            <w:tcW w:w="915" w:type="pct"/>
            <w:gridSpan w:val="2"/>
            <w:vAlign w:val="center"/>
          </w:tcPr>
          <w:p w14:paraId="68916D96" w14:textId="77777777" w:rsidR="008227CB" w:rsidRPr="00BF3CDE" w:rsidRDefault="008227CB" w:rsidP="008227CB">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2.784</w:t>
            </w:r>
          </w:p>
        </w:tc>
      </w:tr>
      <w:tr w:rsidR="008227CB" w:rsidRPr="00BF3CDE" w14:paraId="71D05605" w14:textId="77777777" w:rsidTr="00CD2F48">
        <w:trPr>
          <w:trHeight w:val="283"/>
          <w:tblCellSpacing w:w="20" w:type="dxa"/>
        </w:trPr>
        <w:tc>
          <w:tcPr>
            <w:tcW w:w="3013" w:type="pct"/>
            <w:shd w:val="clear" w:color="auto" w:fill="auto"/>
            <w:noWrap/>
            <w:vAlign w:val="center"/>
          </w:tcPr>
          <w:p w14:paraId="04DCF034" w14:textId="77777777" w:rsidR="008227CB" w:rsidRPr="00BF3CDE" w:rsidRDefault="008227CB" w:rsidP="008227CB">
            <w:pPr>
              <w:pStyle w:val="NoSpacing"/>
              <w:rPr>
                <w:rFonts w:ascii="Tahoma" w:hAnsi="Tahoma" w:cs="Tahoma"/>
                <w:noProof/>
                <w:sz w:val="20"/>
                <w:szCs w:val="20"/>
                <w:lang w:val="sr-Cyrl-CS"/>
              </w:rPr>
            </w:pPr>
            <w:r w:rsidRPr="00BF3CDE">
              <w:rPr>
                <w:rFonts w:ascii="Tahoma" w:hAnsi="Tahoma" w:cs="Tahoma"/>
                <w:noProof/>
                <w:sz w:val="20"/>
                <w:szCs w:val="20"/>
                <w:lang w:val="sr-Cyrl-CS"/>
              </w:rPr>
              <w:t>Обавезе за провизије из послова реосигурања</w:t>
            </w:r>
          </w:p>
        </w:tc>
        <w:tc>
          <w:tcPr>
            <w:tcW w:w="980" w:type="pct"/>
            <w:gridSpan w:val="2"/>
            <w:shd w:val="clear" w:color="auto" w:fill="auto"/>
            <w:vAlign w:val="center"/>
          </w:tcPr>
          <w:p w14:paraId="2AF7AED1" w14:textId="77777777" w:rsidR="008227CB" w:rsidRPr="00BF3CDE" w:rsidRDefault="008227CB" w:rsidP="008227CB">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14.389</w:t>
            </w:r>
          </w:p>
        </w:tc>
        <w:tc>
          <w:tcPr>
            <w:tcW w:w="915" w:type="pct"/>
            <w:gridSpan w:val="2"/>
            <w:vAlign w:val="center"/>
          </w:tcPr>
          <w:p w14:paraId="7AFA5D0B" w14:textId="77777777" w:rsidR="008227CB" w:rsidRPr="00BF3CDE" w:rsidRDefault="008227CB" w:rsidP="008227CB">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6.253</w:t>
            </w:r>
          </w:p>
        </w:tc>
      </w:tr>
      <w:tr w:rsidR="008227CB" w:rsidRPr="00BF3CDE" w14:paraId="6E94AA71" w14:textId="77777777" w:rsidTr="00CD2F48">
        <w:trPr>
          <w:trHeight w:val="283"/>
          <w:tblCellSpacing w:w="20" w:type="dxa"/>
        </w:trPr>
        <w:tc>
          <w:tcPr>
            <w:tcW w:w="3013" w:type="pct"/>
            <w:shd w:val="clear" w:color="auto" w:fill="auto"/>
            <w:noWrap/>
            <w:vAlign w:val="center"/>
          </w:tcPr>
          <w:p w14:paraId="6080F4BA" w14:textId="77777777" w:rsidR="008227CB" w:rsidRPr="00BF3CDE" w:rsidRDefault="008227CB" w:rsidP="008227CB">
            <w:pPr>
              <w:pStyle w:val="NoSpacing"/>
              <w:rPr>
                <w:rFonts w:ascii="Tahoma" w:hAnsi="Tahoma" w:cs="Tahoma"/>
                <w:noProof/>
                <w:sz w:val="20"/>
                <w:szCs w:val="20"/>
                <w:lang w:val="sr-Cyrl-CS"/>
              </w:rPr>
            </w:pPr>
            <w:r w:rsidRPr="00BF3CDE">
              <w:rPr>
                <w:rFonts w:ascii="Tahoma" w:hAnsi="Tahoma" w:cs="Tahoma"/>
                <w:noProof/>
                <w:sz w:val="20"/>
                <w:szCs w:val="20"/>
                <w:lang w:val="sr-Cyrl-CS"/>
              </w:rPr>
              <w:t>Обавезе за поврат премије реосигурања</w:t>
            </w:r>
          </w:p>
        </w:tc>
        <w:tc>
          <w:tcPr>
            <w:tcW w:w="980" w:type="pct"/>
            <w:gridSpan w:val="2"/>
            <w:shd w:val="clear" w:color="auto" w:fill="auto"/>
            <w:vAlign w:val="center"/>
          </w:tcPr>
          <w:p w14:paraId="4E396799" w14:textId="77777777" w:rsidR="008227CB" w:rsidRPr="00BF3CDE" w:rsidRDefault="008227CB" w:rsidP="008227CB">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2.501</w:t>
            </w:r>
          </w:p>
        </w:tc>
        <w:tc>
          <w:tcPr>
            <w:tcW w:w="915" w:type="pct"/>
            <w:gridSpan w:val="2"/>
            <w:vAlign w:val="center"/>
          </w:tcPr>
          <w:p w14:paraId="0B48453B" w14:textId="77777777" w:rsidR="008227CB" w:rsidRPr="00BF3CDE" w:rsidRDefault="008227CB" w:rsidP="008227CB">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5.423</w:t>
            </w:r>
          </w:p>
        </w:tc>
      </w:tr>
      <w:tr w:rsidR="008227CB" w:rsidRPr="00BF3CDE" w14:paraId="01E58C82" w14:textId="77777777" w:rsidTr="00CD2F48">
        <w:trPr>
          <w:trHeight w:val="283"/>
          <w:tblCellSpacing w:w="20" w:type="dxa"/>
        </w:trPr>
        <w:tc>
          <w:tcPr>
            <w:tcW w:w="3013" w:type="pct"/>
            <w:shd w:val="clear" w:color="auto" w:fill="auto"/>
            <w:noWrap/>
            <w:vAlign w:val="center"/>
          </w:tcPr>
          <w:p w14:paraId="585BB23A" w14:textId="77777777" w:rsidR="008227CB" w:rsidRPr="00BF3CDE" w:rsidRDefault="008227CB" w:rsidP="008227CB">
            <w:pPr>
              <w:pStyle w:val="NoSpacing"/>
              <w:rPr>
                <w:rFonts w:ascii="Tahoma" w:hAnsi="Tahoma" w:cs="Tahoma"/>
                <w:noProof/>
                <w:sz w:val="20"/>
                <w:szCs w:val="20"/>
                <w:lang w:val="sr-Cyrl-CS"/>
              </w:rPr>
            </w:pPr>
            <w:r w:rsidRPr="00BF3CDE">
              <w:rPr>
                <w:rFonts w:ascii="Tahoma" w:hAnsi="Tahoma" w:cs="Tahoma"/>
                <w:noProof/>
                <w:sz w:val="20"/>
                <w:szCs w:val="20"/>
                <w:lang w:val="sr-Cyrl-CS"/>
              </w:rPr>
              <w:t>Добављачи у земљи</w:t>
            </w:r>
          </w:p>
        </w:tc>
        <w:tc>
          <w:tcPr>
            <w:tcW w:w="980" w:type="pct"/>
            <w:gridSpan w:val="2"/>
            <w:shd w:val="clear" w:color="auto" w:fill="auto"/>
            <w:vAlign w:val="center"/>
          </w:tcPr>
          <w:p w14:paraId="50D13A9A" w14:textId="77777777" w:rsidR="008227CB" w:rsidRPr="00BF3CDE" w:rsidRDefault="008227CB" w:rsidP="008227CB">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1.150</w:t>
            </w:r>
          </w:p>
        </w:tc>
        <w:tc>
          <w:tcPr>
            <w:tcW w:w="915" w:type="pct"/>
            <w:gridSpan w:val="2"/>
            <w:vAlign w:val="center"/>
          </w:tcPr>
          <w:p w14:paraId="05C2167E" w14:textId="77777777" w:rsidR="008227CB" w:rsidRPr="00BF3CDE" w:rsidRDefault="008227CB" w:rsidP="008227CB">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1.824</w:t>
            </w:r>
          </w:p>
        </w:tc>
      </w:tr>
      <w:tr w:rsidR="008227CB" w:rsidRPr="00BF3CDE" w14:paraId="41E70709" w14:textId="77777777" w:rsidTr="00CD2F48">
        <w:trPr>
          <w:trHeight w:val="283"/>
          <w:tblCellSpacing w:w="20" w:type="dxa"/>
        </w:trPr>
        <w:tc>
          <w:tcPr>
            <w:tcW w:w="3013" w:type="pct"/>
            <w:shd w:val="clear" w:color="auto" w:fill="auto"/>
            <w:noWrap/>
            <w:vAlign w:val="center"/>
          </w:tcPr>
          <w:p w14:paraId="5E4C1B8F" w14:textId="77777777" w:rsidR="008227CB" w:rsidRPr="00BF3CDE" w:rsidRDefault="008227CB" w:rsidP="008227CB">
            <w:pPr>
              <w:pStyle w:val="NoSpacing"/>
              <w:rPr>
                <w:rFonts w:ascii="Tahoma" w:hAnsi="Tahoma" w:cs="Tahoma"/>
                <w:noProof/>
                <w:sz w:val="20"/>
                <w:szCs w:val="20"/>
                <w:lang w:val="sr-Cyrl-CS"/>
              </w:rPr>
            </w:pPr>
            <w:r w:rsidRPr="00BF3CDE">
              <w:rPr>
                <w:rFonts w:ascii="Tahoma" w:hAnsi="Tahoma" w:cs="Tahoma"/>
                <w:noProof/>
                <w:sz w:val="20"/>
                <w:szCs w:val="20"/>
                <w:lang w:val="sr-Cyrl-CS"/>
              </w:rPr>
              <w:t>ПВР-Обрачунати трошкови који нису фактурисани</w:t>
            </w:r>
          </w:p>
        </w:tc>
        <w:tc>
          <w:tcPr>
            <w:tcW w:w="980" w:type="pct"/>
            <w:gridSpan w:val="2"/>
            <w:shd w:val="clear" w:color="auto" w:fill="auto"/>
            <w:vAlign w:val="center"/>
          </w:tcPr>
          <w:p w14:paraId="28CA2FF8" w14:textId="77777777" w:rsidR="008227CB" w:rsidRPr="00BF3CDE" w:rsidRDefault="008227CB" w:rsidP="008227CB">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w:t>
            </w:r>
          </w:p>
        </w:tc>
        <w:tc>
          <w:tcPr>
            <w:tcW w:w="915" w:type="pct"/>
            <w:gridSpan w:val="2"/>
            <w:vAlign w:val="center"/>
          </w:tcPr>
          <w:p w14:paraId="6F9F009A" w14:textId="77777777" w:rsidR="008227CB" w:rsidRPr="00BF3CDE" w:rsidRDefault="008227CB" w:rsidP="008227CB">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161</w:t>
            </w:r>
          </w:p>
        </w:tc>
      </w:tr>
      <w:tr w:rsidR="008227CB" w:rsidRPr="00BF3CDE" w14:paraId="06E3D227" w14:textId="77777777" w:rsidTr="00CD2F48">
        <w:trPr>
          <w:trHeight w:val="283"/>
          <w:tblCellSpacing w:w="20" w:type="dxa"/>
        </w:trPr>
        <w:tc>
          <w:tcPr>
            <w:tcW w:w="3013" w:type="pct"/>
            <w:shd w:val="clear" w:color="auto" w:fill="auto"/>
            <w:noWrap/>
            <w:vAlign w:val="center"/>
          </w:tcPr>
          <w:p w14:paraId="5705BE1C" w14:textId="77777777" w:rsidR="008227CB" w:rsidRPr="00BF3CDE" w:rsidRDefault="008227CB" w:rsidP="008227CB">
            <w:pPr>
              <w:pStyle w:val="NoSpacing"/>
              <w:rPr>
                <w:rFonts w:ascii="Tahoma" w:hAnsi="Tahoma" w:cs="Tahoma"/>
                <w:noProof/>
                <w:sz w:val="20"/>
                <w:szCs w:val="20"/>
                <w:lang w:val="sr-Cyrl-CS"/>
              </w:rPr>
            </w:pPr>
            <w:r w:rsidRPr="00BF3CDE">
              <w:rPr>
                <w:rFonts w:ascii="Tahoma" w:hAnsi="Tahoma" w:cs="Tahoma"/>
                <w:noProof/>
                <w:sz w:val="20"/>
                <w:szCs w:val="20"/>
                <w:lang w:val="sr-Cyrl-CS"/>
              </w:rPr>
              <w:t>Укупно пасива</w:t>
            </w:r>
          </w:p>
        </w:tc>
        <w:tc>
          <w:tcPr>
            <w:tcW w:w="980" w:type="pct"/>
            <w:gridSpan w:val="2"/>
            <w:shd w:val="clear" w:color="auto" w:fill="auto"/>
            <w:vAlign w:val="center"/>
          </w:tcPr>
          <w:p w14:paraId="125B09D9" w14:textId="77777777" w:rsidR="008227CB" w:rsidRPr="00BF3CDE" w:rsidRDefault="008227CB" w:rsidP="008227CB">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865.009</w:t>
            </w:r>
          </w:p>
        </w:tc>
        <w:tc>
          <w:tcPr>
            <w:tcW w:w="915" w:type="pct"/>
            <w:gridSpan w:val="2"/>
            <w:vAlign w:val="center"/>
          </w:tcPr>
          <w:p w14:paraId="49957CDC" w14:textId="77777777" w:rsidR="008227CB" w:rsidRPr="00BF3CDE" w:rsidRDefault="008227CB" w:rsidP="008227CB">
            <w:pPr>
              <w:pStyle w:val="NoSpacing"/>
              <w:jc w:val="right"/>
              <w:rPr>
                <w:rFonts w:ascii="Tahoma" w:eastAsia="Arial Unicode MS" w:hAnsi="Tahoma" w:cs="Tahoma"/>
                <w:noProof/>
                <w:sz w:val="20"/>
                <w:szCs w:val="20"/>
                <w:lang w:val="sr-Cyrl-CS"/>
              </w:rPr>
            </w:pPr>
            <w:r w:rsidRPr="00BF3CDE">
              <w:rPr>
                <w:rFonts w:ascii="Tahoma" w:eastAsia="Arial Unicode MS" w:hAnsi="Tahoma" w:cs="Tahoma"/>
                <w:noProof/>
                <w:sz w:val="20"/>
                <w:szCs w:val="20"/>
                <w:lang w:val="sr-Cyrl-CS"/>
              </w:rPr>
              <w:t>756.596</w:t>
            </w:r>
          </w:p>
        </w:tc>
      </w:tr>
      <w:tr w:rsidR="008227CB" w:rsidRPr="00BF3CDE" w14:paraId="4D192985" w14:textId="77777777" w:rsidTr="00CD2F48">
        <w:trPr>
          <w:trHeight w:val="283"/>
          <w:tblCellSpacing w:w="20" w:type="dxa"/>
        </w:trPr>
        <w:tc>
          <w:tcPr>
            <w:tcW w:w="3013" w:type="pct"/>
            <w:shd w:val="clear" w:color="auto" w:fill="auto"/>
            <w:noWrap/>
            <w:vAlign w:val="center"/>
          </w:tcPr>
          <w:p w14:paraId="6D01C78E" w14:textId="77777777" w:rsidR="008227CB" w:rsidRPr="00BF3CDE" w:rsidRDefault="008227CB" w:rsidP="008227CB">
            <w:pPr>
              <w:pStyle w:val="NoSpacing"/>
              <w:rPr>
                <w:rFonts w:ascii="Tahoma" w:hAnsi="Tahoma" w:cs="Tahoma"/>
                <w:b/>
                <w:noProof/>
                <w:sz w:val="20"/>
                <w:szCs w:val="20"/>
                <w:lang w:val="sr-Cyrl-CS"/>
              </w:rPr>
            </w:pPr>
            <w:r w:rsidRPr="00BF3CDE">
              <w:rPr>
                <w:rFonts w:ascii="Tahoma" w:hAnsi="Tahoma" w:cs="Tahoma"/>
                <w:b/>
                <w:noProof/>
                <w:sz w:val="20"/>
                <w:szCs w:val="20"/>
                <w:lang w:val="sr-Cyrl-CS"/>
              </w:rPr>
              <w:t>Актива /(пасива), нето</w:t>
            </w:r>
          </w:p>
        </w:tc>
        <w:tc>
          <w:tcPr>
            <w:tcW w:w="980" w:type="pct"/>
            <w:gridSpan w:val="2"/>
            <w:shd w:val="clear" w:color="auto" w:fill="auto"/>
            <w:vAlign w:val="center"/>
          </w:tcPr>
          <w:p w14:paraId="785184EC" w14:textId="77777777" w:rsidR="008227CB" w:rsidRPr="00BF3CDE" w:rsidRDefault="008227CB" w:rsidP="008227CB">
            <w:pPr>
              <w:pStyle w:val="NoSpacing"/>
              <w:jc w:val="right"/>
              <w:rPr>
                <w:rFonts w:ascii="Tahoma" w:eastAsia="Arial Unicode MS" w:hAnsi="Tahoma" w:cs="Tahoma"/>
                <w:b/>
                <w:noProof/>
                <w:sz w:val="20"/>
                <w:szCs w:val="20"/>
                <w:lang w:val="sr-Cyrl-CS"/>
              </w:rPr>
            </w:pPr>
            <w:r w:rsidRPr="00BF3CDE">
              <w:rPr>
                <w:rFonts w:ascii="Tahoma" w:eastAsia="Arial Unicode MS" w:hAnsi="Tahoma" w:cs="Tahoma"/>
                <w:b/>
                <w:noProof/>
                <w:sz w:val="20"/>
                <w:szCs w:val="20"/>
                <w:lang w:val="sr-Cyrl-CS"/>
              </w:rPr>
              <w:t>(565.985)</w:t>
            </w:r>
          </w:p>
        </w:tc>
        <w:tc>
          <w:tcPr>
            <w:tcW w:w="915" w:type="pct"/>
            <w:gridSpan w:val="2"/>
            <w:vAlign w:val="center"/>
          </w:tcPr>
          <w:p w14:paraId="6A655921" w14:textId="77777777" w:rsidR="008227CB" w:rsidRPr="00BF3CDE" w:rsidRDefault="008227CB" w:rsidP="008227CB">
            <w:pPr>
              <w:pStyle w:val="NoSpacing"/>
              <w:jc w:val="right"/>
              <w:rPr>
                <w:rFonts w:ascii="Tahoma" w:eastAsia="Arial Unicode MS" w:hAnsi="Tahoma" w:cs="Tahoma"/>
                <w:b/>
                <w:noProof/>
                <w:sz w:val="20"/>
                <w:szCs w:val="20"/>
                <w:lang w:val="sr-Cyrl-CS"/>
              </w:rPr>
            </w:pPr>
            <w:r w:rsidRPr="00BF3CDE">
              <w:rPr>
                <w:rFonts w:ascii="Tahoma" w:eastAsia="Arial Unicode MS" w:hAnsi="Tahoma" w:cs="Tahoma"/>
                <w:b/>
                <w:noProof/>
                <w:sz w:val="20"/>
                <w:szCs w:val="20"/>
                <w:lang w:val="sr-Cyrl-CS"/>
              </w:rPr>
              <w:t>36.261</w:t>
            </w:r>
          </w:p>
        </w:tc>
      </w:tr>
    </w:tbl>
    <w:p w14:paraId="595AA7AF" w14:textId="77777777" w:rsidR="00CA531C" w:rsidRPr="00BF3CDE" w:rsidRDefault="00CA531C" w:rsidP="00CA531C">
      <w:pPr>
        <w:pStyle w:val="NoSpacing"/>
        <w:spacing w:before="120" w:after="120" w:line="276" w:lineRule="auto"/>
        <w:ind w:firstLine="284"/>
        <w:jc w:val="both"/>
        <w:rPr>
          <w:rFonts w:cs="Tahoma"/>
          <w:noProof/>
          <w:sz w:val="20"/>
          <w:szCs w:val="20"/>
          <w:lang w:val="sr-Cyrl-CS"/>
        </w:rPr>
      </w:pPr>
      <w:r w:rsidRPr="00BF3CDE">
        <w:rPr>
          <w:rFonts w:cs="Tahoma"/>
          <w:noProof/>
          <w:sz w:val="20"/>
          <w:szCs w:val="20"/>
          <w:lang w:val="sr-Cyrl-CS"/>
        </w:rPr>
        <w:t>Планом пословања за 201</w:t>
      </w:r>
      <w:r w:rsidR="00A726B9" w:rsidRPr="00BF3CDE">
        <w:rPr>
          <w:rFonts w:cs="Tahoma"/>
          <w:noProof/>
          <w:sz w:val="20"/>
          <w:szCs w:val="20"/>
          <w:lang w:val="sr-Cyrl-CS"/>
        </w:rPr>
        <w:t>5</w:t>
      </w:r>
      <w:r w:rsidRPr="00BF3CDE">
        <w:rPr>
          <w:rFonts w:cs="Tahoma"/>
          <w:noProof/>
          <w:sz w:val="20"/>
          <w:szCs w:val="20"/>
          <w:lang w:val="sr-Cyrl-CS"/>
        </w:rPr>
        <w:t>. годину предвиђен је наставак пословне сарадње са повезаним правним лицима према потребама Друштва, а у оквиру редовне делатности.</w:t>
      </w:r>
    </w:p>
    <w:p w14:paraId="05DFD2A6" w14:textId="77777777" w:rsidR="008C2B46" w:rsidRPr="00BF3CDE" w:rsidRDefault="008C2B46" w:rsidP="008C2B46">
      <w:pPr>
        <w:pStyle w:val="Heading1"/>
        <w:numPr>
          <w:ilvl w:val="0"/>
          <w:numId w:val="2"/>
        </w:numPr>
        <w:rPr>
          <w:rFonts w:asciiTheme="majorHAnsi" w:hAnsiTheme="majorHAnsi" w:cs="Tahoma"/>
          <w:noProof/>
          <w:color w:val="4F81BD"/>
          <w:sz w:val="24"/>
          <w:szCs w:val="18"/>
          <w:lang w:val="sr-Cyrl-CS"/>
        </w:rPr>
      </w:pPr>
      <w:bookmarkStart w:id="61" w:name="_Toc362514666"/>
      <w:bookmarkStart w:id="62" w:name="_Toc414356835"/>
      <w:bookmarkStart w:id="63" w:name="_Toc319069799"/>
      <w:r w:rsidRPr="00BF3CDE">
        <w:rPr>
          <w:rFonts w:asciiTheme="majorHAnsi" w:hAnsiTheme="majorHAnsi" w:cs="Tahoma"/>
          <w:noProof/>
          <w:color w:val="4F81BD"/>
          <w:sz w:val="24"/>
          <w:szCs w:val="18"/>
          <w:lang w:val="sr-Cyrl-CS"/>
        </w:rPr>
        <w:t>ОЦЕНА РИЗИКА</w:t>
      </w:r>
      <w:bookmarkEnd w:id="61"/>
      <w:bookmarkEnd w:id="62"/>
    </w:p>
    <w:p w14:paraId="76A0D742" w14:textId="77777777" w:rsidR="00996BC3" w:rsidRPr="00BF3CDE" w:rsidRDefault="00996BC3" w:rsidP="00996BC3">
      <w:pPr>
        <w:rPr>
          <w:noProof/>
          <w:sz w:val="2"/>
          <w:szCs w:val="2"/>
          <w:lang w:val="sr-Cyrl-CS" w:eastAsia="ar-SA"/>
        </w:rPr>
      </w:pPr>
    </w:p>
    <w:p w14:paraId="136EFE95" w14:textId="77777777" w:rsidR="00996BC3" w:rsidRPr="00BF3CDE" w:rsidRDefault="00996BC3" w:rsidP="00A726B9">
      <w:pPr>
        <w:pStyle w:val="NoSpacing"/>
        <w:spacing w:before="120" w:after="120" w:line="276" w:lineRule="auto"/>
        <w:ind w:firstLine="284"/>
        <w:jc w:val="both"/>
        <w:rPr>
          <w:rFonts w:cs="Tahoma"/>
          <w:noProof/>
          <w:sz w:val="20"/>
          <w:szCs w:val="20"/>
          <w:lang w:val="sr-Cyrl-CS"/>
        </w:rPr>
      </w:pPr>
      <w:r w:rsidRPr="00BF3CDE">
        <w:rPr>
          <w:rFonts w:cs="Tahoma"/>
          <w:noProof/>
          <w:sz w:val="20"/>
          <w:szCs w:val="20"/>
          <w:lang w:val="sr-Cyrl-CS"/>
        </w:rPr>
        <w:t>Друштвo организујe, примењује и развија систем интерних контрола и управљања ризицима у складу са чланом 51. Закона о осигурању, Одлуком о систему интерних контрола и управљању ризицима у пословању друштва за осигурање („Службени гласник РС“ бр. 12/2007) и Правилником Друштва о основама система интерних контрола и упр</w:t>
      </w:r>
      <w:r w:rsidR="00A726B9" w:rsidRPr="00BF3CDE">
        <w:rPr>
          <w:rFonts w:cs="Tahoma"/>
          <w:noProof/>
          <w:sz w:val="20"/>
          <w:szCs w:val="20"/>
          <w:lang w:val="sr-Cyrl-CS"/>
        </w:rPr>
        <w:t>ављању ризицима у пословању од 26</w:t>
      </w:r>
      <w:r w:rsidRPr="00BF3CDE">
        <w:rPr>
          <w:rFonts w:cs="Tahoma"/>
          <w:noProof/>
          <w:sz w:val="20"/>
          <w:szCs w:val="20"/>
          <w:lang w:val="sr-Cyrl-CS"/>
        </w:rPr>
        <w:t>.0</w:t>
      </w:r>
      <w:r w:rsidR="00A726B9" w:rsidRPr="00BF3CDE">
        <w:rPr>
          <w:rFonts w:cs="Tahoma"/>
          <w:noProof/>
          <w:sz w:val="20"/>
          <w:szCs w:val="20"/>
          <w:lang w:val="sr-Cyrl-CS"/>
        </w:rPr>
        <w:t>4</w:t>
      </w:r>
      <w:r w:rsidRPr="00BF3CDE">
        <w:rPr>
          <w:rFonts w:cs="Tahoma"/>
          <w:noProof/>
          <w:sz w:val="20"/>
          <w:szCs w:val="20"/>
          <w:lang w:val="sr-Cyrl-CS"/>
        </w:rPr>
        <w:t>.20</w:t>
      </w:r>
      <w:r w:rsidR="00A726B9" w:rsidRPr="00BF3CDE">
        <w:rPr>
          <w:rFonts w:cs="Tahoma"/>
          <w:noProof/>
          <w:sz w:val="20"/>
          <w:szCs w:val="20"/>
          <w:lang w:val="sr-Cyrl-CS"/>
        </w:rPr>
        <w:t>13</w:t>
      </w:r>
      <w:r w:rsidRPr="00BF3CDE">
        <w:rPr>
          <w:rFonts w:cs="Tahoma"/>
          <w:noProof/>
          <w:sz w:val="20"/>
          <w:szCs w:val="20"/>
          <w:lang w:val="sr-Cyrl-CS"/>
        </w:rPr>
        <w:t>. године.</w:t>
      </w:r>
    </w:p>
    <w:p w14:paraId="24295A7F" w14:textId="77777777" w:rsidR="00996BC3" w:rsidRPr="00BF3CDE" w:rsidRDefault="00996BC3" w:rsidP="00A726B9">
      <w:pPr>
        <w:pStyle w:val="NoSpacing"/>
        <w:spacing w:before="120" w:after="120" w:line="276" w:lineRule="auto"/>
        <w:ind w:firstLine="284"/>
        <w:jc w:val="both"/>
        <w:rPr>
          <w:rFonts w:cs="Tahoma"/>
          <w:noProof/>
          <w:sz w:val="20"/>
          <w:szCs w:val="20"/>
          <w:lang w:val="sr-Cyrl-CS"/>
        </w:rPr>
      </w:pPr>
      <w:r w:rsidRPr="00BF3CDE">
        <w:rPr>
          <w:rFonts w:cs="Tahoma"/>
          <w:noProof/>
          <w:sz w:val="20"/>
          <w:szCs w:val="20"/>
          <w:lang w:val="sr-Cyrl-CS"/>
        </w:rPr>
        <w:t xml:space="preserve">Управљање појединим ризицима се врши у надлежним организационим деловима Друштва у којима су ризици идентификовани. Извршни директори су одговорни за конзистентну примену усвојених политика управљања ризицима на свим нивоима у </w:t>
      </w:r>
      <w:r w:rsidRPr="00BF3CDE">
        <w:rPr>
          <w:rFonts w:cs="Tahoma"/>
          <w:noProof/>
          <w:sz w:val="20"/>
          <w:szCs w:val="20"/>
          <w:lang w:val="sr-Cyrl-CS"/>
        </w:rPr>
        <w:lastRenderedPageBreak/>
        <w:t>Друштву, као и да сви запослени добро разумеју одговорност коју носе процеси управљања ризиком у коме учествују, уз поштовање успостављених етичких и професионалних стандарда.</w:t>
      </w:r>
    </w:p>
    <w:p w14:paraId="61816EBC" w14:textId="77777777" w:rsidR="00996BC3" w:rsidRPr="00BF3CDE" w:rsidRDefault="00996BC3" w:rsidP="00D50EE5">
      <w:pPr>
        <w:pStyle w:val="NoSpacing"/>
        <w:spacing w:before="240" w:after="240" w:line="276" w:lineRule="auto"/>
        <w:ind w:firstLine="284"/>
        <w:jc w:val="both"/>
        <w:rPr>
          <w:rFonts w:cs="Tahoma"/>
          <w:noProof/>
          <w:sz w:val="20"/>
          <w:szCs w:val="20"/>
          <w:lang w:val="sr-Cyrl-CS"/>
        </w:rPr>
      </w:pPr>
      <w:r w:rsidRPr="00BF3CDE">
        <w:rPr>
          <w:rFonts w:cs="Tahoma"/>
          <w:noProof/>
          <w:sz w:val="20"/>
          <w:szCs w:val="20"/>
          <w:lang w:val="sr-Cyrl-CS"/>
        </w:rPr>
        <w:t>Друштво се руководи следећим принципима и начелима у процесу управљања ризицима:</w:t>
      </w:r>
    </w:p>
    <w:p w14:paraId="3D820FC5" w14:textId="77777777" w:rsidR="00996BC3" w:rsidRPr="00BF3CDE" w:rsidRDefault="00996BC3" w:rsidP="00D50EE5">
      <w:pPr>
        <w:pStyle w:val="NoSpacing"/>
        <w:numPr>
          <w:ilvl w:val="0"/>
          <w:numId w:val="13"/>
        </w:numPr>
        <w:spacing w:before="240" w:after="240" w:line="276" w:lineRule="auto"/>
        <w:ind w:left="714" w:hanging="357"/>
        <w:jc w:val="both"/>
        <w:rPr>
          <w:rFonts w:cs="Tahoma"/>
          <w:noProof/>
          <w:sz w:val="20"/>
          <w:szCs w:val="20"/>
          <w:lang w:val="sr-Cyrl-CS"/>
        </w:rPr>
      </w:pPr>
      <w:r w:rsidRPr="00BF3CDE">
        <w:rPr>
          <w:rFonts w:cs="Tahoma"/>
          <w:noProof/>
          <w:sz w:val="20"/>
          <w:szCs w:val="20"/>
          <w:lang w:val="sr-Cyrl-CS"/>
        </w:rPr>
        <w:t>Успостављање механизма антиципације догађаја и промовисање знања и свести о значају процеса управљања ризицима по свим линијама одговорности.</w:t>
      </w:r>
    </w:p>
    <w:p w14:paraId="41A3BA81" w14:textId="77777777" w:rsidR="00996BC3" w:rsidRPr="00BF3CDE" w:rsidRDefault="00996BC3" w:rsidP="00D50EE5">
      <w:pPr>
        <w:pStyle w:val="NoSpacing"/>
        <w:numPr>
          <w:ilvl w:val="0"/>
          <w:numId w:val="13"/>
        </w:numPr>
        <w:spacing w:before="240" w:after="240" w:line="276" w:lineRule="auto"/>
        <w:ind w:left="714" w:hanging="357"/>
        <w:jc w:val="both"/>
        <w:rPr>
          <w:rFonts w:cs="Tahoma"/>
          <w:noProof/>
          <w:sz w:val="20"/>
          <w:szCs w:val="20"/>
          <w:lang w:val="sr-Cyrl-CS"/>
        </w:rPr>
      </w:pPr>
      <w:r w:rsidRPr="00BF3CDE">
        <w:rPr>
          <w:rFonts w:cs="Tahoma"/>
          <w:noProof/>
          <w:sz w:val="20"/>
          <w:szCs w:val="20"/>
          <w:lang w:val="sr-Cyrl-CS"/>
        </w:rPr>
        <w:t>Идентификовање свих материјалних извора ризика, анализа и процена кључних узрока сваке појединачне компоненте ризика и њиховог међусобног односа и односа према спољним факторима.</w:t>
      </w:r>
    </w:p>
    <w:p w14:paraId="4136BAB5" w14:textId="77777777" w:rsidR="00996BC3" w:rsidRPr="00BF3CDE" w:rsidRDefault="00996BC3" w:rsidP="00D50EE5">
      <w:pPr>
        <w:pStyle w:val="NoSpacing"/>
        <w:numPr>
          <w:ilvl w:val="0"/>
          <w:numId w:val="13"/>
        </w:numPr>
        <w:spacing w:before="240" w:after="240" w:line="276" w:lineRule="auto"/>
        <w:ind w:left="714" w:hanging="357"/>
        <w:jc w:val="both"/>
        <w:rPr>
          <w:rFonts w:cs="Tahoma"/>
          <w:noProof/>
          <w:sz w:val="20"/>
          <w:szCs w:val="20"/>
          <w:lang w:val="sr-Cyrl-CS"/>
        </w:rPr>
      </w:pPr>
      <w:r w:rsidRPr="00BF3CDE">
        <w:rPr>
          <w:rFonts w:cs="Tahoma"/>
          <w:noProof/>
          <w:sz w:val="20"/>
          <w:szCs w:val="20"/>
          <w:lang w:val="sr-Cyrl-CS"/>
        </w:rPr>
        <w:t>Класификација ризика са аспекта степена њиховог утицаја на пословање Друштва.</w:t>
      </w:r>
    </w:p>
    <w:p w14:paraId="6BA59568" w14:textId="77777777" w:rsidR="00996BC3" w:rsidRPr="00BF3CDE" w:rsidRDefault="00996BC3" w:rsidP="00D50EE5">
      <w:pPr>
        <w:pStyle w:val="NoSpacing"/>
        <w:numPr>
          <w:ilvl w:val="0"/>
          <w:numId w:val="13"/>
        </w:numPr>
        <w:spacing w:before="240" w:after="240" w:line="276" w:lineRule="auto"/>
        <w:ind w:left="714" w:hanging="357"/>
        <w:jc w:val="both"/>
        <w:rPr>
          <w:rFonts w:cs="Tahoma"/>
          <w:noProof/>
          <w:sz w:val="20"/>
          <w:szCs w:val="20"/>
          <w:lang w:val="sr-Cyrl-CS"/>
        </w:rPr>
      </w:pPr>
      <w:r w:rsidRPr="00BF3CDE">
        <w:rPr>
          <w:rFonts w:cs="Tahoma"/>
          <w:noProof/>
          <w:sz w:val="20"/>
          <w:szCs w:val="20"/>
          <w:lang w:val="sr-Cyrl-CS"/>
        </w:rPr>
        <w:t>Обелодањивање предвидивих фактора ризика којима је Друштво изложено или ће бити изложено, као и систем праћења и управљања тим ризицима.</w:t>
      </w:r>
    </w:p>
    <w:p w14:paraId="4A61A6F3" w14:textId="77777777" w:rsidR="00996BC3" w:rsidRPr="00BF3CDE" w:rsidRDefault="00996BC3" w:rsidP="00D50EE5">
      <w:pPr>
        <w:pStyle w:val="NoSpacing"/>
        <w:spacing w:before="240" w:after="240" w:line="276" w:lineRule="auto"/>
        <w:ind w:firstLine="357"/>
        <w:jc w:val="both"/>
        <w:rPr>
          <w:rFonts w:cs="Tahoma"/>
          <w:noProof/>
          <w:sz w:val="20"/>
          <w:szCs w:val="20"/>
          <w:lang w:val="sr-Cyrl-CS"/>
        </w:rPr>
      </w:pPr>
      <w:r w:rsidRPr="00BF3CDE">
        <w:rPr>
          <w:rFonts w:cs="Tahoma"/>
          <w:noProof/>
          <w:sz w:val="20"/>
          <w:szCs w:val="20"/>
          <w:lang w:val="sr-Cyrl-CS"/>
        </w:rPr>
        <w:t>О спровођењу система интерних контрола и управљању ризицима, генерални директор Друштва редовно, а најмање једном у току пословног тромесечја, извештава Надзорни одбор Друштва.</w:t>
      </w:r>
    </w:p>
    <w:p w14:paraId="1F4E8EF9" w14:textId="77777777" w:rsidR="00A726B9" w:rsidRPr="00BF3CDE" w:rsidRDefault="00A726B9" w:rsidP="00D50EE5">
      <w:pPr>
        <w:spacing w:before="240" w:after="240"/>
        <w:ind w:firstLine="567"/>
        <w:jc w:val="both"/>
        <w:rPr>
          <w:rFonts w:cs="Tahoma"/>
          <w:noProof/>
          <w:sz w:val="20"/>
          <w:szCs w:val="20"/>
          <w:lang w:val="sr-Cyrl-CS"/>
        </w:rPr>
      </w:pPr>
      <w:r w:rsidRPr="00BF3CDE">
        <w:rPr>
          <w:rFonts w:cs="Tahoma"/>
          <w:noProof/>
          <w:sz w:val="20"/>
          <w:szCs w:val="20"/>
          <w:lang w:val="sr-Cyrl-CS"/>
        </w:rPr>
        <w:t>У току 2014. године урађена је анализа ризика којом су идентификовани, процењени и класификовани ризици којима је Друштво изложено у свом пословању како би се обезбедило трајно одржавање степена изложености ризицима на нивоу који неће угрозити имовину и пословање Друштва и који ће обезбедити заштиту интереса цедената и других поверилаца Друштва.</w:t>
      </w:r>
    </w:p>
    <w:p w14:paraId="23CFA001" w14:textId="77777777" w:rsidR="00A726B9" w:rsidRPr="00BF3CDE" w:rsidRDefault="00A726B9" w:rsidP="00D50EE5">
      <w:pPr>
        <w:spacing w:before="240" w:after="240"/>
        <w:ind w:firstLine="567"/>
        <w:jc w:val="both"/>
        <w:rPr>
          <w:rFonts w:cs="Tahoma"/>
          <w:noProof/>
          <w:sz w:val="20"/>
          <w:szCs w:val="20"/>
          <w:lang w:val="sr-Cyrl-CS"/>
        </w:rPr>
      </w:pPr>
      <w:r w:rsidRPr="00BF3CDE">
        <w:rPr>
          <w:rFonts w:cs="Tahoma"/>
          <w:noProof/>
          <w:sz w:val="20"/>
          <w:szCs w:val="20"/>
          <w:lang w:val="sr-Cyrl-CS"/>
        </w:rPr>
        <w:t>Циљеви политике управљања ризицима су обезбеђење услова за минимизирање изложености ризику у дужем року, повећање способности Друштва да апсорбује ризике, реализацију пословних циљева, стратегија и оперативних планова, побољшање квалитета услуга и заштите интереса клијената, као и обезбеђивање услова који ће информације о ризицима учинити доступним заинтересованој јавности.</w:t>
      </w:r>
    </w:p>
    <w:p w14:paraId="6F3A0D05" w14:textId="77777777" w:rsidR="00A726B9" w:rsidRPr="00BF3CDE" w:rsidRDefault="00A726B9" w:rsidP="00D50EE5">
      <w:pPr>
        <w:tabs>
          <w:tab w:val="left" w:pos="567"/>
        </w:tabs>
        <w:overflowPunct w:val="0"/>
        <w:spacing w:before="240" w:after="240"/>
        <w:ind w:firstLine="567"/>
        <w:jc w:val="both"/>
        <w:textAlignment w:val="baseline"/>
        <w:rPr>
          <w:rFonts w:cs="Tahoma"/>
          <w:bCs/>
          <w:noProof/>
          <w:color w:val="000000"/>
          <w:sz w:val="20"/>
          <w:szCs w:val="20"/>
          <w:lang w:val="sr-Cyrl-CS"/>
        </w:rPr>
      </w:pPr>
      <w:r w:rsidRPr="00BF3CDE">
        <w:rPr>
          <w:rFonts w:cs="Tahoma"/>
          <w:bCs/>
          <w:noProof/>
          <w:color w:val="000000"/>
          <w:sz w:val="20"/>
          <w:szCs w:val="20"/>
          <w:lang w:val="sr-Cyrl-CS"/>
        </w:rPr>
        <w:t xml:space="preserve">Приликом процеса идентификације, мерења и процене ризика осигурања, Друштво је вршило процену висине идентификованих ризика по: </w:t>
      </w:r>
    </w:p>
    <w:p w14:paraId="21125DAC" w14:textId="77777777" w:rsidR="00A726B9" w:rsidRPr="00BF3CDE" w:rsidRDefault="00A726B9" w:rsidP="00A726B9">
      <w:pPr>
        <w:pStyle w:val="ListParagraph"/>
        <w:numPr>
          <w:ilvl w:val="0"/>
          <w:numId w:val="40"/>
        </w:numPr>
        <w:tabs>
          <w:tab w:val="left" w:pos="851"/>
        </w:tabs>
        <w:autoSpaceDE w:val="0"/>
        <w:autoSpaceDN w:val="0"/>
        <w:adjustRightInd w:val="0"/>
        <w:spacing w:before="120" w:after="120"/>
        <w:contextualSpacing w:val="0"/>
        <w:jc w:val="both"/>
        <w:rPr>
          <w:rFonts w:cs="Tahoma"/>
          <w:noProof/>
          <w:color w:val="000000"/>
          <w:sz w:val="20"/>
          <w:szCs w:val="20"/>
          <w:lang w:val="sr-Cyrl-CS"/>
        </w:rPr>
      </w:pPr>
      <w:r w:rsidRPr="00BF3CDE">
        <w:rPr>
          <w:rFonts w:cs="Tahoma"/>
          <w:noProof/>
          <w:color w:val="000000"/>
          <w:sz w:val="20"/>
          <w:szCs w:val="20"/>
          <w:lang w:val="sr-Cyrl-CS"/>
        </w:rPr>
        <w:t>Групама ризика и то:</w:t>
      </w:r>
    </w:p>
    <w:p w14:paraId="58A055D7" w14:textId="77777777" w:rsidR="00A726B9" w:rsidRPr="00BF3CDE" w:rsidRDefault="00A726B9" w:rsidP="00A726B9">
      <w:pPr>
        <w:numPr>
          <w:ilvl w:val="0"/>
          <w:numId w:val="39"/>
        </w:numPr>
        <w:tabs>
          <w:tab w:val="left" w:pos="1418"/>
        </w:tabs>
        <w:spacing w:before="120" w:after="120"/>
        <w:ind w:left="1570" w:hanging="357"/>
        <w:contextualSpacing/>
        <w:jc w:val="both"/>
        <w:rPr>
          <w:rFonts w:cs="Tahoma"/>
          <w:noProof/>
          <w:color w:val="000000"/>
          <w:sz w:val="20"/>
          <w:szCs w:val="20"/>
          <w:lang w:val="sr-Cyrl-CS"/>
        </w:rPr>
      </w:pPr>
      <w:r w:rsidRPr="00BF3CDE">
        <w:rPr>
          <w:rFonts w:cs="Tahoma"/>
          <w:noProof/>
          <w:color w:val="000000"/>
          <w:sz w:val="20"/>
          <w:szCs w:val="20"/>
          <w:lang w:val="sr-Cyrl-CS"/>
        </w:rPr>
        <w:t>Ризици активе и пасиве</w:t>
      </w:r>
    </w:p>
    <w:p w14:paraId="1A0A0874" w14:textId="77777777" w:rsidR="00A726B9" w:rsidRPr="00BF3CDE" w:rsidRDefault="00A726B9" w:rsidP="00A726B9">
      <w:pPr>
        <w:numPr>
          <w:ilvl w:val="0"/>
          <w:numId w:val="39"/>
        </w:numPr>
        <w:tabs>
          <w:tab w:val="left" w:pos="1418"/>
        </w:tabs>
        <w:spacing w:before="120" w:after="120"/>
        <w:ind w:left="1570" w:hanging="357"/>
        <w:contextualSpacing/>
        <w:jc w:val="both"/>
        <w:rPr>
          <w:rFonts w:cs="Tahoma"/>
          <w:noProof/>
          <w:color w:val="000000"/>
          <w:sz w:val="20"/>
          <w:szCs w:val="20"/>
          <w:lang w:val="sr-Cyrl-CS"/>
        </w:rPr>
      </w:pPr>
      <w:r w:rsidRPr="00BF3CDE">
        <w:rPr>
          <w:rFonts w:cs="Tahoma"/>
          <w:noProof/>
          <w:color w:val="000000"/>
          <w:sz w:val="20"/>
          <w:szCs w:val="20"/>
          <w:lang w:val="sr-Cyrl-CS"/>
        </w:rPr>
        <w:t>Ризик депоновања и улагања средстава</w:t>
      </w:r>
    </w:p>
    <w:p w14:paraId="0DF2FA79" w14:textId="77777777" w:rsidR="00A726B9" w:rsidRPr="00BF3CDE" w:rsidRDefault="00A726B9" w:rsidP="00A726B9">
      <w:pPr>
        <w:numPr>
          <w:ilvl w:val="0"/>
          <w:numId w:val="39"/>
        </w:numPr>
        <w:tabs>
          <w:tab w:val="left" w:pos="1418"/>
        </w:tabs>
        <w:spacing w:before="120" w:after="120"/>
        <w:ind w:left="1570" w:hanging="357"/>
        <w:contextualSpacing/>
        <w:jc w:val="both"/>
        <w:rPr>
          <w:rFonts w:cs="Tahoma"/>
          <w:noProof/>
          <w:color w:val="000000"/>
          <w:sz w:val="20"/>
          <w:szCs w:val="20"/>
          <w:lang w:val="sr-Cyrl-CS"/>
        </w:rPr>
      </w:pPr>
      <w:r w:rsidRPr="00BF3CDE">
        <w:rPr>
          <w:rFonts w:cs="Tahoma"/>
          <w:noProof/>
          <w:color w:val="000000"/>
          <w:sz w:val="20"/>
          <w:szCs w:val="20"/>
          <w:lang w:val="sr-Cyrl-CS"/>
        </w:rPr>
        <w:t>Тржишни ризици</w:t>
      </w:r>
    </w:p>
    <w:p w14:paraId="3D7FAD81" w14:textId="77777777" w:rsidR="00A726B9" w:rsidRPr="00BF3CDE" w:rsidRDefault="00A726B9" w:rsidP="00A726B9">
      <w:pPr>
        <w:numPr>
          <w:ilvl w:val="0"/>
          <w:numId w:val="39"/>
        </w:numPr>
        <w:tabs>
          <w:tab w:val="left" w:pos="1418"/>
        </w:tabs>
        <w:spacing w:before="120" w:after="120"/>
        <w:ind w:left="1570" w:hanging="357"/>
        <w:contextualSpacing/>
        <w:jc w:val="both"/>
        <w:rPr>
          <w:rFonts w:cs="Tahoma"/>
          <w:noProof/>
          <w:color w:val="000000"/>
          <w:sz w:val="20"/>
          <w:szCs w:val="20"/>
          <w:lang w:val="sr-Cyrl-CS"/>
        </w:rPr>
      </w:pPr>
      <w:r w:rsidRPr="00BF3CDE">
        <w:rPr>
          <w:rFonts w:cs="Tahoma"/>
          <w:noProof/>
          <w:color w:val="000000"/>
          <w:sz w:val="20"/>
          <w:szCs w:val="20"/>
          <w:lang w:val="sr-Cyrl-CS"/>
        </w:rPr>
        <w:t xml:space="preserve">Ризици реосигурања </w:t>
      </w:r>
    </w:p>
    <w:p w14:paraId="662FF485" w14:textId="77777777" w:rsidR="00A726B9" w:rsidRPr="00BF3CDE" w:rsidRDefault="00A726B9" w:rsidP="00A726B9">
      <w:pPr>
        <w:numPr>
          <w:ilvl w:val="0"/>
          <w:numId w:val="39"/>
        </w:numPr>
        <w:tabs>
          <w:tab w:val="left" w:pos="1418"/>
        </w:tabs>
        <w:spacing w:before="120" w:after="120"/>
        <w:ind w:left="1570" w:hanging="357"/>
        <w:contextualSpacing/>
        <w:jc w:val="both"/>
        <w:rPr>
          <w:rFonts w:cs="Tahoma"/>
          <w:noProof/>
          <w:color w:val="000000"/>
          <w:sz w:val="20"/>
          <w:szCs w:val="20"/>
          <w:lang w:val="sr-Cyrl-CS"/>
        </w:rPr>
      </w:pPr>
      <w:r w:rsidRPr="00BF3CDE">
        <w:rPr>
          <w:rFonts w:cs="Tahoma"/>
          <w:noProof/>
          <w:color w:val="000000"/>
          <w:sz w:val="20"/>
          <w:szCs w:val="20"/>
          <w:lang w:val="sr-Cyrl-CS"/>
        </w:rPr>
        <w:t>Оперативни ризици</w:t>
      </w:r>
    </w:p>
    <w:p w14:paraId="58C4772B" w14:textId="77777777" w:rsidR="00A726B9" w:rsidRPr="00BF3CDE" w:rsidRDefault="00A726B9" w:rsidP="00A726B9">
      <w:pPr>
        <w:numPr>
          <w:ilvl w:val="0"/>
          <w:numId w:val="39"/>
        </w:numPr>
        <w:tabs>
          <w:tab w:val="left" w:pos="1418"/>
        </w:tabs>
        <w:spacing w:before="120" w:after="120"/>
        <w:ind w:left="1570" w:hanging="357"/>
        <w:contextualSpacing/>
        <w:jc w:val="both"/>
        <w:rPr>
          <w:rFonts w:cs="Tahoma"/>
          <w:noProof/>
          <w:color w:val="000000"/>
          <w:sz w:val="20"/>
          <w:szCs w:val="20"/>
          <w:lang w:val="sr-Cyrl-CS"/>
        </w:rPr>
      </w:pPr>
      <w:r w:rsidRPr="00BF3CDE">
        <w:rPr>
          <w:rFonts w:cs="Tahoma"/>
          <w:noProof/>
          <w:color w:val="000000"/>
          <w:sz w:val="20"/>
          <w:szCs w:val="20"/>
          <w:lang w:val="sr-Cyrl-CS"/>
        </w:rPr>
        <w:t xml:space="preserve">Правни  ризици </w:t>
      </w:r>
    </w:p>
    <w:p w14:paraId="041C9932" w14:textId="77777777" w:rsidR="00A726B9" w:rsidRDefault="00A726B9" w:rsidP="00A726B9">
      <w:pPr>
        <w:pStyle w:val="ListParagraph"/>
        <w:numPr>
          <w:ilvl w:val="0"/>
          <w:numId w:val="40"/>
        </w:numPr>
        <w:tabs>
          <w:tab w:val="left" w:pos="851"/>
        </w:tabs>
        <w:autoSpaceDE w:val="0"/>
        <w:autoSpaceDN w:val="0"/>
        <w:adjustRightInd w:val="0"/>
        <w:spacing w:before="120" w:after="120"/>
        <w:contextualSpacing w:val="0"/>
        <w:jc w:val="both"/>
        <w:rPr>
          <w:rFonts w:cs="Tahoma"/>
          <w:noProof/>
          <w:color w:val="000000"/>
          <w:sz w:val="20"/>
          <w:szCs w:val="20"/>
          <w:lang w:val="sr-Cyrl-CS"/>
        </w:rPr>
      </w:pPr>
      <w:r w:rsidRPr="00BF3CDE">
        <w:rPr>
          <w:rFonts w:cs="Tahoma"/>
          <w:noProof/>
          <w:color w:val="000000"/>
          <w:sz w:val="20"/>
          <w:szCs w:val="20"/>
          <w:lang w:val="sr-Cyrl-CS"/>
        </w:rPr>
        <w:t>Подгрупама ризика у оквиру група ризика;</w:t>
      </w:r>
    </w:p>
    <w:p w14:paraId="3588BBD5" w14:textId="77777777" w:rsidR="00D50EE5" w:rsidRDefault="00D50EE5" w:rsidP="00D50EE5">
      <w:pPr>
        <w:tabs>
          <w:tab w:val="left" w:pos="851"/>
        </w:tabs>
        <w:autoSpaceDE w:val="0"/>
        <w:autoSpaceDN w:val="0"/>
        <w:adjustRightInd w:val="0"/>
        <w:spacing w:before="120" w:after="120"/>
        <w:jc w:val="both"/>
        <w:rPr>
          <w:rFonts w:cs="Tahoma"/>
          <w:noProof/>
          <w:color w:val="000000"/>
          <w:sz w:val="20"/>
          <w:szCs w:val="20"/>
          <w:lang w:val="sr-Cyrl-CS"/>
        </w:rPr>
      </w:pPr>
    </w:p>
    <w:p w14:paraId="366E95C6" w14:textId="77777777" w:rsidR="00D50EE5" w:rsidRDefault="00D50EE5" w:rsidP="00D50EE5">
      <w:pPr>
        <w:tabs>
          <w:tab w:val="left" w:pos="851"/>
        </w:tabs>
        <w:autoSpaceDE w:val="0"/>
        <w:autoSpaceDN w:val="0"/>
        <w:adjustRightInd w:val="0"/>
        <w:spacing w:before="120" w:after="120"/>
        <w:jc w:val="both"/>
        <w:rPr>
          <w:rFonts w:cs="Tahoma"/>
          <w:noProof/>
          <w:color w:val="000000"/>
          <w:sz w:val="20"/>
          <w:szCs w:val="20"/>
          <w:lang w:val="sr-Cyrl-CS"/>
        </w:rPr>
      </w:pPr>
    </w:p>
    <w:p w14:paraId="4B749649" w14:textId="77777777" w:rsidR="00D50EE5" w:rsidRPr="00D50EE5" w:rsidRDefault="00D50EE5" w:rsidP="00D50EE5">
      <w:pPr>
        <w:tabs>
          <w:tab w:val="left" w:pos="851"/>
        </w:tabs>
        <w:autoSpaceDE w:val="0"/>
        <w:autoSpaceDN w:val="0"/>
        <w:adjustRightInd w:val="0"/>
        <w:spacing w:before="120" w:after="120"/>
        <w:jc w:val="both"/>
        <w:rPr>
          <w:rFonts w:cs="Tahoma"/>
          <w:noProof/>
          <w:color w:val="000000"/>
          <w:sz w:val="20"/>
          <w:szCs w:val="20"/>
          <w:lang w:val="sr-Cyrl-CS"/>
        </w:rPr>
      </w:pPr>
    </w:p>
    <w:p w14:paraId="582DCE35" w14:textId="77777777" w:rsidR="00A726B9" w:rsidRPr="00BF3CDE" w:rsidRDefault="00A726B9" w:rsidP="00A726B9">
      <w:pPr>
        <w:pStyle w:val="ListParagraph"/>
        <w:numPr>
          <w:ilvl w:val="0"/>
          <w:numId w:val="40"/>
        </w:numPr>
        <w:tabs>
          <w:tab w:val="left" w:pos="851"/>
        </w:tabs>
        <w:autoSpaceDE w:val="0"/>
        <w:autoSpaceDN w:val="0"/>
        <w:adjustRightInd w:val="0"/>
        <w:spacing w:before="120" w:after="120"/>
        <w:contextualSpacing w:val="0"/>
        <w:jc w:val="both"/>
        <w:rPr>
          <w:rFonts w:cs="Tahoma"/>
          <w:noProof/>
          <w:color w:val="000000"/>
          <w:sz w:val="20"/>
          <w:szCs w:val="20"/>
          <w:lang w:val="sr-Cyrl-CS"/>
        </w:rPr>
      </w:pPr>
      <w:r w:rsidRPr="00BF3CDE">
        <w:rPr>
          <w:rFonts w:cs="Tahoma"/>
          <w:noProof/>
          <w:color w:val="000000"/>
          <w:sz w:val="20"/>
          <w:szCs w:val="20"/>
          <w:lang w:val="sr-Cyrl-CS"/>
        </w:rPr>
        <w:t>Појединачним ризицима у оквиру подгрупа ризика;</w:t>
      </w:r>
    </w:p>
    <w:p w14:paraId="704CA62F" w14:textId="77777777" w:rsidR="00A726B9" w:rsidRPr="00BF3CDE" w:rsidRDefault="00A726B9" w:rsidP="00A726B9">
      <w:pPr>
        <w:tabs>
          <w:tab w:val="left" w:pos="567"/>
        </w:tabs>
        <w:overflowPunct w:val="0"/>
        <w:autoSpaceDE w:val="0"/>
        <w:autoSpaceDN w:val="0"/>
        <w:adjustRightInd w:val="0"/>
        <w:spacing w:before="120" w:after="120"/>
        <w:ind w:firstLine="567"/>
        <w:jc w:val="both"/>
        <w:textAlignment w:val="baseline"/>
        <w:rPr>
          <w:rFonts w:cs="Tahoma"/>
          <w:bCs/>
          <w:noProof/>
          <w:color w:val="000000"/>
          <w:sz w:val="20"/>
          <w:szCs w:val="20"/>
          <w:lang w:val="sr-Cyrl-CS"/>
        </w:rPr>
      </w:pPr>
      <w:r w:rsidRPr="00BF3CDE">
        <w:rPr>
          <w:rFonts w:cs="Tahoma"/>
          <w:bCs/>
          <w:noProof/>
          <w:color w:val="000000"/>
          <w:sz w:val="20"/>
          <w:szCs w:val="20"/>
          <w:lang w:val="sr-Cyrl-CS"/>
        </w:rPr>
        <w:t>У свим случајевима, када је то могуће, вршиле су се квантитативне анализе уз обавезну класификацију ризика из угла степена њиховог утицаја на пословање Друштва:</w:t>
      </w:r>
    </w:p>
    <w:p w14:paraId="47905E99" w14:textId="77777777" w:rsidR="00A726B9" w:rsidRPr="00BF3CDE" w:rsidRDefault="00A726B9" w:rsidP="00A726B9">
      <w:pPr>
        <w:numPr>
          <w:ilvl w:val="0"/>
          <w:numId w:val="39"/>
        </w:numPr>
        <w:tabs>
          <w:tab w:val="left" w:pos="1418"/>
        </w:tabs>
        <w:spacing w:before="120" w:after="120"/>
        <w:ind w:left="1570" w:hanging="357"/>
        <w:contextualSpacing/>
        <w:jc w:val="both"/>
        <w:rPr>
          <w:rFonts w:cs="Tahoma"/>
          <w:noProof/>
          <w:color w:val="000000"/>
          <w:sz w:val="20"/>
          <w:szCs w:val="20"/>
          <w:lang w:val="sr-Cyrl-CS"/>
        </w:rPr>
      </w:pPr>
      <w:r w:rsidRPr="00BF3CDE">
        <w:rPr>
          <w:rFonts w:cs="Tahoma"/>
          <w:noProof/>
          <w:color w:val="000000"/>
          <w:sz w:val="20"/>
          <w:szCs w:val="20"/>
          <w:lang w:val="sr-Cyrl-CS"/>
        </w:rPr>
        <w:t>Низак ризик,</w:t>
      </w:r>
    </w:p>
    <w:p w14:paraId="0889E170" w14:textId="77777777" w:rsidR="00A726B9" w:rsidRPr="00BF3CDE" w:rsidRDefault="00A726B9" w:rsidP="00A726B9">
      <w:pPr>
        <w:numPr>
          <w:ilvl w:val="0"/>
          <w:numId w:val="39"/>
        </w:numPr>
        <w:tabs>
          <w:tab w:val="left" w:pos="1418"/>
        </w:tabs>
        <w:spacing w:before="120" w:after="120"/>
        <w:ind w:left="1570" w:hanging="357"/>
        <w:contextualSpacing/>
        <w:jc w:val="both"/>
        <w:rPr>
          <w:rFonts w:cs="Tahoma"/>
          <w:noProof/>
          <w:color w:val="000000"/>
          <w:sz w:val="20"/>
          <w:szCs w:val="20"/>
          <w:lang w:val="sr-Cyrl-CS"/>
        </w:rPr>
      </w:pPr>
      <w:r w:rsidRPr="00BF3CDE">
        <w:rPr>
          <w:rFonts w:cs="Tahoma"/>
          <w:noProof/>
          <w:color w:val="000000"/>
          <w:sz w:val="20"/>
          <w:szCs w:val="20"/>
          <w:lang w:val="sr-Cyrl-CS"/>
        </w:rPr>
        <w:t>Ризик средњег интензитета,</w:t>
      </w:r>
    </w:p>
    <w:p w14:paraId="2C9A2E9A" w14:textId="77777777" w:rsidR="00A726B9" w:rsidRPr="00BF3CDE" w:rsidRDefault="00A726B9" w:rsidP="00A726B9">
      <w:pPr>
        <w:numPr>
          <w:ilvl w:val="0"/>
          <w:numId w:val="39"/>
        </w:numPr>
        <w:tabs>
          <w:tab w:val="left" w:pos="1418"/>
        </w:tabs>
        <w:spacing w:before="120" w:after="120"/>
        <w:ind w:left="1570" w:hanging="357"/>
        <w:contextualSpacing/>
        <w:jc w:val="both"/>
        <w:rPr>
          <w:rFonts w:cs="Tahoma"/>
          <w:noProof/>
          <w:color w:val="000000"/>
          <w:sz w:val="20"/>
          <w:szCs w:val="20"/>
          <w:lang w:val="sr-Cyrl-CS"/>
        </w:rPr>
      </w:pPr>
      <w:r w:rsidRPr="00BF3CDE">
        <w:rPr>
          <w:rFonts w:cs="Tahoma"/>
          <w:noProof/>
          <w:color w:val="000000"/>
          <w:sz w:val="20"/>
          <w:szCs w:val="20"/>
          <w:lang w:val="sr-Cyrl-CS"/>
        </w:rPr>
        <w:t>Висок ризик,</w:t>
      </w:r>
    </w:p>
    <w:p w14:paraId="31FA842A" w14:textId="77777777" w:rsidR="00A726B9" w:rsidRPr="00BF3CDE" w:rsidRDefault="00A726B9" w:rsidP="00A726B9">
      <w:pPr>
        <w:numPr>
          <w:ilvl w:val="0"/>
          <w:numId w:val="39"/>
        </w:numPr>
        <w:tabs>
          <w:tab w:val="left" w:pos="1418"/>
        </w:tabs>
        <w:spacing w:before="120" w:after="120"/>
        <w:ind w:left="1570" w:hanging="357"/>
        <w:contextualSpacing/>
        <w:jc w:val="both"/>
        <w:rPr>
          <w:rFonts w:cs="Tahoma"/>
          <w:noProof/>
          <w:color w:val="000000"/>
          <w:sz w:val="20"/>
          <w:szCs w:val="20"/>
          <w:lang w:val="sr-Cyrl-CS"/>
        </w:rPr>
      </w:pPr>
      <w:r w:rsidRPr="00BF3CDE">
        <w:rPr>
          <w:rFonts w:cs="Tahoma"/>
          <w:noProof/>
          <w:color w:val="000000"/>
          <w:sz w:val="20"/>
          <w:szCs w:val="20"/>
          <w:lang w:val="sr-Cyrl-CS"/>
        </w:rPr>
        <w:t>Екстреман ризик</w:t>
      </w:r>
    </w:p>
    <w:p w14:paraId="72AD1E44" w14:textId="77777777" w:rsidR="00A726B9" w:rsidRPr="00BF3CDE" w:rsidRDefault="00A726B9" w:rsidP="00A726B9">
      <w:pPr>
        <w:spacing w:before="120" w:after="120"/>
        <w:ind w:firstLine="567"/>
        <w:jc w:val="both"/>
        <w:rPr>
          <w:rFonts w:cs="Tahoma"/>
          <w:noProof/>
          <w:color w:val="000000"/>
          <w:sz w:val="20"/>
          <w:szCs w:val="20"/>
          <w:lang w:val="sr-Cyrl-CS"/>
        </w:rPr>
      </w:pPr>
      <w:r w:rsidRPr="00BF3CDE">
        <w:rPr>
          <w:rFonts w:cs="Tahoma"/>
          <w:noProof/>
          <w:color w:val="000000"/>
          <w:sz w:val="20"/>
          <w:szCs w:val="20"/>
          <w:lang w:val="sr-Cyrl-CS"/>
        </w:rPr>
        <w:t>Носиоци система управљања ризицима су:</w:t>
      </w:r>
    </w:p>
    <w:p w14:paraId="766EFCD4" w14:textId="77777777" w:rsidR="00A726B9" w:rsidRPr="00BF3CDE" w:rsidRDefault="00A726B9" w:rsidP="00A726B9">
      <w:pPr>
        <w:numPr>
          <w:ilvl w:val="0"/>
          <w:numId w:val="41"/>
        </w:numPr>
        <w:tabs>
          <w:tab w:val="clear" w:pos="3229"/>
          <w:tab w:val="num" w:pos="567"/>
          <w:tab w:val="num" w:pos="1134"/>
        </w:tabs>
        <w:overflowPunct w:val="0"/>
        <w:autoSpaceDE w:val="0"/>
        <w:autoSpaceDN w:val="0"/>
        <w:adjustRightInd w:val="0"/>
        <w:spacing w:before="120" w:after="120"/>
        <w:ind w:left="567" w:hanging="357"/>
        <w:contextualSpacing/>
        <w:jc w:val="both"/>
        <w:textAlignment w:val="baseline"/>
        <w:rPr>
          <w:rFonts w:cs="Tahoma"/>
          <w:noProof/>
          <w:color w:val="000000"/>
          <w:sz w:val="20"/>
          <w:szCs w:val="20"/>
          <w:lang w:val="sr-Cyrl-CS"/>
        </w:rPr>
      </w:pPr>
      <w:r w:rsidRPr="00BF3CDE">
        <w:rPr>
          <w:rFonts w:cs="Tahoma"/>
          <w:noProof/>
          <w:color w:val="000000"/>
          <w:sz w:val="20"/>
          <w:szCs w:val="20"/>
          <w:lang w:val="sr-Cyrl-CS"/>
        </w:rPr>
        <w:t>Надзорни одбор Друштва</w:t>
      </w:r>
    </w:p>
    <w:p w14:paraId="1AE64109" w14:textId="77777777" w:rsidR="00A726B9" w:rsidRPr="00BF3CDE" w:rsidRDefault="00A726B9" w:rsidP="00A726B9">
      <w:pPr>
        <w:numPr>
          <w:ilvl w:val="0"/>
          <w:numId w:val="41"/>
        </w:numPr>
        <w:tabs>
          <w:tab w:val="clear" w:pos="3229"/>
          <w:tab w:val="num" w:pos="567"/>
          <w:tab w:val="num" w:pos="1134"/>
        </w:tabs>
        <w:overflowPunct w:val="0"/>
        <w:autoSpaceDE w:val="0"/>
        <w:autoSpaceDN w:val="0"/>
        <w:adjustRightInd w:val="0"/>
        <w:spacing w:before="120" w:after="120"/>
        <w:ind w:left="567" w:hanging="357"/>
        <w:contextualSpacing/>
        <w:jc w:val="both"/>
        <w:textAlignment w:val="baseline"/>
        <w:rPr>
          <w:rFonts w:cs="Tahoma"/>
          <w:noProof/>
          <w:color w:val="000000"/>
          <w:sz w:val="20"/>
          <w:szCs w:val="20"/>
          <w:lang w:val="sr-Cyrl-CS"/>
        </w:rPr>
      </w:pPr>
      <w:r w:rsidRPr="00BF3CDE">
        <w:rPr>
          <w:rFonts w:cs="Tahoma"/>
          <w:noProof/>
          <w:color w:val="000000"/>
          <w:sz w:val="20"/>
          <w:szCs w:val="20"/>
          <w:lang w:val="sr-Cyrl-CS"/>
        </w:rPr>
        <w:t>Генерални директор Друштва</w:t>
      </w:r>
    </w:p>
    <w:p w14:paraId="0E59BF07" w14:textId="77777777" w:rsidR="00A726B9" w:rsidRPr="00BF3CDE" w:rsidRDefault="00A726B9" w:rsidP="00A726B9">
      <w:pPr>
        <w:numPr>
          <w:ilvl w:val="0"/>
          <w:numId w:val="41"/>
        </w:numPr>
        <w:tabs>
          <w:tab w:val="clear" w:pos="3229"/>
          <w:tab w:val="num" w:pos="567"/>
          <w:tab w:val="num" w:pos="1134"/>
        </w:tabs>
        <w:overflowPunct w:val="0"/>
        <w:autoSpaceDE w:val="0"/>
        <w:autoSpaceDN w:val="0"/>
        <w:adjustRightInd w:val="0"/>
        <w:spacing w:before="120" w:after="120"/>
        <w:ind w:left="567" w:hanging="357"/>
        <w:contextualSpacing/>
        <w:jc w:val="both"/>
        <w:textAlignment w:val="baseline"/>
        <w:rPr>
          <w:rFonts w:cs="Tahoma"/>
          <w:noProof/>
          <w:color w:val="000000"/>
          <w:sz w:val="20"/>
          <w:szCs w:val="20"/>
          <w:lang w:val="sr-Cyrl-CS"/>
        </w:rPr>
      </w:pPr>
      <w:r w:rsidRPr="00BF3CDE">
        <w:rPr>
          <w:rFonts w:cs="Tahoma"/>
          <w:noProof/>
          <w:color w:val="000000"/>
          <w:sz w:val="20"/>
          <w:szCs w:val="20"/>
          <w:lang w:val="sr-Cyrl-CS"/>
        </w:rPr>
        <w:t>Извршни одбор Друштва</w:t>
      </w:r>
    </w:p>
    <w:p w14:paraId="24023155" w14:textId="77777777" w:rsidR="00A726B9" w:rsidRPr="00BF3CDE" w:rsidRDefault="00A726B9" w:rsidP="00A726B9">
      <w:pPr>
        <w:numPr>
          <w:ilvl w:val="0"/>
          <w:numId w:val="41"/>
        </w:numPr>
        <w:tabs>
          <w:tab w:val="clear" w:pos="3229"/>
          <w:tab w:val="num" w:pos="567"/>
          <w:tab w:val="num" w:pos="1134"/>
        </w:tabs>
        <w:overflowPunct w:val="0"/>
        <w:autoSpaceDE w:val="0"/>
        <w:autoSpaceDN w:val="0"/>
        <w:adjustRightInd w:val="0"/>
        <w:spacing w:before="120" w:after="120"/>
        <w:ind w:left="567" w:hanging="357"/>
        <w:contextualSpacing/>
        <w:jc w:val="both"/>
        <w:textAlignment w:val="baseline"/>
        <w:rPr>
          <w:rFonts w:cs="Tahoma"/>
          <w:noProof/>
          <w:color w:val="000000"/>
          <w:sz w:val="20"/>
          <w:szCs w:val="20"/>
          <w:lang w:val="sr-Cyrl-CS"/>
        </w:rPr>
      </w:pPr>
      <w:r w:rsidRPr="00BF3CDE">
        <w:rPr>
          <w:rFonts w:cs="Tahoma"/>
          <w:noProof/>
          <w:color w:val="000000"/>
          <w:sz w:val="20"/>
          <w:szCs w:val="20"/>
          <w:lang w:val="sr-Cyrl-CS"/>
        </w:rPr>
        <w:t xml:space="preserve">Организациони делови Друштва (за ризике за које су непосредно надлежни у складу са Правилником о организацији и систематизацији послова Друштва </w:t>
      </w:r>
      <w:r w:rsidRPr="00BF3CDE">
        <w:rPr>
          <w:rFonts w:cs="Tahoma"/>
          <w:noProof/>
          <w:sz w:val="20"/>
          <w:szCs w:val="20"/>
          <w:lang w:val="sr-Cyrl-CS"/>
        </w:rPr>
        <w:t>Дунав РЕ а.д.о.</w:t>
      </w:r>
      <w:r w:rsidRPr="00BF3CDE">
        <w:rPr>
          <w:rFonts w:cs="Tahoma"/>
          <w:noProof/>
          <w:color w:val="000000"/>
          <w:sz w:val="20"/>
          <w:szCs w:val="20"/>
          <w:lang w:val="sr-Cyrl-CS"/>
        </w:rPr>
        <w:t>)</w:t>
      </w:r>
    </w:p>
    <w:p w14:paraId="35E6DFEB" w14:textId="77777777" w:rsidR="00D50EE5" w:rsidRPr="00D50EE5" w:rsidRDefault="00D50EE5" w:rsidP="00A726B9">
      <w:pPr>
        <w:spacing w:before="120" w:after="120"/>
        <w:ind w:firstLine="567"/>
        <w:jc w:val="both"/>
        <w:rPr>
          <w:rFonts w:cs="Tahoma"/>
          <w:noProof/>
          <w:sz w:val="2"/>
          <w:szCs w:val="2"/>
          <w:lang w:val="sr-Cyrl-CS"/>
        </w:rPr>
      </w:pPr>
    </w:p>
    <w:p w14:paraId="2FA0BDEB" w14:textId="77777777" w:rsidR="00A726B9" w:rsidRPr="00BF3CDE" w:rsidRDefault="00A726B9" w:rsidP="00A726B9">
      <w:pPr>
        <w:spacing w:before="120" w:after="120"/>
        <w:ind w:firstLine="567"/>
        <w:jc w:val="both"/>
        <w:rPr>
          <w:rFonts w:cs="Tahoma"/>
          <w:noProof/>
          <w:sz w:val="20"/>
          <w:szCs w:val="20"/>
          <w:lang w:val="sr-Cyrl-CS"/>
        </w:rPr>
      </w:pPr>
      <w:r w:rsidRPr="00BF3CDE">
        <w:rPr>
          <w:rFonts w:cs="Tahoma"/>
          <w:noProof/>
          <w:sz w:val="20"/>
          <w:szCs w:val="20"/>
          <w:lang w:val="sr-Cyrl-CS"/>
        </w:rPr>
        <w:t>Друштво је идентификовало и класификовало 29 ризика, односно један ризик више у односу на 2013. годину, који су класификовани у складу са класификацијом ризика из Одлуке Народне банке Србије о систему интерних контрола и управљању ризицима у пословању друштва за осигурање („Сл. гласник РС, бр. 12/07).</w:t>
      </w:r>
    </w:p>
    <w:p w14:paraId="44A2A96E" w14:textId="77777777" w:rsidR="00A726B9" w:rsidRPr="00BF3CDE" w:rsidRDefault="00A726B9" w:rsidP="00A726B9">
      <w:pPr>
        <w:spacing w:before="120" w:after="120"/>
        <w:ind w:firstLine="567"/>
        <w:jc w:val="both"/>
        <w:rPr>
          <w:rFonts w:cs="Tahoma"/>
          <w:noProof/>
          <w:sz w:val="20"/>
          <w:szCs w:val="20"/>
          <w:lang w:val="sr-Cyrl-CS"/>
        </w:rPr>
      </w:pPr>
      <w:r w:rsidRPr="00BF3CDE">
        <w:rPr>
          <w:rFonts w:cs="Tahoma"/>
          <w:noProof/>
          <w:sz w:val="20"/>
          <w:szCs w:val="20"/>
          <w:lang w:val="sr-Cyrl-CS"/>
        </w:rPr>
        <w:t>У Извештају о спровођењу система интерних контрола и управљању ризицима за 2014. годину идентификовани су и кавантификовани ризици за које је процењено да буду од највећег утицаја на пословање Друштва.</w:t>
      </w:r>
    </w:p>
    <w:p w14:paraId="2F4AAF43" w14:textId="77777777" w:rsidR="00A726B9" w:rsidRPr="00BF3CDE" w:rsidRDefault="00A726B9" w:rsidP="00A726B9">
      <w:pPr>
        <w:ind w:firstLine="360"/>
        <w:jc w:val="center"/>
        <w:rPr>
          <w:rStyle w:val="IntenseEmphasis"/>
          <w:rFonts w:asciiTheme="majorHAnsi" w:hAnsiTheme="majorHAnsi"/>
          <w:noProof/>
          <w:lang w:val="sr-Cyrl-CS"/>
        </w:rPr>
      </w:pPr>
      <w:r w:rsidRPr="00BF3CDE">
        <w:rPr>
          <w:rStyle w:val="IntenseEmphasis"/>
          <w:rFonts w:asciiTheme="majorHAnsi" w:hAnsiTheme="majorHAnsi"/>
          <w:noProof/>
          <w:lang w:val="sr-Cyrl-CS"/>
        </w:rPr>
        <w:t>КЛАСИФИКАЦИЈА РИЗИКА ПРЕМА ОДЛУЦИ НБС</w:t>
      </w:r>
    </w:p>
    <w:tbl>
      <w:tblPr>
        <w:tblW w:w="9748" w:type="dxa"/>
        <w:tblBorders>
          <w:top w:val="single" w:sz="18" w:space="0" w:color="auto"/>
          <w:bottom w:val="single" w:sz="18" w:space="0" w:color="auto"/>
        </w:tblBorders>
        <w:tblLayout w:type="fixed"/>
        <w:tblLook w:val="04A0" w:firstRow="1" w:lastRow="0" w:firstColumn="1" w:lastColumn="0" w:noHBand="0" w:noVBand="1"/>
      </w:tblPr>
      <w:tblGrid>
        <w:gridCol w:w="534"/>
        <w:gridCol w:w="6378"/>
        <w:gridCol w:w="993"/>
        <w:gridCol w:w="1843"/>
      </w:tblGrid>
      <w:tr w:rsidR="00A726B9" w:rsidRPr="00BF3CDE" w14:paraId="7D8B3132" w14:textId="77777777" w:rsidTr="00361B84">
        <w:tc>
          <w:tcPr>
            <w:tcW w:w="534" w:type="dxa"/>
            <w:tcBorders>
              <w:top w:val="single" w:sz="18" w:space="0" w:color="auto"/>
              <w:left w:val="nil"/>
              <w:bottom w:val="single" w:sz="18" w:space="0" w:color="auto"/>
              <w:right w:val="nil"/>
            </w:tcBorders>
            <w:shd w:val="clear" w:color="auto" w:fill="4F81BD"/>
            <w:vAlign w:val="center"/>
          </w:tcPr>
          <w:p w14:paraId="5F32700F" w14:textId="77777777" w:rsidR="00A726B9" w:rsidRPr="00BF3CDE" w:rsidRDefault="00A726B9" w:rsidP="00A726B9">
            <w:pPr>
              <w:pStyle w:val="NoSpacing"/>
              <w:jc w:val="center"/>
              <w:rPr>
                <w:b/>
                <w:noProof/>
                <w:color w:val="FFFFFF" w:themeColor="background1"/>
                <w:sz w:val="16"/>
                <w:szCs w:val="18"/>
                <w:lang w:val="sr-Cyrl-CS"/>
              </w:rPr>
            </w:pPr>
            <w:r w:rsidRPr="00BF3CDE">
              <w:rPr>
                <w:b/>
                <w:noProof/>
                <w:color w:val="FFFFFF" w:themeColor="background1"/>
                <w:sz w:val="16"/>
                <w:szCs w:val="18"/>
                <w:lang w:val="sr-Cyrl-CS"/>
              </w:rPr>
              <w:t>БР.</w:t>
            </w:r>
          </w:p>
        </w:tc>
        <w:tc>
          <w:tcPr>
            <w:tcW w:w="6378" w:type="dxa"/>
            <w:tcBorders>
              <w:top w:val="single" w:sz="18" w:space="0" w:color="auto"/>
              <w:left w:val="nil"/>
              <w:bottom w:val="single" w:sz="18" w:space="0" w:color="auto"/>
              <w:right w:val="nil"/>
            </w:tcBorders>
            <w:shd w:val="clear" w:color="auto" w:fill="4F81BD"/>
            <w:vAlign w:val="center"/>
          </w:tcPr>
          <w:p w14:paraId="2D01DDAC" w14:textId="77777777" w:rsidR="00A726B9" w:rsidRPr="00BF3CDE" w:rsidRDefault="00A726B9" w:rsidP="00A726B9">
            <w:pPr>
              <w:pStyle w:val="NoSpacing"/>
              <w:jc w:val="center"/>
              <w:rPr>
                <w:b/>
                <w:noProof/>
                <w:color w:val="FFFFFF" w:themeColor="background1"/>
                <w:sz w:val="16"/>
                <w:szCs w:val="18"/>
                <w:lang w:val="sr-Cyrl-CS"/>
              </w:rPr>
            </w:pPr>
            <w:r w:rsidRPr="00BF3CDE">
              <w:rPr>
                <w:b/>
                <w:noProof/>
                <w:color w:val="FFFFFF" w:themeColor="background1"/>
                <w:sz w:val="16"/>
                <w:szCs w:val="18"/>
                <w:lang w:val="sr-Cyrl-CS"/>
              </w:rPr>
              <w:t>КЛАСИФИКАЦИЈА РИЗИКА</w:t>
            </w:r>
          </w:p>
        </w:tc>
        <w:tc>
          <w:tcPr>
            <w:tcW w:w="993" w:type="dxa"/>
            <w:tcBorders>
              <w:top w:val="single" w:sz="18" w:space="0" w:color="auto"/>
              <w:left w:val="nil"/>
              <w:bottom w:val="single" w:sz="18" w:space="0" w:color="auto"/>
              <w:right w:val="nil"/>
            </w:tcBorders>
            <w:shd w:val="clear" w:color="auto" w:fill="4F81BD"/>
            <w:vAlign w:val="center"/>
          </w:tcPr>
          <w:p w14:paraId="3BA1CA61" w14:textId="77777777" w:rsidR="00A726B9" w:rsidRPr="00BF3CDE" w:rsidRDefault="00A726B9" w:rsidP="00A726B9">
            <w:pPr>
              <w:pStyle w:val="NoSpacing"/>
              <w:jc w:val="center"/>
              <w:rPr>
                <w:b/>
                <w:noProof/>
                <w:color w:val="FFFFFF" w:themeColor="background1"/>
                <w:sz w:val="16"/>
                <w:szCs w:val="18"/>
                <w:lang w:val="sr-Cyrl-CS"/>
              </w:rPr>
            </w:pPr>
            <w:r w:rsidRPr="00BF3CDE">
              <w:rPr>
                <w:b/>
                <w:noProof/>
                <w:color w:val="FFFFFF" w:themeColor="background1"/>
                <w:sz w:val="16"/>
                <w:szCs w:val="18"/>
                <w:lang w:val="sr-Cyrl-CS"/>
              </w:rPr>
              <w:t>БРОЈ РИЗИКА</w:t>
            </w:r>
          </w:p>
        </w:tc>
        <w:tc>
          <w:tcPr>
            <w:tcW w:w="1843" w:type="dxa"/>
            <w:tcBorders>
              <w:top w:val="single" w:sz="18" w:space="0" w:color="auto"/>
              <w:left w:val="nil"/>
              <w:bottom w:val="single" w:sz="18" w:space="0" w:color="auto"/>
              <w:right w:val="nil"/>
            </w:tcBorders>
            <w:shd w:val="clear" w:color="auto" w:fill="4F81BD"/>
            <w:vAlign w:val="center"/>
          </w:tcPr>
          <w:p w14:paraId="48DDBC3C" w14:textId="77777777" w:rsidR="00A726B9" w:rsidRPr="00BF3CDE" w:rsidRDefault="00A726B9" w:rsidP="00A726B9">
            <w:pPr>
              <w:pStyle w:val="NoSpacing"/>
              <w:jc w:val="center"/>
              <w:rPr>
                <w:b/>
                <w:noProof/>
                <w:color w:val="FFFFFF" w:themeColor="background1"/>
                <w:sz w:val="16"/>
                <w:szCs w:val="18"/>
                <w:lang w:val="sr-Cyrl-CS"/>
              </w:rPr>
            </w:pPr>
            <w:r w:rsidRPr="00BF3CDE">
              <w:rPr>
                <w:b/>
                <w:noProof/>
                <w:color w:val="FFFFFF" w:themeColor="background1"/>
                <w:sz w:val="16"/>
                <w:szCs w:val="18"/>
                <w:lang w:val="sr-Cyrl-CS"/>
              </w:rPr>
              <w:t>ПРОСЕЧНА КЛАСИФИКАЦИЈА РИЗИКА</w:t>
            </w:r>
          </w:p>
        </w:tc>
      </w:tr>
      <w:tr w:rsidR="00A726B9" w:rsidRPr="00BF3CDE" w14:paraId="14BB452E" w14:textId="77777777" w:rsidTr="00A726B9">
        <w:trPr>
          <w:trHeight w:val="283"/>
        </w:trPr>
        <w:tc>
          <w:tcPr>
            <w:tcW w:w="534" w:type="dxa"/>
            <w:tcBorders>
              <w:left w:val="nil"/>
              <w:bottom w:val="nil"/>
              <w:right w:val="nil"/>
            </w:tcBorders>
            <w:shd w:val="clear" w:color="auto" w:fill="4F81BD"/>
            <w:vAlign w:val="center"/>
          </w:tcPr>
          <w:p w14:paraId="5FEB3E7A" w14:textId="77777777" w:rsidR="00A726B9" w:rsidRPr="00BF3CDE" w:rsidRDefault="00A726B9" w:rsidP="00A726B9">
            <w:pPr>
              <w:pStyle w:val="NoSpacing"/>
              <w:rPr>
                <w:b/>
                <w:noProof/>
                <w:color w:val="FFFFFF" w:themeColor="background1"/>
                <w:sz w:val="18"/>
                <w:szCs w:val="18"/>
                <w:lang w:val="sr-Cyrl-CS"/>
              </w:rPr>
            </w:pPr>
            <w:r w:rsidRPr="00BF3CDE">
              <w:rPr>
                <w:b/>
                <w:noProof/>
                <w:color w:val="FFFFFF" w:themeColor="background1"/>
                <w:sz w:val="18"/>
                <w:szCs w:val="18"/>
                <w:lang w:val="sr-Cyrl-CS"/>
              </w:rPr>
              <w:t>1.</w:t>
            </w:r>
          </w:p>
        </w:tc>
        <w:tc>
          <w:tcPr>
            <w:tcW w:w="6378" w:type="dxa"/>
            <w:shd w:val="clear" w:color="auto" w:fill="auto"/>
            <w:vAlign w:val="center"/>
          </w:tcPr>
          <w:p w14:paraId="5EC8BD23" w14:textId="77777777" w:rsidR="00A726B9" w:rsidRPr="00BF3CDE" w:rsidRDefault="00A726B9" w:rsidP="00A726B9">
            <w:pPr>
              <w:pStyle w:val="NoSpacing"/>
              <w:rPr>
                <w:noProof/>
                <w:sz w:val="18"/>
                <w:szCs w:val="18"/>
                <w:lang w:val="sr-Cyrl-CS"/>
              </w:rPr>
            </w:pPr>
            <w:r w:rsidRPr="00BF3CDE">
              <w:rPr>
                <w:noProof/>
                <w:sz w:val="18"/>
                <w:szCs w:val="18"/>
                <w:lang w:val="sr-Cyrl-CS"/>
              </w:rPr>
              <w:t>Ризици реосигурања</w:t>
            </w:r>
          </w:p>
        </w:tc>
        <w:tc>
          <w:tcPr>
            <w:tcW w:w="993" w:type="dxa"/>
            <w:shd w:val="clear" w:color="auto" w:fill="auto"/>
            <w:vAlign w:val="center"/>
          </w:tcPr>
          <w:p w14:paraId="560CDA5B" w14:textId="77777777" w:rsidR="00A726B9" w:rsidRPr="00BF3CDE" w:rsidRDefault="00A726B9" w:rsidP="00A726B9">
            <w:pPr>
              <w:pStyle w:val="NoSpacing"/>
              <w:rPr>
                <w:noProof/>
                <w:sz w:val="18"/>
                <w:szCs w:val="18"/>
                <w:lang w:val="sr-Cyrl-CS"/>
              </w:rPr>
            </w:pPr>
            <w:r w:rsidRPr="00BF3CDE">
              <w:rPr>
                <w:noProof/>
                <w:sz w:val="18"/>
                <w:szCs w:val="18"/>
                <w:lang w:val="sr-Cyrl-CS"/>
              </w:rPr>
              <w:t>6</w:t>
            </w:r>
          </w:p>
        </w:tc>
        <w:tc>
          <w:tcPr>
            <w:tcW w:w="1843" w:type="dxa"/>
            <w:shd w:val="clear" w:color="auto" w:fill="auto"/>
            <w:vAlign w:val="center"/>
          </w:tcPr>
          <w:p w14:paraId="4621AB73" w14:textId="77777777" w:rsidR="00A726B9" w:rsidRPr="00BF3CDE" w:rsidRDefault="00A726B9" w:rsidP="00A726B9">
            <w:pPr>
              <w:pStyle w:val="NoSpacing"/>
              <w:rPr>
                <w:noProof/>
                <w:sz w:val="18"/>
                <w:szCs w:val="18"/>
                <w:lang w:val="sr-Cyrl-CS"/>
              </w:rPr>
            </w:pPr>
            <w:r w:rsidRPr="00BF3CDE">
              <w:rPr>
                <w:noProof/>
                <w:sz w:val="18"/>
                <w:szCs w:val="18"/>
                <w:lang w:val="sr-Cyrl-CS"/>
              </w:rPr>
              <w:t>НИЗАК РИЗИК</w:t>
            </w:r>
          </w:p>
        </w:tc>
      </w:tr>
      <w:tr w:rsidR="00A726B9" w:rsidRPr="00BF3CDE" w14:paraId="47884962" w14:textId="77777777" w:rsidTr="00A726B9">
        <w:trPr>
          <w:trHeight w:val="283"/>
        </w:trPr>
        <w:tc>
          <w:tcPr>
            <w:tcW w:w="534" w:type="dxa"/>
            <w:tcBorders>
              <w:left w:val="nil"/>
              <w:bottom w:val="nil"/>
              <w:right w:val="nil"/>
            </w:tcBorders>
            <w:shd w:val="clear" w:color="auto" w:fill="4F81BD"/>
            <w:vAlign w:val="center"/>
          </w:tcPr>
          <w:p w14:paraId="6F59A67D" w14:textId="77777777" w:rsidR="00A726B9" w:rsidRPr="00BF3CDE" w:rsidRDefault="00A726B9" w:rsidP="00A726B9">
            <w:pPr>
              <w:pStyle w:val="NoSpacing"/>
              <w:rPr>
                <w:b/>
                <w:noProof/>
                <w:color w:val="FFFFFF" w:themeColor="background1"/>
                <w:sz w:val="18"/>
                <w:szCs w:val="18"/>
                <w:lang w:val="sr-Cyrl-CS"/>
              </w:rPr>
            </w:pPr>
            <w:r w:rsidRPr="00BF3CDE">
              <w:rPr>
                <w:b/>
                <w:noProof/>
                <w:color w:val="FFFFFF" w:themeColor="background1"/>
                <w:sz w:val="18"/>
                <w:szCs w:val="18"/>
                <w:lang w:val="sr-Cyrl-CS"/>
              </w:rPr>
              <w:t>2.</w:t>
            </w:r>
          </w:p>
        </w:tc>
        <w:tc>
          <w:tcPr>
            <w:tcW w:w="6378" w:type="dxa"/>
            <w:shd w:val="clear" w:color="auto" w:fill="D9D9D9" w:themeFill="background1" w:themeFillShade="D9"/>
            <w:vAlign w:val="center"/>
          </w:tcPr>
          <w:p w14:paraId="5D54ECC3" w14:textId="77777777" w:rsidR="00A726B9" w:rsidRPr="00BF3CDE" w:rsidRDefault="00A726B9" w:rsidP="00A726B9">
            <w:pPr>
              <w:pStyle w:val="NoSpacing"/>
              <w:rPr>
                <w:noProof/>
                <w:sz w:val="18"/>
                <w:szCs w:val="18"/>
                <w:lang w:val="sr-Cyrl-CS"/>
              </w:rPr>
            </w:pPr>
            <w:r w:rsidRPr="00BF3CDE">
              <w:rPr>
                <w:noProof/>
                <w:sz w:val="18"/>
                <w:szCs w:val="18"/>
                <w:lang w:val="sr-Cyrl-CS"/>
              </w:rPr>
              <w:t>Тржишни ризици</w:t>
            </w:r>
          </w:p>
        </w:tc>
        <w:tc>
          <w:tcPr>
            <w:tcW w:w="993" w:type="dxa"/>
            <w:shd w:val="clear" w:color="auto" w:fill="D9D9D9" w:themeFill="background1" w:themeFillShade="D9"/>
            <w:vAlign w:val="center"/>
          </w:tcPr>
          <w:p w14:paraId="1E0BEFA6" w14:textId="77777777" w:rsidR="00A726B9" w:rsidRPr="00BF3CDE" w:rsidRDefault="00A726B9" w:rsidP="00A726B9">
            <w:pPr>
              <w:pStyle w:val="NoSpacing"/>
              <w:rPr>
                <w:noProof/>
                <w:sz w:val="18"/>
                <w:szCs w:val="18"/>
                <w:lang w:val="sr-Cyrl-CS"/>
              </w:rPr>
            </w:pPr>
            <w:r w:rsidRPr="00BF3CDE">
              <w:rPr>
                <w:noProof/>
                <w:sz w:val="18"/>
                <w:szCs w:val="18"/>
                <w:lang w:val="sr-Cyrl-CS"/>
              </w:rPr>
              <w:t>6</w:t>
            </w:r>
          </w:p>
        </w:tc>
        <w:tc>
          <w:tcPr>
            <w:tcW w:w="1843" w:type="dxa"/>
            <w:shd w:val="clear" w:color="auto" w:fill="D9D9D9" w:themeFill="background1" w:themeFillShade="D9"/>
            <w:vAlign w:val="center"/>
          </w:tcPr>
          <w:p w14:paraId="4AF581FB" w14:textId="77777777" w:rsidR="00A726B9" w:rsidRPr="00BF3CDE" w:rsidRDefault="00A726B9" w:rsidP="00A726B9">
            <w:pPr>
              <w:pStyle w:val="NoSpacing"/>
              <w:rPr>
                <w:noProof/>
                <w:sz w:val="18"/>
                <w:szCs w:val="18"/>
                <w:lang w:val="sr-Cyrl-CS"/>
              </w:rPr>
            </w:pPr>
            <w:r w:rsidRPr="00BF3CDE">
              <w:rPr>
                <w:noProof/>
                <w:sz w:val="18"/>
                <w:szCs w:val="18"/>
                <w:lang w:val="sr-Cyrl-CS"/>
              </w:rPr>
              <w:t>ВИСОК/СРЕДЊИ РИЗИК</w:t>
            </w:r>
          </w:p>
        </w:tc>
      </w:tr>
      <w:tr w:rsidR="00A726B9" w:rsidRPr="00BF3CDE" w14:paraId="2DA109EC" w14:textId="77777777" w:rsidTr="00A726B9">
        <w:trPr>
          <w:trHeight w:val="283"/>
        </w:trPr>
        <w:tc>
          <w:tcPr>
            <w:tcW w:w="534" w:type="dxa"/>
            <w:tcBorders>
              <w:left w:val="nil"/>
              <w:bottom w:val="nil"/>
              <w:right w:val="nil"/>
            </w:tcBorders>
            <w:shd w:val="clear" w:color="auto" w:fill="4F81BD"/>
            <w:vAlign w:val="center"/>
          </w:tcPr>
          <w:p w14:paraId="52740E37" w14:textId="77777777" w:rsidR="00A726B9" w:rsidRPr="00BF3CDE" w:rsidRDefault="00A726B9" w:rsidP="00A726B9">
            <w:pPr>
              <w:pStyle w:val="NoSpacing"/>
              <w:rPr>
                <w:b/>
                <w:noProof/>
                <w:color w:val="FFFFFF" w:themeColor="background1"/>
                <w:sz w:val="18"/>
                <w:szCs w:val="18"/>
                <w:lang w:val="sr-Cyrl-CS"/>
              </w:rPr>
            </w:pPr>
            <w:r w:rsidRPr="00BF3CDE">
              <w:rPr>
                <w:b/>
                <w:noProof/>
                <w:color w:val="FFFFFF" w:themeColor="background1"/>
                <w:sz w:val="18"/>
                <w:szCs w:val="18"/>
                <w:lang w:val="sr-Cyrl-CS"/>
              </w:rPr>
              <w:t>4.</w:t>
            </w:r>
          </w:p>
        </w:tc>
        <w:tc>
          <w:tcPr>
            <w:tcW w:w="6378" w:type="dxa"/>
            <w:shd w:val="clear" w:color="auto" w:fill="auto"/>
            <w:vAlign w:val="center"/>
          </w:tcPr>
          <w:p w14:paraId="4952371C" w14:textId="77777777" w:rsidR="00A726B9" w:rsidRPr="00BF3CDE" w:rsidRDefault="00A726B9" w:rsidP="00A726B9">
            <w:pPr>
              <w:pStyle w:val="NoSpacing"/>
              <w:rPr>
                <w:noProof/>
                <w:sz w:val="18"/>
                <w:szCs w:val="18"/>
                <w:lang w:val="sr-Cyrl-CS"/>
              </w:rPr>
            </w:pPr>
            <w:r w:rsidRPr="00BF3CDE">
              <w:rPr>
                <w:noProof/>
                <w:sz w:val="18"/>
                <w:szCs w:val="18"/>
                <w:lang w:val="sr-Cyrl-CS"/>
              </w:rPr>
              <w:t>Ризик рочне и структурне неусклађености им. са обавезама</w:t>
            </w:r>
          </w:p>
        </w:tc>
        <w:tc>
          <w:tcPr>
            <w:tcW w:w="993" w:type="dxa"/>
            <w:shd w:val="clear" w:color="auto" w:fill="auto"/>
            <w:vAlign w:val="center"/>
          </w:tcPr>
          <w:p w14:paraId="721912EC" w14:textId="77777777" w:rsidR="00A726B9" w:rsidRPr="00BF3CDE" w:rsidRDefault="00A726B9" w:rsidP="00A726B9">
            <w:pPr>
              <w:pStyle w:val="NoSpacing"/>
              <w:rPr>
                <w:noProof/>
                <w:sz w:val="18"/>
                <w:szCs w:val="18"/>
                <w:lang w:val="sr-Cyrl-CS"/>
              </w:rPr>
            </w:pPr>
            <w:r w:rsidRPr="00BF3CDE">
              <w:rPr>
                <w:noProof/>
                <w:sz w:val="18"/>
                <w:szCs w:val="18"/>
                <w:lang w:val="sr-Cyrl-CS"/>
              </w:rPr>
              <w:t>4</w:t>
            </w:r>
          </w:p>
        </w:tc>
        <w:tc>
          <w:tcPr>
            <w:tcW w:w="1843" w:type="dxa"/>
            <w:shd w:val="clear" w:color="auto" w:fill="auto"/>
            <w:vAlign w:val="center"/>
          </w:tcPr>
          <w:p w14:paraId="46F7DB33" w14:textId="77777777" w:rsidR="00A726B9" w:rsidRPr="00BF3CDE" w:rsidRDefault="00A726B9" w:rsidP="00A726B9">
            <w:pPr>
              <w:pStyle w:val="NoSpacing"/>
              <w:rPr>
                <w:noProof/>
                <w:sz w:val="18"/>
                <w:szCs w:val="18"/>
                <w:lang w:val="sr-Cyrl-CS"/>
              </w:rPr>
            </w:pPr>
            <w:r w:rsidRPr="00BF3CDE">
              <w:rPr>
                <w:noProof/>
                <w:sz w:val="18"/>
                <w:szCs w:val="18"/>
                <w:lang w:val="sr-Cyrl-CS"/>
              </w:rPr>
              <w:t>СРЕДЊИ РИЗИК</w:t>
            </w:r>
          </w:p>
        </w:tc>
      </w:tr>
      <w:tr w:rsidR="00A726B9" w:rsidRPr="00BF3CDE" w14:paraId="52CA5755" w14:textId="77777777" w:rsidTr="00A726B9">
        <w:trPr>
          <w:trHeight w:val="283"/>
        </w:trPr>
        <w:tc>
          <w:tcPr>
            <w:tcW w:w="534" w:type="dxa"/>
            <w:tcBorders>
              <w:left w:val="nil"/>
              <w:bottom w:val="nil"/>
              <w:right w:val="nil"/>
            </w:tcBorders>
            <w:shd w:val="clear" w:color="auto" w:fill="4F81BD"/>
            <w:vAlign w:val="center"/>
          </w:tcPr>
          <w:p w14:paraId="160666C6" w14:textId="77777777" w:rsidR="00A726B9" w:rsidRPr="00BF3CDE" w:rsidRDefault="00A726B9" w:rsidP="00A726B9">
            <w:pPr>
              <w:pStyle w:val="NoSpacing"/>
              <w:rPr>
                <w:b/>
                <w:noProof/>
                <w:color w:val="FFFFFF" w:themeColor="background1"/>
                <w:sz w:val="18"/>
                <w:szCs w:val="18"/>
                <w:lang w:val="sr-Cyrl-CS"/>
              </w:rPr>
            </w:pPr>
            <w:r w:rsidRPr="00BF3CDE">
              <w:rPr>
                <w:b/>
                <w:noProof/>
                <w:color w:val="FFFFFF" w:themeColor="background1"/>
                <w:sz w:val="18"/>
                <w:szCs w:val="18"/>
                <w:lang w:val="sr-Cyrl-CS"/>
              </w:rPr>
              <w:t>5.</w:t>
            </w:r>
          </w:p>
        </w:tc>
        <w:tc>
          <w:tcPr>
            <w:tcW w:w="6378" w:type="dxa"/>
            <w:tcBorders>
              <w:bottom w:val="nil"/>
            </w:tcBorders>
            <w:shd w:val="clear" w:color="auto" w:fill="D9D9D9" w:themeFill="background1" w:themeFillShade="D9"/>
            <w:vAlign w:val="center"/>
          </w:tcPr>
          <w:p w14:paraId="0EA16AB6" w14:textId="77777777" w:rsidR="00A726B9" w:rsidRPr="00BF3CDE" w:rsidRDefault="00A726B9" w:rsidP="00A726B9">
            <w:pPr>
              <w:pStyle w:val="NoSpacing"/>
              <w:rPr>
                <w:noProof/>
                <w:sz w:val="18"/>
                <w:szCs w:val="18"/>
                <w:lang w:val="sr-Cyrl-CS"/>
              </w:rPr>
            </w:pPr>
            <w:r w:rsidRPr="00BF3CDE">
              <w:rPr>
                <w:noProof/>
                <w:sz w:val="18"/>
                <w:szCs w:val="18"/>
                <w:lang w:val="sr-Cyrl-CS"/>
              </w:rPr>
              <w:t>Ризик депоновања и улагања средстава Друштва</w:t>
            </w:r>
          </w:p>
        </w:tc>
        <w:tc>
          <w:tcPr>
            <w:tcW w:w="993" w:type="dxa"/>
            <w:tcBorders>
              <w:bottom w:val="nil"/>
            </w:tcBorders>
            <w:shd w:val="clear" w:color="auto" w:fill="D9D9D9" w:themeFill="background1" w:themeFillShade="D9"/>
            <w:vAlign w:val="center"/>
          </w:tcPr>
          <w:p w14:paraId="6187851B" w14:textId="77777777" w:rsidR="00A726B9" w:rsidRPr="00BF3CDE" w:rsidRDefault="00A726B9" w:rsidP="00A726B9">
            <w:pPr>
              <w:pStyle w:val="NoSpacing"/>
              <w:rPr>
                <w:noProof/>
                <w:sz w:val="18"/>
                <w:szCs w:val="18"/>
                <w:lang w:val="sr-Cyrl-CS"/>
              </w:rPr>
            </w:pPr>
            <w:r w:rsidRPr="00BF3CDE">
              <w:rPr>
                <w:noProof/>
                <w:sz w:val="18"/>
                <w:szCs w:val="18"/>
                <w:lang w:val="sr-Cyrl-CS"/>
              </w:rPr>
              <w:t>4</w:t>
            </w:r>
          </w:p>
        </w:tc>
        <w:tc>
          <w:tcPr>
            <w:tcW w:w="1843" w:type="dxa"/>
            <w:tcBorders>
              <w:bottom w:val="nil"/>
            </w:tcBorders>
            <w:shd w:val="clear" w:color="auto" w:fill="D9D9D9" w:themeFill="background1" w:themeFillShade="D9"/>
            <w:vAlign w:val="center"/>
          </w:tcPr>
          <w:p w14:paraId="270A5778" w14:textId="77777777" w:rsidR="00A726B9" w:rsidRPr="00BF3CDE" w:rsidRDefault="00A726B9" w:rsidP="00A726B9">
            <w:pPr>
              <w:pStyle w:val="NoSpacing"/>
              <w:rPr>
                <w:noProof/>
                <w:sz w:val="18"/>
                <w:szCs w:val="18"/>
                <w:lang w:val="sr-Cyrl-CS"/>
              </w:rPr>
            </w:pPr>
            <w:r w:rsidRPr="00BF3CDE">
              <w:rPr>
                <w:noProof/>
                <w:sz w:val="18"/>
                <w:szCs w:val="18"/>
                <w:lang w:val="sr-Cyrl-CS"/>
              </w:rPr>
              <w:t>СРЕДЊИ РИЗИК</w:t>
            </w:r>
          </w:p>
        </w:tc>
      </w:tr>
      <w:tr w:rsidR="00A726B9" w:rsidRPr="00BF3CDE" w14:paraId="09F8021D" w14:textId="77777777" w:rsidTr="00A726B9">
        <w:trPr>
          <w:trHeight w:val="283"/>
        </w:trPr>
        <w:tc>
          <w:tcPr>
            <w:tcW w:w="534" w:type="dxa"/>
            <w:tcBorders>
              <w:top w:val="nil"/>
              <w:left w:val="nil"/>
              <w:bottom w:val="single" w:sz="18" w:space="0" w:color="auto"/>
              <w:right w:val="nil"/>
            </w:tcBorders>
            <w:shd w:val="clear" w:color="auto" w:fill="4F81BD"/>
            <w:vAlign w:val="center"/>
          </w:tcPr>
          <w:p w14:paraId="37852F52" w14:textId="77777777" w:rsidR="00A726B9" w:rsidRPr="00BF3CDE" w:rsidRDefault="00A726B9" w:rsidP="00A726B9">
            <w:pPr>
              <w:pStyle w:val="NoSpacing"/>
              <w:rPr>
                <w:b/>
                <w:noProof/>
                <w:color w:val="FFFFFF" w:themeColor="background1"/>
                <w:sz w:val="18"/>
                <w:szCs w:val="18"/>
                <w:lang w:val="sr-Cyrl-CS"/>
              </w:rPr>
            </w:pPr>
            <w:r w:rsidRPr="00BF3CDE">
              <w:rPr>
                <w:b/>
                <w:noProof/>
                <w:color w:val="FFFFFF" w:themeColor="background1"/>
                <w:sz w:val="18"/>
                <w:szCs w:val="18"/>
                <w:lang w:val="sr-Cyrl-CS"/>
              </w:rPr>
              <w:t>6.</w:t>
            </w:r>
          </w:p>
        </w:tc>
        <w:tc>
          <w:tcPr>
            <w:tcW w:w="6378" w:type="dxa"/>
            <w:tcBorders>
              <w:top w:val="nil"/>
              <w:bottom w:val="single" w:sz="18" w:space="0" w:color="auto"/>
            </w:tcBorders>
            <w:shd w:val="clear" w:color="auto" w:fill="auto"/>
            <w:vAlign w:val="center"/>
          </w:tcPr>
          <w:p w14:paraId="0B7535A8" w14:textId="77777777" w:rsidR="00A726B9" w:rsidRPr="00BF3CDE" w:rsidRDefault="00A726B9" w:rsidP="00A726B9">
            <w:pPr>
              <w:pStyle w:val="NoSpacing"/>
              <w:rPr>
                <w:noProof/>
                <w:sz w:val="18"/>
                <w:szCs w:val="18"/>
                <w:lang w:val="sr-Cyrl-CS"/>
              </w:rPr>
            </w:pPr>
            <w:r w:rsidRPr="00BF3CDE">
              <w:rPr>
                <w:noProof/>
                <w:sz w:val="18"/>
                <w:szCs w:val="18"/>
                <w:lang w:val="sr-Cyrl-CS"/>
              </w:rPr>
              <w:t>Оперативни, правни и репутациони ризици</w:t>
            </w:r>
          </w:p>
        </w:tc>
        <w:tc>
          <w:tcPr>
            <w:tcW w:w="993" w:type="dxa"/>
            <w:tcBorders>
              <w:top w:val="nil"/>
              <w:bottom w:val="single" w:sz="18" w:space="0" w:color="auto"/>
            </w:tcBorders>
            <w:shd w:val="clear" w:color="auto" w:fill="auto"/>
            <w:vAlign w:val="center"/>
          </w:tcPr>
          <w:p w14:paraId="2A9831D8" w14:textId="77777777" w:rsidR="00A726B9" w:rsidRPr="00BF3CDE" w:rsidRDefault="00A726B9" w:rsidP="00A726B9">
            <w:pPr>
              <w:pStyle w:val="NoSpacing"/>
              <w:rPr>
                <w:noProof/>
                <w:sz w:val="18"/>
                <w:szCs w:val="18"/>
                <w:lang w:val="sr-Cyrl-CS"/>
              </w:rPr>
            </w:pPr>
            <w:r w:rsidRPr="00BF3CDE">
              <w:rPr>
                <w:noProof/>
                <w:sz w:val="18"/>
                <w:szCs w:val="18"/>
                <w:lang w:val="sr-Cyrl-CS"/>
              </w:rPr>
              <w:t>9</w:t>
            </w:r>
          </w:p>
        </w:tc>
        <w:tc>
          <w:tcPr>
            <w:tcW w:w="1843" w:type="dxa"/>
            <w:tcBorders>
              <w:top w:val="nil"/>
              <w:bottom w:val="single" w:sz="18" w:space="0" w:color="auto"/>
            </w:tcBorders>
            <w:shd w:val="clear" w:color="auto" w:fill="auto"/>
            <w:vAlign w:val="center"/>
          </w:tcPr>
          <w:p w14:paraId="2BBCEDB5" w14:textId="77777777" w:rsidR="00A726B9" w:rsidRPr="00BF3CDE" w:rsidRDefault="00A726B9" w:rsidP="00A726B9">
            <w:pPr>
              <w:pStyle w:val="NoSpacing"/>
              <w:rPr>
                <w:noProof/>
                <w:sz w:val="18"/>
                <w:szCs w:val="18"/>
                <w:lang w:val="sr-Cyrl-CS"/>
              </w:rPr>
            </w:pPr>
            <w:r w:rsidRPr="00BF3CDE">
              <w:rPr>
                <w:noProof/>
                <w:sz w:val="18"/>
                <w:szCs w:val="18"/>
                <w:lang w:val="sr-Cyrl-CS"/>
              </w:rPr>
              <w:t>СРЕДЊИ РИЗИК</w:t>
            </w:r>
          </w:p>
        </w:tc>
      </w:tr>
    </w:tbl>
    <w:p w14:paraId="0A75BF59" w14:textId="77777777" w:rsidR="00A726B9" w:rsidRPr="00BF3CDE" w:rsidRDefault="00A726B9" w:rsidP="00996BC3">
      <w:pPr>
        <w:pStyle w:val="NoSpacing"/>
        <w:spacing w:before="120" w:after="120" w:line="276" w:lineRule="auto"/>
        <w:ind w:firstLine="357"/>
        <w:jc w:val="both"/>
        <w:rPr>
          <w:rFonts w:cs="Tahoma"/>
          <w:noProof/>
          <w:sz w:val="20"/>
          <w:szCs w:val="20"/>
          <w:lang w:val="sr-Cyrl-CS"/>
        </w:rPr>
      </w:pPr>
    </w:p>
    <w:p w14:paraId="623A5E45" w14:textId="77777777" w:rsidR="00CA531C" w:rsidRPr="00BF3CDE" w:rsidRDefault="00CA531C" w:rsidP="00CA531C">
      <w:pPr>
        <w:pStyle w:val="Heading1"/>
        <w:numPr>
          <w:ilvl w:val="0"/>
          <w:numId w:val="2"/>
        </w:numPr>
        <w:rPr>
          <w:rFonts w:asciiTheme="majorHAnsi" w:hAnsiTheme="majorHAnsi" w:cs="Tahoma"/>
          <w:noProof/>
          <w:color w:val="4F81BD"/>
          <w:sz w:val="24"/>
          <w:szCs w:val="18"/>
          <w:lang w:val="sr-Cyrl-CS"/>
        </w:rPr>
      </w:pPr>
      <w:bookmarkStart w:id="64" w:name="_Toc414356836"/>
      <w:bookmarkStart w:id="65" w:name="_Toc362514673"/>
      <w:r w:rsidRPr="00BF3CDE">
        <w:rPr>
          <w:rFonts w:asciiTheme="majorHAnsi" w:hAnsiTheme="majorHAnsi" w:cs="Tahoma"/>
          <w:noProof/>
          <w:color w:val="4F81BD"/>
          <w:sz w:val="24"/>
          <w:szCs w:val="18"/>
          <w:lang w:val="sr-Cyrl-CS"/>
        </w:rPr>
        <w:t>ВАЖНИЈИ ПОСЛОВНИ ДОГАЂАЈИ КОЈИ СУ НАСТУПИЛИ НАКОН ПРОТЕКА ПОСЛОВНЕ 201</w:t>
      </w:r>
      <w:r w:rsidR="00A71AD8" w:rsidRPr="00BF3CDE">
        <w:rPr>
          <w:rFonts w:asciiTheme="majorHAnsi" w:hAnsiTheme="majorHAnsi" w:cs="Tahoma"/>
          <w:noProof/>
          <w:color w:val="4F81BD"/>
          <w:sz w:val="24"/>
          <w:szCs w:val="18"/>
          <w:lang w:val="sr-Cyrl-CS"/>
        </w:rPr>
        <w:t>4</w:t>
      </w:r>
      <w:r w:rsidRPr="00BF3CDE">
        <w:rPr>
          <w:rFonts w:asciiTheme="majorHAnsi" w:hAnsiTheme="majorHAnsi" w:cs="Tahoma"/>
          <w:noProof/>
          <w:color w:val="4F81BD"/>
          <w:sz w:val="24"/>
          <w:szCs w:val="18"/>
          <w:lang w:val="sr-Cyrl-CS"/>
        </w:rPr>
        <w:t>. ГОДИНЕ</w:t>
      </w:r>
      <w:bookmarkEnd w:id="64"/>
    </w:p>
    <w:p w14:paraId="743F6BF5" w14:textId="77777777" w:rsidR="00CA531C" w:rsidRPr="00BF3CDE" w:rsidRDefault="00CA531C" w:rsidP="00CA531C">
      <w:pPr>
        <w:pStyle w:val="Heading1"/>
        <w:numPr>
          <w:ilvl w:val="0"/>
          <w:numId w:val="0"/>
        </w:numPr>
        <w:ind w:left="432"/>
        <w:rPr>
          <w:rFonts w:asciiTheme="majorHAnsi" w:hAnsiTheme="majorHAnsi" w:cs="Tahoma"/>
          <w:noProof/>
          <w:color w:val="4F81BD"/>
          <w:sz w:val="24"/>
          <w:szCs w:val="18"/>
          <w:lang w:val="sr-Cyrl-CS"/>
        </w:rPr>
      </w:pPr>
    </w:p>
    <w:p w14:paraId="401D8F9D" w14:textId="77777777" w:rsidR="007550D4" w:rsidRDefault="00CA531C" w:rsidP="007550D4">
      <w:pPr>
        <w:pStyle w:val="NoSpacing"/>
        <w:spacing w:before="240" w:line="276" w:lineRule="auto"/>
        <w:ind w:firstLine="425"/>
        <w:jc w:val="both"/>
        <w:rPr>
          <w:rFonts w:cs="Tahoma"/>
          <w:noProof/>
          <w:sz w:val="20"/>
          <w:szCs w:val="20"/>
          <w:lang w:val="sr-Cyrl-CS"/>
        </w:rPr>
      </w:pPr>
      <w:r w:rsidRPr="00BF3CDE">
        <w:rPr>
          <w:rFonts w:cs="Tahoma"/>
          <w:noProof/>
          <w:sz w:val="20"/>
          <w:szCs w:val="20"/>
          <w:lang w:val="sr-Cyrl-CS"/>
        </w:rPr>
        <w:t>Друштво је све</w:t>
      </w:r>
      <w:r w:rsidRPr="00BF3CDE">
        <w:rPr>
          <w:rFonts w:cs="Tahoma"/>
          <w:noProof/>
          <w:sz w:val="20"/>
          <w:szCs w:val="20"/>
          <w:lang w:val="sr-Cyrl-CS"/>
        </w:rPr>
        <w:tab/>
        <w:t>важније пословне догађаје који су наступили након протека пословне 201</w:t>
      </w:r>
      <w:r w:rsidR="00A71AD8" w:rsidRPr="00BF3CDE">
        <w:rPr>
          <w:rFonts w:cs="Tahoma"/>
          <w:noProof/>
          <w:sz w:val="20"/>
          <w:szCs w:val="20"/>
          <w:lang w:val="sr-Cyrl-CS"/>
        </w:rPr>
        <w:t>4</w:t>
      </w:r>
      <w:r w:rsidRPr="00BF3CDE">
        <w:rPr>
          <w:rFonts w:cs="Tahoma"/>
          <w:noProof/>
          <w:sz w:val="20"/>
          <w:szCs w:val="20"/>
          <w:lang w:val="sr-Cyrl-CS"/>
        </w:rPr>
        <w:t>. године исказао у оквиру билансних позиција у складу са МРС 10 и обелоданило у Напоменама уз финансијске извештаје.</w:t>
      </w:r>
    </w:p>
    <w:p w14:paraId="52B641B0" w14:textId="77777777" w:rsidR="00D50EE5" w:rsidRPr="00BF3CDE" w:rsidRDefault="00D50EE5" w:rsidP="007550D4">
      <w:pPr>
        <w:pStyle w:val="NoSpacing"/>
        <w:spacing w:before="240" w:line="276" w:lineRule="auto"/>
        <w:ind w:firstLine="425"/>
        <w:jc w:val="both"/>
        <w:rPr>
          <w:rFonts w:cs="Tahoma"/>
          <w:noProof/>
          <w:sz w:val="20"/>
          <w:szCs w:val="20"/>
          <w:lang w:val="sr-Cyrl-CS"/>
        </w:rPr>
      </w:pPr>
    </w:p>
    <w:p w14:paraId="491B4C62" w14:textId="77777777" w:rsidR="00875B15" w:rsidRPr="00BF3CDE" w:rsidRDefault="00875B15" w:rsidP="007550D4">
      <w:pPr>
        <w:pStyle w:val="NoSpacing"/>
        <w:spacing w:before="240" w:line="276" w:lineRule="auto"/>
        <w:ind w:firstLine="425"/>
        <w:jc w:val="both"/>
        <w:rPr>
          <w:rFonts w:cs="Tahoma"/>
          <w:noProof/>
          <w:sz w:val="20"/>
          <w:szCs w:val="20"/>
          <w:lang w:val="sr-Cyrl-CS"/>
        </w:rPr>
      </w:pPr>
    </w:p>
    <w:p w14:paraId="374E16FB" w14:textId="77777777" w:rsidR="00CA531C" w:rsidRPr="00BF3CDE" w:rsidRDefault="00665116" w:rsidP="007550D4">
      <w:pPr>
        <w:pStyle w:val="Heading1"/>
        <w:numPr>
          <w:ilvl w:val="0"/>
          <w:numId w:val="2"/>
        </w:numPr>
        <w:rPr>
          <w:rFonts w:asciiTheme="majorHAnsi" w:hAnsiTheme="majorHAnsi" w:cs="Tahoma"/>
          <w:noProof/>
          <w:color w:val="4F81BD"/>
          <w:sz w:val="24"/>
          <w:szCs w:val="18"/>
          <w:lang w:val="sr-Cyrl-CS"/>
        </w:rPr>
      </w:pPr>
      <w:bookmarkStart w:id="66" w:name="_Toc414356837"/>
      <w:r w:rsidRPr="00BF3CDE">
        <w:rPr>
          <w:rFonts w:asciiTheme="majorHAnsi" w:hAnsiTheme="majorHAnsi" w:cs="Tahoma"/>
          <w:noProof/>
          <w:color w:val="4F81BD"/>
          <w:sz w:val="24"/>
          <w:szCs w:val="18"/>
          <w:lang w:val="sr-Cyrl-CS"/>
        </w:rPr>
        <w:lastRenderedPageBreak/>
        <w:t>ОЧЕКИВАНИ РАЗВОЈ, ПЛАН И ПОСЛОВНА ПОЛИТИКА КОМПАНИЈЕ У НАРЕДНОМ ПЕРИОДУ И ГЛАВНИ РИЗИЦИ И ПРЕТЊЕ КОЈИМА ЈЕ ПОСЛОВАЊЕ КОМПАНИЈЕ ИЗЛОЖЕНО</w:t>
      </w:r>
      <w:bookmarkEnd w:id="66"/>
    </w:p>
    <w:p w14:paraId="49D46AAF" w14:textId="77777777" w:rsidR="007550D4" w:rsidRPr="00BF3CDE" w:rsidRDefault="007550D4" w:rsidP="007550D4">
      <w:pPr>
        <w:rPr>
          <w:noProof/>
          <w:lang w:val="sr-Cyrl-CS" w:eastAsia="ar-SA"/>
        </w:rPr>
      </w:pPr>
    </w:p>
    <w:p w14:paraId="750D8AB2" w14:textId="77777777" w:rsidR="00536368" w:rsidRPr="00D20867" w:rsidRDefault="00536368" w:rsidP="00D50EE5">
      <w:pPr>
        <w:pStyle w:val="NoSpacing"/>
        <w:spacing w:before="240" w:after="240" w:line="276" w:lineRule="auto"/>
        <w:ind w:firstLine="425"/>
        <w:jc w:val="both"/>
        <w:rPr>
          <w:rFonts w:cs="Tahoma"/>
          <w:noProof/>
          <w:sz w:val="20"/>
          <w:szCs w:val="20"/>
        </w:rPr>
      </w:pPr>
      <w:r w:rsidRPr="00D76DC9">
        <w:rPr>
          <w:rFonts w:cs="Tahoma"/>
          <w:noProof/>
          <w:sz w:val="20"/>
          <w:szCs w:val="20"/>
          <w:lang w:val="sr-Cyrl-CS"/>
        </w:rPr>
        <w:t>Друштво има искуство на пољу реосигурања преко 30 година што га чини препознатљивим партнером на тржишту рео</w:t>
      </w:r>
      <w:r w:rsidR="00D20867">
        <w:rPr>
          <w:rFonts w:cs="Tahoma"/>
          <w:noProof/>
          <w:sz w:val="20"/>
          <w:szCs w:val="20"/>
          <w:lang w:val="sr-Cyrl-CS"/>
        </w:rPr>
        <w:t>сигурања у земљи и иностранству</w:t>
      </w:r>
      <w:r w:rsidR="00D20867">
        <w:rPr>
          <w:rFonts w:cs="Tahoma"/>
          <w:noProof/>
          <w:sz w:val="20"/>
          <w:szCs w:val="20"/>
        </w:rPr>
        <w:t xml:space="preserve"> </w:t>
      </w:r>
      <w:r w:rsidR="00D20867">
        <w:rPr>
          <w:rFonts w:cs="Tahoma"/>
          <w:noProof/>
          <w:sz w:val="20"/>
          <w:szCs w:val="20"/>
          <w:lang w:val="sr-Cyrl-RS"/>
        </w:rPr>
        <w:t xml:space="preserve">са </w:t>
      </w:r>
      <w:r w:rsidR="00D20867" w:rsidRPr="00D76DC9">
        <w:rPr>
          <w:rFonts w:cs="Tahoma"/>
          <w:noProof/>
          <w:sz w:val="20"/>
          <w:szCs w:val="20"/>
          <w:lang w:val="sr-Cyrl-CS"/>
        </w:rPr>
        <w:t>углед</w:t>
      </w:r>
      <w:r w:rsidR="00D20867">
        <w:rPr>
          <w:rFonts w:cs="Tahoma"/>
          <w:noProof/>
          <w:sz w:val="20"/>
          <w:szCs w:val="20"/>
          <w:lang w:val="sr-Cyrl-CS"/>
        </w:rPr>
        <w:t>ом</w:t>
      </w:r>
      <w:r w:rsidR="00D20867" w:rsidRPr="00D76DC9">
        <w:rPr>
          <w:rFonts w:cs="Tahoma"/>
          <w:noProof/>
          <w:sz w:val="20"/>
          <w:szCs w:val="20"/>
          <w:lang w:val="sr-Cyrl-CS"/>
        </w:rPr>
        <w:t xml:space="preserve"> високо-професионалног реосигуравача и на међународном тржишту.</w:t>
      </w:r>
    </w:p>
    <w:p w14:paraId="238EC7AD" w14:textId="77777777" w:rsidR="00536368" w:rsidRPr="00D76DC9" w:rsidRDefault="00536368" w:rsidP="00D50EE5">
      <w:pPr>
        <w:pStyle w:val="NoSpacing"/>
        <w:spacing w:before="240" w:after="240" w:line="276" w:lineRule="auto"/>
        <w:ind w:firstLine="425"/>
        <w:jc w:val="both"/>
        <w:rPr>
          <w:rFonts w:cs="Tahoma"/>
          <w:noProof/>
          <w:sz w:val="20"/>
          <w:szCs w:val="20"/>
          <w:lang w:val="sr-Cyrl-CS"/>
        </w:rPr>
      </w:pPr>
      <w:r w:rsidRPr="00D76DC9">
        <w:rPr>
          <w:rFonts w:cs="Tahoma"/>
          <w:noProof/>
          <w:sz w:val="20"/>
          <w:szCs w:val="20"/>
          <w:lang w:val="sr-Cyrl-CS"/>
        </w:rPr>
        <w:t xml:space="preserve">У наредном периоду предстоји очување и јачање постојеће позиције како на домаћем тржишту, тaко и на иностраном. </w:t>
      </w:r>
    </w:p>
    <w:p w14:paraId="378EF8D0" w14:textId="77777777" w:rsidR="00536368" w:rsidRPr="00D76DC9" w:rsidRDefault="00536368" w:rsidP="00D50EE5">
      <w:pPr>
        <w:pStyle w:val="NoSpacing"/>
        <w:spacing w:before="240" w:after="240" w:line="276" w:lineRule="auto"/>
        <w:ind w:firstLine="425"/>
        <w:jc w:val="both"/>
        <w:rPr>
          <w:rFonts w:cs="Tahoma"/>
          <w:noProof/>
          <w:sz w:val="20"/>
          <w:szCs w:val="20"/>
          <w:lang w:val="sr-Cyrl-CS"/>
        </w:rPr>
      </w:pPr>
      <w:r w:rsidRPr="00D76DC9">
        <w:rPr>
          <w:rFonts w:cs="Tahoma"/>
          <w:noProof/>
          <w:sz w:val="20"/>
          <w:szCs w:val="20"/>
          <w:lang w:val="sr-Cyrl-CS"/>
        </w:rPr>
        <w:t>Као слабости Друштва препознају се:</w:t>
      </w:r>
    </w:p>
    <w:p w14:paraId="02EC098D" w14:textId="77777777" w:rsidR="00536368" w:rsidRPr="00D76DC9" w:rsidRDefault="00536368" w:rsidP="00D50EE5">
      <w:pPr>
        <w:pStyle w:val="NoSpacing"/>
        <w:spacing w:before="240" w:after="240" w:line="276" w:lineRule="auto"/>
        <w:ind w:firstLine="425"/>
        <w:jc w:val="both"/>
        <w:rPr>
          <w:rFonts w:cs="Tahoma"/>
          <w:noProof/>
          <w:sz w:val="20"/>
          <w:szCs w:val="20"/>
          <w:lang w:val="sr-Cyrl-CS"/>
        </w:rPr>
      </w:pPr>
      <w:r w:rsidRPr="00D76DC9">
        <w:rPr>
          <w:rFonts w:cs="Tahoma"/>
          <w:noProof/>
          <w:sz w:val="20"/>
          <w:szCs w:val="20"/>
          <w:lang w:val="sr-Cyrl-CS"/>
        </w:rPr>
        <w:t>-</w:t>
      </w:r>
      <w:r w:rsidRPr="00D76DC9">
        <w:rPr>
          <w:rFonts w:cs="Tahoma"/>
          <w:noProof/>
          <w:sz w:val="20"/>
          <w:szCs w:val="20"/>
          <w:lang w:val="sr-Cyrl-CS"/>
        </w:rPr>
        <w:tab/>
        <w:t>Недовољно развијен информациони систем који успорава ефикасност обраде података, праћење ризика са свих аспеката и дефинисање, сагледавање и побројавање свих врста ризика којима је Друштво изложено у свом пословању,</w:t>
      </w:r>
    </w:p>
    <w:p w14:paraId="34370C5D" w14:textId="77777777" w:rsidR="00536368" w:rsidRPr="00D76DC9" w:rsidRDefault="00536368" w:rsidP="00D50EE5">
      <w:pPr>
        <w:pStyle w:val="NoSpacing"/>
        <w:spacing w:before="240" w:after="240" w:line="276" w:lineRule="auto"/>
        <w:ind w:firstLine="425"/>
        <w:jc w:val="both"/>
        <w:rPr>
          <w:rFonts w:cs="Tahoma"/>
          <w:noProof/>
          <w:sz w:val="20"/>
          <w:szCs w:val="20"/>
          <w:lang w:val="sr-Cyrl-CS"/>
        </w:rPr>
      </w:pPr>
      <w:r w:rsidRPr="00D76DC9">
        <w:rPr>
          <w:rFonts w:cs="Tahoma"/>
          <w:noProof/>
          <w:sz w:val="20"/>
          <w:szCs w:val="20"/>
          <w:lang w:val="sr-Cyrl-CS"/>
        </w:rPr>
        <w:t>-</w:t>
      </w:r>
      <w:r w:rsidRPr="00D76DC9">
        <w:rPr>
          <w:rFonts w:cs="Tahoma"/>
          <w:noProof/>
          <w:sz w:val="20"/>
          <w:szCs w:val="20"/>
          <w:lang w:val="sr-Cyrl-CS"/>
        </w:rPr>
        <w:tab/>
        <w:t>недостатак стратешког партенра – инореосигуравача са високим бонитетом који би својим капацитетима у форми аутоматских покрића за Дунав Ре, омогућио Друштву даљи развој и раст,</w:t>
      </w:r>
    </w:p>
    <w:p w14:paraId="3EE210B9" w14:textId="77777777" w:rsidR="00536368" w:rsidRPr="00D76DC9" w:rsidRDefault="00536368" w:rsidP="00D50EE5">
      <w:pPr>
        <w:pStyle w:val="NoSpacing"/>
        <w:spacing w:before="240" w:after="240" w:line="276" w:lineRule="auto"/>
        <w:ind w:firstLine="425"/>
        <w:jc w:val="both"/>
        <w:rPr>
          <w:rFonts w:cs="Tahoma"/>
          <w:noProof/>
          <w:sz w:val="20"/>
          <w:szCs w:val="20"/>
          <w:lang w:val="sr-Cyrl-CS"/>
        </w:rPr>
      </w:pPr>
      <w:r w:rsidRPr="00D76DC9">
        <w:rPr>
          <w:rFonts w:cs="Tahoma"/>
          <w:noProof/>
          <w:sz w:val="20"/>
          <w:szCs w:val="20"/>
          <w:lang w:val="sr-Cyrl-CS"/>
        </w:rPr>
        <w:t>-</w:t>
      </w:r>
      <w:r w:rsidRPr="00D76DC9">
        <w:rPr>
          <w:rFonts w:cs="Tahoma"/>
          <w:noProof/>
          <w:sz w:val="20"/>
          <w:szCs w:val="20"/>
          <w:lang w:val="sr-Cyrl-CS"/>
        </w:rPr>
        <w:tab/>
        <w:t>недостатак рејтинга додељеног од међународно признате агенције, уз ограничавајући фактор тренутно слабог рејтинга земље.</w:t>
      </w:r>
    </w:p>
    <w:p w14:paraId="3351E820" w14:textId="77777777" w:rsidR="00536368" w:rsidRPr="00D76DC9" w:rsidRDefault="00536368" w:rsidP="00D50EE5">
      <w:pPr>
        <w:pStyle w:val="NoSpacing"/>
        <w:spacing w:before="240" w:after="240" w:line="276" w:lineRule="auto"/>
        <w:ind w:firstLine="425"/>
        <w:jc w:val="both"/>
        <w:rPr>
          <w:rFonts w:cs="Tahoma"/>
          <w:noProof/>
          <w:sz w:val="20"/>
          <w:szCs w:val="20"/>
          <w:lang w:val="sr-Cyrl-CS"/>
        </w:rPr>
      </w:pPr>
      <w:r w:rsidRPr="00D76DC9">
        <w:rPr>
          <w:rFonts w:cs="Tahoma"/>
          <w:noProof/>
          <w:sz w:val="20"/>
          <w:szCs w:val="20"/>
          <w:lang w:val="sr-Cyrl-CS"/>
        </w:rPr>
        <w:t>Могућности друштва према капацитетима локаног и иностраног тржишта су:</w:t>
      </w:r>
    </w:p>
    <w:p w14:paraId="6842E1B3" w14:textId="77777777" w:rsidR="00536368" w:rsidRPr="00D76DC9" w:rsidRDefault="00536368" w:rsidP="00D50EE5">
      <w:pPr>
        <w:pStyle w:val="NoSpacing"/>
        <w:spacing w:before="240" w:after="240" w:line="276" w:lineRule="auto"/>
        <w:ind w:firstLine="425"/>
        <w:jc w:val="both"/>
        <w:rPr>
          <w:rFonts w:cs="Tahoma"/>
          <w:noProof/>
          <w:sz w:val="20"/>
          <w:szCs w:val="20"/>
          <w:lang w:val="sr-Cyrl-CS"/>
        </w:rPr>
      </w:pPr>
      <w:r w:rsidRPr="00D76DC9">
        <w:rPr>
          <w:rFonts w:cs="Tahoma"/>
          <w:noProof/>
          <w:sz w:val="20"/>
          <w:szCs w:val="20"/>
          <w:lang w:val="sr-Cyrl-CS"/>
        </w:rPr>
        <w:t>-</w:t>
      </w:r>
      <w:r w:rsidRPr="00D76DC9">
        <w:rPr>
          <w:rFonts w:cs="Tahoma"/>
          <w:noProof/>
          <w:sz w:val="20"/>
          <w:szCs w:val="20"/>
          <w:lang w:val="sr-Cyrl-CS"/>
        </w:rPr>
        <w:tab/>
        <w:t>развој хоризонталне ретроцесије на локалном тржишту реосигурања,</w:t>
      </w:r>
    </w:p>
    <w:p w14:paraId="68D97434" w14:textId="77777777" w:rsidR="00536368" w:rsidRPr="00D76DC9" w:rsidRDefault="00536368" w:rsidP="00D50EE5">
      <w:pPr>
        <w:pStyle w:val="NoSpacing"/>
        <w:spacing w:before="240" w:after="240" w:line="276" w:lineRule="auto"/>
        <w:ind w:firstLine="425"/>
        <w:jc w:val="both"/>
        <w:rPr>
          <w:rFonts w:cs="Tahoma"/>
          <w:noProof/>
          <w:sz w:val="20"/>
          <w:szCs w:val="20"/>
          <w:lang w:val="sr-Cyrl-CS"/>
        </w:rPr>
      </w:pPr>
      <w:r w:rsidRPr="00D76DC9">
        <w:rPr>
          <w:rFonts w:cs="Tahoma"/>
          <w:noProof/>
          <w:sz w:val="20"/>
          <w:szCs w:val="20"/>
          <w:lang w:val="sr-Cyrl-CS"/>
        </w:rPr>
        <w:t>-</w:t>
      </w:r>
      <w:r w:rsidRPr="00D76DC9">
        <w:rPr>
          <w:rFonts w:cs="Tahoma"/>
          <w:noProof/>
          <w:sz w:val="20"/>
          <w:szCs w:val="20"/>
          <w:lang w:val="sr-Cyrl-CS"/>
        </w:rPr>
        <w:tab/>
        <w:t>обезбеђење додатних капацитета за аутоматска реосигурања на ино-тржишту за нове послове према развоју потреба тржишта тј. аутоматски капацитети реосигурања и за мање портфеље тј. Цеденте, подршка за  нове производе и производе који нису још увек у потпуности развијени.</w:t>
      </w:r>
    </w:p>
    <w:p w14:paraId="794BE978" w14:textId="77777777" w:rsidR="007550D4" w:rsidRPr="00D76DC9" w:rsidRDefault="00536368" w:rsidP="00D50EE5">
      <w:pPr>
        <w:pStyle w:val="NoSpacing"/>
        <w:spacing w:before="240" w:after="240" w:line="276" w:lineRule="auto"/>
        <w:ind w:firstLine="425"/>
        <w:jc w:val="both"/>
        <w:rPr>
          <w:rFonts w:cs="Tahoma"/>
          <w:noProof/>
          <w:sz w:val="20"/>
          <w:szCs w:val="20"/>
          <w:lang w:val="sr-Cyrl-CS"/>
        </w:rPr>
      </w:pPr>
      <w:r w:rsidRPr="00D76DC9">
        <w:rPr>
          <w:rFonts w:cs="Tahoma"/>
          <w:noProof/>
          <w:sz w:val="20"/>
          <w:szCs w:val="20"/>
          <w:lang w:val="sr-Cyrl-CS"/>
        </w:rPr>
        <w:t xml:space="preserve">Посебна пажња у даљем пословању ће бити посевећена првенствено повећању нивоа премије у самопридржају, кроз подршку цедентима за развој нових производа, аутомастку заштиту обезбеђену из реосигурања за устињена протфолиа у директном осигурању, иницијативу према свим учесницима на локалном тржишту, едукацију цедент компанија са фокусом на указивање  неопходности квалитетног реосигурања као и  примене новог методолошког оквира за управљање ризицима, </w:t>
      </w:r>
      <w:r w:rsidRPr="00D20867">
        <w:rPr>
          <w:rFonts w:cs="Tahoma"/>
          <w:i/>
          <w:noProof/>
          <w:sz w:val="20"/>
          <w:szCs w:val="20"/>
          <w:lang w:val="sr-Cyrl-CS"/>
        </w:rPr>
        <w:t>Solvency II</w:t>
      </w:r>
      <w:r w:rsidRPr="00D76DC9">
        <w:rPr>
          <w:rFonts w:cs="Tahoma"/>
          <w:noProof/>
          <w:sz w:val="20"/>
          <w:szCs w:val="20"/>
          <w:lang w:val="sr-Cyrl-CS"/>
        </w:rPr>
        <w:t>.</w:t>
      </w:r>
    </w:p>
    <w:p w14:paraId="7048A716" w14:textId="77777777" w:rsidR="00536368" w:rsidRPr="00D76DC9" w:rsidRDefault="00536368" w:rsidP="00D50EE5">
      <w:pPr>
        <w:pStyle w:val="NoSpacing"/>
        <w:spacing w:before="240" w:after="240" w:line="276" w:lineRule="auto"/>
        <w:ind w:firstLine="425"/>
        <w:jc w:val="both"/>
        <w:rPr>
          <w:rFonts w:cs="Tahoma"/>
          <w:noProof/>
          <w:sz w:val="20"/>
          <w:szCs w:val="20"/>
          <w:lang w:val="sr-Cyrl-CS"/>
        </w:rPr>
      </w:pPr>
      <w:r w:rsidRPr="00D76DC9">
        <w:rPr>
          <w:rFonts w:cs="Tahoma"/>
          <w:noProof/>
          <w:sz w:val="20"/>
          <w:szCs w:val="20"/>
          <w:lang w:val="sr-Cyrl-CS"/>
        </w:rPr>
        <w:t>Са друге стране Друштво ће наставити са политиком рационализације трошкова спровођења реосигурања кроз предузимање низа мера за смањење истих.</w:t>
      </w:r>
    </w:p>
    <w:p w14:paraId="2E3EF8FF" w14:textId="77777777" w:rsidR="00536368" w:rsidRPr="00D76DC9" w:rsidRDefault="00BA442A" w:rsidP="00D50EE5">
      <w:pPr>
        <w:pStyle w:val="NoSpacing"/>
        <w:spacing w:before="240" w:after="240" w:line="276" w:lineRule="auto"/>
        <w:ind w:firstLine="425"/>
        <w:jc w:val="both"/>
        <w:rPr>
          <w:rFonts w:cs="Tahoma"/>
          <w:noProof/>
          <w:sz w:val="20"/>
          <w:szCs w:val="20"/>
          <w:lang w:val="sr-Cyrl-CS"/>
        </w:rPr>
      </w:pPr>
      <w:r w:rsidRPr="00D76DC9">
        <w:rPr>
          <w:rFonts w:cs="Tahoma"/>
          <w:noProof/>
          <w:sz w:val="20"/>
          <w:szCs w:val="20"/>
          <w:lang w:val="sr-Cyrl-CS"/>
        </w:rPr>
        <w:t xml:space="preserve">Друштво ће такође пратити кретања каматних стопа и цене власничких хартија од вредности на финасијским тржиштима и у зависности од кретања стопе приноса вршити дисперзију улагања. </w:t>
      </w:r>
      <w:r w:rsidR="00536368" w:rsidRPr="00D76DC9">
        <w:rPr>
          <w:rFonts w:cs="Tahoma"/>
          <w:noProof/>
          <w:sz w:val="20"/>
          <w:szCs w:val="20"/>
          <w:lang w:val="sr-Cyrl-CS"/>
        </w:rPr>
        <w:t xml:space="preserve">Имајући у виду негативне трендове </w:t>
      </w:r>
      <w:r w:rsidRPr="00D76DC9">
        <w:rPr>
          <w:rFonts w:cs="Tahoma"/>
          <w:noProof/>
          <w:sz w:val="20"/>
          <w:szCs w:val="20"/>
          <w:lang w:val="sr-Cyrl-CS"/>
        </w:rPr>
        <w:t xml:space="preserve">каматних стопа </w:t>
      </w:r>
      <w:r w:rsidR="00536368" w:rsidRPr="00D76DC9">
        <w:rPr>
          <w:rFonts w:cs="Tahoma"/>
          <w:noProof/>
          <w:sz w:val="20"/>
          <w:szCs w:val="20"/>
          <w:lang w:val="sr-Cyrl-CS"/>
        </w:rPr>
        <w:t>на фина</w:t>
      </w:r>
      <w:r w:rsidRPr="00D76DC9">
        <w:rPr>
          <w:rFonts w:cs="Tahoma"/>
          <w:noProof/>
          <w:sz w:val="20"/>
          <w:szCs w:val="20"/>
          <w:lang w:val="sr-Cyrl-CS"/>
        </w:rPr>
        <w:t>сијском тржишту, извесно је да Друштво ће у наредној години повећавати улагање у државне хартије од вредности које доносе и највише приносе.</w:t>
      </w:r>
    </w:p>
    <w:p w14:paraId="40E307CF" w14:textId="77777777" w:rsidR="00BA442A" w:rsidRPr="00BF3CDE" w:rsidRDefault="00BA442A" w:rsidP="00536368">
      <w:pPr>
        <w:pStyle w:val="NoSpacing"/>
        <w:spacing w:line="276" w:lineRule="auto"/>
        <w:ind w:firstLine="425"/>
        <w:jc w:val="both"/>
        <w:rPr>
          <w:rFonts w:cs="Tahoma"/>
          <w:noProof/>
          <w:sz w:val="20"/>
          <w:szCs w:val="20"/>
          <w:lang w:val="sr-Cyrl-CS"/>
        </w:rPr>
      </w:pPr>
    </w:p>
    <w:p w14:paraId="60AF5A60" w14:textId="77777777" w:rsidR="008C2B46" w:rsidRPr="00BF3CDE" w:rsidRDefault="008C2B46" w:rsidP="008C2B46">
      <w:pPr>
        <w:pStyle w:val="Heading1"/>
        <w:numPr>
          <w:ilvl w:val="0"/>
          <w:numId w:val="2"/>
        </w:numPr>
        <w:rPr>
          <w:rFonts w:asciiTheme="majorHAnsi" w:hAnsiTheme="majorHAnsi" w:cs="Tahoma"/>
          <w:noProof/>
          <w:color w:val="4F81BD"/>
          <w:sz w:val="24"/>
          <w:szCs w:val="18"/>
          <w:lang w:val="sr-Cyrl-CS"/>
        </w:rPr>
      </w:pPr>
      <w:bookmarkStart w:id="67" w:name="_Toc414356838"/>
      <w:r w:rsidRPr="00BF3CDE">
        <w:rPr>
          <w:rFonts w:asciiTheme="majorHAnsi" w:hAnsiTheme="majorHAnsi" w:cs="Tahoma"/>
          <w:noProof/>
          <w:color w:val="4F81BD"/>
          <w:sz w:val="24"/>
          <w:szCs w:val="18"/>
          <w:lang w:val="sr-Cyrl-CS"/>
        </w:rPr>
        <w:lastRenderedPageBreak/>
        <w:t>ЗАКЉУЧАК</w:t>
      </w:r>
      <w:bookmarkEnd w:id="63"/>
      <w:bookmarkEnd w:id="65"/>
      <w:bookmarkEnd w:id="67"/>
    </w:p>
    <w:p w14:paraId="422B0E55" w14:textId="77777777" w:rsidR="006A2CC9" w:rsidRPr="00BF3CDE" w:rsidRDefault="006A2CC9" w:rsidP="001316D9">
      <w:pPr>
        <w:spacing w:before="60" w:after="60"/>
        <w:ind w:firstLine="284"/>
        <w:jc w:val="both"/>
        <w:rPr>
          <w:rFonts w:ascii="Calibri" w:hAnsi="Calibri" w:cs="Calibri"/>
          <w:b/>
          <w:noProof/>
          <w:sz w:val="2"/>
          <w:szCs w:val="2"/>
          <w:lang w:val="sr-Cyrl-CS"/>
        </w:rPr>
      </w:pPr>
    </w:p>
    <w:tbl>
      <w:tblPr>
        <w:tblW w:w="9306" w:type="dxa"/>
        <w:tblInd w:w="108" w:type="dxa"/>
        <w:tblLook w:val="04A0" w:firstRow="1" w:lastRow="0" w:firstColumn="1" w:lastColumn="0" w:noHBand="0" w:noVBand="1"/>
      </w:tblPr>
      <w:tblGrid>
        <w:gridCol w:w="4998"/>
        <w:gridCol w:w="1526"/>
        <w:gridCol w:w="1458"/>
        <w:gridCol w:w="1324"/>
      </w:tblGrid>
      <w:tr w:rsidR="00CF3B89" w:rsidRPr="00BF3CDE" w14:paraId="32EFD8F8" w14:textId="77777777" w:rsidTr="00CF3B89">
        <w:trPr>
          <w:trHeight w:val="309"/>
        </w:trPr>
        <w:tc>
          <w:tcPr>
            <w:tcW w:w="4998" w:type="dxa"/>
            <w:tcBorders>
              <w:top w:val="nil"/>
              <w:left w:val="nil"/>
              <w:bottom w:val="single" w:sz="8" w:space="0" w:color="4F81BD"/>
              <w:right w:val="nil"/>
            </w:tcBorders>
            <w:shd w:val="clear" w:color="auto" w:fill="auto"/>
            <w:noWrap/>
            <w:hideMark/>
          </w:tcPr>
          <w:p w14:paraId="08D1BD95" w14:textId="77777777" w:rsidR="00CF3B89" w:rsidRPr="00BF3CDE" w:rsidRDefault="00CF3B89" w:rsidP="00CF3B89">
            <w:pPr>
              <w:spacing w:after="0" w:line="240" w:lineRule="auto"/>
              <w:rPr>
                <w:rFonts w:ascii="Times New Roman" w:eastAsia="Times New Roman" w:hAnsi="Times New Roman" w:cs="Times New Roman"/>
                <w:noProof/>
                <w:color w:val="000000"/>
                <w:sz w:val="20"/>
                <w:szCs w:val="20"/>
                <w:lang w:val="sr-Cyrl-CS" w:eastAsia="sr-Latn-RS"/>
              </w:rPr>
            </w:pPr>
            <w:r w:rsidRPr="00BF3CDE">
              <w:rPr>
                <w:rFonts w:ascii="Times New Roman" w:eastAsia="Times New Roman" w:hAnsi="Times New Roman" w:cs="Times New Roman"/>
                <w:noProof/>
                <w:color w:val="000000"/>
                <w:sz w:val="20"/>
                <w:szCs w:val="20"/>
                <w:lang w:val="sr-Cyrl-CS" w:eastAsia="sr-Latn-RS"/>
              </w:rPr>
              <w:t> </w:t>
            </w:r>
          </w:p>
        </w:tc>
        <w:tc>
          <w:tcPr>
            <w:tcW w:w="1526" w:type="dxa"/>
            <w:tcBorders>
              <w:top w:val="nil"/>
              <w:left w:val="nil"/>
              <w:bottom w:val="single" w:sz="8" w:space="0" w:color="4F81BD"/>
              <w:right w:val="nil"/>
            </w:tcBorders>
            <w:shd w:val="clear" w:color="auto" w:fill="auto"/>
            <w:noWrap/>
            <w:hideMark/>
          </w:tcPr>
          <w:p w14:paraId="7162A36A" w14:textId="77777777" w:rsidR="00CF3B89" w:rsidRPr="00BF3CDE" w:rsidRDefault="00CF3B89" w:rsidP="00CF3B89">
            <w:pPr>
              <w:spacing w:after="0" w:line="240" w:lineRule="auto"/>
              <w:rPr>
                <w:rFonts w:ascii="Times New Roman" w:eastAsia="Times New Roman" w:hAnsi="Times New Roman" w:cs="Times New Roman"/>
                <w:noProof/>
                <w:color w:val="000000"/>
                <w:sz w:val="20"/>
                <w:szCs w:val="20"/>
                <w:lang w:val="sr-Cyrl-CS" w:eastAsia="sr-Latn-RS"/>
              </w:rPr>
            </w:pPr>
            <w:r w:rsidRPr="00BF3CDE">
              <w:rPr>
                <w:rFonts w:ascii="Times New Roman" w:eastAsia="Times New Roman" w:hAnsi="Times New Roman" w:cs="Times New Roman"/>
                <w:noProof/>
                <w:color w:val="000000"/>
                <w:sz w:val="20"/>
                <w:szCs w:val="20"/>
                <w:lang w:val="sr-Cyrl-CS" w:eastAsia="sr-Latn-RS"/>
              </w:rPr>
              <w:t> </w:t>
            </w:r>
          </w:p>
        </w:tc>
        <w:tc>
          <w:tcPr>
            <w:tcW w:w="2782" w:type="dxa"/>
            <w:gridSpan w:val="2"/>
            <w:tcBorders>
              <w:top w:val="nil"/>
              <w:left w:val="nil"/>
              <w:bottom w:val="single" w:sz="8" w:space="0" w:color="4F81BD"/>
              <w:right w:val="nil"/>
            </w:tcBorders>
            <w:shd w:val="clear" w:color="auto" w:fill="auto"/>
            <w:noWrap/>
            <w:vAlign w:val="center"/>
            <w:hideMark/>
          </w:tcPr>
          <w:p w14:paraId="702412BD" w14:textId="77777777" w:rsidR="00CF3B89" w:rsidRPr="00BF3CDE" w:rsidRDefault="00CF3B89" w:rsidP="00CF3B89">
            <w:pPr>
              <w:spacing w:after="0" w:line="240" w:lineRule="auto"/>
              <w:jc w:val="right"/>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у 000 РСД</w:t>
            </w:r>
          </w:p>
        </w:tc>
      </w:tr>
      <w:tr w:rsidR="00CF3B89" w:rsidRPr="00BF3CDE" w14:paraId="38AEF9D6" w14:textId="77777777" w:rsidTr="00D50EE5">
        <w:trPr>
          <w:trHeight w:val="397"/>
        </w:trPr>
        <w:tc>
          <w:tcPr>
            <w:tcW w:w="4998" w:type="dxa"/>
            <w:tcBorders>
              <w:top w:val="nil"/>
              <w:left w:val="nil"/>
              <w:bottom w:val="nil"/>
              <w:right w:val="nil"/>
            </w:tcBorders>
            <w:shd w:val="clear" w:color="auto" w:fill="auto"/>
            <w:noWrap/>
            <w:vAlign w:val="center"/>
            <w:hideMark/>
          </w:tcPr>
          <w:p w14:paraId="366362C2" w14:textId="77777777" w:rsidR="00CF3B89" w:rsidRPr="00BF3CDE" w:rsidRDefault="00CF3B89" w:rsidP="00CF3B89">
            <w:pPr>
              <w:spacing w:after="0" w:line="240" w:lineRule="auto"/>
              <w:jc w:val="center"/>
              <w:rPr>
                <w:rFonts w:ascii="Verdana" w:eastAsia="Times New Roman" w:hAnsi="Verdana" w:cs="Times New Roman"/>
                <w:b/>
                <w:bCs/>
                <w:noProof/>
                <w:color w:val="000000"/>
                <w:sz w:val="20"/>
                <w:szCs w:val="20"/>
                <w:lang w:val="sr-Cyrl-CS" w:eastAsia="sr-Latn-RS"/>
              </w:rPr>
            </w:pPr>
            <w:r w:rsidRPr="00BF3CDE">
              <w:rPr>
                <w:rFonts w:ascii="Verdana" w:eastAsia="Times New Roman" w:hAnsi="Verdana" w:cs="Times New Roman"/>
                <w:b/>
                <w:bCs/>
                <w:noProof/>
                <w:color w:val="000000"/>
                <w:sz w:val="20"/>
                <w:szCs w:val="20"/>
                <w:lang w:val="sr-Cyrl-CS" w:eastAsia="sr-Latn-RS"/>
              </w:rPr>
              <w:t>КАТЕГОРИЈА</w:t>
            </w:r>
          </w:p>
        </w:tc>
        <w:tc>
          <w:tcPr>
            <w:tcW w:w="1526" w:type="dxa"/>
            <w:tcBorders>
              <w:top w:val="nil"/>
              <w:left w:val="nil"/>
              <w:bottom w:val="nil"/>
              <w:right w:val="nil"/>
            </w:tcBorders>
            <w:shd w:val="clear" w:color="auto" w:fill="auto"/>
            <w:noWrap/>
            <w:vAlign w:val="center"/>
            <w:hideMark/>
          </w:tcPr>
          <w:p w14:paraId="1DD07CF4" w14:textId="77777777" w:rsidR="00CF3B89" w:rsidRPr="00BF3CDE" w:rsidRDefault="00CF3B89" w:rsidP="00CF3B89">
            <w:pPr>
              <w:spacing w:after="0" w:line="240" w:lineRule="auto"/>
              <w:jc w:val="center"/>
              <w:rPr>
                <w:rFonts w:ascii="Verdana" w:eastAsia="Times New Roman" w:hAnsi="Verdana" w:cs="Times New Roman"/>
                <w:b/>
                <w:bCs/>
                <w:noProof/>
                <w:color w:val="000000"/>
                <w:sz w:val="20"/>
                <w:szCs w:val="20"/>
                <w:lang w:val="sr-Cyrl-CS" w:eastAsia="sr-Latn-RS"/>
              </w:rPr>
            </w:pPr>
            <w:r w:rsidRPr="00BF3CDE">
              <w:rPr>
                <w:rFonts w:ascii="Verdana" w:eastAsia="Times New Roman" w:hAnsi="Verdana" w:cs="Times New Roman"/>
                <w:b/>
                <w:bCs/>
                <w:noProof/>
                <w:color w:val="000000"/>
                <w:sz w:val="20"/>
                <w:szCs w:val="20"/>
                <w:lang w:val="sr-Cyrl-CS" w:eastAsia="sr-Latn-RS"/>
              </w:rPr>
              <w:t>2014</w:t>
            </w:r>
          </w:p>
        </w:tc>
        <w:tc>
          <w:tcPr>
            <w:tcW w:w="1458" w:type="dxa"/>
            <w:tcBorders>
              <w:top w:val="nil"/>
              <w:left w:val="nil"/>
              <w:bottom w:val="nil"/>
              <w:right w:val="nil"/>
            </w:tcBorders>
            <w:shd w:val="clear" w:color="auto" w:fill="auto"/>
            <w:noWrap/>
            <w:vAlign w:val="center"/>
            <w:hideMark/>
          </w:tcPr>
          <w:p w14:paraId="62565343" w14:textId="77777777" w:rsidR="00CF3B89" w:rsidRPr="00BF3CDE" w:rsidRDefault="00CF3B89" w:rsidP="00CF3B89">
            <w:pPr>
              <w:spacing w:after="0" w:line="240" w:lineRule="auto"/>
              <w:jc w:val="center"/>
              <w:rPr>
                <w:rFonts w:ascii="Verdana" w:eastAsia="Times New Roman" w:hAnsi="Verdana" w:cs="Times New Roman"/>
                <w:b/>
                <w:bCs/>
                <w:noProof/>
                <w:color w:val="000000"/>
                <w:sz w:val="20"/>
                <w:szCs w:val="20"/>
                <w:lang w:val="sr-Cyrl-CS" w:eastAsia="sr-Latn-RS"/>
              </w:rPr>
            </w:pPr>
            <w:r w:rsidRPr="00BF3CDE">
              <w:rPr>
                <w:rFonts w:ascii="Verdana" w:eastAsia="Times New Roman" w:hAnsi="Verdana" w:cs="Times New Roman"/>
                <w:b/>
                <w:bCs/>
                <w:noProof/>
                <w:color w:val="000000"/>
                <w:sz w:val="20"/>
                <w:szCs w:val="20"/>
                <w:lang w:val="sr-Cyrl-CS" w:eastAsia="sr-Latn-RS"/>
              </w:rPr>
              <w:t>2013</w:t>
            </w:r>
          </w:p>
        </w:tc>
        <w:tc>
          <w:tcPr>
            <w:tcW w:w="1324" w:type="dxa"/>
            <w:tcBorders>
              <w:top w:val="nil"/>
              <w:left w:val="nil"/>
              <w:bottom w:val="nil"/>
              <w:right w:val="nil"/>
            </w:tcBorders>
            <w:shd w:val="clear" w:color="auto" w:fill="auto"/>
            <w:noWrap/>
            <w:vAlign w:val="center"/>
            <w:hideMark/>
          </w:tcPr>
          <w:p w14:paraId="24C51B24" w14:textId="77777777" w:rsidR="00CF3B89" w:rsidRPr="00BF3CDE" w:rsidRDefault="00CF3B89" w:rsidP="00CF3B89">
            <w:pPr>
              <w:spacing w:after="0" w:line="240" w:lineRule="auto"/>
              <w:jc w:val="center"/>
              <w:rPr>
                <w:rFonts w:ascii="Verdana" w:eastAsia="Times New Roman" w:hAnsi="Verdana" w:cs="Times New Roman"/>
                <w:b/>
                <w:bCs/>
                <w:noProof/>
                <w:color w:val="000000"/>
                <w:sz w:val="20"/>
                <w:szCs w:val="20"/>
                <w:lang w:val="sr-Cyrl-CS" w:eastAsia="sr-Latn-RS"/>
              </w:rPr>
            </w:pPr>
            <w:r w:rsidRPr="00BF3CDE">
              <w:rPr>
                <w:rFonts w:ascii="Verdana" w:eastAsia="Times New Roman" w:hAnsi="Verdana" w:cs="Times New Roman"/>
                <w:b/>
                <w:bCs/>
                <w:noProof/>
                <w:color w:val="000000"/>
                <w:sz w:val="20"/>
                <w:szCs w:val="20"/>
                <w:lang w:val="sr-Cyrl-CS" w:eastAsia="sr-Latn-RS"/>
              </w:rPr>
              <w:t>ИНДЕКС</w:t>
            </w:r>
          </w:p>
        </w:tc>
      </w:tr>
      <w:tr w:rsidR="00CF3B89" w:rsidRPr="00BF3CDE" w14:paraId="3B5060A3" w14:textId="77777777" w:rsidTr="00D50EE5">
        <w:trPr>
          <w:trHeight w:val="397"/>
        </w:trPr>
        <w:tc>
          <w:tcPr>
            <w:tcW w:w="4998" w:type="dxa"/>
            <w:tcBorders>
              <w:top w:val="nil"/>
              <w:left w:val="nil"/>
              <w:bottom w:val="single" w:sz="8" w:space="0" w:color="4F81BD"/>
              <w:right w:val="nil"/>
            </w:tcBorders>
            <w:shd w:val="clear" w:color="auto" w:fill="auto"/>
            <w:noWrap/>
            <w:vAlign w:val="center"/>
            <w:hideMark/>
          </w:tcPr>
          <w:p w14:paraId="2BB364B4" w14:textId="77777777" w:rsidR="00CF3B89" w:rsidRPr="00BF3CDE" w:rsidRDefault="00CF3B89" w:rsidP="00CF3B89">
            <w:pPr>
              <w:spacing w:after="0" w:line="240" w:lineRule="auto"/>
              <w:jc w:val="center"/>
              <w:rPr>
                <w:rFonts w:ascii="Verdana" w:eastAsia="Times New Roman" w:hAnsi="Verdana" w:cs="Times New Roman"/>
                <w:b/>
                <w:bCs/>
                <w:noProof/>
                <w:color w:val="000000"/>
                <w:sz w:val="20"/>
                <w:szCs w:val="20"/>
                <w:lang w:val="sr-Cyrl-CS" w:eastAsia="sr-Latn-RS"/>
              </w:rPr>
            </w:pPr>
            <w:r w:rsidRPr="00BF3CDE">
              <w:rPr>
                <w:rFonts w:ascii="Verdana" w:eastAsia="Times New Roman" w:hAnsi="Verdana" w:cs="Times New Roman"/>
                <w:b/>
                <w:bCs/>
                <w:noProof/>
                <w:color w:val="000000"/>
                <w:sz w:val="20"/>
                <w:szCs w:val="20"/>
                <w:lang w:val="sr-Cyrl-CS" w:eastAsia="sr-Latn-RS"/>
              </w:rPr>
              <w:t>1</w:t>
            </w:r>
          </w:p>
        </w:tc>
        <w:tc>
          <w:tcPr>
            <w:tcW w:w="1526" w:type="dxa"/>
            <w:tcBorders>
              <w:top w:val="nil"/>
              <w:left w:val="nil"/>
              <w:bottom w:val="single" w:sz="8" w:space="0" w:color="4F81BD"/>
              <w:right w:val="nil"/>
            </w:tcBorders>
            <w:shd w:val="clear" w:color="auto" w:fill="auto"/>
            <w:noWrap/>
            <w:vAlign w:val="center"/>
            <w:hideMark/>
          </w:tcPr>
          <w:p w14:paraId="1C2B1EB1" w14:textId="77777777" w:rsidR="00CF3B89" w:rsidRPr="00BF3CDE" w:rsidRDefault="00CF3B89" w:rsidP="00CF3B89">
            <w:pPr>
              <w:spacing w:after="0" w:line="240" w:lineRule="auto"/>
              <w:jc w:val="center"/>
              <w:rPr>
                <w:rFonts w:ascii="Verdana" w:eastAsia="Times New Roman" w:hAnsi="Verdana" w:cs="Times New Roman"/>
                <w:b/>
                <w:bCs/>
                <w:noProof/>
                <w:color w:val="000000"/>
                <w:sz w:val="20"/>
                <w:szCs w:val="20"/>
                <w:lang w:val="sr-Cyrl-CS" w:eastAsia="sr-Latn-RS"/>
              </w:rPr>
            </w:pPr>
            <w:r w:rsidRPr="00BF3CDE">
              <w:rPr>
                <w:rFonts w:ascii="Verdana" w:eastAsia="Times New Roman" w:hAnsi="Verdana" w:cs="Times New Roman"/>
                <w:b/>
                <w:bCs/>
                <w:noProof/>
                <w:color w:val="000000"/>
                <w:sz w:val="20"/>
                <w:szCs w:val="20"/>
                <w:lang w:val="sr-Cyrl-CS" w:eastAsia="sr-Latn-RS"/>
              </w:rPr>
              <w:t>2</w:t>
            </w:r>
          </w:p>
        </w:tc>
        <w:tc>
          <w:tcPr>
            <w:tcW w:w="1458" w:type="dxa"/>
            <w:tcBorders>
              <w:top w:val="nil"/>
              <w:left w:val="nil"/>
              <w:bottom w:val="single" w:sz="8" w:space="0" w:color="4F81BD"/>
              <w:right w:val="nil"/>
            </w:tcBorders>
            <w:shd w:val="clear" w:color="auto" w:fill="auto"/>
            <w:noWrap/>
            <w:vAlign w:val="center"/>
            <w:hideMark/>
          </w:tcPr>
          <w:p w14:paraId="3D4522D9" w14:textId="77777777" w:rsidR="00CF3B89" w:rsidRPr="00BF3CDE" w:rsidRDefault="00CF3B89" w:rsidP="00CF3B89">
            <w:pPr>
              <w:spacing w:after="0" w:line="240" w:lineRule="auto"/>
              <w:jc w:val="center"/>
              <w:rPr>
                <w:rFonts w:ascii="Verdana" w:eastAsia="Times New Roman" w:hAnsi="Verdana" w:cs="Times New Roman"/>
                <w:b/>
                <w:bCs/>
                <w:noProof/>
                <w:color w:val="000000"/>
                <w:sz w:val="20"/>
                <w:szCs w:val="20"/>
                <w:lang w:val="sr-Cyrl-CS" w:eastAsia="sr-Latn-RS"/>
              </w:rPr>
            </w:pPr>
            <w:r w:rsidRPr="00BF3CDE">
              <w:rPr>
                <w:rFonts w:ascii="Verdana" w:eastAsia="Times New Roman" w:hAnsi="Verdana" w:cs="Times New Roman"/>
                <w:b/>
                <w:bCs/>
                <w:noProof/>
                <w:color w:val="000000"/>
                <w:sz w:val="20"/>
                <w:szCs w:val="20"/>
                <w:lang w:val="sr-Cyrl-CS" w:eastAsia="sr-Latn-RS"/>
              </w:rPr>
              <w:t>3</w:t>
            </w:r>
          </w:p>
        </w:tc>
        <w:tc>
          <w:tcPr>
            <w:tcW w:w="1324" w:type="dxa"/>
            <w:tcBorders>
              <w:top w:val="nil"/>
              <w:left w:val="nil"/>
              <w:bottom w:val="single" w:sz="8" w:space="0" w:color="4F81BD"/>
              <w:right w:val="nil"/>
            </w:tcBorders>
            <w:shd w:val="clear" w:color="auto" w:fill="auto"/>
            <w:noWrap/>
            <w:vAlign w:val="center"/>
            <w:hideMark/>
          </w:tcPr>
          <w:p w14:paraId="2056C1AA" w14:textId="77777777" w:rsidR="00CF3B89" w:rsidRPr="00BF3CDE" w:rsidRDefault="00CF3B89" w:rsidP="00CF3B89">
            <w:pPr>
              <w:spacing w:after="0" w:line="240" w:lineRule="auto"/>
              <w:jc w:val="center"/>
              <w:rPr>
                <w:rFonts w:ascii="Verdana" w:eastAsia="Times New Roman" w:hAnsi="Verdana" w:cs="Times New Roman"/>
                <w:b/>
                <w:bCs/>
                <w:noProof/>
                <w:color w:val="000000"/>
                <w:sz w:val="20"/>
                <w:szCs w:val="20"/>
                <w:lang w:val="sr-Cyrl-CS" w:eastAsia="sr-Latn-RS"/>
              </w:rPr>
            </w:pPr>
            <w:r w:rsidRPr="00BF3CDE">
              <w:rPr>
                <w:rFonts w:ascii="Verdana" w:eastAsia="Times New Roman" w:hAnsi="Verdana" w:cs="Times New Roman"/>
                <w:b/>
                <w:bCs/>
                <w:noProof/>
                <w:color w:val="000000"/>
                <w:sz w:val="20"/>
                <w:szCs w:val="20"/>
                <w:lang w:val="sr-Cyrl-CS" w:eastAsia="sr-Latn-RS"/>
              </w:rPr>
              <w:t>4(2/3)</w:t>
            </w:r>
          </w:p>
        </w:tc>
      </w:tr>
      <w:tr w:rsidR="00CF3B89" w:rsidRPr="00BF3CDE" w14:paraId="7D6CE393" w14:textId="77777777" w:rsidTr="00D50EE5">
        <w:trPr>
          <w:trHeight w:val="397"/>
        </w:trPr>
        <w:tc>
          <w:tcPr>
            <w:tcW w:w="4998" w:type="dxa"/>
            <w:tcBorders>
              <w:top w:val="nil"/>
              <w:left w:val="nil"/>
              <w:bottom w:val="nil"/>
              <w:right w:val="nil"/>
            </w:tcBorders>
            <w:shd w:val="clear" w:color="auto" w:fill="DBE5F1" w:themeFill="accent1" w:themeFillTint="33"/>
            <w:noWrap/>
            <w:vAlign w:val="center"/>
            <w:hideMark/>
          </w:tcPr>
          <w:p w14:paraId="15982ACE" w14:textId="77777777" w:rsidR="00CF3B89" w:rsidRPr="00BF3CDE" w:rsidRDefault="00CF3B89" w:rsidP="00CF3B89">
            <w:pPr>
              <w:spacing w:after="0" w:line="240" w:lineRule="auto"/>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Пословни приходи</w:t>
            </w:r>
          </w:p>
        </w:tc>
        <w:tc>
          <w:tcPr>
            <w:tcW w:w="1526" w:type="dxa"/>
            <w:tcBorders>
              <w:top w:val="nil"/>
              <w:left w:val="nil"/>
              <w:bottom w:val="nil"/>
              <w:right w:val="nil"/>
            </w:tcBorders>
            <w:shd w:val="clear" w:color="auto" w:fill="DBE5F1" w:themeFill="accent1" w:themeFillTint="33"/>
            <w:noWrap/>
            <w:vAlign w:val="center"/>
            <w:hideMark/>
          </w:tcPr>
          <w:p w14:paraId="09AECF4C" w14:textId="77777777" w:rsidR="00CF3B89" w:rsidRPr="00BF3CDE" w:rsidRDefault="00CF3B89" w:rsidP="00CF3B89">
            <w:pPr>
              <w:spacing w:after="0" w:line="240" w:lineRule="auto"/>
              <w:jc w:val="right"/>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3,279,441</w:t>
            </w:r>
          </w:p>
        </w:tc>
        <w:tc>
          <w:tcPr>
            <w:tcW w:w="1458" w:type="dxa"/>
            <w:tcBorders>
              <w:top w:val="nil"/>
              <w:left w:val="nil"/>
              <w:bottom w:val="nil"/>
              <w:right w:val="nil"/>
            </w:tcBorders>
            <w:shd w:val="clear" w:color="auto" w:fill="DBE5F1" w:themeFill="accent1" w:themeFillTint="33"/>
            <w:noWrap/>
            <w:vAlign w:val="center"/>
            <w:hideMark/>
          </w:tcPr>
          <w:p w14:paraId="12533B67" w14:textId="77777777" w:rsidR="00CF3B89" w:rsidRPr="00BF3CDE" w:rsidRDefault="00CF3B89" w:rsidP="00CF3B89">
            <w:pPr>
              <w:spacing w:after="0" w:line="240" w:lineRule="auto"/>
              <w:jc w:val="right"/>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3,727,728</w:t>
            </w:r>
          </w:p>
        </w:tc>
        <w:tc>
          <w:tcPr>
            <w:tcW w:w="1324" w:type="dxa"/>
            <w:tcBorders>
              <w:top w:val="nil"/>
              <w:left w:val="nil"/>
              <w:bottom w:val="nil"/>
              <w:right w:val="nil"/>
            </w:tcBorders>
            <w:shd w:val="clear" w:color="auto" w:fill="DBE5F1" w:themeFill="accent1" w:themeFillTint="33"/>
            <w:noWrap/>
            <w:vAlign w:val="center"/>
            <w:hideMark/>
          </w:tcPr>
          <w:p w14:paraId="1E1A9904" w14:textId="77777777" w:rsidR="00CF3B89" w:rsidRPr="00BF3CDE" w:rsidRDefault="00CF3B89" w:rsidP="00CF3B89">
            <w:pPr>
              <w:spacing w:after="0" w:line="240" w:lineRule="auto"/>
              <w:jc w:val="center"/>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87.97</w:t>
            </w:r>
          </w:p>
        </w:tc>
      </w:tr>
      <w:tr w:rsidR="00CF3B89" w:rsidRPr="00BF3CDE" w14:paraId="27A1A649" w14:textId="77777777" w:rsidTr="00D50EE5">
        <w:trPr>
          <w:trHeight w:val="397"/>
        </w:trPr>
        <w:tc>
          <w:tcPr>
            <w:tcW w:w="4998" w:type="dxa"/>
            <w:tcBorders>
              <w:top w:val="nil"/>
              <w:left w:val="nil"/>
              <w:bottom w:val="nil"/>
              <w:right w:val="nil"/>
            </w:tcBorders>
            <w:shd w:val="clear" w:color="auto" w:fill="auto"/>
            <w:noWrap/>
            <w:vAlign w:val="center"/>
            <w:hideMark/>
          </w:tcPr>
          <w:p w14:paraId="55637649" w14:textId="77777777" w:rsidR="00CF3B89" w:rsidRPr="00BF3CDE" w:rsidRDefault="00CF3B89" w:rsidP="00CF3B89">
            <w:pPr>
              <w:spacing w:after="0" w:line="240" w:lineRule="auto"/>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Пословни расходи</w:t>
            </w:r>
          </w:p>
        </w:tc>
        <w:tc>
          <w:tcPr>
            <w:tcW w:w="1526" w:type="dxa"/>
            <w:tcBorders>
              <w:top w:val="nil"/>
              <w:left w:val="nil"/>
              <w:bottom w:val="nil"/>
              <w:right w:val="nil"/>
            </w:tcBorders>
            <w:shd w:val="clear" w:color="auto" w:fill="auto"/>
            <w:noWrap/>
            <w:vAlign w:val="center"/>
            <w:hideMark/>
          </w:tcPr>
          <w:p w14:paraId="63BDC055" w14:textId="77777777" w:rsidR="00CF3B89" w:rsidRPr="00BF3CDE" w:rsidRDefault="00CF3B89" w:rsidP="00CF3B89">
            <w:pPr>
              <w:spacing w:after="0" w:line="240" w:lineRule="auto"/>
              <w:jc w:val="right"/>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3,468,997</w:t>
            </w:r>
          </w:p>
        </w:tc>
        <w:tc>
          <w:tcPr>
            <w:tcW w:w="1458" w:type="dxa"/>
            <w:tcBorders>
              <w:top w:val="nil"/>
              <w:left w:val="nil"/>
              <w:bottom w:val="nil"/>
              <w:right w:val="nil"/>
            </w:tcBorders>
            <w:shd w:val="clear" w:color="auto" w:fill="auto"/>
            <w:noWrap/>
            <w:vAlign w:val="center"/>
            <w:hideMark/>
          </w:tcPr>
          <w:p w14:paraId="018879B7" w14:textId="77777777" w:rsidR="00CF3B89" w:rsidRPr="00BF3CDE" w:rsidRDefault="00CF3B89" w:rsidP="00CF3B89">
            <w:pPr>
              <w:spacing w:after="0" w:line="240" w:lineRule="auto"/>
              <w:jc w:val="right"/>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3,817,620</w:t>
            </w:r>
          </w:p>
        </w:tc>
        <w:tc>
          <w:tcPr>
            <w:tcW w:w="1324" w:type="dxa"/>
            <w:tcBorders>
              <w:top w:val="nil"/>
              <w:left w:val="nil"/>
              <w:bottom w:val="nil"/>
              <w:right w:val="nil"/>
            </w:tcBorders>
            <w:shd w:val="clear" w:color="000000" w:fill="FFFFFF"/>
            <w:noWrap/>
            <w:vAlign w:val="center"/>
            <w:hideMark/>
          </w:tcPr>
          <w:p w14:paraId="6BB2061E" w14:textId="77777777" w:rsidR="00CF3B89" w:rsidRPr="00BF3CDE" w:rsidRDefault="00CF3B89" w:rsidP="00CF3B89">
            <w:pPr>
              <w:spacing w:after="0" w:line="240" w:lineRule="auto"/>
              <w:jc w:val="center"/>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90.87</w:t>
            </w:r>
          </w:p>
        </w:tc>
      </w:tr>
      <w:tr w:rsidR="00CF3B89" w:rsidRPr="00BF3CDE" w14:paraId="4B3C1490" w14:textId="77777777" w:rsidTr="00D50EE5">
        <w:trPr>
          <w:trHeight w:val="397"/>
        </w:trPr>
        <w:tc>
          <w:tcPr>
            <w:tcW w:w="4998" w:type="dxa"/>
            <w:tcBorders>
              <w:top w:val="nil"/>
              <w:left w:val="nil"/>
              <w:bottom w:val="nil"/>
              <w:right w:val="nil"/>
            </w:tcBorders>
            <w:shd w:val="clear" w:color="auto" w:fill="DBE5F1" w:themeFill="accent1" w:themeFillTint="33"/>
            <w:noWrap/>
            <w:vAlign w:val="center"/>
            <w:hideMark/>
          </w:tcPr>
          <w:p w14:paraId="7F75076C" w14:textId="77777777" w:rsidR="00CF3B89" w:rsidRPr="00BF3CDE" w:rsidRDefault="00CF3B89" w:rsidP="00CF3B89">
            <w:pPr>
              <w:spacing w:after="0" w:line="240" w:lineRule="auto"/>
              <w:rPr>
                <w:rFonts w:ascii="Verdana" w:eastAsia="Times New Roman" w:hAnsi="Verdana" w:cs="Times New Roman"/>
                <w:b/>
                <w:bCs/>
                <w:noProof/>
                <w:color w:val="000000"/>
                <w:sz w:val="20"/>
                <w:szCs w:val="20"/>
                <w:lang w:val="sr-Cyrl-CS" w:eastAsia="sr-Latn-RS"/>
              </w:rPr>
            </w:pPr>
            <w:r w:rsidRPr="00BF3CDE">
              <w:rPr>
                <w:rFonts w:ascii="Verdana" w:eastAsia="Times New Roman" w:hAnsi="Verdana" w:cs="Times New Roman"/>
                <w:b/>
                <w:bCs/>
                <w:noProof/>
                <w:color w:val="000000"/>
                <w:sz w:val="20"/>
                <w:szCs w:val="20"/>
                <w:lang w:val="sr-Cyrl-CS" w:eastAsia="sr-Latn-RS"/>
              </w:rPr>
              <w:t>Пословни резултат</w:t>
            </w:r>
          </w:p>
        </w:tc>
        <w:tc>
          <w:tcPr>
            <w:tcW w:w="1526" w:type="dxa"/>
            <w:tcBorders>
              <w:top w:val="nil"/>
              <w:left w:val="nil"/>
              <w:bottom w:val="nil"/>
              <w:right w:val="nil"/>
            </w:tcBorders>
            <w:shd w:val="clear" w:color="auto" w:fill="DBE5F1" w:themeFill="accent1" w:themeFillTint="33"/>
            <w:noWrap/>
            <w:vAlign w:val="center"/>
            <w:hideMark/>
          </w:tcPr>
          <w:p w14:paraId="47AAB052" w14:textId="77777777" w:rsidR="00CF3B89" w:rsidRPr="00BF3CDE" w:rsidRDefault="00CF3B89" w:rsidP="00CF3B89">
            <w:pPr>
              <w:spacing w:after="0" w:line="240" w:lineRule="auto"/>
              <w:jc w:val="right"/>
              <w:rPr>
                <w:rFonts w:ascii="Verdana" w:eastAsia="Times New Roman" w:hAnsi="Verdana" w:cs="Times New Roman"/>
                <w:b/>
                <w:bCs/>
                <w:noProof/>
                <w:color w:val="000000"/>
                <w:sz w:val="20"/>
                <w:szCs w:val="20"/>
                <w:lang w:val="sr-Cyrl-CS" w:eastAsia="sr-Latn-RS"/>
              </w:rPr>
            </w:pPr>
            <w:r w:rsidRPr="00BF3CDE">
              <w:rPr>
                <w:rFonts w:ascii="Verdana" w:eastAsia="Times New Roman" w:hAnsi="Verdana" w:cs="Times New Roman"/>
                <w:b/>
                <w:bCs/>
                <w:noProof/>
                <w:color w:val="000000"/>
                <w:sz w:val="20"/>
                <w:szCs w:val="20"/>
                <w:lang w:val="sr-Cyrl-CS" w:eastAsia="sr-Latn-RS"/>
              </w:rPr>
              <w:t>-189,556</w:t>
            </w:r>
          </w:p>
        </w:tc>
        <w:tc>
          <w:tcPr>
            <w:tcW w:w="1458" w:type="dxa"/>
            <w:tcBorders>
              <w:top w:val="nil"/>
              <w:left w:val="nil"/>
              <w:bottom w:val="nil"/>
              <w:right w:val="nil"/>
            </w:tcBorders>
            <w:shd w:val="clear" w:color="auto" w:fill="DBE5F1" w:themeFill="accent1" w:themeFillTint="33"/>
            <w:noWrap/>
            <w:vAlign w:val="center"/>
            <w:hideMark/>
          </w:tcPr>
          <w:p w14:paraId="7A3B1DD1" w14:textId="77777777" w:rsidR="00CF3B89" w:rsidRPr="00BF3CDE" w:rsidRDefault="00CF3B89" w:rsidP="00CF3B89">
            <w:pPr>
              <w:spacing w:after="0" w:line="240" w:lineRule="auto"/>
              <w:jc w:val="right"/>
              <w:rPr>
                <w:rFonts w:ascii="Verdana" w:eastAsia="Times New Roman" w:hAnsi="Verdana" w:cs="Times New Roman"/>
                <w:b/>
                <w:bCs/>
                <w:noProof/>
                <w:color w:val="000000"/>
                <w:sz w:val="20"/>
                <w:szCs w:val="20"/>
                <w:lang w:val="sr-Cyrl-CS" w:eastAsia="sr-Latn-RS"/>
              </w:rPr>
            </w:pPr>
            <w:r w:rsidRPr="00BF3CDE">
              <w:rPr>
                <w:rFonts w:ascii="Verdana" w:eastAsia="Times New Roman" w:hAnsi="Verdana" w:cs="Times New Roman"/>
                <w:b/>
                <w:bCs/>
                <w:noProof/>
                <w:color w:val="000000"/>
                <w:sz w:val="20"/>
                <w:szCs w:val="20"/>
                <w:lang w:val="sr-Cyrl-CS" w:eastAsia="sr-Latn-RS"/>
              </w:rPr>
              <w:t>-89,892</w:t>
            </w:r>
          </w:p>
        </w:tc>
        <w:tc>
          <w:tcPr>
            <w:tcW w:w="1324" w:type="dxa"/>
            <w:tcBorders>
              <w:top w:val="nil"/>
              <w:left w:val="nil"/>
              <w:bottom w:val="nil"/>
              <w:right w:val="nil"/>
            </w:tcBorders>
            <w:shd w:val="clear" w:color="auto" w:fill="DBE5F1" w:themeFill="accent1" w:themeFillTint="33"/>
            <w:noWrap/>
            <w:vAlign w:val="center"/>
            <w:hideMark/>
          </w:tcPr>
          <w:p w14:paraId="48F3C792" w14:textId="77777777" w:rsidR="00CF3B89" w:rsidRPr="00D20867" w:rsidRDefault="00CF3B89" w:rsidP="00CF3B89">
            <w:pPr>
              <w:spacing w:after="0" w:line="240" w:lineRule="auto"/>
              <w:jc w:val="center"/>
              <w:rPr>
                <w:rFonts w:ascii="Verdana" w:eastAsia="Times New Roman" w:hAnsi="Verdana" w:cs="Times New Roman"/>
                <w:b/>
                <w:noProof/>
                <w:color w:val="000000"/>
                <w:sz w:val="20"/>
                <w:szCs w:val="20"/>
                <w:lang w:val="sr-Cyrl-CS" w:eastAsia="sr-Latn-RS"/>
              </w:rPr>
            </w:pPr>
            <w:r w:rsidRPr="00D20867">
              <w:rPr>
                <w:rFonts w:ascii="Verdana" w:eastAsia="Times New Roman" w:hAnsi="Verdana" w:cs="Times New Roman"/>
                <w:b/>
                <w:noProof/>
                <w:color w:val="000000"/>
                <w:sz w:val="20"/>
                <w:szCs w:val="20"/>
                <w:lang w:val="sr-Cyrl-CS" w:eastAsia="sr-Latn-RS"/>
              </w:rPr>
              <w:t>210.87</w:t>
            </w:r>
          </w:p>
        </w:tc>
      </w:tr>
      <w:tr w:rsidR="00CF3B89" w:rsidRPr="00BF3CDE" w14:paraId="2677DBF8" w14:textId="77777777" w:rsidTr="00D50EE5">
        <w:trPr>
          <w:trHeight w:val="397"/>
        </w:trPr>
        <w:tc>
          <w:tcPr>
            <w:tcW w:w="4998" w:type="dxa"/>
            <w:tcBorders>
              <w:top w:val="nil"/>
              <w:left w:val="nil"/>
              <w:bottom w:val="nil"/>
              <w:right w:val="nil"/>
            </w:tcBorders>
            <w:shd w:val="clear" w:color="auto" w:fill="auto"/>
            <w:noWrap/>
            <w:vAlign w:val="center"/>
            <w:hideMark/>
          </w:tcPr>
          <w:p w14:paraId="5AEDC110" w14:textId="77777777" w:rsidR="00CF3B89" w:rsidRPr="00BF3CDE" w:rsidRDefault="00CF3B89" w:rsidP="00CF3B89">
            <w:pPr>
              <w:spacing w:after="0" w:line="240" w:lineRule="auto"/>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Финансијски приходи</w:t>
            </w:r>
          </w:p>
        </w:tc>
        <w:tc>
          <w:tcPr>
            <w:tcW w:w="1526" w:type="dxa"/>
            <w:tcBorders>
              <w:top w:val="nil"/>
              <w:left w:val="nil"/>
              <w:bottom w:val="nil"/>
              <w:right w:val="nil"/>
            </w:tcBorders>
            <w:shd w:val="clear" w:color="auto" w:fill="auto"/>
            <w:noWrap/>
            <w:vAlign w:val="center"/>
            <w:hideMark/>
          </w:tcPr>
          <w:p w14:paraId="6E145A1A" w14:textId="77777777" w:rsidR="00CF3B89" w:rsidRPr="00BF3CDE" w:rsidRDefault="00CF3B89" w:rsidP="00CF3B89">
            <w:pPr>
              <w:spacing w:after="0" w:line="240" w:lineRule="auto"/>
              <w:jc w:val="right"/>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85,303</w:t>
            </w:r>
          </w:p>
        </w:tc>
        <w:tc>
          <w:tcPr>
            <w:tcW w:w="1458" w:type="dxa"/>
            <w:tcBorders>
              <w:top w:val="nil"/>
              <w:left w:val="nil"/>
              <w:bottom w:val="nil"/>
              <w:right w:val="nil"/>
            </w:tcBorders>
            <w:shd w:val="clear" w:color="auto" w:fill="auto"/>
            <w:noWrap/>
            <w:vAlign w:val="center"/>
            <w:hideMark/>
          </w:tcPr>
          <w:p w14:paraId="1DD188BD" w14:textId="77777777" w:rsidR="00CF3B89" w:rsidRPr="00BF3CDE" w:rsidRDefault="00CF3B89" w:rsidP="00CF3B89">
            <w:pPr>
              <w:spacing w:after="0" w:line="240" w:lineRule="auto"/>
              <w:jc w:val="right"/>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50,055</w:t>
            </w:r>
          </w:p>
        </w:tc>
        <w:tc>
          <w:tcPr>
            <w:tcW w:w="1324" w:type="dxa"/>
            <w:tcBorders>
              <w:top w:val="nil"/>
              <w:left w:val="nil"/>
              <w:bottom w:val="nil"/>
              <w:right w:val="nil"/>
            </w:tcBorders>
            <w:shd w:val="clear" w:color="000000" w:fill="FFFFFF"/>
            <w:noWrap/>
            <w:vAlign w:val="center"/>
            <w:hideMark/>
          </w:tcPr>
          <w:p w14:paraId="0A7786B7" w14:textId="77777777" w:rsidR="00CF3B89" w:rsidRPr="00BF3CDE" w:rsidRDefault="00CF3B89" w:rsidP="00CF3B89">
            <w:pPr>
              <w:spacing w:after="0" w:line="240" w:lineRule="auto"/>
              <w:jc w:val="center"/>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170.42</w:t>
            </w:r>
          </w:p>
        </w:tc>
      </w:tr>
      <w:tr w:rsidR="00CF3B89" w:rsidRPr="00BF3CDE" w14:paraId="09C14C33" w14:textId="77777777" w:rsidTr="00D50EE5">
        <w:trPr>
          <w:trHeight w:val="397"/>
        </w:trPr>
        <w:tc>
          <w:tcPr>
            <w:tcW w:w="4998" w:type="dxa"/>
            <w:tcBorders>
              <w:top w:val="nil"/>
              <w:left w:val="nil"/>
              <w:bottom w:val="nil"/>
              <w:right w:val="nil"/>
            </w:tcBorders>
            <w:shd w:val="clear" w:color="auto" w:fill="DBE5F1" w:themeFill="accent1" w:themeFillTint="33"/>
            <w:noWrap/>
            <w:vAlign w:val="center"/>
            <w:hideMark/>
          </w:tcPr>
          <w:p w14:paraId="5F3E897D" w14:textId="77777777" w:rsidR="00CF3B89" w:rsidRPr="00BF3CDE" w:rsidRDefault="00CF3B89" w:rsidP="00CF3B89">
            <w:pPr>
              <w:spacing w:after="0" w:line="240" w:lineRule="auto"/>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Финансијски расходи</w:t>
            </w:r>
          </w:p>
        </w:tc>
        <w:tc>
          <w:tcPr>
            <w:tcW w:w="1526" w:type="dxa"/>
            <w:tcBorders>
              <w:top w:val="nil"/>
              <w:left w:val="nil"/>
              <w:bottom w:val="nil"/>
              <w:right w:val="nil"/>
            </w:tcBorders>
            <w:shd w:val="clear" w:color="auto" w:fill="DBE5F1" w:themeFill="accent1" w:themeFillTint="33"/>
            <w:noWrap/>
            <w:vAlign w:val="center"/>
            <w:hideMark/>
          </w:tcPr>
          <w:p w14:paraId="7D2D7CCA" w14:textId="77777777" w:rsidR="00CF3B89" w:rsidRPr="00BF3CDE" w:rsidRDefault="00CF3B89" w:rsidP="00CF3B89">
            <w:pPr>
              <w:spacing w:after="0" w:line="240" w:lineRule="auto"/>
              <w:jc w:val="right"/>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123,214</w:t>
            </w:r>
          </w:p>
        </w:tc>
        <w:tc>
          <w:tcPr>
            <w:tcW w:w="1458" w:type="dxa"/>
            <w:tcBorders>
              <w:top w:val="nil"/>
              <w:left w:val="nil"/>
              <w:bottom w:val="nil"/>
              <w:right w:val="nil"/>
            </w:tcBorders>
            <w:shd w:val="clear" w:color="auto" w:fill="DBE5F1" w:themeFill="accent1" w:themeFillTint="33"/>
            <w:noWrap/>
            <w:vAlign w:val="center"/>
            <w:hideMark/>
          </w:tcPr>
          <w:p w14:paraId="55193F4D" w14:textId="77777777" w:rsidR="00CF3B89" w:rsidRPr="00BF3CDE" w:rsidRDefault="00CF3B89" w:rsidP="00CF3B89">
            <w:pPr>
              <w:spacing w:after="0" w:line="240" w:lineRule="auto"/>
              <w:jc w:val="right"/>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61,928</w:t>
            </w:r>
          </w:p>
        </w:tc>
        <w:tc>
          <w:tcPr>
            <w:tcW w:w="1324" w:type="dxa"/>
            <w:tcBorders>
              <w:top w:val="nil"/>
              <w:left w:val="nil"/>
              <w:bottom w:val="nil"/>
              <w:right w:val="nil"/>
            </w:tcBorders>
            <w:shd w:val="clear" w:color="auto" w:fill="DBE5F1" w:themeFill="accent1" w:themeFillTint="33"/>
            <w:noWrap/>
            <w:vAlign w:val="center"/>
            <w:hideMark/>
          </w:tcPr>
          <w:p w14:paraId="449E58CB" w14:textId="77777777" w:rsidR="00CF3B89" w:rsidRPr="00BF3CDE" w:rsidRDefault="00CF3B89" w:rsidP="00CF3B89">
            <w:pPr>
              <w:spacing w:after="0" w:line="240" w:lineRule="auto"/>
              <w:jc w:val="center"/>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198.96</w:t>
            </w:r>
          </w:p>
        </w:tc>
      </w:tr>
      <w:tr w:rsidR="00CF3B89" w:rsidRPr="00BF3CDE" w14:paraId="665517A0" w14:textId="77777777" w:rsidTr="00D50EE5">
        <w:trPr>
          <w:trHeight w:val="397"/>
        </w:trPr>
        <w:tc>
          <w:tcPr>
            <w:tcW w:w="4998" w:type="dxa"/>
            <w:tcBorders>
              <w:top w:val="nil"/>
              <w:left w:val="nil"/>
              <w:bottom w:val="nil"/>
              <w:right w:val="nil"/>
            </w:tcBorders>
            <w:shd w:val="clear" w:color="auto" w:fill="auto"/>
            <w:noWrap/>
            <w:vAlign w:val="center"/>
            <w:hideMark/>
          </w:tcPr>
          <w:p w14:paraId="5794FBF2" w14:textId="77777777" w:rsidR="00CF3B89" w:rsidRPr="00BF3CDE" w:rsidRDefault="00CF3B89" w:rsidP="00CF3B89">
            <w:pPr>
              <w:spacing w:after="0" w:line="240" w:lineRule="auto"/>
              <w:rPr>
                <w:rFonts w:ascii="Verdana" w:eastAsia="Times New Roman" w:hAnsi="Verdana" w:cs="Times New Roman"/>
                <w:b/>
                <w:bCs/>
                <w:noProof/>
                <w:color w:val="000000"/>
                <w:sz w:val="20"/>
                <w:szCs w:val="20"/>
                <w:lang w:val="sr-Cyrl-CS" w:eastAsia="sr-Latn-RS"/>
              </w:rPr>
            </w:pPr>
            <w:r w:rsidRPr="00BF3CDE">
              <w:rPr>
                <w:rFonts w:ascii="Verdana" w:eastAsia="Times New Roman" w:hAnsi="Verdana" w:cs="Times New Roman"/>
                <w:b/>
                <w:bCs/>
                <w:noProof/>
                <w:color w:val="000000"/>
                <w:sz w:val="20"/>
                <w:szCs w:val="20"/>
                <w:lang w:val="sr-Cyrl-CS" w:eastAsia="sr-Latn-RS"/>
              </w:rPr>
              <w:t>Финансијски резултат</w:t>
            </w:r>
          </w:p>
        </w:tc>
        <w:tc>
          <w:tcPr>
            <w:tcW w:w="1526" w:type="dxa"/>
            <w:tcBorders>
              <w:top w:val="nil"/>
              <w:left w:val="nil"/>
              <w:bottom w:val="nil"/>
              <w:right w:val="nil"/>
            </w:tcBorders>
            <w:shd w:val="clear" w:color="auto" w:fill="auto"/>
            <w:noWrap/>
            <w:vAlign w:val="center"/>
            <w:hideMark/>
          </w:tcPr>
          <w:p w14:paraId="09924E55" w14:textId="77777777" w:rsidR="00CF3B89" w:rsidRPr="00BF3CDE" w:rsidRDefault="00CF3B89" w:rsidP="00CF3B89">
            <w:pPr>
              <w:spacing w:after="0" w:line="240" w:lineRule="auto"/>
              <w:jc w:val="right"/>
              <w:rPr>
                <w:rFonts w:ascii="Verdana" w:eastAsia="Times New Roman" w:hAnsi="Verdana" w:cs="Times New Roman"/>
                <w:b/>
                <w:bCs/>
                <w:noProof/>
                <w:color w:val="000000"/>
                <w:sz w:val="20"/>
                <w:szCs w:val="20"/>
                <w:lang w:val="sr-Cyrl-CS" w:eastAsia="sr-Latn-RS"/>
              </w:rPr>
            </w:pPr>
            <w:r w:rsidRPr="00BF3CDE">
              <w:rPr>
                <w:rFonts w:ascii="Verdana" w:eastAsia="Times New Roman" w:hAnsi="Verdana" w:cs="Times New Roman"/>
                <w:b/>
                <w:bCs/>
                <w:noProof/>
                <w:color w:val="000000"/>
                <w:sz w:val="20"/>
                <w:szCs w:val="20"/>
                <w:lang w:val="sr-Cyrl-CS" w:eastAsia="sr-Latn-RS"/>
              </w:rPr>
              <w:t>-37,911</w:t>
            </w:r>
          </w:p>
        </w:tc>
        <w:tc>
          <w:tcPr>
            <w:tcW w:w="1458" w:type="dxa"/>
            <w:tcBorders>
              <w:top w:val="nil"/>
              <w:left w:val="nil"/>
              <w:bottom w:val="nil"/>
              <w:right w:val="nil"/>
            </w:tcBorders>
            <w:shd w:val="clear" w:color="auto" w:fill="auto"/>
            <w:noWrap/>
            <w:vAlign w:val="center"/>
            <w:hideMark/>
          </w:tcPr>
          <w:p w14:paraId="4CD3B712" w14:textId="77777777" w:rsidR="00CF3B89" w:rsidRPr="00BF3CDE" w:rsidRDefault="00CF3B89" w:rsidP="00CF3B89">
            <w:pPr>
              <w:spacing w:after="0" w:line="240" w:lineRule="auto"/>
              <w:jc w:val="right"/>
              <w:rPr>
                <w:rFonts w:ascii="Verdana" w:eastAsia="Times New Roman" w:hAnsi="Verdana" w:cs="Times New Roman"/>
                <w:b/>
                <w:bCs/>
                <w:noProof/>
                <w:color w:val="000000"/>
                <w:sz w:val="20"/>
                <w:szCs w:val="20"/>
                <w:lang w:val="sr-Cyrl-CS" w:eastAsia="sr-Latn-RS"/>
              </w:rPr>
            </w:pPr>
            <w:r w:rsidRPr="00BF3CDE">
              <w:rPr>
                <w:rFonts w:ascii="Verdana" w:eastAsia="Times New Roman" w:hAnsi="Verdana" w:cs="Times New Roman"/>
                <w:b/>
                <w:bCs/>
                <w:noProof/>
                <w:color w:val="000000"/>
                <w:sz w:val="20"/>
                <w:szCs w:val="20"/>
                <w:lang w:val="sr-Cyrl-CS" w:eastAsia="sr-Latn-RS"/>
              </w:rPr>
              <w:t>-11,873</w:t>
            </w:r>
          </w:p>
        </w:tc>
        <w:tc>
          <w:tcPr>
            <w:tcW w:w="1324" w:type="dxa"/>
            <w:tcBorders>
              <w:top w:val="nil"/>
              <w:left w:val="nil"/>
              <w:bottom w:val="nil"/>
              <w:right w:val="nil"/>
            </w:tcBorders>
            <w:shd w:val="clear" w:color="000000" w:fill="FFFFFF"/>
            <w:noWrap/>
            <w:vAlign w:val="center"/>
            <w:hideMark/>
          </w:tcPr>
          <w:p w14:paraId="7122FD1C" w14:textId="77777777" w:rsidR="00CF3B89" w:rsidRPr="00BF3CDE" w:rsidRDefault="00CF3B89" w:rsidP="00CF3B89">
            <w:pPr>
              <w:spacing w:after="0" w:line="240" w:lineRule="auto"/>
              <w:jc w:val="center"/>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319.30</w:t>
            </w:r>
          </w:p>
        </w:tc>
      </w:tr>
      <w:tr w:rsidR="00CF3B89" w:rsidRPr="00BF3CDE" w14:paraId="782892EC" w14:textId="77777777" w:rsidTr="00D50EE5">
        <w:trPr>
          <w:trHeight w:val="397"/>
        </w:trPr>
        <w:tc>
          <w:tcPr>
            <w:tcW w:w="4998" w:type="dxa"/>
            <w:tcBorders>
              <w:top w:val="nil"/>
              <w:left w:val="nil"/>
              <w:bottom w:val="nil"/>
              <w:right w:val="nil"/>
            </w:tcBorders>
            <w:shd w:val="clear" w:color="auto" w:fill="DBE5F1" w:themeFill="accent1" w:themeFillTint="33"/>
            <w:noWrap/>
            <w:vAlign w:val="center"/>
            <w:hideMark/>
          </w:tcPr>
          <w:p w14:paraId="69784A16" w14:textId="46BB34DF" w:rsidR="00CF3B89" w:rsidRPr="00BF3CDE" w:rsidRDefault="00CF3B89" w:rsidP="00B44D29">
            <w:pPr>
              <w:spacing w:after="0" w:line="240" w:lineRule="auto"/>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Приходи од обезвређења имовине</w:t>
            </w:r>
          </w:p>
        </w:tc>
        <w:tc>
          <w:tcPr>
            <w:tcW w:w="1526" w:type="dxa"/>
            <w:tcBorders>
              <w:top w:val="nil"/>
              <w:left w:val="nil"/>
              <w:bottom w:val="nil"/>
              <w:right w:val="nil"/>
            </w:tcBorders>
            <w:shd w:val="clear" w:color="auto" w:fill="DBE5F1" w:themeFill="accent1" w:themeFillTint="33"/>
            <w:noWrap/>
            <w:vAlign w:val="center"/>
            <w:hideMark/>
          </w:tcPr>
          <w:p w14:paraId="46BF1C96" w14:textId="77777777" w:rsidR="00CF3B89" w:rsidRPr="00BF3CDE" w:rsidRDefault="00CF3B89" w:rsidP="00CF3B89">
            <w:pPr>
              <w:spacing w:after="0" w:line="240" w:lineRule="auto"/>
              <w:jc w:val="right"/>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235,095</w:t>
            </w:r>
          </w:p>
        </w:tc>
        <w:tc>
          <w:tcPr>
            <w:tcW w:w="1458" w:type="dxa"/>
            <w:tcBorders>
              <w:top w:val="nil"/>
              <w:left w:val="nil"/>
              <w:bottom w:val="nil"/>
              <w:right w:val="nil"/>
            </w:tcBorders>
            <w:shd w:val="clear" w:color="auto" w:fill="DBE5F1" w:themeFill="accent1" w:themeFillTint="33"/>
            <w:noWrap/>
            <w:vAlign w:val="center"/>
            <w:hideMark/>
          </w:tcPr>
          <w:p w14:paraId="2CB8843B" w14:textId="77777777" w:rsidR="00CF3B89" w:rsidRPr="00BF3CDE" w:rsidRDefault="00CF3B89" w:rsidP="00CF3B89">
            <w:pPr>
              <w:spacing w:after="0" w:line="240" w:lineRule="auto"/>
              <w:jc w:val="right"/>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276,465</w:t>
            </w:r>
          </w:p>
        </w:tc>
        <w:tc>
          <w:tcPr>
            <w:tcW w:w="1324" w:type="dxa"/>
            <w:tcBorders>
              <w:top w:val="nil"/>
              <w:left w:val="nil"/>
              <w:bottom w:val="nil"/>
              <w:right w:val="nil"/>
            </w:tcBorders>
            <w:shd w:val="clear" w:color="auto" w:fill="DBE5F1" w:themeFill="accent1" w:themeFillTint="33"/>
            <w:noWrap/>
            <w:vAlign w:val="center"/>
            <w:hideMark/>
          </w:tcPr>
          <w:p w14:paraId="3DB587D4" w14:textId="77777777" w:rsidR="00CF3B89" w:rsidRPr="00D20867" w:rsidRDefault="00CF3B89" w:rsidP="00CF3B89">
            <w:pPr>
              <w:spacing w:after="0" w:line="240" w:lineRule="auto"/>
              <w:jc w:val="center"/>
              <w:rPr>
                <w:rFonts w:ascii="Verdana" w:eastAsia="Times New Roman" w:hAnsi="Verdana" w:cs="Times New Roman"/>
                <w:b/>
                <w:noProof/>
                <w:color w:val="000000"/>
                <w:sz w:val="20"/>
                <w:szCs w:val="20"/>
                <w:lang w:val="sr-Cyrl-CS" w:eastAsia="sr-Latn-RS"/>
              </w:rPr>
            </w:pPr>
            <w:r w:rsidRPr="00D20867">
              <w:rPr>
                <w:rFonts w:ascii="Verdana" w:eastAsia="Times New Roman" w:hAnsi="Verdana" w:cs="Times New Roman"/>
                <w:b/>
                <w:noProof/>
                <w:color w:val="000000"/>
                <w:sz w:val="20"/>
                <w:szCs w:val="20"/>
                <w:lang w:val="sr-Cyrl-CS" w:eastAsia="sr-Latn-RS"/>
              </w:rPr>
              <w:t>85.04</w:t>
            </w:r>
          </w:p>
        </w:tc>
      </w:tr>
      <w:tr w:rsidR="00CF3B89" w:rsidRPr="00BF3CDE" w14:paraId="7B5C0F60" w14:textId="77777777" w:rsidTr="00D50EE5">
        <w:trPr>
          <w:trHeight w:val="397"/>
        </w:trPr>
        <w:tc>
          <w:tcPr>
            <w:tcW w:w="4998" w:type="dxa"/>
            <w:tcBorders>
              <w:top w:val="nil"/>
              <w:left w:val="nil"/>
              <w:bottom w:val="nil"/>
              <w:right w:val="nil"/>
            </w:tcBorders>
            <w:shd w:val="clear" w:color="auto" w:fill="auto"/>
            <w:noWrap/>
            <w:vAlign w:val="center"/>
            <w:hideMark/>
          </w:tcPr>
          <w:p w14:paraId="47996FCE" w14:textId="77777777" w:rsidR="00CF3B89" w:rsidRPr="00BF3CDE" w:rsidRDefault="00CF3B89" w:rsidP="00CF3B89">
            <w:pPr>
              <w:spacing w:after="0" w:line="240" w:lineRule="auto"/>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Расходи од обезвређења имовине</w:t>
            </w:r>
          </w:p>
        </w:tc>
        <w:tc>
          <w:tcPr>
            <w:tcW w:w="1526" w:type="dxa"/>
            <w:tcBorders>
              <w:top w:val="nil"/>
              <w:left w:val="nil"/>
              <w:bottom w:val="nil"/>
              <w:right w:val="nil"/>
            </w:tcBorders>
            <w:shd w:val="clear" w:color="auto" w:fill="auto"/>
            <w:noWrap/>
            <w:vAlign w:val="center"/>
            <w:hideMark/>
          </w:tcPr>
          <w:p w14:paraId="64630647" w14:textId="77777777" w:rsidR="00CF3B89" w:rsidRPr="00BF3CDE" w:rsidRDefault="00CF3B89" w:rsidP="00CF3B89">
            <w:pPr>
              <w:spacing w:after="0" w:line="240" w:lineRule="auto"/>
              <w:jc w:val="right"/>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90,747</w:t>
            </w:r>
          </w:p>
        </w:tc>
        <w:tc>
          <w:tcPr>
            <w:tcW w:w="1458" w:type="dxa"/>
            <w:tcBorders>
              <w:top w:val="nil"/>
              <w:left w:val="nil"/>
              <w:bottom w:val="nil"/>
              <w:right w:val="nil"/>
            </w:tcBorders>
            <w:shd w:val="clear" w:color="auto" w:fill="auto"/>
            <w:noWrap/>
            <w:vAlign w:val="center"/>
            <w:hideMark/>
          </w:tcPr>
          <w:p w14:paraId="45F4C6D5" w14:textId="77777777" w:rsidR="00CF3B89" w:rsidRPr="00BF3CDE" w:rsidRDefault="00CF3B89" w:rsidP="00CF3B89">
            <w:pPr>
              <w:spacing w:after="0" w:line="240" w:lineRule="auto"/>
              <w:jc w:val="right"/>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298,521</w:t>
            </w:r>
          </w:p>
        </w:tc>
        <w:tc>
          <w:tcPr>
            <w:tcW w:w="1324" w:type="dxa"/>
            <w:tcBorders>
              <w:top w:val="nil"/>
              <w:left w:val="nil"/>
              <w:bottom w:val="nil"/>
              <w:right w:val="nil"/>
            </w:tcBorders>
            <w:shd w:val="clear" w:color="000000" w:fill="FFFFFF"/>
            <w:noWrap/>
            <w:vAlign w:val="center"/>
            <w:hideMark/>
          </w:tcPr>
          <w:p w14:paraId="5A7CA894" w14:textId="77777777" w:rsidR="00CF3B89" w:rsidRPr="00BF3CDE" w:rsidRDefault="00CF3B89" w:rsidP="00CF3B89">
            <w:pPr>
              <w:spacing w:after="0" w:line="240" w:lineRule="auto"/>
              <w:jc w:val="center"/>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30.40</w:t>
            </w:r>
          </w:p>
        </w:tc>
      </w:tr>
      <w:tr w:rsidR="00CF3B89" w:rsidRPr="00BF3CDE" w14:paraId="4D7FC2FC" w14:textId="77777777" w:rsidTr="00D50EE5">
        <w:trPr>
          <w:trHeight w:val="397"/>
        </w:trPr>
        <w:tc>
          <w:tcPr>
            <w:tcW w:w="4998" w:type="dxa"/>
            <w:tcBorders>
              <w:top w:val="nil"/>
              <w:left w:val="nil"/>
              <w:bottom w:val="nil"/>
              <w:right w:val="nil"/>
            </w:tcBorders>
            <w:shd w:val="clear" w:color="auto" w:fill="DBE5F1" w:themeFill="accent1" w:themeFillTint="33"/>
            <w:noWrap/>
            <w:vAlign w:val="center"/>
            <w:hideMark/>
          </w:tcPr>
          <w:p w14:paraId="15C6DF5F" w14:textId="77777777" w:rsidR="00CF3B89" w:rsidRPr="00BF3CDE" w:rsidRDefault="00CF3B89" w:rsidP="00CF3B89">
            <w:pPr>
              <w:spacing w:after="0" w:line="240" w:lineRule="auto"/>
              <w:rPr>
                <w:rFonts w:ascii="Verdana" w:eastAsia="Times New Roman" w:hAnsi="Verdana" w:cs="Times New Roman"/>
                <w:b/>
                <w:bCs/>
                <w:noProof/>
                <w:color w:val="000000"/>
                <w:sz w:val="20"/>
                <w:szCs w:val="20"/>
                <w:lang w:val="sr-Cyrl-CS" w:eastAsia="sr-Latn-RS"/>
              </w:rPr>
            </w:pPr>
            <w:r w:rsidRPr="00BF3CDE">
              <w:rPr>
                <w:rFonts w:ascii="Verdana" w:eastAsia="Times New Roman" w:hAnsi="Verdana" w:cs="Times New Roman"/>
                <w:b/>
                <w:bCs/>
                <w:noProof/>
                <w:color w:val="000000"/>
                <w:sz w:val="20"/>
                <w:szCs w:val="20"/>
                <w:lang w:val="sr-Cyrl-CS" w:eastAsia="sr-Latn-RS"/>
              </w:rPr>
              <w:t>Резултат од обезвређења</w:t>
            </w:r>
          </w:p>
        </w:tc>
        <w:tc>
          <w:tcPr>
            <w:tcW w:w="1526" w:type="dxa"/>
            <w:tcBorders>
              <w:top w:val="nil"/>
              <w:left w:val="nil"/>
              <w:bottom w:val="nil"/>
              <w:right w:val="nil"/>
            </w:tcBorders>
            <w:shd w:val="clear" w:color="auto" w:fill="DBE5F1" w:themeFill="accent1" w:themeFillTint="33"/>
            <w:noWrap/>
            <w:vAlign w:val="center"/>
            <w:hideMark/>
          </w:tcPr>
          <w:p w14:paraId="0973FEFB" w14:textId="77777777" w:rsidR="00CF3B89" w:rsidRPr="00BF3CDE" w:rsidRDefault="00CF3B89" w:rsidP="00CF3B89">
            <w:pPr>
              <w:spacing w:after="0" w:line="240" w:lineRule="auto"/>
              <w:jc w:val="right"/>
              <w:rPr>
                <w:rFonts w:ascii="Verdana" w:eastAsia="Times New Roman" w:hAnsi="Verdana" w:cs="Times New Roman"/>
                <w:b/>
                <w:bCs/>
                <w:noProof/>
                <w:color w:val="000000"/>
                <w:sz w:val="20"/>
                <w:szCs w:val="20"/>
                <w:lang w:val="sr-Cyrl-CS" w:eastAsia="sr-Latn-RS"/>
              </w:rPr>
            </w:pPr>
            <w:r w:rsidRPr="00BF3CDE">
              <w:rPr>
                <w:rFonts w:ascii="Verdana" w:eastAsia="Times New Roman" w:hAnsi="Verdana" w:cs="Times New Roman"/>
                <w:b/>
                <w:bCs/>
                <w:noProof/>
                <w:color w:val="000000"/>
                <w:sz w:val="20"/>
                <w:szCs w:val="20"/>
                <w:lang w:val="sr-Cyrl-CS" w:eastAsia="sr-Latn-RS"/>
              </w:rPr>
              <w:t>144,348</w:t>
            </w:r>
          </w:p>
        </w:tc>
        <w:tc>
          <w:tcPr>
            <w:tcW w:w="1458" w:type="dxa"/>
            <w:tcBorders>
              <w:top w:val="nil"/>
              <w:left w:val="nil"/>
              <w:bottom w:val="nil"/>
              <w:right w:val="nil"/>
            </w:tcBorders>
            <w:shd w:val="clear" w:color="auto" w:fill="DBE5F1" w:themeFill="accent1" w:themeFillTint="33"/>
            <w:noWrap/>
            <w:vAlign w:val="center"/>
            <w:hideMark/>
          </w:tcPr>
          <w:p w14:paraId="420990E4" w14:textId="77777777" w:rsidR="00CF3B89" w:rsidRPr="00BF3CDE" w:rsidRDefault="00CF3B89" w:rsidP="00CF3B89">
            <w:pPr>
              <w:spacing w:after="0" w:line="240" w:lineRule="auto"/>
              <w:jc w:val="right"/>
              <w:rPr>
                <w:rFonts w:ascii="Verdana" w:eastAsia="Times New Roman" w:hAnsi="Verdana" w:cs="Times New Roman"/>
                <w:b/>
                <w:bCs/>
                <w:noProof/>
                <w:color w:val="000000"/>
                <w:sz w:val="20"/>
                <w:szCs w:val="20"/>
                <w:lang w:val="sr-Cyrl-CS" w:eastAsia="sr-Latn-RS"/>
              </w:rPr>
            </w:pPr>
            <w:r w:rsidRPr="00BF3CDE">
              <w:rPr>
                <w:rFonts w:ascii="Verdana" w:eastAsia="Times New Roman" w:hAnsi="Verdana" w:cs="Times New Roman"/>
                <w:b/>
                <w:bCs/>
                <w:noProof/>
                <w:color w:val="000000"/>
                <w:sz w:val="20"/>
                <w:szCs w:val="20"/>
                <w:lang w:val="sr-Cyrl-CS" w:eastAsia="sr-Latn-RS"/>
              </w:rPr>
              <w:t>-22,056</w:t>
            </w:r>
          </w:p>
        </w:tc>
        <w:tc>
          <w:tcPr>
            <w:tcW w:w="1324" w:type="dxa"/>
            <w:tcBorders>
              <w:top w:val="nil"/>
              <w:left w:val="nil"/>
              <w:bottom w:val="nil"/>
              <w:right w:val="nil"/>
            </w:tcBorders>
            <w:shd w:val="clear" w:color="auto" w:fill="DBE5F1" w:themeFill="accent1" w:themeFillTint="33"/>
            <w:noWrap/>
            <w:vAlign w:val="center"/>
            <w:hideMark/>
          </w:tcPr>
          <w:p w14:paraId="04084D07" w14:textId="77777777" w:rsidR="00CF3B89" w:rsidRPr="00D20867" w:rsidRDefault="00CF3B89" w:rsidP="00CF3B89">
            <w:pPr>
              <w:spacing w:after="0" w:line="240" w:lineRule="auto"/>
              <w:jc w:val="center"/>
              <w:rPr>
                <w:rFonts w:ascii="Verdana" w:eastAsia="Times New Roman" w:hAnsi="Verdana" w:cs="Times New Roman"/>
                <w:b/>
                <w:noProof/>
                <w:color w:val="000000"/>
                <w:sz w:val="20"/>
                <w:szCs w:val="20"/>
                <w:lang w:val="sr-Cyrl-CS" w:eastAsia="sr-Latn-RS"/>
              </w:rPr>
            </w:pPr>
            <w:r w:rsidRPr="00D20867">
              <w:rPr>
                <w:rFonts w:ascii="Verdana" w:eastAsia="Times New Roman" w:hAnsi="Verdana" w:cs="Times New Roman"/>
                <w:b/>
                <w:noProof/>
                <w:color w:val="000000"/>
                <w:sz w:val="20"/>
                <w:szCs w:val="20"/>
                <w:lang w:val="sr-Cyrl-CS" w:eastAsia="sr-Latn-RS"/>
              </w:rPr>
              <w:t>-654.46</w:t>
            </w:r>
          </w:p>
        </w:tc>
      </w:tr>
      <w:tr w:rsidR="00CF3B89" w:rsidRPr="00BF3CDE" w14:paraId="0C00AD32" w14:textId="77777777" w:rsidTr="00D50EE5">
        <w:trPr>
          <w:trHeight w:val="397"/>
        </w:trPr>
        <w:tc>
          <w:tcPr>
            <w:tcW w:w="4998" w:type="dxa"/>
            <w:tcBorders>
              <w:top w:val="nil"/>
              <w:left w:val="nil"/>
              <w:bottom w:val="nil"/>
              <w:right w:val="nil"/>
            </w:tcBorders>
            <w:shd w:val="clear" w:color="auto" w:fill="auto"/>
            <w:noWrap/>
            <w:vAlign w:val="center"/>
            <w:hideMark/>
          </w:tcPr>
          <w:p w14:paraId="3968154A" w14:textId="77777777" w:rsidR="00CF3B89" w:rsidRPr="00BF3CDE" w:rsidRDefault="00CF3B89" w:rsidP="00CF3B89">
            <w:pPr>
              <w:spacing w:after="0" w:line="240" w:lineRule="auto"/>
              <w:rPr>
                <w:rFonts w:ascii="Verdana" w:eastAsia="Times New Roman" w:hAnsi="Verdana" w:cs="Times New Roman"/>
                <w:b/>
                <w:bCs/>
                <w:noProof/>
                <w:color w:val="000000"/>
                <w:sz w:val="20"/>
                <w:szCs w:val="20"/>
                <w:lang w:val="sr-Cyrl-CS" w:eastAsia="sr-Latn-RS"/>
              </w:rPr>
            </w:pPr>
            <w:r w:rsidRPr="00BF3CDE">
              <w:rPr>
                <w:rFonts w:ascii="Verdana" w:eastAsia="Times New Roman" w:hAnsi="Verdana" w:cs="Times New Roman"/>
                <w:b/>
                <w:bCs/>
                <w:noProof/>
                <w:color w:val="000000"/>
                <w:sz w:val="20"/>
                <w:szCs w:val="20"/>
                <w:lang w:val="sr-Cyrl-CS" w:eastAsia="sr-Latn-RS"/>
              </w:rPr>
              <w:t>Добит из редовног пословања</w:t>
            </w:r>
          </w:p>
        </w:tc>
        <w:tc>
          <w:tcPr>
            <w:tcW w:w="1526" w:type="dxa"/>
            <w:tcBorders>
              <w:top w:val="nil"/>
              <w:left w:val="nil"/>
              <w:bottom w:val="nil"/>
              <w:right w:val="nil"/>
            </w:tcBorders>
            <w:shd w:val="clear" w:color="auto" w:fill="auto"/>
            <w:noWrap/>
            <w:vAlign w:val="center"/>
            <w:hideMark/>
          </w:tcPr>
          <w:p w14:paraId="69058641" w14:textId="77777777" w:rsidR="00CF3B89" w:rsidRPr="00BF3CDE" w:rsidRDefault="00CF3B89" w:rsidP="00CF3B89">
            <w:pPr>
              <w:spacing w:after="0" w:line="240" w:lineRule="auto"/>
              <w:jc w:val="right"/>
              <w:rPr>
                <w:rFonts w:ascii="Verdana" w:eastAsia="Times New Roman" w:hAnsi="Verdana" w:cs="Times New Roman"/>
                <w:b/>
                <w:bCs/>
                <w:noProof/>
                <w:color w:val="000000"/>
                <w:sz w:val="20"/>
                <w:szCs w:val="20"/>
                <w:lang w:val="sr-Cyrl-CS" w:eastAsia="sr-Latn-RS"/>
              </w:rPr>
            </w:pPr>
            <w:r w:rsidRPr="00BF3CDE">
              <w:rPr>
                <w:rFonts w:ascii="Verdana" w:eastAsia="Times New Roman" w:hAnsi="Verdana" w:cs="Times New Roman"/>
                <w:b/>
                <w:bCs/>
                <w:noProof/>
                <w:color w:val="000000"/>
                <w:sz w:val="20"/>
                <w:szCs w:val="20"/>
                <w:lang w:val="sr-Cyrl-CS" w:eastAsia="sr-Latn-RS"/>
              </w:rPr>
              <w:t>-83,119</w:t>
            </w:r>
          </w:p>
        </w:tc>
        <w:tc>
          <w:tcPr>
            <w:tcW w:w="1458" w:type="dxa"/>
            <w:tcBorders>
              <w:top w:val="nil"/>
              <w:left w:val="nil"/>
              <w:bottom w:val="nil"/>
              <w:right w:val="nil"/>
            </w:tcBorders>
            <w:shd w:val="clear" w:color="auto" w:fill="auto"/>
            <w:noWrap/>
            <w:vAlign w:val="center"/>
            <w:hideMark/>
          </w:tcPr>
          <w:p w14:paraId="13FC6BAB" w14:textId="77777777" w:rsidR="00CF3B89" w:rsidRPr="00BF3CDE" w:rsidRDefault="00CF3B89" w:rsidP="00CF3B89">
            <w:pPr>
              <w:spacing w:after="0" w:line="240" w:lineRule="auto"/>
              <w:jc w:val="right"/>
              <w:rPr>
                <w:rFonts w:ascii="Verdana" w:eastAsia="Times New Roman" w:hAnsi="Verdana" w:cs="Times New Roman"/>
                <w:b/>
                <w:bCs/>
                <w:noProof/>
                <w:color w:val="000000"/>
                <w:sz w:val="20"/>
                <w:szCs w:val="20"/>
                <w:lang w:val="sr-Cyrl-CS" w:eastAsia="sr-Latn-RS"/>
              </w:rPr>
            </w:pPr>
            <w:r w:rsidRPr="00BF3CDE">
              <w:rPr>
                <w:rFonts w:ascii="Verdana" w:eastAsia="Times New Roman" w:hAnsi="Verdana" w:cs="Times New Roman"/>
                <w:b/>
                <w:bCs/>
                <w:noProof/>
                <w:color w:val="000000"/>
                <w:sz w:val="20"/>
                <w:szCs w:val="20"/>
                <w:lang w:val="sr-Cyrl-CS" w:eastAsia="sr-Latn-RS"/>
              </w:rPr>
              <w:t>-123,821</w:t>
            </w:r>
          </w:p>
        </w:tc>
        <w:tc>
          <w:tcPr>
            <w:tcW w:w="1324" w:type="dxa"/>
            <w:tcBorders>
              <w:top w:val="nil"/>
              <w:left w:val="nil"/>
              <w:bottom w:val="nil"/>
              <w:right w:val="nil"/>
            </w:tcBorders>
            <w:shd w:val="clear" w:color="000000" w:fill="FFFFFF"/>
            <w:noWrap/>
            <w:vAlign w:val="center"/>
            <w:hideMark/>
          </w:tcPr>
          <w:p w14:paraId="55BB42DB" w14:textId="77777777" w:rsidR="00CF3B89" w:rsidRPr="00D20867" w:rsidRDefault="00CF3B89" w:rsidP="00CF3B89">
            <w:pPr>
              <w:spacing w:after="0" w:line="240" w:lineRule="auto"/>
              <w:jc w:val="center"/>
              <w:rPr>
                <w:rFonts w:ascii="Verdana" w:eastAsia="Times New Roman" w:hAnsi="Verdana" w:cs="Times New Roman"/>
                <w:b/>
                <w:noProof/>
                <w:color w:val="000000"/>
                <w:sz w:val="20"/>
                <w:szCs w:val="20"/>
                <w:lang w:val="sr-Cyrl-CS" w:eastAsia="sr-Latn-RS"/>
              </w:rPr>
            </w:pPr>
            <w:r w:rsidRPr="00D20867">
              <w:rPr>
                <w:rFonts w:ascii="Verdana" w:eastAsia="Times New Roman" w:hAnsi="Verdana" w:cs="Times New Roman"/>
                <w:b/>
                <w:noProof/>
                <w:color w:val="000000"/>
                <w:sz w:val="20"/>
                <w:szCs w:val="20"/>
                <w:lang w:val="sr-Cyrl-CS" w:eastAsia="sr-Latn-RS"/>
              </w:rPr>
              <w:t>67.13</w:t>
            </w:r>
          </w:p>
        </w:tc>
      </w:tr>
      <w:tr w:rsidR="00CF3B89" w:rsidRPr="00BF3CDE" w14:paraId="2E4B2AB5" w14:textId="77777777" w:rsidTr="00D50EE5">
        <w:trPr>
          <w:trHeight w:val="397"/>
        </w:trPr>
        <w:tc>
          <w:tcPr>
            <w:tcW w:w="4998" w:type="dxa"/>
            <w:tcBorders>
              <w:top w:val="nil"/>
              <w:left w:val="nil"/>
              <w:bottom w:val="nil"/>
              <w:right w:val="nil"/>
            </w:tcBorders>
            <w:shd w:val="clear" w:color="auto" w:fill="DBE5F1" w:themeFill="accent1" w:themeFillTint="33"/>
            <w:noWrap/>
            <w:vAlign w:val="center"/>
            <w:hideMark/>
          </w:tcPr>
          <w:p w14:paraId="1100FE48" w14:textId="77777777" w:rsidR="00CF3B89" w:rsidRPr="00BF3CDE" w:rsidRDefault="00CF3B89" w:rsidP="00CF3B89">
            <w:pPr>
              <w:spacing w:after="0" w:line="240" w:lineRule="auto"/>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Приходи из ранијих година</w:t>
            </w:r>
          </w:p>
        </w:tc>
        <w:tc>
          <w:tcPr>
            <w:tcW w:w="1526" w:type="dxa"/>
            <w:tcBorders>
              <w:top w:val="nil"/>
              <w:left w:val="nil"/>
              <w:bottom w:val="nil"/>
              <w:right w:val="nil"/>
            </w:tcBorders>
            <w:shd w:val="clear" w:color="auto" w:fill="DBE5F1" w:themeFill="accent1" w:themeFillTint="33"/>
            <w:noWrap/>
            <w:vAlign w:val="center"/>
            <w:hideMark/>
          </w:tcPr>
          <w:p w14:paraId="6E27BC96" w14:textId="77777777" w:rsidR="00CF3B89" w:rsidRPr="00BF3CDE" w:rsidRDefault="00CF3B89" w:rsidP="00CF3B89">
            <w:pPr>
              <w:spacing w:after="0" w:line="240" w:lineRule="auto"/>
              <w:jc w:val="right"/>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71,415</w:t>
            </w:r>
          </w:p>
        </w:tc>
        <w:tc>
          <w:tcPr>
            <w:tcW w:w="1458" w:type="dxa"/>
            <w:tcBorders>
              <w:top w:val="nil"/>
              <w:left w:val="nil"/>
              <w:bottom w:val="nil"/>
              <w:right w:val="nil"/>
            </w:tcBorders>
            <w:shd w:val="clear" w:color="auto" w:fill="DBE5F1" w:themeFill="accent1" w:themeFillTint="33"/>
            <w:noWrap/>
            <w:vAlign w:val="center"/>
            <w:hideMark/>
          </w:tcPr>
          <w:p w14:paraId="057ABBAF" w14:textId="77777777" w:rsidR="00CF3B89" w:rsidRPr="00BF3CDE" w:rsidRDefault="00CF3B89" w:rsidP="00CF3B89">
            <w:pPr>
              <w:spacing w:after="0" w:line="240" w:lineRule="auto"/>
              <w:jc w:val="right"/>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41,158</w:t>
            </w:r>
          </w:p>
        </w:tc>
        <w:tc>
          <w:tcPr>
            <w:tcW w:w="1324" w:type="dxa"/>
            <w:tcBorders>
              <w:top w:val="nil"/>
              <w:left w:val="nil"/>
              <w:bottom w:val="nil"/>
              <w:right w:val="nil"/>
            </w:tcBorders>
            <w:shd w:val="clear" w:color="auto" w:fill="DBE5F1" w:themeFill="accent1" w:themeFillTint="33"/>
            <w:noWrap/>
            <w:vAlign w:val="center"/>
            <w:hideMark/>
          </w:tcPr>
          <w:p w14:paraId="507EDF59" w14:textId="77777777" w:rsidR="00CF3B89" w:rsidRPr="00BF3CDE" w:rsidRDefault="00CF3B89" w:rsidP="00CF3B89">
            <w:pPr>
              <w:spacing w:after="0" w:line="240" w:lineRule="auto"/>
              <w:jc w:val="center"/>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173.51</w:t>
            </w:r>
          </w:p>
        </w:tc>
      </w:tr>
      <w:tr w:rsidR="00CF3B89" w:rsidRPr="00BF3CDE" w14:paraId="71531C4F" w14:textId="77777777" w:rsidTr="00D50EE5">
        <w:trPr>
          <w:trHeight w:val="397"/>
        </w:trPr>
        <w:tc>
          <w:tcPr>
            <w:tcW w:w="4998" w:type="dxa"/>
            <w:tcBorders>
              <w:top w:val="nil"/>
              <w:left w:val="nil"/>
              <w:bottom w:val="nil"/>
              <w:right w:val="nil"/>
            </w:tcBorders>
            <w:shd w:val="clear" w:color="auto" w:fill="auto"/>
            <w:noWrap/>
            <w:vAlign w:val="center"/>
            <w:hideMark/>
          </w:tcPr>
          <w:p w14:paraId="14B21F46" w14:textId="77777777" w:rsidR="00CF3B89" w:rsidRPr="00BF3CDE" w:rsidRDefault="00CF3B89" w:rsidP="00CF3B89">
            <w:pPr>
              <w:spacing w:after="0" w:line="240" w:lineRule="auto"/>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Расходи ранијих година</w:t>
            </w:r>
          </w:p>
        </w:tc>
        <w:tc>
          <w:tcPr>
            <w:tcW w:w="1526" w:type="dxa"/>
            <w:tcBorders>
              <w:top w:val="nil"/>
              <w:left w:val="nil"/>
              <w:bottom w:val="nil"/>
              <w:right w:val="nil"/>
            </w:tcBorders>
            <w:shd w:val="clear" w:color="auto" w:fill="auto"/>
            <w:noWrap/>
            <w:vAlign w:val="center"/>
            <w:hideMark/>
          </w:tcPr>
          <w:p w14:paraId="106678C7" w14:textId="77777777" w:rsidR="00CF3B89" w:rsidRPr="00BF3CDE" w:rsidRDefault="00CF3B89" w:rsidP="00CF3B89">
            <w:pPr>
              <w:spacing w:after="0" w:line="240" w:lineRule="auto"/>
              <w:jc w:val="right"/>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65,973</w:t>
            </w:r>
          </w:p>
        </w:tc>
        <w:tc>
          <w:tcPr>
            <w:tcW w:w="1458" w:type="dxa"/>
            <w:tcBorders>
              <w:top w:val="nil"/>
              <w:left w:val="nil"/>
              <w:bottom w:val="nil"/>
              <w:right w:val="nil"/>
            </w:tcBorders>
            <w:shd w:val="clear" w:color="auto" w:fill="auto"/>
            <w:noWrap/>
            <w:vAlign w:val="center"/>
            <w:hideMark/>
          </w:tcPr>
          <w:p w14:paraId="4634348C" w14:textId="77777777" w:rsidR="00CF3B89" w:rsidRPr="00BF3CDE" w:rsidRDefault="00CF3B89" w:rsidP="00CF3B89">
            <w:pPr>
              <w:spacing w:after="0" w:line="240" w:lineRule="auto"/>
              <w:jc w:val="right"/>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39,672</w:t>
            </w:r>
          </w:p>
        </w:tc>
        <w:tc>
          <w:tcPr>
            <w:tcW w:w="1324" w:type="dxa"/>
            <w:tcBorders>
              <w:top w:val="nil"/>
              <w:left w:val="nil"/>
              <w:bottom w:val="nil"/>
              <w:right w:val="nil"/>
            </w:tcBorders>
            <w:shd w:val="clear" w:color="000000" w:fill="FFFFFF"/>
            <w:noWrap/>
            <w:vAlign w:val="center"/>
            <w:hideMark/>
          </w:tcPr>
          <w:p w14:paraId="5BD0B8EC" w14:textId="77777777" w:rsidR="00CF3B89" w:rsidRPr="00BF3CDE" w:rsidRDefault="00CF3B89" w:rsidP="00CF3B89">
            <w:pPr>
              <w:spacing w:after="0" w:line="240" w:lineRule="auto"/>
              <w:jc w:val="center"/>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166.30</w:t>
            </w:r>
          </w:p>
        </w:tc>
      </w:tr>
      <w:tr w:rsidR="00CF3B89" w:rsidRPr="00BF3CDE" w14:paraId="4383C231" w14:textId="77777777" w:rsidTr="00D50EE5">
        <w:trPr>
          <w:trHeight w:val="397"/>
        </w:trPr>
        <w:tc>
          <w:tcPr>
            <w:tcW w:w="4998" w:type="dxa"/>
            <w:tcBorders>
              <w:top w:val="nil"/>
              <w:left w:val="nil"/>
              <w:bottom w:val="nil"/>
              <w:right w:val="nil"/>
            </w:tcBorders>
            <w:shd w:val="clear" w:color="auto" w:fill="DBE5F1" w:themeFill="accent1" w:themeFillTint="33"/>
            <w:noWrap/>
            <w:vAlign w:val="center"/>
            <w:hideMark/>
          </w:tcPr>
          <w:p w14:paraId="1C71F617" w14:textId="77777777" w:rsidR="00CF3B89" w:rsidRPr="00BF3CDE" w:rsidRDefault="00CF3B89" w:rsidP="00CF3B89">
            <w:pPr>
              <w:spacing w:after="0" w:line="240" w:lineRule="auto"/>
              <w:rPr>
                <w:rFonts w:ascii="Verdana" w:eastAsia="Times New Roman" w:hAnsi="Verdana" w:cs="Times New Roman"/>
                <w:b/>
                <w:bCs/>
                <w:noProof/>
                <w:color w:val="000000"/>
                <w:sz w:val="20"/>
                <w:szCs w:val="20"/>
                <w:lang w:val="sr-Cyrl-CS" w:eastAsia="sr-Latn-RS"/>
              </w:rPr>
            </w:pPr>
            <w:r w:rsidRPr="00BF3CDE">
              <w:rPr>
                <w:rFonts w:ascii="Verdana" w:eastAsia="Times New Roman" w:hAnsi="Verdana" w:cs="Times New Roman"/>
                <w:b/>
                <w:bCs/>
                <w:noProof/>
                <w:color w:val="000000"/>
                <w:sz w:val="20"/>
                <w:szCs w:val="20"/>
                <w:lang w:val="sr-Cyrl-CS" w:eastAsia="sr-Latn-RS"/>
              </w:rPr>
              <w:t>Резултат пословања ранијих година</w:t>
            </w:r>
          </w:p>
        </w:tc>
        <w:tc>
          <w:tcPr>
            <w:tcW w:w="1526" w:type="dxa"/>
            <w:tcBorders>
              <w:top w:val="nil"/>
              <w:left w:val="nil"/>
              <w:bottom w:val="nil"/>
              <w:right w:val="nil"/>
            </w:tcBorders>
            <w:shd w:val="clear" w:color="auto" w:fill="DBE5F1" w:themeFill="accent1" w:themeFillTint="33"/>
            <w:noWrap/>
            <w:vAlign w:val="center"/>
            <w:hideMark/>
          </w:tcPr>
          <w:p w14:paraId="5AFA9FB4" w14:textId="77777777" w:rsidR="00CF3B89" w:rsidRPr="00BF3CDE" w:rsidRDefault="00CF3B89" w:rsidP="00CF3B89">
            <w:pPr>
              <w:spacing w:after="0" w:line="240" w:lineRule="auto"/>
              <w:jc w:val="right"/>
              <w:rPr>
                <w:rFonts w:ascii="Verdana" w:eastAsia="Times New Roman" w:hAnsi="Verdana" w:cs="Times New Roman"/>
                <w:b/>
                <w:bCs/>
                <w:noProof/>
                <w:color w:val="000000"/>
                <w:sz w:val="20"/>
                <w:szCs w:val="20"/>
                <w:lang w:val="sr-Cyrl-CS" w:eastAsia="sr-Latn-RS"/>
              </w:rPr>
            </w:pPr>
            <w:r w:rsidRPr="00BF3CDE">
              <w:rPr>
                <w:rFonts w:ascii="Verdana" w:eastAsia="Times New Roman" w:hAnsi="Verdana" w:cs="Times New Roman"/>
                <w:b/>
                <w:bCs/>
                <w:noProof/>
                <w:color w:val="000000"/>
                <w:sz w:val="20"/>
                <w:szCs w:val="20"/>
                <w:lang w:val="sr-Cyrl-CS" w:eastAsia="sr-Latn-RS"/>
              </w:rPr>
              <w:t>5,442</w:t>
            </w:r>
          </w:p>
        </w:tc>
        <w:tc>
          <w:tcPr>
            <w:tcW w:w="1458" w:type="dxa"/>
            <w:tcBorders>
              <w:top w:val="nil"/>
              <w:left w:val="nil"/>
              <w:bottom w:val="nil"/>
              <w:right w:val="nil"/>
            </w:tcBorders>
            <w:shd w:val="clear" w:color="auto" w:fill="DBE5F1" w:themeFill="accent1" w:themeFillTint="33"/>
            <w:noWrap/>
            <w:vAlign w:val="center"/>
            <w:hideMark/>
          </w:tcPr>
          <w:p w14:paraId="5BCDA3F1" w14:textId="77777777" w:rsidR="00CF3B89" w:rsidRPr="00BF3CDE" w:rsidRDefault="00CF3B89" w:rsidP="00CF3B89">
            <w:pPr>
              <w:spacing w:after="0" w:line="240" w:lineRule="auto"/>
              <w:jc w:val="right"/>
              <w:rPr>
                <w:rFonts w:ascii="Verdana" w:eastAsia="Times New Roman" w:hAnsi="Verdana" w:cs="Times New Roman"/>
                <w:b/>
                <w:bCs/>
                <w:noProof/>
                <w:color w:val="000000"/>
                <w:sz w:val="20"/>
                <w:szCs w:val="20"/>
                <w:lang w:val="sr-Cyrl-CS" w:eastAsia="sr-Latn-RS"/>
              </w:rPr>
            </w:pPr>
            <w:r w:rsidRPr="00BF3CDE">
              <w:rPr>
                <w:rFonts w:ascii="Verdana" w:eastAsia="Times New Roman" w:hAnsi="Verdana" w:cs="Times New Roman"/>
                <w:b/>
                <w:bCs/>
                <w:noProof/>
                <w:color w:val="000000"/>
                <w:sz w:val="20"/>
                <w:szCs w:val="20"/>
                <w:lang w:val="sr-Cyrl-CS" w:eastAsia="sr-Latn-RS"/>
              </w:rPr>
              <w:t>1,486</w:t>
            </w:r>
          </w:p>
        </w:tc>
        <w:tc>
          <w:tcPr>
            <w:tcW w:w="1324" w:type="dxa"/>
            <w:tcBorders>
              <w:top w:val="nil"/>
              <w:left w:val="nil"/>
              <w:bottom w:val="nil"/>
              <w:right w:val="nil"/>
            </w:tcBorders>
            <w:shd w:val="clear" w:color="auto" w:fill="DBE5F1" w:themeFill="accent1" w:themeFillTint="33"/>
            <w:noWrap/>
            <w:vAlign w:val="center"/>
            <w:hideMark/>
          </w:tcPr>
          <w:p w14:paraId="7B172F6F" w14:textId="77777777" w:rsidR="00CF3B89" w:rsidRPr="00D20867" w:rsidRDefault="00CF3B89" w:rsidP="00CF3B89">
            <w:pPr>
              <w:spacing w:after="0" w:line="240" w:lineRule="auto"/>
              <w:jc w:val="center"/>
              <w:rPr>
                <w:rFonts w:ascii="Verdana" w:eastAsia="Times New Roman" w:hAnsi="Verdana" w:cs="Times New Roman"/>
                <w:b/>
                <w:noProof/>
                <w:color w:val="000000"/>
                <w:sz w:val="20"/>
                <w:szCs w:val="20"/>
                <w:lang w:val="sr-Cyrl-CS" w:eastAsia="sr-Latn-RS"/>
              </w:rPr>
            </w:pPr>
            <w:r w:rsidRPr="00D20867">
              <w:rPr>
                <w:rFonts w:ascii="Verdana" w:eastAsia="Times New Roman" w:hAnsi="Verdana" w:cs="Times New Roman"/>
                <w:b/>
                <w:noProof/>
                <w:color w:val="000000"/>
                <w:sz w:val="20"/>
                <w:szCs w:val="20"/>
                <w:lang w:val="sr-Cyrl-CS" w:eastAsia="sr-Latn-RS"/>
              </w:rPr>
              <w:t>366.22</w:t>
            </w:r>
          </w:p>
        </w:tc>
      </w:tr>
      <w:tr w:rsidR="00CF3B89" w:rsidRPr="00BF3CDE" w14:paraId="0BE1320C" w14:textId="77777777" w:rsidTr="00D50EE5">
        <w:trPr>
          <w:trHeight w:val="397"/>
        </w:trPr>
        <w:tc>
          <w:tcPr>
            <w:tcW w:w="4998" w:type="dxa"/>
            <w:tcBorders>
              <w:top w:val="nil"/>
              <w:left w:val="nil"/>
              <w:bottom w:val="nil"/>
              <w:right w:val="nil"/>
            </w:tcBorders>
            <w:shd w:val="clear" w:color="auto" w:fill="auto"/>
            <w:noWrap/>
            <w:vAlign w:val="center"/>
            <w:hideMark/>
          </w:tcPr>
          <w:p w14:paraId="30BD97DC" w14:textId="77777777" w:rsidR="00CF3B89" w:rsidRPr="00BF3CDE" w:rsidRDefault="00CF3B89" w:rsidP="00CF3B89">
            <w:pPr>
              <w:spacing w:after="0" w:line="240" w:lineRule="auto"/>
              <w:rPr>
                <w:rFonts w:ascii="Verdana" w:eastAsia="Times New Roman" w:hAnsi="Verdana" w:cs="Times New Roman"/>
                <w:b/>
                <w:bCs/>
                <w:noProof/>
                <w:color w:val="000000"/>
                <w:sz w:val="20"/>
                <w:szCs w:val="20"/>
                <w:lang w:val="sr-Cyrl-CS" w:eastAsia="sr-Latn-RS"/>
              </w:rPr>
            </w:pPr>
            <w:r w:rsidRPr="00BF3CDE">
              <w:rPr>
                <w:rFonts w:ascii="Verdana" w:eastAsia="Times New Roman" w:hAnsi="Verdana" w:cs="Times New Roman"/>
                <w:b/>
                <w:bCs/>
                <w:noProof/>
                <w:color w:val="000000"/>
                <w:sz w:val="20"/>
                <w:szCs w:val="20"/>
                <w:lang w:val="sr-Cyrl-CS" w:eastAsia="sr-Latn-RS"/>
              </w:rPr>
              <w:t>Добит пре опорезивања</w:t>
            </w:r>
          </w:p>
        </w:tc>
        <w:tc>
          <w:tcPr>
            <w:tcW w:w="1526" w:type="dxa"/>
            <w:tcBorders>
              <w:top w:val="nil"/>
              <w:left w:val="nil"/>
              <w:bottom w:val="nil"/>
              <w:right w:val="nil"/>
            </w:tcBorders>
            <w:shd w:val="clear" w:color="auto" w:fill="auto"/>
            <w:noWrap/>
            <w:vAlign w:val="center"/>
            <w:hideMark/>
          </w:tcPr>
          <w:p w14:paraId="7477A664" w14:textId="77777777" w:rsidR="00CF3B89" w:rsidRPr="00BF3CDE" w:rsidRDefault="00CF3B89" w:rsidP="00CF3B89">
            <w:pPr>
              <w:spacing w:after="0" w:line="240" w:lineRule="auto"/>
              <w:jc w:val="right"/>
              <w:rPr>
                <w:rFonts w:ascii="Verdana" w:eastAsia="Times New Roman" w:hAnsi="Verdana" w:cs="Times New Roman"/>
                <w:b/>
                <w:bCs/>
                <w:noProof/>
                <w:color w:val="000000"/>
                <w:sz w:val="20"/>
                <w:szCs w:val="20"/>
                <w:lang w:val="sr-Cyrl-CS" w:eastAsia="sr-Latn-RS"/>
              </w:rPr>
            </w:pPr>
            <w:r w:rsidRPr="00BF3CDE">
              <w:rPr>
                <w:rFonts w:ascii="Verdana" w:eastAsia="Times New Roman" w:hAnsi="Verdana" w:cs="Times New Roman"/>
                <w:b/>
                <w:bCs/>
                <w:noProof/>
                <w:color w:val="000000"/>
                <w:sz w:val="20"/>
                <w:szCs w:val="20"/>
                <w:lang w:val="sr-Cyrl-CS" w:eastAsia="sr-Latn-RS"/>
              </w:rPr>
              <w:t>-77,677</w:t>
            </w:r>
          </w:p>
        </w:tc>
        <w:tc>
          <w:tcPr>
            <w:tcW w:w="1458" w:type="dxa"/>
            <w:tcBorders>
              <w:top w:val="nil"/>
              <w:left w:val="nil"/>
              <w:bottom w:val="nil"/>
              <w:right w:val="nil"/>
            </w:tcBorders>
            <w:shd w:val="clear" w:color="auto" w:fill="auto"/>
            <w:noWrap/>
            <w:vAlign w:val="center"/>
            <w:hideMark/>
          </w:tcPr>
          <w:p w14:paraId="2D373182" w14:textId="77777777" w:rsidR="00CF3B89" w:rsidRPr="00BF3CDE" w:rsidRDefault="00CF3B89" w:rsidP="00CF3B89">
            <w:pPr>
              <w:spacing w:after="0" w:line="240" w:lineRule="auto"/>
              <w:jc w:val="right"/>
              <w:rPr>
                <w:rFonts w:ascii="Verdana" w:eastAsia="Times New Roman" w:hAnsi="Verdana" w:cs="Times New Roman"/>
                <w:b/>
                <w:bCs/>
                <w:noProof/>
                <w:color w:val="000000"/>
                <w:sz w:val="20"/>
                <w:szCs w:val="20"/>
                <w:lang w:val="sr-Cyrl-CS" w:eastAsia="sr-Latn-RS"/>
              </w:rPr>
            </w:pPr>
            <w:r w:rsidRPr="00BF3CDE">
              <w:rPr>
                <w:rFonts w:ascii="Verdana" w:eastAsia="Times New Roman" w:hAnsi="Verdana" w:cs="Times New Roman"/>
                <w:b/>
                <w:bCs/>
                <w:noProof/>
                <w:color w:val="000000"/>
                <w:sz w:val="20"/>
                <w:szCs w:val="20"/>
                <w:lang w:val="sr-Cyrl-CS" w:eastAsia="sr-Latn-RS"/>
              </w:rPr>
              <w:t>-122,335</w:t>
            </w:r>
          </w:p>
        </w:tc>
        <w:tc>
          <w:tcPr>
            <w:tcW w:w="1324" w:type="dxa"/>
            <w:tcBorders>
              <w:top w:val="nil"/>
              <w:left w:val="nil"/>
              <w:bottom w:val="nil"/>
              <w:right w:val="nil"/>
            </w:tcBorders>
            <w:shd w:val="clear" w:color="000000" w:fill="FFFFFF"/>
            <w:noWrap/>
            <w:vAlign w:val="center"/>
            <w:hideMark/>
          </w:tcPr>
          <w:p w14:paraId="39730059" w14:textId="77777777" w:rsidR="00CF3B89" w:rsidRPr="00D20867" w:rsidRDefault="00CF3B89" w:rsidP="00CF3B89">
            <w:pPr>
              <w:spacing w:after="0" w:line="240" w:lineRule="auto"/>
              <w:jc w:val="center"/>
              <w:rPr>
                <w:rFonts w:ascii="Verdana" w:eastAsia="Times New Roman" w:hAnsi="Verdana" w:cs="Times New Roman"/>
                <w:b/>
                <w:noProof/>
                <w:color w:val="000000"/>
                <w:sz w:val="20"/>
                <w:szCs w:val="20"/>
                <w:lang w:val="sr-Cyrl-CS" w:eastAsia="sr-Latn-RS"/>
              </w:rPr>
            </w:pPr>
            <w:r w:rsidRPr="00D20867">
              <w:rPr>
                <w:rFonts w:ascii="Verdana" w:eastAsia="Times New Roman" w:hAnsi="Verdana" w:cs="Times New Roman"/>
                <w:b/>
                <w:noProof/>
                <w:color w:val="000000"/>
                <w:sz w:val="20"/>
                <w:szCs w:val="20"/>
                <w:lang w:val="sr-Cyrl-CS" w:eastAsia="sr-Latn-RS"/>
              </w:rPr>
              <w:t>63.50</w:t>
            </w:r>
          </w:p>
        </w:tc>
      </w:tr>
      <w:tr w:rsidR="00CF3B89" w:rsidRPr="00BF3CDE" w14:paraId="381D4646" w14:textId="77777777" w:rsidTr="00D50EE5">
        <w:trPr>
          <w:trHeight w:val="397"/>
        </w:trPr>
        <w:tc>
          <w:tcPr>
            <w:tcW w:w="4998" w:type="dxa"/>
            <w:tcBorders>
              <w:top w:val="nil"/>
              <w:left w:val="nil"/>
              <w:bottom w:val="nil"/>
              <w:right w:val="nil"/>
            </w:tcBorders>
            <w:shd w:val="clear" w:color="auto" w:fill="DBE5F1" w:themeFill="accent1" w:themeFillTint="33"/>
            <w:noWrap/>
            <w:vAlign w:val="center"/>
            <w:hideMark/>
          </w:tcPr>
          <w:p w14:paraId="5949B66C" w14:textId="77777777" w:rsidR="00CF3B89" w:rsidRPr="00BF3CDE" w:rsidRDefault="00CF3B89" w:rsidP="00CF3B89">
            <w:pPr>
              <w:spacing w:after="0" w:line="240" w:lineRule="auto"/>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Порески расход периода</w:t>
            </w:r>
          </w:p>
        </w:tc>
        <w:tc>
          <w:tcPr>
            <w:tcW w:w="1526" w:type="dxa"/>
            <w:tcBorders>
              <w:top w:val="nil"/>
              <w:left w:val="nil"/>
              <w:bottom w:val="nil"/>
              <w:right w:val="nil"/>
            </w:tcBorders>
            <w:shd w:val="clear" w:color="auto" w:fill="DBE5F1" w:themeFill="accent1" w:themeFillTint="33"/>
            <w:noWrap/>
            <w:vAlign w:val="center"/>
            <w:hideMark/>
          </w:tcPr>
          <w:p w14:paraId="7BE832AF" w14:textId="77777777" w:rsidR="00CF3B89" w:rsidRPr="00BF3CDE" w:rsidRDefault="00CF3B89" w:rsidP="00CF3B89">
            <w:pPr>
              <w:spacing w:after="0" w:line="240" w:lineRule="auto"/>
              <w:jc w:val="right"/>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 </w:t>
            </w:r>
          </w:p>
        </w:tc>
        <w:tc>
          <w:tcPr>
            <w:tcW w:w="1458" w:type="dxa"/>
            <w:tcBorders>
              <w:top w:val="nil"/>
              <w:left w:val="nil"/>
              <w:bottom w:val="nil"/>
              <w:right w:val="nil"/>
            </w:tcBorders>
            <w:shd w:val="clear" w:color="auto" w:fill="DBE5F1" w:themeFill="accent1" w:themeFillTint="33"/>
            <w:noWrap/>
            <w:vAlign w:val="center"/>
            <w:hideMark/>
          </w:tcPr>
          <w:p w14:paraId="15ED6188" w14:textId="77777777" w:rsidR="00CF3B89" w:rsidRPr="00BF3CDE" w:rsidRDefault="00CF3B89" w:rsidP="00CF3B89">
            <w:pPr>
              <w:spacing w:after="0" w:line="240" w:lineRule="auto"/>
              <w:jc w:val="right"/>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 </w:t>
            </w:r>
          </w:p>
        </w:tc>
        <w:tc>
          <w:tcPr>
            <w:tcW w:w="1324" w:type="dxa"/>
            <w:tcBorders>
              <w:top w:val="nil"/>
              <w:left w:val="nil"/>
              <w:bottom w:val="nil"/>
              <w:right w:val="nil"/>
            </w:tcBorders>
            <w:shd w:val="clear" w:color="auto" w:fill="DBE5F1" w:themeFill="accent1" w:themeFillTint="33"/>
            <w:noWrap/>
            <w:vAlign w:val="center"/>
            <w:hideMark/>
          </w:tcPr>
          <w:p w14:paraId="4EC35EEB" w14:textId="77777777" w:rsidR="00CF3B89" w:rsidRPr="00BF3CDE" w:rsidRDefault="00CF3B89" w:rsidP="00CF3B89">
            <w:pPr>
              <w:spacing w:after="0" w:line="240" w:lineRule="auto"/>
              <w:jc w:val="center"/>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 </w:t>
            </w:r>
          </w:p>
        </w:tc>
      </w:tr>
      <w:tr w:rsidR="00CF3B89" w:rsidRPr="00BF3CDE" w14:paraId="59F24231" w14:textId="77777777" w:rsidTr="00D50EE5">
        <w:trPr>
          <w:trHeight w:val="397"/>
        </w:trPr>
        <w:tc>
          <w:tcPr>
            <w:tcW w:w="4998" w:type="dxa"/>
            <w:tcBorders>
              <w:top w:val="nil"/>
              <w:left w:val="nil"/>
              <w:bottom w:val="nil"/>
              <w:right w:val="nil"/>
            </w:tcBorders>
            <w:shd w:val="clear" w:color="auto" w:fill="auto"/>
            <w:noWrap/>
            <w:vAlign w:val="center"/>
            <w:hideMark/>
          </w:tcPr>
          <w:p w14:paraId="561DAA4B" w14:textId="77777777" w:rsidR="00CF3B89" w:rsidRPr="00BF3CDE" w:rsidRDefault="00CF3B89" w:rsidP="00CF3B89">
            <w:pPr>
              <w:spacing w:after="0" w:line="240" w:lineRule="auto"/>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Добит од смањења одлож пореза</w:t>
            </w:r>
          </w:p>
        </w:tc>
        <w:tc>
          <w:tcPr>
            <w:tcW w:w="1526" w:type="dxa"/>
            <w:tcBorders>
              <w:top w:val="nil"/>
              <w:left w:val="nil"/>
              <w:bottom w:val="nil"/>
              <w:right w:val="nil"/>
            </w:tcBorders>
            <w:shd w:val="clear" w:color="auto" w:fill="auto"/>
            <w:noWrap/>
            <w:vAlign w:val="center"/>
            <w:hideMark/>
          </w:tcPr>
          <w:p w14:paraId="4B1AE84C" w14:textId="77777777" w:rsidR="00CF3B89" w:rsidRPr="00BF3CDE" w:rsidRDefault="00CF3B89" w:rsidP="00CF3B89">
            <w:pPr>
              <w:spacing w:after="0" w:line="240" w:lineRule="auto"/>
              <w:jc w:val="right"/>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2,620</w:t>
            </w:r>
          </w:p>
        </w:tc>
        <w:tc>
          <w:tcPr>
            <w:tcW w:w="1458" w:type="dxa"/>
            <w:tcBorders>
              <w:top w:val="nil"/>
              <w:left w:val="nil"/>
              <w:bottom w:val="nil"/>
              <w:right w:val="nil"/>
            </w:tcBorders>
            <w:shd w:val="clear" w:color="auto" w:fill="auto"/>
            <w:noWrap/>
            <w:vAlign w:val="center"/>
            <w:hideMark/>
          </w:tcPr>
          <w:p w14:paraId="624E7869" w14:textId="77777777" w:rsidR="00CF3B89" w:rsidRPr="00BF3CDE" w:rsidRDefault="00CF3B89" w:rsidP="00CF3B89">
            <w:pPr>
              <w:spacing w:after="0" w:line="240" w:lineRule="auto"/>
              <w:jc w:val="right"/>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0</w:t>
            </w:r>
          </w:p>
        </w:tc>
        <w:tc>
          <w:tcPr>
            <w:tcW w:w="1324" w:type="dxa"/>
            <w:tcBorders>
              <w:top w:val="nil"/>
              <w:left w:val="nil"/>
              <w:bottom w:val="nil"/>
              <w:right w:val="nil"/>
            </w:tcBorders>
            <w:shd w:val="clear" w:color="000000" w:fill="FFFFFF"/>
            <w:noWrap/>
            <w:vAlign w:val="center"/>
            <w:hideMark/>
          </w:tcPr>
          <w:p w14:paraId="776E34F3" w14:textId="77777777" w:rsidR="00CF3B89" w:rsidRPr="00BF3CDE" w:rsidRDefault="00CF3B89" w:rsidP="00CF3B89">
            <w:pPr>
              <w:spacing w:after="0" w:line="240" w:lineRule="auto"/>
              <w:jc w:val="center"/>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 </w:t>
            </w:r>
          </w:p>
        </w:tc>
      </w:tr>
      <w:tr w:rsidR="00CF3B89" w:rsidRPr="00BF3CDE" w14:paraId="4C08EB97" w14:textId="77777777" w:rsidTr="00D50EE5">
        <w:trPr>
          <w:trHeight w:val="397"/>
        </w:trPr>
        <w:tc>
          <w:tcPr>
            <w:tcW w:w="4998" w:type="dxa"/>
            <w:tcBorders>
              <w:top w:val="nil"/>
              <w:left w:val="nil"/>
              <w:right w:val="nil"/>
            </w:tcBorders>
            <w:shd w:val="clear" w:color="auto" w:fill="DBE5F1" w:themeFill="accent1" w:themeFillTint="33"/>
            <w:noWrap/>
            <w:vAlign w:val="center"/>
            <w:hideMark/>
          </w:tcPr>
          <w:p w14:paraId="3DE22BA4" w14:textId="77777777" w:rsidR="00CF3B89" w:rsidRPr="00BF3CDE" w:rsidRDefault="00CF3B89" w:rsidP="00CF3B89">
            <w:pPr>
              <w:spacing w:after="0" w:line="240" w:lineRule="auto"/>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Губитак од укидања одл пореза</w:t>
            </w:r>
          </w:p>
        </w:tc>
        <w:tc>
          <w:tcPr>
            <w:tcW w:w="1526" w:type="dxa"/>
            <w:tcBorders>
              <w:top w:val="nil"/>
              <w:left w:val="nil"/>
              <w:right w:val="nil"/>
            </w:tcBorders>
            <w:shd w:val="clear" w:color="auto" w:fill="DBE5F1" w:themeFill="accent1" w:themeFillTint="33"/>
            <w:noWrap/>
            <w:vAlign w:val="center"/>
            <w:hideMark/>
          </w:tcPr>
          <w:p w14:paraId="28B10440" w14:textId="77777777" w:rsidR="00CF3B89" w:rsidRPr="00BF3CDE" w:rsidRDefault="00CF3B89" w:rsidP="00CF3B89">
            <w:pPr>
              <w:spacing w:after="0" w:line="240" w:lineRule="auto"/>
              <w:jc w:val="right"/>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 </w:t>
            </w:r>
          </w:p>
        </w:tc>
        <w:tc>
          <w:tcPr>
            <w:tcW w:w="1458" w:type="dxa"/>
            <w:tcBorders>
              <w:top w:val="nil"/>
              <w:left w:val="nil"/>
              <w:right w:val="nil"/>
            </w:tcBorders>
            <w:shd w:val="clear" w:color="auto" w:fill="DBE5F1" w:themeFill="accent1" w:themeFillTint="33"/>
            <w:noWrap/>
            <w:vAlign w:val="center"/>
            <w:hideMark/>
          </w:tcPr>
          <w:p w14:paraId="29FCE4A4" w14:textId="77777777" w:rsidR="00CF3B89" w:rsidRPr="00BF3CDE" w:rsidRDefault="00CF3B89" w:rsidP="00CF3B89">
            <w:pPr>
              <w:spacing w:after="0" w:line="240" w:lineRule="auto"/>
              <w:jc w:val="right"/>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1,052</w:t>
            </w:r>
          </w:p>
        </w:tc>
        <w:tc>
          <w:tcPr>
            <w:tcW w:w="1324" w:type="dxa"/>
            <w:tcBorders>
              <w:top w:val="nil"/>
              <w:left w:val="nil"/>
              <w:right w:val="nil"/>
            </w:tcBorders>
            <w:shd w:val="clear" w:color="auto" w:fill="DBE5F1" w:themeFill="accent1" w:themeFillTint="33"/>
            <w:noWrap/>
            <w:vAlign w:val="center"/>
            <w:hideMark/>
          </w:tcPr>
          <w:p w14:paraId="65DC35CD" w14:textId="77777777" w:rsidR="00CF3B89" w:rsidRPr="00BF3CDE" w:rsidRDefault="00CF3B89" w:rsidP="00CF3B89">
            <w:pPr>
              <w:spacing w:after="0" w:line="240" w:lineRule="auto"/>
              <w:jc w:val="center"/>
              <w:rPr>
                <w:rFonts w:ascii="Verdana" w:eastAsia="Times New Roman" w:hAnsi="Verdana" w:cs="Times New Roman"/>
                <w:noProof/>
                <w:color w:val="000000"/>
                <w:sz w:val="20"/>
                <w:szCs w:val="20"/>
                <w:lang w:val="sr-Cyrl-CS" w:eastAsia="sr-Latn-RS"/>
              </w:rPr>
            </w:pPr>
            <w:r w:rsidRPr="00BF3CDE">
              <w:rPr>
                <w:rFonts w:ascii="Verdana" w:eastAsia="Times New Roman" w:hAnsi="Verdana" w:cs="Times New Roman"/>
                <w:noProof/>
                <w:color w:val="000000"/>
                <w:sz w:val="20"/>
                <w:szCs w:val="20"/>
                <w:lang w:val="sr-Cyrl-CS" w:eastAsia="sr-Latn-RS"/>
              </w:rPr>
              <w:t> </w:t>
            </w:r>
          </w:p>
        </w:tc>
      </w:tr>
      <w:tr w:rsidR="00CF3B89" w:rsidRPr="00BF3CDE" w14:paraId="4E8303C1" w14:textId="77777777" w:rsidTr="00D50EE5">
        <w:trPr>
          <w:trHeight w:val="510"/>
        </w:trPr>
        <w:tc>
          <w:tcPr>
            <w:tcW w:w="4998" w:type="dxa"/>
            <w:tcBorders>
              <w:top w:val="nil"/>
              <w:left w:val="nil"/>
              <w:right w:val="nil"/>
            </w:tcBorders>
            <w:shd w:val="clear" w:color="auto" w:fill="4F81BD" w:themeFill="accent1"/>
            <w:noWrap/>
            <w:vAlign w:val="center"/>
            <w:hideMark/>
          </w:tcPr>
          <w:p w14:paraId="0D42CBD6" w14:textId="77777777" w:rsidR="00CF3B89" w:rsidRPr="00BF3CDE" w:rsidRDefault="00CF3B89" w:rsidP="00CF3B89">
            <w:pPr>
              <w:spacing w:after="0" w:line="240" w:lineRule="auto"/>
              <w:rPr>
                <w:rFonts w:ascii="Verdana" w:eastAsia="Times New Roman" w:hAnsi="Verdana" w:cs="Times New Roman"/>
                <w:b/>
                <w:bCs/>
                <w:noProof/>
                <w:color w:val="FFFFFF"/>
                <w:sz w:val="20"/>
                <w:szCs w:val="20"/>
                <w:lang w:val="sr-Cyrl-CS" w:eastAsia="sr-Latn-RS"/>
              </w:rPr>
            </w:pPr>
            <w:r w:rsidRPr="00BF3CDE">
              <w:rPr>
                <w:rFonts w:ascii="Verdana" w:eastAsia="Times New Roman" w:hAnsi="Verdana" w:cs="Times New Roman"/>
                <w:b/>
                <w:bCs/>
                <w:noProof/>
                <w:color w:val="FFFFFF"/>
                <w:sz w:val="20"/>
                <w:szCs w:val="20"/>
                <w:lang w:val="sr-Cyrl-CS" w:eastAsia="sr-Latn-RS"/>
              </w:rPr>
              <w:t>Добит након опорезивања</w:t>
            </w:r>
          </w:p>
        </w:tc>
        <w:tc>
          <w:tcPr>
            <w:tcW w:w="1526" w:type="dxa"/>
            <w:tcBorders>
              <w:top w:val="nil"/>
              <w:left w:val="nil"/>
              <w:right w:val="nil"/>
            </w:tcBorders>
            <w:shd w:val="clear" w:color="auto" w:fill="4F81BD" w:themeFill="accent1"/>
            <w:noWrap/>
            <w:vAlign w:val="center"/>
            <w:hideMark/>
          </w:tcPr>
          <w:p w14:paraId="56928B43" w14:textId="77777777" w:rsidR="00CF3B89" w:rsidRPr="00BF3CDE" w:rsidRDefault="00CF3B89" w:rsidP="00CF3B89">
            <w:pPr>
              <w:spacing w:after="0" w:line="240" w:lineRule="auto"/>
              <w:jc w:val="right"/>
              <w:rPr>
                <w:rFonts w:ascii="Verdana" w:eastAsia="Times New Roman" w:hAnsi="Verdana" w:cs="Times New Roman"/>
                <w:b/>
                <w:bCs/>
                <w:noProof/>
                <w:color w:val="FFFFFF"/>
                <w:sz w:val="20"/>
                <w:szCs w:val="20"/>
                <w:lang w:val="sr-Cyrl-CS" w:eastAsia="sr-Latn-RS"/>
              </w:rPr>
            </w:pPr>
            <w:r w:rsidRPr="00BF3CDE">
              <w:rPr>
                <w:rFonts w:ascii="Verdana" w:eastAsia="Times New Roman" w:hAnsi="Verdana" w:cs="Times New Roman"/>
                <w:b/>
                <w:bCs/>
                <w:noProof/>
                <w:color w:val="FFFFFF"/>
                <w:sz w:val="20"/>
                <w:szCs w:val="20"/>
                <w:lang w:val="sr-Cyrl-CS" w:eastAsia="sr-Latn-RS"/>
              </w:rPr>
              <w:t>-75,057</w:t>
            </w:r>
          </w:p>
        </w:tc>
        <w:tc>
          <w:tcPr>
            <w:tcW w:w="1458" w:type="dxa"/>
            <w:tcBorders>
              <w:top w:val="nil"/>
              <w:left w:val="nil"/>
              <w:right w:val="nil"/>
            </w:tcBorders>
            <w:shd w:val="clear" w:color="auto" w:fill="4F81BD" w:themeFill="accent1"/>
            <w:noWrap/>
            <w:vAlign w:val="center"/>
            <w:hideMark/>
          </w:tcPr>
          <w:p w14:paraId="4EF55DDC" w14:textId="77777777" w:rsidR="00CF3B89" w:rsidRPr="00BF3CDE" w:rsidRDefault="00CF3B89" w:rsidP="00CF3B89">
            <w:pPr>
              <w:spacing w:after="0" w:line="240" w:lineRule="auto"/>
              <w:jc w:val="right"/>
              <w:rPr>
                <w:rFonts w:ascii="Verdana" w:eastAsia="Times New Roman" w:hAnsi="Verdana" w:cs="Times New Roman"/>
                <w:b/>
                <w:bCs/>
                <w:noProof/>
                <w:color w:val="FFFFFF"/>
                <w:sz w:val="20"/>
                <w:szCs w:val="20"/>
                <w:lang w:val="sr-Cyrl-CS" w:eastAsia="sr-Latn-RS"/>
              </w:rPr>
            </w:pPr>
            <w:r w:rsidRPr="00BF3CDE">
              <w:rPr>
                <w:rFonts w:ascii="Verdana" w:eastAsia="Times New Roman" w:hAnsi="Verdana" w:cs="Times New Roman"/>
                <w:b/>
                <w:bCs/>
                <w:noProof/>
                <w:color w:val="FFFFFF"/>
                <w:sz w:val="20"/>
                <w:szCs w:val="20"/>
                <w:lang w:val="sr-Cyrl-CS" w:eastAsia="sr-Latn-RS"/>
              </w:rPr>
              <w:t>-123,387</w:t>
            </w:r>
          </w:p>
        </w:tc>
        <w:tc>
          <w:tcPr>
            <w:tcW w:w="1324" w:type="dxa"/>
            <w:tcBorders>
              <w:top w:val="nil"/>
              <w:left w:val="nil"/>
              <w:right w:val="nil"/>
            </w:tcBorders>
            <w:shd w:val="clear" w:color="auto" w:fill="4F81BD" w:themeFill="accent1"/>
            <w:noWrap/>
            <w:vAlign w:val="center"/>
            <w:hideMark/>
          </w:tcPr>
          <w:p w14:paraId="361E9691" w14:textId="77777777" w:rsidR="00CF3B89" w:rsidRPr="00D20867" w:rsidRDefault="00CF3B89" w:rsidP="00CF3B89">
            <w:pPr>
              <w:spacing w:after="0" w:line="240" w:lineRule="auto"/>
              <w:jc w:val="center"/>
              <w:rPr>
                <w:rFonts w:ascii="Verdana" w:eastAsia="Times New Roman" w:hAnsi="Verdana" w:cs="Times New Roman"/>
                <w:b/>
                <w:bCs/>
                <w:noProof/>
                <w:color w:val="FFFFFF"/>
                <w:sz w:val="20"/>
                <w:szCs w:val="20"/>
                <w:lang w:val="sr-Cyrl-CS" w:eastAsia="sr-Latn-RS"/>
              </w:rPr>
            </w:pPr>
            <w:r w:rsidRPr="00D20867">
              <w:rPr>
                <w:rFonts w:ascii="Verdana" w:eastAsia="Times New Roman" w:hAnsi="Verdana" w:cs="Times New Roman"/>
                <w:b/>
                <w:bCs/>
                <w:noProof/>
                <w:color w:val="FFFFFF"/>
                <w:sz w:val="20"/>
                <w:szCs w:val="20"/>
                <w:lang w:val="sr-Cyrl-CS" w:eastAsia="sr-Latn-RS"/>
              </w:rPr>
              <w:t>60.83</w:t>
            </w:r>
          </w:p>
        </w:tc>
      </w:tr>
    </w:tbl>
    <w:p w14:paraId="2E46003C" w14:textId="3AE88D29" w:rsidR="00E56127" w:rsidRPr="00BF3CDE" w:rsidRDefault="00B44D29" w:rsidP="00D50EE5">
      <w:pPr>
        <w:spacing w:before="240" w:after="240"/>
        <w:ind w:firstLine="284"/>
        <w:jc w:val="both"/>
        <w:rPr>
          <w:rFonts w:ascii="Calibri" w:hAnsi="Calibri" w:cs="Calibri"/>
          <w:b/>
          <w:noProof/>
          <w:color w:val="000000" w:themeColor="text1"/>
          <w:lang w:val="sr-Cyrl-CS"/>
        </w:rPr>
      </w:pPr>
      <w:r>
        <w:rPr>
          <w:rFonts w:ascii="Calibri" w:hAnsi="Calibri" w:cs="Calibri"/>
          <w:b/>
          <w:noProof/>
          <w:color w:val="000000" w:themeColor="text1"/>
          <w:lang w:val="sr-Cyrl-CS"/>
        </w:rPr>
        <w:t xml:space="preserve">У току 2014. године  остварено </w:t>
      </w:r>
      <w:r w:rsidR="00E56127" w:rsidRPr="00BF3CDE">
        <w:rPr>
          <w:rFonts w:ascii="Calibri" w:hAnsi="Calibri" w:cs="Calibri"/>
          <w:b/>
          <w:noProof/>
          <w:color w:val="000000" w:themeColor="text1"/>
          <w:lang w:val="sr-Cyrl-CS"/>
        </w:rPr>
        <w:t>је погоршање пословног резултата, који је пре свега последица наста</w:t>
      </w:r>
      <w:r w:rsidR="00D20867">
        <w:rPr>
          <w:rFonts w:ascii="Calibri" w:hAnsi="Calibri" w:cs="Calibri"/>
          <w:b/>
          <w:noProof/>
          <w:color w:val="000000" w:themeColor="text1"/>
          <w:lang w:val="sr-Cyrl-CS"/>
        </w:rPr>
        <w:t>вка пада премије у самопрдржају</w:t>
      </w:r>
      <w:r w:rsidR="00E56127" w:rsidRPr="00BF3CDE">
        <w:rPr>
          <w:rFonts w:ascii="Calibri" w:hAnsi="Calibri" w:cs="Calibri"/>
          <w:b/>
          <w:noProof/>
          <w:color w:val="000000" w:themeColor="text1"/>
          <w:lang w:val="sr-Cyrl-CS"/>
        </w:rPr>
        <w:t xml:space="preserve"> и повећања расхода од инвестирања.</w:t>
      </w:r>
    </w:p>
    <w:p w14:paraId="4E83CCC5" w14:textId="77777777" w:rsidR="003941AA" w:rsidRPr="00BF3CDE" w:rsidRDefault="003941AA" w:rsidP="00D50EE5">
      <w:pPr>
        <w:spacing w:before="240" w:after="240"/>
        <w:ind w:firstLine="284"/>
        <w:jc w:val="both"/>
        <w:rPr>
          <w:rFonts w:ascii="Calibri" w:hAnsi="Calibri" w:cs="Calibri"/>
          <w:b/>
          <w:noProof/>
          <w:color w:val="000000" w:themeColor="text1"/>
          <w:lang w:val="sr-Cyrl-CS"/>
        </w:rPr>
      </w:pPr>
      <w:r w:rsidRPr="00BF3CDE">
        <w:rPr>
          <w:rFonts w:ascii="Calibri" w:hAnsi="Calibri" w:cs="Calibri"/>
          <w:b/>
          <w:noProof/>
          <w:color w:val="000000" w:themeColor="text1"/>
          <w:lang w:val="sr-Cyrl-CS"/>
        </w:rPr>
        <w:t>Пад премије узрокован је необнављањм учешћа Дунав Ре-а на уговорима на којима је учествовао као Реосигуравач у претходним годинима као и</w:t>
      </w:r>
      <w:r w:rsidR="0002677F" w:rsidRPr="00BF3CDE">
        <w:rPr>
          <w:noProof/>
          <w:color w:val="000000" w:themeColor="text1"/>
          <w:lang w:val="sr-Cyrl-CS"/>
        </w:rPr>
        <w:t xml:space="preserve"> </w:t>
      </w:r>
      <w:r w:rsidR="0002677F" w:rsidRPr="00BF3CDE">
        <w:rPr>
          <w:rFonts w:ascii="Calibri" w:hAnsi="Calibri" w:cs="Calibri"/>
          <w:b/>
          <w:noProof/>
          <w:color w:val="000000" w:themeColor="text1"/>
          <w:lang w:val="sr-Cyrl-CS"/>
        </w:rPr>
        <w:t>падом премије реосигурања по имовинским и техничким гранама за ризике ЕПС-а. Наиме, у 2014. је смањена основа за даље реосигурање  ризика изнад самопридржаја Компаније, а самим тим је узрокован пад активне премије реосигурања као и премије у самопридржају Дунав Ре-а.</w:t>
      </w:r>
    </w:p>
    <w:p w14:paraId="31538CA4" w14:textId="77777777" w:rsidR="00E56127" w:rsidRDefault="00F057A7" w:rsidP="00D50EE5">
      <w:pPr>
        <w:spacing w:before="240" w:after="240"/>
        <w:ind w:firstLine="284"/>
        <w:jc w:val="both"/>
        <w:rPr>
          <w:rFonts w:ascii="Calibri" w:hAnsi="Calibri" w:cs="Calibri"/>
          <w:b/>
          <w:noProof/>
          <w:color w:val="000000" w:themeColor="text1"/>
          <w:lang w:val="sr-Cyrl-CS"/>
        </w:rPr>
      </w:pPr>
      <w:r w:rsidRPr="00BF3CDE">
        <w:rPr>
          <w:rFonts w:ascii="Calibri" w:hAnsi="Calibri" w:cs="Calibri"/>
          <w:b/>
          <w:noProof/>
          <w:color w:val="000000" w:themeColor="text1"/>
          <w:lang w:val="sr-Cyrl-CS"/>
        </w:rPr>
        <w:t>На повећање расхода од инвестирања у највећој мери је утицало обезвређење услед деноминације цене акција Дунав банке, од 178.333 хиљада динара због смањење капитала за износ признатих губитака од стране Банке и додатних исправки  који је био услов за докапитализацију банке од стране Телекома.</w:t>
      </w:r>
    </w:p>
    <w:p w14:paraId="5851177E" w14:textId="77777777" w:rsidR="00D50EE5" w:rsidRPr="00BF3CDE" w:rsidRDefault="00D50EE5" w:rsidP="00D50EE5">
      <w:pPr>
        <w:spacing w:before="240" w:after="240"/>
        <w:ind w:firstLine="284"/>
        <w:jc w:val="both"/>
        <w:rPr>
          <w:rFonts w:ascii="Calibri" w:hAnsi="Calibri" w:cs="Calibri"/>
          <w:b/>
          <w:noProof/>
          <w:color w:val="000000" w:themeColor="text1"/>
          <w:lang w:val="sr-Cyrl-CS"/>
        </w:rPr>
      </w:pPr>
    </w:p>
    <w:p w14:paraId="6D4738B5" w14:textId="77777777" w:rsidR="00F057A7" w:rsidRPr="00BF3CDE" w:rsidRDefault="00F057A7" w:rsidP="00D50EE5">
      <w:pPr>
        <w:spacing w:before="240" w:after="240"/>
        <w:ind w:firstLine="284"/>
        <w:jc w:val="both"/>
        <w:rPr>
          <w:rFonts w:ascii="Calibri" w:hAnsi="Calibri" w:cs="Calibri"/>
          <w:b/>
          <w:noProof/>
          <w:color w:val="000000" w:themeColor="text1"/>
          <w:lang w:val="sr-Cyrl-CS"/>
        </w:rPr>
      </w:pPr>
      <w:r w:rsidRPr="00BF3CDE">
        <w:rPr>
          <w:rFonts w:ascii="Calibri" w:hAnsi="Calibri" w:cs="Calibri"/>
          <w:b/>
          <w:noProof/>
          <w:color w:val="000000" w:themeColor="text1"/>
          <w:lang w:val="sr-Cyrl-CS"/>
        </w:rPr>
        <w:lastRenderedPageBreak/>
        <w:t>Такође на нег</w:t>
      </w:r>
      <w:r w:rsidR="00D20867">
        <w:rPr>
          <w:rFonts w:ascii="Calibri" w:hAnsi="Calibri" w:cs="Calibri"/>
          <w:b/>
          <w:noProof/>
          <w:color w:val="000000" w:themeColor="text1"/>
          <w:lang w:val="sr-Cyrl-CS"/>
        </w:rPr>
        <w:t>атв</w:t>
      </w:r>
      <w:r w:rsidR="005776E4" w:rsidRPr="00BF3CDE">
        <w:rPr>
          <w:rFonts w:ascii="Calibri" w:hAnsi="Calibri" w:cs="Calibri"/>
          <w:b/>
          <w:noProof/>
          <w:color w:val="000000" w:themeColor="text1"/>
          <w:lang w:val="sr-Cyrl-CS"/>
        </w:rPr>
        <w:t>ан пословни резултат је</w:t>
      </w:r>
      <w:r w:rsidRPr="00BF3CDE">
        <w:rPr>
          <w:rFonts w:ascii="Calibri" w:hAnsi="Calibri" w:cs="Calibri"/>
          <w:b/>
          <w:noProof/>
          <w:color w:val="000000" w:themeColor="text1"/>
          <w:lang w:val="sr-Cyrl-CS"/>
        </w:rPr>
        <w:t xml:space="preserve"> утица</w:t>
      </w:r>
      <w:r w:rsidR="005776E4" w:rsidRPr="00BF3CDE">
        <w:rPr>
          <w:rFonts w:ascii="Calibri" w:hAnsi="Calibri" w:cs="Calibri"/>
          <w:b/>
          <w:noProof/>
          <w:color w:val="000000" w:themeColor="text1"/>
          <w:lang w:val="sr-Cyrl-CS"/>
        </w:rPr>
        <w:t>о</w:t>
      </w:r>
      <w:r w:rsidR="005776E4" w:rsidRPr="00BF3CDE">
        <w:rPr>
          <w:noProof/>
          <w:color w:val="000000" w:themeColor="text1"/>
          <w:lang w:val="sr-Cyrl-CS"/>
        </w:rPr>
        <w:t xml:space="preserve"> </w:t>
      </w:r>
      <w:r w:rsidR="005776E4" w:rsidRPr="00BF3CDE">
        <w:rPr>
          <w:rFonts w:ascii="Calibri" w:hAnsi="Calibri" w:cs="Calibri"/>
          <w:b/>
          <w:noProof/>
          <w:color w:val="000000" w:themeColor="text1"/>
          <w:lang w:val="sr-Cyrl-CS"/>
        </w:rPr>
        <w:t>пораст износа резервисаних штета узрокован поплавама у мају месецу 2014. године.</w:t>
      </w:r>
    </w:p>
    <w:p w14:paraId="60575C62" w14:textId="77777777" w:rsidR="005776E4" w:rsidRDefault="001B208C" w:rsidP="00D50EE5">
      <w:pPr>
        <w:spacing w:before="240" w:after="240"/>
        <w:ind w:firstLine="284"/>
        <w:jc w:val="both"/>
        <w:rPr>
          <w:rFonts w:ascii="Calibri" w:hAnsi="Calibri" w:cs="Calibri"/>
          <w:b/>
          <w:noProof/>
          <w:color w:val="000000" w:themeColor="text1"/>
          <w:lang w:val="sr-Cyrl-CS"/>
        </w:rPr>
      </w:pPr>
      <w:r w:rsidRPr="00BF3CDE">
        <w:rPr>
          <w:rFonts w:ascii="Calibri" w:hAnsi="Calibri" w:cs="Calibri"/>
          <w:b/>
          <w:noProof/>
          <w:color w:val="000000" w:themeColor="text1"/>
          <w:lang w:val="sr-Cyrl-CS"/>
        </w:rPr>
        <w:t>У циљу остваривања финансијске стабилности као и остваривање добити, п</w:t>
      </w:r>
      <w:r w:rsidR="005776E4" w:rsidRPr="00BF3CDE">
        <w:rPr>
          <w:rFonts w:ascii="Calibri" w:hAnsi="Calibri" w:cs="Calibri"/>
          <w:b/>
          <w:noProof/>
          <w:color w:val="000000" w:themeColor="text1"/>
          <w:lang w:val="sr-Cyrl-CS"/>
        </w:rPr>
        <w:t>осебна пажња у даље</w:t>
      </w:r>
      <w:r w:rsidR="0099374D" w:rsidRPr="00BF3CDE">
        <w:rPr>
          <w:rFonts w:ascii="Calibri" w:hAnsi="Calibri" w:cs="Calibri"/>
          <w:b/>
          <w:noProof/>
          <w:color w:val="000000" w:themeColor="text1"/>
          <w:lang w:val="sr-Cyrl-CS"/>
        </w:rPr>
        <w:t xml:space="preserve">м пословању ће бити посевећена </w:t>
      </w:r>
      <w:r w:rsidR="005776E4" w:rsidRPr="00BF3CDE">
        <w:rPr>
          <w:rFonts w:ascii="Calibri" w:hAnsi="Calibri" w:cs="Calibri"/>
          <w:b/>
          <w:noProof/>
          <w:color w:val="000000" w:themeColor="text1"/>
          <w:lang w:val="sr-Cyrl-CS"/>
        </w:rPr>
        <w:t>повећању нивоа премије у самопридржају</w:t>
      </w:r>
      <w:r w:rsidRPr="00BF3CDE">
        <w:rPr>
          <w:rFonts w:ascii="Calibri" w:hAnsi="Calibri" w:cs="Calibri"/>
          <w:b/>
          <w:noProof/>
          <w:color w:val="000000" w:themeColor="text1"/>
          <w:lang w:val="sr-Cyrl-CS"/>
        </w:rPr>
        <w:t xml:space="preserve"> на приходној страни</w:t>
      </w:r>
      <w:r w:rsidR="005776E4" w:rsidRPr="00BF3CDE">
        <w:rPr>
          <w:rFonts w:ascii="Calibri" w:hAnsi="Calibri" w:cs="Calibri"/>
          <w:b/>
          <w:noProof/>
          <w:color w:val="000000" w:themeColor="text1"/>
          <w:lang w:val="sr-Cyrl-CS"/>
        </w:rPr>
        <w:t>, кроз подршку цедентима за развој нових производа, аутомастку заштиту обезбеђену из реосигурања за устињена протфолиа у директном осигурању</w:t>
      </w:r>
      <w:r w:rsidRPr="00BF3CDE">
        <w:rPr>
          <w:rFonts w:ascii="Calibri" w:hAnsi="Calibri" w:cs="Calibri"/>
          <w:b/>
          <w:noProof/>
          <w:color w:val="000000" w:themeColor="text1"/>
          <w:lang w:val="sr-Cyrl-CS"/>
        </w:rPr>
        <w:t xml:space="preserve"> и рационализацији</w:t>
      </w:r>
      <w:r w:rsidR="0099374D" w:rsidRPr="00BF3CDE">
        <w:rPr>
          <w:rFonts w:ascii="Calibri" w:hAnsi="Calibri" w:cs="Calibri"/>
          <w:b/>
          <w:noProof/>
          <w:color w:val="000000" w:themeColor="text1"/>
          <w:lang w:val="sr-Cyrl-CS"/>
        </w:rPr>
        <w:t xml:space="preserve"> односно смањењу</w:t>
      </w:r>
      <w:r w:rsidRPr="00BF3CDE">
        <w:rPr>
          <w:rFonts w:ascii="Calibri" w:hAnsi="Calibri" w:cs="Calibri"/>
          <w:b/>
          <w:noProof/>
          <w:color w:val="000000" w:themeColor="text1"/>
          <w:lang w:val="sr-Cyrl-CS"/>
        </w:rPr>
        <w:t xml:space="preserve"> трошкова</w:t>
      </w:r>
      <w:r w:rsidR="0099374D" w:rsidRPr="00BF3CDE">
        <w:rPr>
          <w:rFonts w:ascii="Calibri" w:hAnsi="Calibri" w:cs="Calibri"/>
          <w:b/>
          <w:noProof/>
          <w:color w:val="000000" w:themeColor="text1"/>
          <w:lang w:val="sr-Cyrl-CS"/>
        </w:rPr>
        <w:t xml:space="preserve"> спровођења реосигурања</w:t>
      </w:r>
      <w:r w:rsidRPr="00BF3CDE">
        <w:rPr>
          <w:rFonts w:ascii="Calibri" w:hAnsi="Calibri" w:cs="Calibri"/>
          <w:b/>
          <w:noProof/>
          <w:color w:val="000000" w:themeColor="text1"/>
          <w:lang w:val="sr-Cyrl-CS"/>
        </w:rPr>
        <w:t xml:space="preserve"> на расходној страни.</w:t>
      </w:r>
    </w:p>
    <w:p w14:paraId="127FF358" w14:textId="77777777" w:rsidR="00D20867" w:rsidRDefault="00D20867" w:rsidP="001316D9">
      <w:pPr>
        <w:spacing w:before="60" w:after="60"/>
        <w:ind w:firstLine="284"/>
        <w:jc w:val="both"/>
        <w:rPr>
          <w:rFonts w:ascii="Calibri" w:hAnsi="Calibri" w:cs="Calibri"/>
          <w:b/>
          <w:noProof/>
          <w:color w:val="000000" w:themeColor="text1"/>
          <w:lang w:val="sr-Cyrl-CS"/>
        </w:rPr>
      </w:pPr>
    </w:p>
    <w:p w14:paraId="51A74558" w14:textId="77777777" w:rsidR="00D20867" w:rsidRPr="00BF3CDE" w:rsidRDefault="00D20867" w:rsidP="001316D9">
      <w:pPr>
        <w:spacing w:before="60" w:after="60"/>
        <w:ind w:firstLine="284"/>
        <w:jc w:val="both"/>
        <w:rPr>
          <w:rFonts w:ascii="Calibri" w:hAnsi="Calibri" w:cs="Calibri"/>
          <w:b/>
          <w:noProof/>
          <w:color w:val="000000" w:themeColor="text1"/>
          <w:lang w:val="sr-Cyrl-CS"/>
        </w:rPr>
      </w:pPr>
    </w:p>
    <w:p w14:paraId="191C1AA9" w14:textId="77777777" w:rsidR="008C2B46" w:rsidRPr="00BF3CDE" w:rsidRDefault="00A71AD8" w:rsidP="00A71AD8">
      <w:pPr>
        <w:pStyle w:val="ListParagraph"/>
        <w:spacing w:before="60" w:after="60"/>
        <w:ind w:left="5664"/>
        <w:jc w:val="center"/>
        <w:rPr>
          <w:rFonts w:ascii="Calibri" w:hAnsi="Calibri" w:cs="Calibri"/>
          <w:b/>
          <w:noProof/>
          <w:lang w:val="sr-Cyrl-CS"/>
        </w:rPr>
      </w:pPr>
      <w:r w:rsidRPr="00BF3CDE">
        <w:rPr>
          <w:rFonts w:cs="Tahoma"/>
          <w:noProof/>
          <w:szCs w:val="18"/>
          <w:lang w:val="sr-Cyrl-CS"/>
        </w:rPr>
        <w:t>ГЕНЕРАЛНИ ДИРЕКТОР</w:t>
      </w:r>
    </w:p>
    <w:p w14:paraId="66378921" w14:textId="77777777" w:rsidR="008C2B46" w:rsidRDefault="00A71AD8" w:rsidP="008C2B46">
      <w:pPr>
        <w:pStyle w:val="NoSpacing"/>
        <w:ind w:left="5664" w:firstLine="708"/>
        <w:jc w:val="both"/>
        <w:rPr>
          <w:rFonts w:cs="Tahoma"/>
          <w:noProof/>
          <w:szCs w:val="18"/>
          <w:lang w:val="sr-Cyrl-CS"/>
        </w:rPr>
      </w:pPr>
      <w:r w:rsidRPr="00BF3CDE">
        <w:rPr>
          <w:rFonts w:cs="Tahoma"/>
          <w:noProof/>
          <w:szCs w:val="18"/>
          <w:lang w:val="sr-Cyrl-CS"/>
        </w:rPr>
        <w:t>Зорана Пејчић</w:t>
      </w:r>
    </w:p>
    <w:p w14:paraId="7B94989E" w14:textId="77777777" w:rsidR="00D20867" w:rsidRDefault="00D20867" w:rsidP="008C2B46">
      <w:pPr>
        <w:pStyle w:val="NoSpacing"/>
        <w:ind w:left="5664" w:firstLine="708"/>
        <w:jc w:val="both"/>
        <w:rPr>
          <w:rFonts w:cs="Tahoma"/>
          <w:noProof/>
          <w:szCs w:val="18"/>
          <w:lang w:val="sr-Cyrl-CS"/>
        </w:rPr>
      </w:pPr>
    </w:p>
    <w:p w14:paraId="0EAFD93E" w14:textId="77777777" w:rsidR="00D20867" w:rsidRDefault="00D20867" w:rsidP="008C2B46">
      <w:pPr>
        <w:pStyle w:val="NoSpacing"/>
        <w:ind w:left="5664" w:firstLine="708"/>
        <w:jc w:val="both"/>
        <w:rPr>
          <w:rFonts w:cs="Tahoma"/>
          <w:noProof/>
          <w:szCs w:val="18"/>
          <w:lang w:val="sr-Cyrl-CS"/>
        </w:rPr>
      </w:pPr>
    </w:p>
    <w:p w14:paraId="0B2DCC1C" w14:textId="77777777" w:rsidR="00D20867" w:rsidRDefault="00D20867" w:rsidP="008C2B46">
      <w:pPr>
        <w:pStyle w:val="NoSpacing"/>
        <w:ind w:left="5664" w:firstLine="708"/>
        <w:jc w:val="both"/>
        <w:rPr>
          <w:rFonts w:cs="Tahoma"/>
          <w:noProof/>
          <w:szCs w:val="18"/>
          <w:lang w:val="sr-Cyrl-CS"/>
        </w:rPr>
      </w:pPr>
    </w:p>
    <w:p w14:paraId="76FC0491" w14:textId="77777777" w:rsidR="00D20867" w:rsidRPr="00BF3CDE" w:rsidRDefault="00D20867" w:rsidP="008C2B46">
      <w:pPr>
        <w:pStyle w:val="NoSpacing"/>
        <w:ind w:left="5664" w:firstLine="708"/>
        <w:jc w:val="both"/>
        <w:rPr>
          <w:rFonts w:cs="Tahoma"/>
          <w:b/>
          <w:noProof/>
          <w:szCs w:val="18"/>
          <w:lang w:val="sr-Cyrl-CS"/>
        </w:rPr>
      </w:pPr>
    </w:p>
    <w:p w14:paraId="3D4829EF" w14:textId="77777777" w:rsidR="008C2B46" w:rsidRPr="00BF3CDE" w:rsidRDefault="008C2B46" w:rsidP="008C2B46">
      <w:pPr>
        <w:pStyle w:val="NoSpacing"/>
        <w:jc w:val="both"/>
        <w:rPr>
          <w:b/>
          <w:noProof/>
          <w:sz w:val="20"/>
          <w:lang w:val="sr-Cyrl-CS"/>
        </w:rPr>
      </w:pPr>
      <w:r w:rsidRPr="00BF3CDE">
        <w:rPr>
          <w:b/>
          <w:noProof/>
          <w:sz w:val="20"/>
          <w:lang w:val="sr-Cyrl-CS"/>
        </w:rPr>
        <w:t>ПРИЛОГ:</w:t>
      </w:r>
    </w:p>
    <w:p w14:paraId="147D8806" w14:textId="77777777" w:rsidR="008C2B46" w:rsidRPr="00BF3CDE" w:rsidRDefault="008C2B46" w:rsidP="008C2B46">
      <w:pPr>
        <w:pStyle w:val="NoSpacing"/>
        <w:jc w:val="both"/>
        <w:rPr>
          <w:b/>
          <w:noProof/>
          <w:sz w:val="20"/>
          <w:lang w:val="sr-Cyrl-CS"/>
        </w:rPr>
      </w:pPr>
    </w:p>
    <w:p w14:paraId="2ED80B9F" w14:textId="77777777" w:rsidR="008C2B46" w:rsidRPr="00BF3CDE" w:rsidRDefault="008C2B46" w:rsidP="008C2B46">
      <w:pPr>
        <w:pStyle w:val="NoSpacing"/>
        <w:jc w:val="both"/>
        <w:rPr>
          <w:b/>
          <w:noProof/>
          <w:sz w:val="20"/>
          <w:lang w:val="sr-Cyrl-CS"/>
        </w:rPr>
      </w:pPr>
      <w:r w:rsidRPr="00BF3CDE">
        <w:rPr>
          <w:b/>
          <w:noProof/>
          <w:sz w:val="20"/>
          <w:lang w:val="sr-Cyrl-CS"/>
        </w:rPr>
        <w:t>1. БИЛАНС СТАЊА НА ДАН  3</w:t>
      </w:r>
      <w:r w:rsidR="001316D9" w:rsidRPr="00BF3CDE">
        <w:rPr>
          <w:b/>
          <w:noProof/>
          <w:sz w:val="20"/>
          <w:lang w:val="sr-Cyrl-CS"/>
        </w:rPr>
        <w:t>1.12</w:t>
      </w:r>
      <w:r w:rsidRPr="00BF3CDE">
        <w:rPr>
          <w:b/>
          <w:noProof/>
          <w:sz w:val="20"/>
          <w:lang w:val="sr-Cyrl-CS"/>
        </w:rPr>
        <w:t>.201</w:t>
      </w:r>
      <w:r w:rsidR="00CF3B89" w:rsidRPr="00BF3CDE">
        <w:rPr>
          <w:b/>
          <w:noProof/>
          <w:sz w:val="20"/>
          <w:lang w:val="sr-Cyrl-CS"/>
        </w:rPr>
        <w:t>4</w:t>
      </w:r>
      <w:r w:rsidRPr="00BF3CDE">
        <w:rPr>
          <w:b/>
          <w:noProof/>
          <w:sz w:val="20"/>
          <w:lang w:val="sr-Cyrl-CS"/>
        </w:rPr>
        <w:t>.</w:t>
      </w:r>
    </w:p>
    <w:p w14:paraId="3142AA81" w14:textId="77777777" w:rsidR="008C2B46" w:rsidRPr="00BF3CDE" w:rsidRDefault="008C2B46" w:rsidP="008C2B46">
      <w:pPr>
        <w:pStyle w:val="NoSpacing"/>
        <w:jc w:val="both"/>
        <w:rPr>
          <w:b/>
          <w:noProof/>
          <w:sz w:val="6"/>
          <w:szCs w:val="6"/>
          <w:lang w:val="sr-Cyrl-CS"/>
        </w:rPr>
      </w:pPr>
    </w:p>
    <w:p w14:paraId="6593E53C" w14:textId="77777777" w:rsidR="008C2B46" w:rsidRPr="00BF3CDE" w:rsidRDefault="008C2B46" w:rsidP="008C2B46">
      <w:pPr>
        <w:pStyle w:val="NoSpacing"/>
        <w:jc w:val="both"/>
        <w:rPr>
          <w:b/>
          <w:noProof/>
          <w:sz w:val="20"/>
          <w:lang w:val="sr-Cyrl-CS"/>
        </w:rPr>
      </w:pPr>
      <w:r w:rsidRPr="00BF3CDE">
        <w:rPr>
          <w:b/>
          <w:noProof/>
          <w:sz w:val="20"/>
          <w:lang w:val="sr-Cyrl-CS"/>
        </w:rPr>
        <w:t>2. БИЛАНС УСПЕХА У ПЕРИОДУ  01.01. - 3</w:t>
      </w:r>
      <w:r w:rsidR="001316D9" w:rsidRPr="00BF3CDE">
        <w:rPr>
          <w:b/>
          <w:noProof/>
          <w:sz w:val="20"/>
          <w:lang w:val="sr-Cyrl-CS"/>
        </w:rPr>
        <w:t>1</w:t>
      </w:r>
      <w:r w:rsidRPr="00BF3CDE">
        <w:rPr>
          <w:b/>
          <w:noProof/>
          <w:sz w:val="20"/>
          <w:lang w:val="sr-Cyrl-CS"/>
        </w:rPr>
        <w:t>.</w:t>
      </w:r>
      <w:r w:rsidR="001316D9" w:rsidRPr="00BF3CDE">
        <w:rPr>
          <w:b/>
          <w:noProof/>
          <w:sz w:val="20"/>
          <w:lang w:val="sr-Cyrl-CS"/>
        </w:rPr>
        <w:t>12</w:t>
      </w:r>
      <w:r w:rsidRPr="00BF3CDE">
        <w:rPr>
          <w:b/>
          <w:noProof/>
          <w:sz w:val="20"/>
          <w:lang w:val="sr-Cyrl-CS"/>
        </w:rPr>
        <w:t>.201</w:t>
      </w:r>
      <w:r w:rsidR="00CF3B89" w:rsidRPr="00BF3CDE">
        <w:rPr>
          <w:b/>
          <w:noProof/>
          <w:sz w:val="20"/>
          <w:lang w:val="sr-Cyrl-CS"/>
        </w:rPr>
        <w:t>4</w:t>
      </w:r>
      <w:r w:rsidRPr="00BF3CDE">
        <w:rPr>
          <w:b/>
          <w:noProof/>
          <w:sz w:val="20"/>
          <w:lang w:val="sr-Cyrl-CS"/>
        </w:rPr>
        <w:t>.</w:t>
      </w:r>
    </w:p>
    <w:p w14:paraId="75CE2ED9" w14:textId="77777777" w:rsidR="008C2B46" w:rsidRPr="00BF3CDE" w:rsidRDefault="008C2B46" w:rsidP="008C2B46">
      <w:pPr>
        <w:pStyle w:val="NoSpacing"/>
        <w:jc w:val="both"/>
        <w:rPr>
          <w:b/>
          <w:noProof/>
          <w:sz w:val="6"/>
          <w:szCs w:val="6"/>
          <w:lang w:val="sr-Cyrl-CS"/>
        </w:rPr>
      </w:pPr>
    </w:p>
    <w:p w14:paraId="01E824EF" w14:textId="77777777" w:rsidR="00987DDA" w:rsidRPr="00BF3CDE" w:rsidRDefault="008C2B46" w:rsidP="006A2CC9">
      <w:pPr>
        <w:pStyle w:val="NoSpacing"/>
        <w:jc w:val="both"/>
        <w:rPr>
          <w:noProof/>
          <w:lang w:val="sr-Cyrl-CS" w:eastAsia="ar-SA"/>
        </w:rPr>
      </w:pPr>
      <w:r w:rsidRPr="00BF3CDE">
        <w:rPr>
          <w:b/>
          <w:noProof/>
          <w:sz w:val="20"/>
          <w:lang w:val="sr-Cyrl-CS"/>
        </w:rPr>
        <w:t>3. ЗАКЉУЧНИ ЛИСТ</w:t>
      </w:r>
    </w:p>
    <w:sectPr w:rsidR="00987DDA" w:rsidRPr="00BF3CDE" w:rsidSect="004B60E3">
      <w:headerReference w:type="default" r:id="rId30"/>
      <w:footerReference w:type="default" r:id="rId31"/>
      <w:footerReference w:type="first" r:id="rId32"/>
      <w:type w:val="continuous"/>
      <w:pgSz w:w="11906" w:h="16838"/>
      <w:pgMar w:top="1418" w:right="1418" w:bottom="1418" w:left="1418" w:header="284" w:footer="0"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A253D2" w15:done="0"/>
  <w15:commentEx w15:paraId="3C766D24" w15:done="0"/>
  <w15:commentEx w15:paraId="2645CD5B" w15:done="0"/>
  <w15:commentEx w15:paraId="5EE3D647" w15:done="0"/>
  <w15:commentEx w15:paraId="65A040CD" w15:done="0"/>
  <w15:commentEx w15:paraId="4FE2DE99" w15:done="0"/>
  <w15:commentEx w15:paraId="4D828386" w15:done="0"/>
  <w15:commentEx w15:paraId="22FC93C2" w15:done="0"/>
  <w15:commentEx w15:paraId="4EBD386A" w15:done="0"/>
  <w15:commentEx w15:paraId="4C2A2A86" w15:done="0"/>
  <w15:commentEx w15:paraId="08AE45BA" w15:done="0"/>
  <w15:commentEx w15:paraId="20B5AB64" w15:done="0"/>
  <w15:commentEx w15:paraId="747CE55B" w15:done="0"/>
  <w15:commentEx w15:paraId="7677BF94" w15:done="0"/>
  <w15:commentEx w15:paraId="6AFD83C7" w15:done="0"/>
  <w15:commentEx w15:paraId="1AB5629B" w15:done="0"/>
  <w15:commentEx w15:paraId="3B948AC8" w15:done="0"/>
  <w15:commentEx w15:paraId="4C9CF685" w15:done="0"/>
  <w15:commentEx w15:paraId="3CAA1A51" w15:done="0"/>
  <w15:commentEx w15:paraId="64C072A2" w15:done="0"/>
  <w15:commentEx w15:paraId="45FAAF8E" w15:done="0"/>
  <w15:commentEx w15:paraId="3D2DBA58" w15:done="0"/>
  <w15:commentEx w15:paraId="1E52A10E" w15:done="0"/>
  <w15:commentEx w15:paraId="62F95CD1" w15:done="0"/>
  <w15:commentEx w15:paraId="136AA9C0" w15:done="0"/>
  <w15:commentEx w15:paraId="7DFEECD5" w15:done="0"/>
  <w15:commentEx w15:paraId="37D0AF86" w15:done="0"/>
  <w15:commentEx w15:paraId="5BEA832A" w15:done="0"/>
  <w15:commentEx w15:paraId="4EB6DA24" w15:done="0"/>
  <w15:commentEx w15:paraId="57DB88E5" w15:done="0"/>
  <w15:commentEx w15:paraId="1C1F8FA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9D184D" w14:textId="77777777" w:rsidR="00AE308D" w:rsidRDefault="00AE308D" w:rsidP="00856492">
      <w:pPr>
        <w:spacing w:after="0" w:line="240" w:lineRule="auto"/>
      </w:pPr>
      <w:r>
        <w:separator/>
      </w:r>
    </w:p>
  </w:endnote>
  <w:endnote w:type="continuationSeparator" w:id="0">
    <w:p w14:paraId="664B266A" w14:textId="77777777" w:rsidR="00AE308D" w:rsidRDefault="00AE308D" w:rsidP="00856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elvetica 11pt">
    <w:altName w:val="Arial"/>
    <w:panose1 w:val="00000000000000000000"/>
    <w:charset w:val="00"/>
    <w:family w:val="swiss"/>
    <w:notTrueType/>
    <w:pitch w:val="default"/>
    <w:sig w:usb0="00000003" w:usb1="00000000" w:usb2="00000000" w:usb3="00000000" w:csb0="00000001" w:csb1="00000000"/>
  </w:font>
  <w:font w:name="StarSymbol">
    <w:altName w:val="Arial Unicode MS"/>
    <w:panose1 w:val="00000000000000000000"/>
    <w:charset w:val="02"/>
    <w:family w:val="auto"/>
    <w:notTrueType/>
    <w:pitch w:val="default"/>
  </w:font>
  <w:font w:name="Cirilica Times">
    <w:altName w:val="Times New Roman"/>
    <w:charset w:val="00"/>
    <w:family w:val="roman"/>
    <w:pitch w:val="variable"/>
    <w:sig w:usb0="00000003" w:usb1="00000000" w:usb2="00000000" w:usb3="00000000" w:csb0="00000001" w:csb1="00000000"/>
  </w:font>
  <w:font w:name="Cirilica Helvetica">
    <w:altName w:val="Arial"/>
    <w:charset w:val="00"/>
    <w:family w:val="swiss"/>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Aharoni">
    <w:panose1 w:val="02010803020104030203"/>
    <w:charset w:val="B1"/>
    <w:family w:val="auto"/>
    <w:pitch w:val="variable"/>
    <w:sig w:usb0="00000801" w:usb1="00000000" w:usb2="00000000" w:usb3="00000000" w:csb0="0000002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65" w:type="pct"/>
      <w:tblInd w:w="-113" w:type="dxa"/>
      <w:tblBorders>
        <w:top w:val="single" w:sz="4" w:space="0" w:color="4F81BD" w:themeColor="accent1"/>
      </w:tblBorders>
      <w:tblCellMar>
        <w:top w:w="72" w:type="dxa"/>
        <w:left w:w="115" w:type="dxa"/>
        <w:bottom w:w="72" w:type="dxa"/>
        <w:right w:w="115" w:type="dxa"/>
      </w:tblCellMar>
      <w:tblLook w:val="00A0" w:firstRow="1" w:lastRow="0" w:firstColumn="1" w:lastColumn="0" w:noHBand="0" w:noVBand="0"/>
    </w:tblPr>
    <w:tblGrid>
      <w:gridCol w:w="8675"/>
      <w:gridCol w:w="746"/>
    </w:tblGrid>
    <w:tr w:rsidR="00B5577F" w14:paraId="217EBA65" w14:textId="77777777" w:rsidTr="00095D5A">
      <w:trPr>
        <w:trHeight w:val="551"/>
      </w:trPr>
      <w:tc>
        <w:tcPr>
          <w:tcW w:w="4604" w:type="pct"/>
        </w:tcPr>
        <w:tbl>
          <w:tblPr>
            <w:tblStyle w:val="TableGrid"/>
            <w:tblW w:w="8442"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24"/>
            <w:gridCol w:w="718"/>
          </w:tblGrid>
          <w:tr w:rsidR="00B5577F" w:rsidRPr="00B723F0" w14:paraId="3D08A7BF" w14:textId="77777777" w:rsidTr="00095D5A">
            <w:trPr>
              <w:trHeight w:val="276"/>
            </w:trPr>
            <w:tc>
              <w:tcPr>
                <w:tcW w:w="7724" w:type="dxa"/>
                <w:tcBorders>
                  <w:right w:val="single" w:sz="4" w:space="0" w:color="7F7F7F" w:themeColor="text1" w:themeTint="80"/>
                </w:tcBorders>
                <w:vAlign w:val="center"/>
              </w:tcPr>
              <w:p w14:paraId="12B47A84" w14:textId="77777777" w:rsidR="00B5577F" w:rsidRPr="00B723F0" w:rsidRDefault="00B5577F" w:rsidP="004011EE">
                <w:pPr>
                  <w:pStyle w:val="Footer"/>
                  <w:tabs>
                    <w:tab w:val="clear" w:pos="4536"/>
                  </w:tabs>
                  <w:ind w:right="34"/>
                  <w:jc w:val="right"/>
                  <w:rPr>
                    <w:rFonts w:asciiTheme="majorHAnsi" w:hAnsiTheme="majorHAnsi" w:cs="Tahoma"/>
                    <w:sz w:val="18"/>
                    <w:szCs w:val="20"/>
                    <w:lang w:val="sr-Cyrl-CS"/>
                  </w:rPr>
                </w:pPr>
                <w:r w:rsidRPr="00B723F0">
                  <w:rPr>
                    <w:rFonts w:asciiTheme="majorHAnsi" w:hAnsiTheme="majorHAnsi" w:cs="Tahoma"/>
                    <w:sz w:val="18"/>
                    <w:szCs w:val="20"/>
                    <w:lang w:val="sr-Cyrl-CS"/>
                  </w:rPr>
                  <w:t>Годишњи извештај о пословању за 201</w:t>
                </w:r>
                <w:r>
                  <w:rPr>
                    <w:rFonts w:asciiTheme="majorHAnsi" w:hAnsiTheme="majorHAnsi" w:cs="Tahoma"/>
                    <w:sz w:val="18"/>
                    <w:szCs w:val="20"/>
                    <w:lang w:val="sr-Latn-RS"/>
                  </w:rPr>
                  <w:t>4</w:t>
                </w:r>
                <w:r w:rsidRPr="00B723F0">
                  <w:rPr>
                    <w:rFonts w:asciiTheme="majorHAnsi" w:hAnsiTheme="majorHAnsi" w:cs="Tahoma"/>
                    <w:sz w:val="18"/>
                    <w:szCs w:val="20"/>
                    <w:lang w:val="sr-Cyrl-CS"/>
                  </w:rPr>
                  <w:t xml:space="preserve">. годину </w:t>
                </w:r>
              </w:p>
            </w:tc>
            <w:tc>
              <w:tcPr>
                <w:tcW w:w="718" w:type="dxa"/>
                <w:vMerge w:val="restart"/>
                <w:tcBorders>
                  <w:left w:val="single" w:sz="4" w:space="0" w:color="7F7F7F" w:themeColor="text1" w:themeTint="80"/>
                </w:tcBorders>
                <w:vAlign w:val="center"/>
              </w:tcPr>
              <w:p w14:paraId="30CCD4B3" w14:textId="77777777" w:rsidR="00B5577F" w:rsidRPr="00B723F0" w:rsidRDefault="00B5577F" w:rsidP="00B7143F">
                <w:pPr>
                  <w:pStyle w:val="Footer"/>
                  <w:ind w:right="-108" w:hanging="108"/>
                  <w:jc w:val="right"/>
                  <w:rPr>
                    <w:rFonts w:asciiTheme="majorHAnsi" w:hAnsiTheme="majorHAnsi" w:cs="Tahoma"/>
                    <w:sz w:val="18"/>
                    <w:szCs w:val="20"/>
                    <w:lang w:val="sr-Cyrl-CS"/>
                  </w:rPr>
                </w:pPr>
                <w:r w:rsidRPr="00B723F0">
                  <w:rPr>
                    <w:rFonts w:asciiTheme="majorHAnsi" w:hAnsiTheme="majorHAnsi" w:cs="Tahoma"/>
                    <w:sz w:val="18"/>
                    <w:szCs w:val="20"/>
                    <w:lang w:val="sr-Cyrl-CS"/>
                  </w:rPr>
                  <w:t>страна</w:t>
                </w:r>
              </w:p>
            </w:tc>
          </w:tr>
          <w:tr w:rsidR="00B5577F" w:rsidRPr="00B723F0" w14:paraId="736360C6" w14:textId="77777777" w:rsidTr="00095D5A">
            <w:trPr>
              <w:trHeight w:val="257"/>
            </w:trPr>
            <w:tc>
              <w:tcPr>
                <w:tcW w:w="7724" w:type="dxa"/>
                <w:tcBorders>
                  <w:right w:val="single" w:sz="4" w:space="0" w:color="7F7F7F" w:themeColor="text1" w:themeTint="80"/>
                </w:tcBorders>
                <w:vAlign w:val="center"/>
              </w:tcPr>
              <w:p w14:paraId="10180E0D" w14:textId="77777777" w:rsidR="00B5577F" w:rsidRPr="00B723F0" w:rsidRDefault="00B5577F" w:rsidP="00B7143F">
                <w:pPr>
                  <w:pStyle w:val="Footer"/>
                  <w:ind w:right="34"/>
                  <w:jc w:val="right"/>
                  <w:rPr>
                    <w:rFonts w:asciiTheme="majorHAnsi" w:hAnsiTheme="majorHAnsi" w:cs="Tahoma"/>
                    <w:sz w:val="18"/>
                    <w:szCs w:val="20"/>
                    <w:lang w:val="sr-Cyrl-CS"/>
                  </w:rPr>
                </w:pPr>
                <w:r w:rsidRPr="00B723F0">
                  <w:rPr>
                    <w:rFonts w:asciiTheme="majorHAnsi" w:hAnsiTheme="majorHAnsi" w:cs="Tahoma"/>
                    <w:sz w:val="18"/>
                    <w:szCs w:val="20"/>
                    <w:lang w:val="sr-Cyrl-CS"/>
                  </w:rPr>
                  <w:t>Акционарског друштва за реосигурање „Дунав РЕ“</w:t>
                </w:r>
                <w:r w:rsidRPr="00B723F0">
                  <w:rPr>
                    <w:rFonts w:asciiTheme="majorHAnsi" w:hAnsiTheme="majorHAnsi" w:cs="Tahoma"/>
                    <w:sz w:val="18"/>
                    <w:szCs w:val="20"/>
                    <w:lang w:val="ru-RU"/>
                  </w:rPr>
                  <w:t xml:space="preserve"> </w:t>
                </w:r>
              </w:p>
            </w:tc>
            <w:tc>
              <w:tcPr>
                <w:tcW w:w="718" w:type="dxa"/>
                <w:vMerge/>
                <w:tcBorders>
                  <w:left w:val="single" w:sz="4" w:space="0" w:color="7F7F7F" w:themeColor="text1" w:themeTint="80"/>
                </w:tcBorders>
              </w:tcPr>
              <w:p w14:paraId="05DFBD07" w14:textId="77777777" w:rsidR="00B5577F" w:rsidRPr="00B723F0" w:rsidRDefault="00B5577F" w:rsidP="00EE19E9">
                <w:pPr>
                  <w:pStyle w:val="Footer"/>
                  <w:jc w:val="right"/>
                  <w:rPr>
                    <w:rFonts w:asciiTheme="majorHAnsi" w:hAnsiTheme="majorHAnsi" w:cs="Tahoma"/>
                    <w:sz w:val="18"/>
                    <w:szCs w:val="20"/>
                    <w:lang w:val="sr-Cyrl-CS"/>
                  </w:rPr>
                </w:pPr>
              </w:p>
            </w:tc>
          </w:tr>
        </w:tbl>
        <w:p w14:paraId="468484B7" w14:textId="77777777" w:rsidR="00B5577F" w:rsidRPr="005353CD" w:rsidRDefault="00B5577F" w:rsidP="005353CD">
          <w:pPr>
            <w:pStyle w:val="Footer"/>
            <w:jc w:val="right"/>
            <w:rPr>
              <w:rFonts w:asciiTheme="majorHAnsi" w:hAnsiTheme="majorHAnsi" w:cs="Tahoma"/>
              <w:sz w:val="20"/>
              <w:szCs w:val="20"/>
              <w:lang w:val="sr-Cyrl-CS"/>
            </w:rPr>
          </w:pPr>
        </w:p>
      </w:tc>
      <w:tc>
        <w:tcPr>
          <w:tcW w:w="396" w:type="pct"/>
          <w:shd w:val="clear" w:color="auto" w:fill="4F81BD" w:themeFill="accent1"/>
          <w:vAlign w:val="center"/>
        </w:tcPr>
        <w:p w14:paraId="64E432D3" w14:textId="77777777" w:rsidR="00B5577F" w:rsidRDefault="00B5577F" w:rsidP="00B7143F">
          <w:pPr>
            <w:pStyle w:val="Header"/>
            <w:jc w:val="center"/>
            <w:rPr>
              <w:color w:val="FFFFFF"/>
            </w:rPr>
          </w:pPr>
          <w:r>
            <w:fldChar w:fldCharType="begin"/>
          </w:r>
          <w:r>
            <w:instrText xml:space="preserve"> PAGE   \* MERGEFORMAT </w:instrText>
          </w:r>
          <w:r>
            <w:fldChar w:fldCharType="separate"/>
          </w:r>
          <w:r w:rsidR="001F1DB3" w:rsidRPr="001F1DB3">
            <w:rPr>
              <w:noProof/>
              <w:color w:val="FFFFFF"/>
            </w:rPr>
            <w:t>52</w:t>
          </w:r>
          <w:r>
            <w:rPr>
              <w:noProof/>
              <w:color w:val="FFFFFF"/>
            </w:rPr>
            <w:fldChar w:fldCharType="end"/>
          </w:r>
        </w:p>
      </w:tc>
    </w:tr>
  </w:tbl>
  <w:p w14:paraId="15C18431" w14:textId="77777777" w:rsidR="00B5577F" w:rsidRDefault="00B5577F">
    <w:pPr>
      <w:pStyle w:val="Footer"/>
    </w:pPr>
  </w:p>
  <w:p w14:paraId="3BF91AED" w14:textId="77777777" w:rsidR="00B5577F" w:rsidRDefault="00B557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65" w:type="pct"/>
      <w:tblInd w:w="-113" w:type="dxa"/>
      <w:tblBorders>
        <w:top w:val="single" w:sz="4" w:space="0" w:color="4F81BD" w:themeColor="accent1"/>
      </w:tblBorders>
      <w:tblCellMar>
        <w:top w:w="72" w:type="dxa"/>
        <w:left w:w="115" w:type="dxa"/>
        <w:bottom w:w="72" w:type="dxa"/>
        <w:right w:w="115" w:type="dxa"/>
      </w:tblCellMar>
      <w:tblLook w:val="00A0" w:firstRow="1" w:lastRow="0" w:firstColumn="1" w:lastColumn="0" w:noHBand="0" w:noVBand="0"/>
    </w:tblPr>
    <w:tblGrid>
      <w:gridCol w:w="8675"/>
      <w:gridCol w:w="746"/>
    </w:tblGrid>
    <w:tr w:rsidR="00B5577F" w14:paraId="1286191E" w14:textId="77777777" w:rsidTr="00314796">
      <w:trPr>
        <w:trHeight w:val="551"/>
      </w:trPr>
      <w:tc>
        <w:tcPr>
          <w:tcW w:w="4604" w:type="pct"/>
        </w:tcPr>
        <w:tbl>
          <w:tblPr>
            <w:tblStyle w:val="TableGrid"/>
            <w:tblW w:w="8442"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24"/>
            <w:gridCol w:w="718"/>
          </w:tblGrid>
          <w:tr w:rsidR="00B5577F" w:rsidRPr="00B723F0" w14:paraId="0788B7D3" w14:textId="77777777" w:rsidTr="00314796">
            <w:trPr>
              <w:trHeight w:val="276"/>
            </w:trPr>
            <w:tc>
              <w:tcPr>
                <w:tcW w:w="7724" w:type="dxa"/>
                <w:tcBorders>
                  <w:right w:val="single" w:sz="4" w:space="0" w:color="7F7F7F" w:themeColor="text1" w:themeTint="80"/>
                </w:tcBorders>
                <w:vAlign w:val="center"/>
              </w:tcPr>
              <w:p w14:paraId="0D440847" w14:textId="77777777" w:rsidR="00B5577F" w:rsidRPr="00B723F0" w:rsidRDefault="00B5577F" w:rsidP="00314796">
                <w:pPr>
                  <w:pStyle w:val="Footer"/>
                  <w:tabs>
                    <w:tab w:val="clear" w:pos="4536"/>
                  </w:tabs>
                  <w:ind w:right="34"/>
                  <w:jc w:val="right"/>
                  <w:rPr>
                    <w:rFonts w:asciiTheme="majorHAnsi" w:hAnsiTheme="majorHAnsi" w:cs="Tahoma"/>
                    <w:sz w:val="18"/>
                    <w:szCs w:val="20"/>
                    <w:lang w:val="sr-Cyrl-CS"/>
                  </w:rPr>
                </w:pPr>
                <w:r w:rsidRPr="00B723F0">
                  <w:rPr>
                    <w:rFonts w:asciiTheme="majorHAnsi" w:hAnsiTheme="majorHAnsi" w:cs="Tahoma"/>
                    <w:sz w:val="18"/>
                    <w:szCs w:val="20"/>
                    <w:lang w:val="sr-Cyrl-CS"/>
                  </w:rPr>
                  <w:t>Годишњи извештај о пословању за 201</w:t>
                </w:r>
                <w:r>
                  <w:rPr>
                    <w:rFonts w:asciiTheme="majorHAnsi" w:hAnsiTheme="majorHAnsi" w:cs="Tahoma"/>
                    <w:sz w:val="18"/>
                    <w:szCs w:val="20"/>
                    <w:lang w:val="sr-Latn-RS"/>
                  </w:rPr>
                  <w:t>4</w:t>
                </w:r>
                <w:r w:rsidRPr="00B723F0">
                  <w:rPr>
                    <w:rFonts w:asciiTheme="majorHAnsi" w:hAnsiTheme="majorHAnsi" w:cs="Tahoma"/>
                    <w:sz w:val="18"/>
                    <w:szCs w:val="20"/>
                    <w:lang w:val="sr-Cyrl-CS"/>
                  </w:rPr>
                  <w:t xml:space="preserve">. годину </w:t>
                </w:r>
              </w:p>
            </w:tc>
            <w:tc>
              <w:tcPr>
                <w:tcW w:w="718" w:type="dxa"/>
                <w:vMerge w:val="restart"/>
                <w:tcBorders>
                  <w:left w:val="single" w:sz="4" w:space="0" w:color="7F7F7F" w:themeColor="text1" w:themeTint="80"/>
                </w:tcBorders>
                <w:vAlign w:val="center"/>
              </w:tcPr>
              <w:p w14:paraId="05FE4AD0" w14:textId="77777777" w:rsidR="00B5577F" w:rsidRPr="00B723F0" w:rsidRDefault="00B5577F" w:rsidP="00314796">
                <w:pPr>
                  <w:pStyle w:val="Footer"/>
                  <w:ind w:right="-108" w:hanging="108"/>
                  <w:jc w:val="right"/>
                  <w:rPr>
                    <w:rFonts w:asciiTheme="majorHAnsi" w:hAnsiTheme="majorHAnsi" w:cs="Tahoma"/>
                    <w:sz w:val="18"/>
                    <w:szCs w:val="20"/>
                    <w:lang w:val="sr-Cyrl-CS"/>
                  </w:rPr>
                </w:pPr>
                <w:r w:rsidRPr="00B723F0">
                  <w:rPr>
                    <w:rFonts w:asciiTheme="majorHAnsi" w:hAnsiTheme="majorHAnsi" w:cs="Tahoma"/>
                    <w:sz w:val="18"/>
                    <w:szCs w:val="20"/>
                    <w:lang w:val="sr-Cyrl-CS"/>
                  </w:rPr>
                  <w:t>страна</w:t>
                </w:r>
              </w:p>
            </w:tc>
          </w:tr>
          <w:tr w:rsidR="00B5577F" w:rsidRPr="00B723F0" w14:paraId="503C47DB" w14:textId="77777777" w:rsidTr="00314796">
            <w:trPr>
              <w:trHeight w:val="257"/>
            </w:trPr>
            <w:tc>
              <w:tcPr>
                <w:tcW w:w="7724" w:type="dxa"/>
                <w:tcBorders>
                  <w:right w:val="single" w:sz="4" w:space="0" w:color="7F7F7F" w:themeColor="text1" w:themeTint="80"/>
                </w:tcBorders>
                <w:vAlign w:val="center"/>
              </w:tcPr>
              <w:p w14:paraId="2300DE37" w14:textId="77777777" w:rsidR="00B5577F" w:rsidRPr="00B723F0" w:rsidRDefault="00B5577F" w:rsidP="00314796">
                <w:pPr>
                  <w:pStyle w:val="Footer"/>
                  <w:ind w:right="34"/>
                  <w:jc w:val="right"/>
                  <w:rPr>
                    <w:rFonts w:asciiTheme="majorHAnsi" w:hAnsiTheme="majorHAnsi" w:cs="Tahoma"/>
                    <w:sz w:val="18"/>
                    <w:szCs w:val="20"/>
                    <w:lang w:val="sr-Cyrl-CS"/>
                  </w:rPr>
                </w:pPr>
                <w:r w:rsidRPr="00B723F0">
                  <w:rPr>
                    <w:rFonts w:asciiTheme="majorHAnsi" w:hAnsiTheme="majorHAnsi" w:cs="Tahoma"/>
                    <w:sz w:val="18"/>
                    <w:szCs w:val="20"/>
                    <w:lang w:val="sr-Cyrl-CS"/>
                  </w:rPr>
                  <w:t>Акционарског друштва за реосигурање „Дунав РЕ“</w:t>
                </w:r>
                <w:r w:rsidRPr="00B723F0">
                  <w:rPr>
                    <w:rFonts w:asciiTheme="majorHAnsi" w:hAnsiTheme="majorHAnsi" w:cs="Tahoma"/>
                    <w:sz w:val="18"/>
                    <w:szCs w:val="20"/>
                    <w:lang w:val="ru-RU"/>
                  </w:rPr>
                  <w:t xml:space="preserve"> </w:t>
                </w:r>
              </w:p>
            </w:tc>
            <w:tc>
              <w:tcPr>
                <w:tcW w:w="718" w:type="dxa"/>
                <w:vMerge/>
                <w:tcBorders>
                  <w:left w:val="single" w:sz="4" w:space="0" w:color="7F7F7F" w:themeColor="text1" w:themeTint="80"/>
                </w:tcBorders>
              </w:tcPr>
              <w:p w14:paraId="73599F2C" w14:textId="77777777" w:rsidR="00B5577F" w:rsidRPr="00B723F0" w:rsidRDefault="00B5577F" w:rsidP="00314796">
                <w:pPr>
                  <w:pStyle w:val="Footer"/>
                  <w:jc w:val="right"/>
                  <w:rPr>
                    <w:rFonts w:asciiTheme="majorHAnsi" w:hAnsiTheme="majorHAnsi" w:cs="Tahoma"/>
                    <w:sz w:val="18"/>
                    <w:szCs w:val="20"/>
                    <w:lang w:val="sr-Cyrl-CS"/>
                  </w:rPr>
                </w:pPr>
              </w:p>
            </w:tc>
          </w:tr>
        </w:tbl>
        <w:p w14:paraId="339D738D" w14:textId="77777777" w:rsidR="00B5577F" w:rsidRPr="005353CD" w:rsidRDefault="00B5577F" w:rsidP="00314796">
          <w:pPr>
            <w:pStyle w:val="Footer"/>
            <w:jc w:val="right"/>
            <w:rPr>
              <w:rFonts w:asciiTheme="majorHAnsi" w:hAnsiTheme="majorHAnsi" w:cs="Tahoma"/>
              <w:sz w:val="20"/>
              <w:szCs w:val="20"/>
              <w:lang w:val="sr-Cyrl-CS"/>
            </w:rPr>
          </w:pPr>
        </w:p>
      </w:tc>
      <w:tc>
        <w:tcPr>
          <w:tcW w:w="396" w:type="pct"/>
          <w:shd w:val="clear" w:color="auto" w:fill="4F81BD" w:themeFill="accent1"/>
          <w:vAlign w:val="center"/>
        </w:tcPr>
        <w:p w14:paraId="3A66BDA4" w14:textId="77777777" w:rsidR="00B5577F" w:rsidRDefault="00B5577F" w:rsidP="00314796">
          <w:pPr>
            <w:pStyle w:val="Header"/>
            <w:jc w:val="center"/>
            <w:rPr>
              <w:color w:val="FFFFFF"/>
            </w:rPr>
          </w:pPr>
          <w:r>
            <w:fldChar w:fldCharType="begin"/>
          </w:r>
          <w:r>
            <w:instrText xml:space="preserve"> PAGE   \* MERGEFORMAT </w:instrText>
          </w:r>
          <w:r>
            <w:fldChar w:fldCharType="separate"/>
          </w:r>
          <w:r w:rsidRPr="00F46F35">
            <w:rPr>
              <w:noProof/>
              <w:color w:val="FFFFFF"/>
            </w:rPr>
            <w:t>63</w:t>
          </w:r>
          <w:r>
            <w:rPr>
              <w:noProof/>
              <w:color w:val="FFFFFF"/>
            </w:rPr>
            <w:fldChar w:fldCharType="end"/>
          </w:r>
        </w:p>
      </w:tc>
    </w:tr>
  </w:tbl>
  <w:p w14:paraId="3D7E53E3" w14:textId="77777777" w:rsidR="00B5577F" w:rsidRDefault="00B557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0CAD10" w14:textId="77777777" w:rsidR="00AE308D" w:rsidRDefault="00AE308D" w:rsidP="00856492">
      <w:pPr>
        <w:spacing w:after="0" w:line="240" w:lineRule="auto"/>
      </w:pPr>
      <w:r>
        <w:separator/>
      </w:r>
    </w:p>
  </w:footnote>
  <w:footnote w:type="continuationSeparator" w:id="0">
    <w:p w14:paraId="7E00F5F4" w14:textId="77777777" w:rsidR="00AE308D" w:rsidRDefault="00AE308D" w:rsidP="008564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52AEE9" w14:textId="77777777" w:rsidR="00B5577F" w:rsidRPr="008C2890" w:rsidRDefault="00B5577F" w:rsidP="008C2890">
    <w:pPr>
      <w:pStyle w:val="Header"/>
    </w:pPr>
    <w:r>
      <w:rPr>
        <w:rFonts w:asciiTheme="majorHAnsi" w:eastAsiaTheme="majorEastAsia" w:hAnsiTheme="majorHAnsi" w:cstheme="majorBidi"/>
        <w:noProof/>
        <w:lang w:val="sr-Latn-RS" w:eastAsia="sr-Latn-RS"/>
      </w:rPr>
      <mc:AlternateContent>
        <mc:Choice Requires="wpg">
          <w:drawing>
            <wp:anchor distT="0" distB="0" distL="114300" distR="114300" simplePos="0" relativeHeight="251667456" behindDoc="0" locked="0" layoutInCell="1" allowOverlap="1" wp14:anchorId="2C4FF257" wp14:editId="1210B2B3">
              <wp:simplePos x="0" y="0"/>
              <wp:positionH relativeFrom="page">
                <wp:align>center</wp:align>
              </wp:positionH>
              <wp:positionV relativeFrom="page">
                <wp:align>top</wp:align>
              </wp:positionV>
              <wp:extent cx="7559040" cy="832485"/>
              <wp:effectExtent l="0" t="0" r="0" b="0"/>
              <wp:wrapNone/>
              <wp:docPr id="468" name="Group 4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9040" cy="832485"/>
                        <a:chOff x="8" y="9"/>
                        <a:chExt cx="15823" cy="1439"/>
                      </a:xfrm>
                    </wpg:grpSpPr>
                    <wps:wsp>
                      <wps:cNvPr id="469" name="AutoShape 4"/>
                      <wps:cNvCnPr>
                        <a:cxnSpLocks noChangeShapeType="1"/>
                      </wps:cNvCnPr>
                      <wps:spPr bwMode="auto">
                        <a:xfrm>
                          <a:off x="9" y="1431"/>
                          <a:ext cx="15822" cy="0"/>
                        </a:xfrm>
                        <a:prstGeom prst="straightConnector1">
                          <a:avLst/>
                        </a:prstGeom>
                        <a:noFill/>
                        <a:ln w="9525">
                          <a:noFill/>
                          <a:round/>
                          <a:headEnd/>
                          <a:tailEnd/>
                        </a:ln>
                        <a:extLst>
                          <a:ext uri="{909E8E84-426E-40DD-AFC4-6F175D3DCCD1}">
                            <a14:hiddenFill xmlns:a14="http://schemas.microsoft.com/office/drawing/2010/main">
                              <a:noFill/>
                            </a14:hiddenFill>
                          </a:ext>
                        </a:extLst>
                      </wps:spPr>
                      <wps:bodyPr/>
                    </wps:wsp>
                    <wps:wsp>
                      <wps:cNvPr id="470" name="Rectangle 470"/>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topMargin">
                <wp14:pctHeight>92500</wp14:pctHeight>
              </wp14:sizeRelV>
            </wp:anchor>
          </w:drawing>
        </mc:Choice>
        <mc:Fallback xmlns:w15="http://schemas.microsoft.com/office/word/2012/wordml">
          <w:pict>
            <v:group w14:anchorId="55FA02CA" id="Group 468" o:spid="_x0000_s1026" style="position:absolute;margin-left:0;margin-top:0;width:595.2pt;height:65.55pt;z-index:251667456;mso-width-percent:1000;mso-height-percent:925;mso-position-horizontal:center;mso-position-horizontal-relative:page;mso-position-vertical:top;mso-position-vertical-relative:page;mso-width-percent:1000;mso-height-percent:925;mso-height-relative:top-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">
              <v:shapetype id="_x0000_t32" coordsize="21600,21600" o:spt="32" o:oned="t" path="m,l21600,21600e" filled="f">
                <v:path arrowok="t" fillok="f" o:connecttype="none"/>
                <o:lock v:ext="edit" shapetype="t"/>
              </v:shapetype>
              <v:shape id="AutoShape 4" o:spid="_x0000_s1027" type="#_x0000_t32" style="position:absolute;left:9;top:1431;width:158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JLq8UAAADcAAAADwAAAGRycy9kb3ducmV2LnhtbESPT2sCMRTE7wW/Q3iCl6JZlyK6NYoI&#10;Ym+lqxdvj83bP3TzsiZxXf30TaHQ4zAzv2HW28G0oifnG8sK5rMEBHFhdcOVgvPpMF2C8AFZY2uZ&#10;FDzIw3Yzelljpu2dv6jPQyUihH2GCuoQukxKX9Rk0M9sRxy90jqDIUpXSe3wHuGmlWmSLKTBhuNC&#10;jR3tayq+85tR8PQupPv+OpTyma9u6Wt52R0/lZqMh907iEBD+A//tT+0grfFCn7PxCMgN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NJLq8UAAADcAAAADwAAAAAAAAAA&#10;AAAAAAChAgAAZHJzL2Rvd25yZXYueG1sUEsFBgAAAAAEAAQA+QAAAJMDAAAAAA==&#10;" stroked="f"/>
              <v:rect id="Rectangle 470"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pL68MA&#10;AADcAAAADwAAAGRycy9kb3ducmV2LnhtbERPTWvCQBC9F/oflil4Ed1YxJY0GymCNEhBmlTPQ3aa&#10;hGZnY3ZN4r93D4UeH+872U6mFQP1rrGsYLWMQBCXVjdcKfgu9otXEM4ja2wtk4IbOdimjw8JxtqO&#10;/EVD7isRQtjFqKD2vouldGVNBt3SdsSB+7G9QR9gX0nd4xjCTSufo2gjDTYcGmrsaFdT+ZtfjYKx&#10;PA7n4vNDHufnzPIlu+zy00Gp2dP0/gbC0+T/xX/uTCtYv4T54Uw4AjK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pL68MAAADcAAAADwAAAAAAAAAAAAAAAACYAgAAZHJzL2Rv&#10;d25yZXYueG1sUEsFBgAAAAAEAAQA9QAAAIgDAAAAAA==&#10;" filled="f" stroked="f"/>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91141"/>
    <w:multiLevelType w:val="multilevel"/>
    <w:tmpl w:val="BEA8EB6C"/>
    <w:lvl w:ilvl="0">
      <w:start w:val="1"/>
      <w:numFmt w:val="decimal"/>
      <w:pStyle w:val="Style2"/>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7D23CBD"/>
    <w:multiLevelType w:val="hybridMultilevel"/>
    <w:tmpl w:val="AC06CFB0"/>
    <w:lvl w:ilvl="0" w:tplc="0409000F">
      <w:start w:val="1"/>
      <w:numFmt w:val="decimal"/>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nsid w:val="09605AC5"/>
    <w:multiLevelType w:val="hybridMultilevel"/>
    <w:tmpl w:val="EFFC45EC"/>
    <w:lvl w:ilvl="0" w:tplc="C68216C6">
      <w:start w:val="1"/>
      <w:numFmt w:val="bullet"/>
      <w:lvlText w:val=""/>
      <w:lvlJc w:val="left"/>
      <w:pPr>
        <w:ind w:left="1287" w:hanging="360"/>
      </w:pPr>
      <w:rPr>
        <w:rFonts w:ascii="Symbol" w:hAnsi="Symbol" w:hint="default"/>
      </w:rPr>
    </w:lvl>
    <w:lvl w:ilvl="1" w:tplc="241A0003" w:tentative="1">
      <w:start w:val="1"/>
      <w:numFmt w:val="bullet"/>
      <w:lvlText w:val="o"/>
      <w:lvlJc w:val="left"/>
      <w:pPr>
        <w:ind w:left="2007" w:hanging="360"/>
      </w:pPr>
      <w:rPr>
        <w:rFonts w:ascii="Courier New" w:hAnsi="Courier New" w:cs="Courier New" w:hint="default"/>
      </w:rPr>
    </w:lvl>
    <w:lvl w:ilvl="2" w:tplc="241A0005" w:tentative="1">
      <w:start w:val="1"/>
      <w:numFmt w:val="bullet"/>
      <w:lvlText w:val=""/>
      <w:lvlJc w:val="left"/>
      <w:pPr>
        <w:ind w:left="2727" w:hanging="360"/>
      </w:pPr>
      <w:rPr>
        <w:rFonts w:ascii="Wingdings" w:hAnsi="Wingdings" w:hint="default"/>
      </w:rPr>
    </w:lvl>
    <w:lvl w:ilvl="3" w:tplc="241A0001" w:tentative="1">
      <w:start w:val="1"/>
      <w:numFmt w:val="bullet"/>
      <w:lvlText w:val=""/>
      <w:lvlJc w:val="left"/>
      <w:pPr>
        <w:ind w:left="3447" w:hanging="360"/>
      </w:pPr>
      <w:rPr>
        <w:rFonts w:ascii="Symbol" w:hAnsi="Symbol" w:hint="default"/>
      </w:rPr>
    </w:lvl>
    <w:lvl w:ilvl="4" w:tplc="241A0003" w:tentative="1">
      <w:start w:val="1"/>
      <w:numFmt w:val="bullet"/>
      <w:lvlText w:val="o"/>
      <w:lvlJc w:val="left"/>
      <w:pPr>
        <w:ind w:left="4167" w:hanging="360"/>
      </w:pPr>
      <w:rPr>
        <w:rFonts w:ascii="Courier New" w:hAnsi="Courier New" w:cs="Courier New" w:hint="default"/>
      </w:rPr>
    </w:lvl>
    <w:lvl w:ilvl="5" w:tplc="241A0005" w:tentative="1">
      <w:start w:val="1"/>
      <w:numFmt w:val="bullet"/>
      <w:lvlText w:val=""/>
      <w:lvlJc w:val="left"/>
      <w:pPr>
        <w:ind w:left="4887" w:hanging="360"/>
      </w:pPr>
      <w:rPr>
        <w:rFonts w:ascii="Wingdings" w:hAnsi="Wingdings" w:hint="default"/>
      </w:rPr>
    </w:lvl>
    <w:lvl w:ilvl="6" w:tplc="241A0001" w:tentative="1">
      <w:start w:val="1"/>
      <w:numFmt w:val="bullet"/>
      <w:lvlText w:val=""/>
      <w:lvlJc w:val="left"/>
      <w:pPr>
        <w:ind w:left="5607" w:hanging="360"/>
      </w:pPr>
      <w:rPr>
        <w:rFonts w:ascii="Symbol" w:hAnsi="Symbol" w:hint="default"/>
      </w:rPr>
    </w:lvl>
    <w:lvl w:ilvl="7" w:tplc="241A0003" w:tentative="1">
      <w:start w:val="1"/>
      <w:numFmt w:val="bullet"/>
      <w:lvlText w:val="o"/>
      <w:lvlJc w:val="left"/>
      <w:pPr>
        <w:ind w:left="6327" w:hanging="360"/>
      </w:pPr>
      <w:rPr>
        <w:rFonts w:ascii="Courier New" w:hAnsi="Courier New" w:cs="Courier New" w:hint="default"/>
      </w:rPr>
    </w:lvl>
    <w:lvl w:ilvl="8" w:tplc="241A0005" w:tentative="1">
      <w:start w:val="1"/>
      <w:numFmt w:val="bullet"/>
      <w:lvlText w:val=""/>
      <w:lvlJc w:val="left"/>
      <w:pPr>
        <w:ind w:left="7047" w:hanging="360"/>
      </w:pPr>
      <w:rPr>
        <w:rFonts w:ascii="Wingdings" w:hAnsi="Wingdings" w:hint="default"/>
      </w:rPr>
    </w:lvl>
  </w:abstractNum>
  <w:abstractNum w:abstractNumId="3">
    <w:nsid w:val="0BBD08FF"/>
    <w:multiLevelType w:val="hybridMultilevel"/>
    <w:tmpl w:val="B74A16D8"/>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
    <w:nsid w:val="0C47296D"/>
    <w:multiLevelType w:val="hybridMultilevel"/>
    <w:tmpl w:val="600E6038"/>
    <w:lvl w:ilvl="0" w:tplc="6EAE92D2">
      <w:start w:val="653"/>
      <w:numFmt w:val="bullet"/>
      <w:lvlText w:val="-"/>
      <w:lvlJc w:val="left"/>
      <w:pPr>
        <w:ind w:left="720" w:hanging="360"/>
      </w:pPr>
      <w:rPr>
        <w:rFonts w:ascii="Tahoma" w:eastAsia="Arial Unicode MS"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nsid w:val="135F64D6"/>
    <w:multiLevelType w:val="hybridMultilevel"/>
    <w:tmpl w:val="877043E6"/>
    <w:lvl w:ilvl="0" w:tplc="C74C3820">
      <w:start w:val="1"/>
      <w:numFmt w:val="decimal"/>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nsid w:val="15D00B29"/>
    <w:multiLevelType w:val="hybridMultilevel"/>
    <w:tmpl w:val="1DB4D238"/>
    <w:lvl w:ilvl="0" w:tplc="5EB001E0">
      <w:start w:val="1"/>
      <w:numFmt w:val="bullet"/>
      <w:lvlText w:val=""/>
      <w:lvlJc w:val="left"/>
      <w:pPr>
        <w:ind w:left="1440" w:hanging="360"/>
      </w:pPr>
      <w:rPr>
        <w:rFonts w:ascii="Wingdings" w:hAnsi="Wingdings" w:hint="default"/>
        <w:b/>
        <w:color w:val="4F81BD" w:themeColor="accent1"/>
        <w:sz w:val="22"/>
        <w:szCs w:val="1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A9A41BA"/>
    <w:multiLevelType w:val="hybridMultilevel"/>
    <w:tmpl w:val="5DFE4B2A"/>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856" w:hanging="360"/>
      </w:pPr>
      <w:rPr>
        <w:rFonts w:ascii="Courier New" w:hAnsi="Courier New" w:cs="Courier New" w:hint="default"/>
      </w:rPr>
    </w:lvl>
    <w:lvl w:ilvl="2" w:tplc="04090005" w:tentative="1">
      <w:start w:val="1"/>
      <w:numFmt w:val="bullet"/>
      <w:lvlText w:val=""/>
      <w:lvlJc w:val="left"/>
      <w:pPr>
        <w:ind w:left="3576" w:hanging="360"/>
      </w:pPr>
      <w:rPr>
        <w:rFonts w:ascii="Wingdings" w:hAnsi="Wingdings" w:hint="default"/>
      </w:rPr>
    </w:lvl>
    <w:lvl w:ilvl="3" w:tplc="04090001" w:tentative="1">
      <w:start w:val="1"/>
      <w:numFmt w:val="bullet"/>
      <w:lvlText w:val=""/>
      <w:lvlJc w:val="left"/>
      <w:pPr>
        <w:ind w:left="4296" w:hanging="360"/>
      </w:pPr>
      <w:rPr>
        <w:rFonts w:ascii="Symbol" w:hAnsi="Symbol" w:hint="default"/>
      </w:rPr>
    </w:lvl>
    <w:lvl w:ilvl="4" w:tplc="04090003" w:tentative="1">
      <w:start w:val="1"/>
      <w:numFmt w:val="bullet"/>
      <w:lvlText w:val="o"/>
      <w:lvlJc w:val="left"/>
      <w:pPr>
        <w:ind w:left="5016" w:hanging="360"/>
      </w:pPr>
      <w:rPr>
        <w:rFonts w:ascii="Courier New" w:hAnsi="Courier New" w:cs="Courier New" w:hint="default"/>
      </w:rPr>
    </w:lvl>
    <w:lvl w:ilvl="5" w:tplc="04090005" w:tentative="1">
      <w:start w:val="1"/>
      <w:numFmt w:val="bullet"/>
      <w:lvlText w:val=""/>
      <w:lvlJc w:val="left"/>
      <w:pPr>
        <w:ind w:left="5736" w:hanging="360"/>
      </w:pPr>
      <w:rPr>
        <w:rFonts w:ascii="Wingdings" w:hAnsi="Wingdings" w:hint="default"/>
      </w:rPr>
    </w:lvl>
    <w:lvl w:ilvl="6" w:tplc="04090001" w:tentative="1">
      <w:start w:val="1"/>
      <w:numFmt w:val="bullet"/>
      <w:lvlText w:val=""/>
      <w:lvlJc w:val="left"/>
      <w:pPr>
        <w:ind w:left="6456" w:hanging="360"/>
      </w:pPr>
      <w:rPr>
        <w:rFonts w:ascii="Symbol" w:hAnsi="Symbol" w:hint="default"/>
      </w:rPr>
    </w:lvl>
    <w:lvl w:ilvl="7" w:tplc="04090003" w:tentative="1">
      <w:start w:val="1"/>
      <w:numFmt w:val="bullet"/>
      <w:lvlText w:val="o"/>
      <w:lvlJc w:val="left"/>
      <w:pPr>
        <w:ind w:left="7176" w:hanging="360"/>
      </w:pPr>
      <w:rPr>
        <w:rFonts w:ascii="Courier New" w:hAnsi="Courier New" w:cs="Courier New" w:hint="default"/>
      </w:rPr>
    </w:lvl>
    <w:lvl w:ilvl="8" w:tplc="04090005" w:tentative="1">
      <w:start w:val="1"/>
      <w:numFmt w:val="bullet"/>
      <w:lvlText w:val=""/>
      <w:lvlJc w:val="left"/>
      <w:pPr>
        <w:ind w:left="7896" w:hanging="360"/>
      </w:pPr>
      <w:rPr>
        <w:rFonts w:ascii="Wingdings" w:hAnsi="Wingdings" w:hint="default"/>
      </w:rPr>
    </w:lvl>
  </w:abstractNum>
  <w:abstractNum w:abstractNumId="8">
    <w:nsid w:val="1CEF43B5"/>
    <w:multiLevelType w:val="multilevel"/>
    <w:tmpl w:val="F446C6FE"/>
    <w:styleLink w:val="ArticleSection"/>
    <w:lvl w:ilvl="0">
      <w:start w:val="43"/>
      <w:numFmt w:val="decimal"/>
      <w:lvlText w:val="%1."/>
      <w:lvlJc w:val="left"/>
      <w:pPr>
        <w:tabs>
          <w:tab w:val="num" w:pos="1080"/>
        </w:tabs>
        <w:ind w:left="1080" w:hanging="1080"/>
      </w:pPr>
      <w:rPr>
        <w:rFonts w:hint="default"/>
      </w:rPr>
    </w:lvl>
    <w:lvl w:ilvl="1">
      <w:start w:val="1"/>
      <w:numFmt w:val="decimal"/>
      <w:lvlText w:val="%1.%2."/>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400"/>
        </w:tabs>
        <w:ind w:left="5400" w:hanging="2520"/>
      </w:pPr>
      <w:rPr>
        <w:rFonts w:hint="default"/>
      </w:rPr>
    </w:lvl>
  </w:abstractNum>
  <w:abstractNum w:abstractNumId="9">
    <w:nsid w:val="1E845972"/>
    <w:multiLevelType w:val="multilevel"/>
    <w:tmpl w:val="4E903D58"/>
    <w:lvl w:ilvl="0">
      <w:start w:val="5"/>
      <w:numFmt w:val="decimal"/>
      <w:lvlText w:val="%1."/>
      <w:lvlJc w:val="left"/>
      <w:pPr>
        <w:ind w:left="6434"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10">
    <w:nsid w:val="221536DE"/>
    <w:multiLevelType w:val="hybridMultilevel"/>
    <w:tmpl w:val="B12439F6"/>
    <w:lvl w:ilvl="0" w:tplc="E9C4AC76">
      <w:numFmt w:val="bullet"/>
      <w:lvlText w:val="-"/>
      <w:lvlJc w:val="left"/>
      <w:pPr>
        <w:ind w:left="644" w:hanging="360"/>
      </w:pPr>
      <w:rPr>
        <w:rFonts w:ascii="Calibri" w:eastAsiaTheme="minorHAnsi" w:hAnsi="Calibri" w:cs="Calibri" w:hint="default"/>
      </w:rPr>
    </w:lvl>
    <w:lvl w:ilvl="1" w:tplc="241A0003" w:tentative="1">
      <w:start w:val="1"/>
      <w:numFmt w:val="bullet"/>
      <w:lvlText w:val="o"/>
      <w:lvlJc w:val="left"/>
      <w:pPr>
        <w:ind w:left="1364" w:hanging="360"/>
      </w:pPr>
      <w:rPr>
        <w:rFonts w:ascii="Courier New" w:hAnsi="Courier New" w:cs="Courier New" w:hint="default"/>
      </w:rPr>
    </w:lvl>
    <w:lvl w:ilvl="2" w:tplc="241A0005" w:tentative="1">
      <w:start w:val="1"/>
      <w:numFmt w:val="bullet"/>
      <w:lvlText w:val=""/>
      <w:lvlJc w:val="left"/>
      <w:pPr>
        <w:ind w:left="2084" w:hanging="360"/>
      </w:pPr>
      <w:rPr>
        <w:rFonts w:ascii="Wingdings" w:hAnsi="Wingdings" w:hint="default"/>
      </w:rPr>
    </w:lvl>
    <w:lvl w:ilvl="3" w:tplc="241A0001" w:tentative="1">
      <w:start w:val="1"/>
      <w:numFmt w:val="bullet"/>
      <w:lvlText w:val=""/>
      <w:lvlJc w:val="left"/>
      <w:pPr>
        <w:ind w:left="2804" w:hanging="360"/>
      </w:pPr>
      <w:rPr>
        <w:rFonts w:ascii="Symbol" w:hAnsi="Symbol" w:hint="default"/>
      </w:rPr>
    </w:lvl>
    <w:lvl w:ilvl="4" w:tplc="241A0003" w:tentative="1">
      <w:start w:val="1"/>
      <w:numFmt w:val="bullet"/>
      <w:lvlText w:val="o"/>
      <w:lvlJc w:val="left"/>
      <w:pPr>
        <w:ind w:left="3524" w:hanging="360"/>
      </w:pPr>
      <w:rPr>
        <w:rFonts w:ascii="Courier New" w:hAnsi="Courier New" w:cs="Courier New" w:hint="default"/>
      </w:rPr>
    </w:lvl>
    <w:lvl w:ilvl="5" w:tplc="241A0005" w:tentative="1">
      <w:start w:val="1"/>
      <w:numFmt w:val="bullet"/>
      <w:lvlText w:val=""/>
      <w:lvlJc w:val="left"/>
      <w:pPr>
        <w:ind w:left="4244" w:hanging="360"/>
      </w:pPr>
      <w:rPr>
        <w:rFonts w:ascii="Wingdings" w:hAnsi="Wingdings" w:hint="default"/>
      </w:rPr>
    </w:lvl>
    <w:lvl w:ilvl="6" w:tplc="241A0001" w:tentative="1">
      <w:start w:val="1"/>
      <w:numFmt w:val="bullet"/>
      <w:lvlText w:val=""/>
      <w:lvlJc w:val="left"/>
      <w:pPr>
        <w:ind w:left="4964" w:hanging="360"/>
      </w:pPr>
      <w:rPr>
        <w:rFonts w:ascii="Symbol" w:hAnsi="Symbol" w:hint="default"/>
      </w:rPr>
    </w:lvl>
    <w:lvl w:ilvl="7" w:tplc="241A0003" w:tentative="1">
      <w:start w:val="1"/>
      <w:numFmt w:val="bullet"/>
      <w:lvlText w:val="o"/>
      <w:lvlJc w:val="left"/>
      <w:pPr>
        <w:ind w:left="5684" w:hanging="360"/>
      </w:pPr>
      <w:rPr>
        <w:rFonts w:ascii="Courier New" w:hAnsi="Courier New" w:cs="Courier New" w:hint="default"/>
      </w:rPr>
    </w:lvl>
    <w:lvl w:ilvl="8" w:tplc="241A0005" w:tentative="1">
      <w:start w:val="1"/>
      <w:numFmt w:val="bullet"/>
      <w:lvlText w:val=""/>
      <w:lvlJc w:val="left"/>
      <w:pPr>
        <w:ind w:left="6404" w:hanging="360"/>
      </w:pPr>
      <w:rPr>
        <w:rFonts w:ascii="Wingdings" w:hAnsi="Wingdings" w:hint="default"/>
      </w:rPr>
    </w:lvl>
  </w:abstractNum>
  <w:abstractNum w:abstractNumId="11">
    <w:nsid w:val="25D47D3C"/>
    <w:multiLevelType w:val="multilevel"/>
    <w:tmpl w:val="FDD465F2"/>
    <w:lvl w:ilvl="0">
      <w:start w:val="7"/>
      <w:numFmt w:val="decimal"/>
      <w:lvlText w:val="%1."/>
      <w:lvlJc w:val="left"/>
      <w:pPr>
        <w:ind w:left="480" w:hanging="480"/>
      </w:pPr>
      <w:rPr>
        <w:rFonts w:hint="default"/>
        <w:b w:val="0"/>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b w:val="0"/>
      </w:rPr>
    </w:lvl>
    <w:lvl w:ilvl="3">
      <w:start w:val="1"/>
      <w:numFmt w:val="decimal"/>
      <w:lvlText w:val="%1.%2.%3.%4."/>
      <w:lvlJc w:val="left"/>
      <w:pPr>
        <w:ind w:left="1440" w:hanging="1440"/>
      </w:pPr>
      <w:rPr>
        <w:rFonts w:hint="default"/>
        <w:b w:val="0"/>
      </w:rPr>
    </w:lvl>
    <w:lvl w:ilvl="4">
      <w:start w:val="1"/>
      <w:numFmt w:val="decimal"/>
      <w:lvlText w:val="%1.%2.%3.%4.%5."/>
      <w:lvlJc w:val="left"/>
      <w:pPr>
        <w:ind w:left="1800" w:hanging="180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2160" w:hanging="2160"/>
      </w:pPr>
      <w:rPr>
        <w:rFonts w:hint="default"/>
        <w:b w:val="0"/>
      </w:rPr>
    </w:lvl>
    <w:lvl w:ilvl="7">
      <w:start w:val="1"/>
      <w:numFmt w:val="decimal"/>
      <w:lvlText w:val="%1.%2.%3.%4.%5.%6.%7.%8."/>
      <w:lvlJc w:val="left"/>
      <w:pPr>
        <w:ind w:left="2520" w:hanging="2520"/>
      </w:pPr>
      <w:rPr>
        <w:rFonts w:hint="default"/>
        <w:b w:val="0"/>
      </w:rPr>
    </w:lvl>
    <w:lvl w:ilvl="8">
      <w:start w:val="1"/>
      <w:numFmt w:val="decimal"/>
      <w:lvlText w:val="%1.%2.%3.%4.%5.%6.%7.%8.%9."/>
      <w:lvlJc w:val="left"/>
      <w:pPr>
        <w:ind w:left="2880" w:hanging="2880"/>
      </w:pPr>
      <w:rPr>
        <w:rFonts w:hint="default"/>
        <w:b w:val="0"/>
      </w:rPr>
    </w:lvl>
  </w:abstractNum>
  <w:abstractNum w:abstractNumId="12">
    <w:nsid w:val="28D35EF4"/>
    <w:multiLevelType w:val="hybridMultilevel"/>
    <w:tmpl w:val="04826C4A"/>
    <w:lvl w:ilvl="0" w:tplc="241A000B">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2A2A55FD"/>
    <w:multiLevelType w:val="hybridMultilevel"/>
    <w:tmpl w:val="B86ECAF2"/>
    <w:lvl w:ilvl="0" w:tplc="241A000F">
      <w:start w:val="1"/>
      <w:numFmt w:val="decimal"/>
      <w:lvlText w:val="%1."/>
      <w:lvlJc w:val="left"/>
      <w:pPr>
        <w:ind w:left="1004" w:hanging="360"/>
      </w:pPr>
    </w:lvl>
    <w:lvl w:ilvl="1" w:tplc="241A0019" w:tentative="1">
      <w:start w:val="1"/>
      <w:numFmt w:val="lowerLetter"/>
      <w:lvlText w:val="%2."/>
      <w:lvlJc w:val="left"/>
      <w:pPr>
        <w:ind w:left="1724" w:hanging="360"/>
      </w:pPr>
    </w:lvl>
    <w:lvl w:ilvl="2" w:tplc="241A001B" w:tentative="1">
      <w:start w:val="1"/>
      <w:numFmt w:val="lowerRoman"/>
      <w:lvlText w:val="%3."/>
      <w:lvlJc w:val="right"/>
      <w:pPr>
        <w:ind w:left="2444" w:hanging="180"/>
      </w:pPr>
    </w:lvl>
    <w:lvl w:ilvl="3" w:tplc="241A000F" w:tentative="1">
      <w:start w:val="1"/>
      <w:numFmt w:val="decimal"/>
      <w:lvlText w:val="%4."/>
      <w:lvlJc w:val="left"/>
      <w:pPr>
        <w:ind w:left="3164" w:hanging="360"/>
      </w:pPr>
    </w:lvl>
    <w:lvl w:ilvl="4" w:tplc="241A0019" w:tentative="1">
      <w:start w:val="1"/>
      <w:numFmt w:val="lowerLetter"/>
      <w:lvlText w:val="%5."/>
      <w:lvlJc w:val="left"/>
      <w:pPr>
        <w:ind w:left="3884" w:hanging="360"/>
      </w:pPr>
    </w:lvl>
    <w:lvl w:ilvl="5" w:tplc="241A001B" w:tentative="1">
      <w:start w:val="1"/>
      <w:numFmt w:val="lowerRoman"/>
      <w:lvlText w:val="%6."/>
      <w:lvlJc w:val="right"/>
      <w:pPr>
        <w:ind w:left="4604" w:hanging="180"/>
      </w:pPr>
    </w:lvl>
    <w:lvl w:ilvl="6" w:tplc="241A000F" w:tentative="1">
      <w:start w:val="1"/>
      <w:numFmt w:val="decimal"/>
      <w:lvlText w:val="%7."/>
      <w:lvlJc w:val="left"/>
      <w:pPr>
        <w:ind w:left="5324" w:hanging="360"/>
      </w:pPr>
    </w:lvl>
    <w:lvl w:ilvl="7" w:tplc="241A0019" w:tentative="1">
      <w:start w:val="1"/>
      <w:numFmt w:val="lowerLetter"/>
      <w:lvlText w:val="%8."/>
      <w:lvlJc w:val="left"/>
      <w:pPr>
        <w:ind w:left="6044" w:hanging="360"/>
      </w:pPr>
    </w:lvl>
    <w:lvl w:ilvl="8" w:tplc="241A001B" w:tentative="1">
      <w:start w:val="1"/>
      <w:numFmt w:val="lowerRoman"/>
      <w:lvlText w:val="%9."/>
      <w:lvlJc w:val="right"/>
      <w:pPr>
        <w:ind w:left="6764" w:hanging="180"/>
      </w:pPr>
    </w:lvl>
  </w:abstractNum>
  <w:abstractNum w:abstractNumId="14">
    <w:nsid w:val="2B8419FD"/>
    <w:multiLevelType w:val="multilevel"/>
    <w:tmpl w:val="65ACD482"/>
    <w:lvl w:ilvl="0">
      <w:start w:val="4"/>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15">
    <w:nsid w:val="2F713222"/>
    <w:multiLevelType w:val="hybridMultilevel"/>
    <w:tmpl w:val="E09410EA"/>
    <w:lvl w:ilvl="0" w:tplc="081A0001">
      <w:start w:val="1"/>
      <w:numFmt w:val="bullet"/>
      <w:lvlText w:val=""/>
      <w:lvlJc w:val="left"/>
      <w:pPr>
        <w:tabs>
          <w:tab w:val="num" w:pos="3229"/>
        </w:tabs>
        <w:ind w:left="3229" w:hanging="360"/>
      </w:pPr>
      <w:rPr>
        <w:rFonts w:ascii="Symbol" w:hAnsi="Symbol" w:hint="default"/>
      </w:rPr>
    </w:lvl>
    <w:lvl w:ilvl="1" w:tplc="081A0003">
      <w:start w:val="1"/>
      <w:numFmt w:val="bullet"/>
      <w:lvlText w:val="o"/>
      <w:lvlJc w:val="left"/>
      <w:pPr>
        <w:tabs>
          <w:tab w:val="num" w:pos="2149"/>
        </w:tabs>
        <w:ind w:left="2149" w:hanging="360"/>
      </w:pPr>
      <w:rPr>
        <w:rFonts w:ascii="Courier New" w:hAnsi="Courier New" w:cs="Courier New" w:hint="default"/>
      </w:rPr>
    </w:lvl>
    <w:lvl w:ilvl="2" w:tplc="081A0005" w:tentative="1">
      <w:start w:val="1"/>
      <w:numFmt w:val="bullet"/>
      <w:lvlText w:val=""/>
      <w:lvlJc w:val="left"/>
      <w:pPr>
        <w:tabs>
          <w:tab w:val="num" w:pos="2869"/>
        </w:tabs>
        <w:ind w:left="2869" w:hanging="360"/>
      </w:pPr>
      <w:rPr>
        <w:rFonts w:ascii="Wingdings" w:hAnsi="Wingdings" w:hint="default"/>
      </w:rPr>
    </w:lvl>
    <w:lvl w:ilvl="3" w:tplc="081A0001" w:tentative="1">
      <w:start w:val="1"/>
      <w:numFmt w:val="bullet"/>
      <w:lvlText w:val=""/>
      <w:lvlJc w:val="left"/>
      <w:pPr>
        <w:tabs>
          <w:tab w:val="num" w:pos="3589"/>
        </w:tabs>
        <w:ind w:left="3589" w:hanging="360"/>
      </w:pPr>
      <w:rPr>
        <w:rFonts w:ascii="Symbol" w:hAnsi="Symbol" w:hint="default"/>
      </w:rPr>
    </w:lvl>
    <w:lvl w:ilvl="4" w:tplc="081A0003" w:tentative="1">
      <w:start w:val="1"/>
      <w:numFmt w:val="bullet"/>
      <w:lvlText w:val="o"/>
      <w:lvlJc w:val="left"/>
      <w:pPr>
        <w:tabs>
          <w:tab w:val="num" w:pos="4309"/>
        </w:tabs>
        <w:ind w:left="4309" w:hanging="360"/>
      </w:pPr>
      <w:rPr>
        <w:rFonts w:ascii="Courier New" w:hAnsi="Courier New" w:cs="Courier New" w:hint="default"/>
      </w:rPr>
    </w:lvl>
    <w:lvl w:ilvl="5" w:tplc="081A0005" w:tentative="1">
      <w:start w:val="1"/>
      <w:numFmt w:val="bullet"/>
      <w:lvlText w:val=""/>
      <w:lvlJc w:val="left"/>
      <w:pPr>
        <w:tabs>
          <w:tab w:val="num" w:pos="5029"/>
        </w:tabs>
        <w:ind w:left="5029" w:hanging="360"/>
      </w:pPr>
      <w:rPr>
        <w:rFonts w:ascii="Wingdings" w:hAnsi="Wingdings" w:hint="default"/>
      </w:rPr>
    </w:lvl>
    <w:lvl w:ilvl="6" w:tplc="081A0001" w:tentative="1">
      <w:start w:val="1"/>
      <w:numFmt w:val="bullet"/>
      <w:lvlText w:val=""/>
      <w:lvlJc w:val="left"/>
      <w:pPr>
        <w:tabs>
          <w:tab w:val="num" w:pos="5749"/>
        </w:tabs>
        <w:ind w:left="5749" w:hanging="360"/>
      </w:pPr>
      <w:rPr>
        <w:rFonts w:ascii="Symbol" w:hAnsi="Symbol" w:hint="default"/>
      </w:rPr>
    </w:lvl>
    <w:lvl w:ilvl="7" w:tplc="081A0003" w:tentative="1">
      <w:start w:val="1"/>
      <w:numFmt w:val="bullet"/>
      <w:lvlText w:val="o"/>
      <w:lvlJc w:val="left"/>
      <w:pPr>
        <w:tabs>
          <w:tab w:val="num" w:pos="6469"/>
        </w:tabs>
        <w:ind w:left="6469" w:hanging="360"/>
      </w:pPr>
      <w:rPr>
        <w:rFonts w:ascii="Courier New" w:hAnsi="Courier New" w:cs="Courier New" w:hint="default"/>
      </w:rPr>
    </w:lvl>
    <w:lvl w:ilvl="8" w:tplc="081A0005" w:tentative="1">
      <w:start w:val="1"/>
      <w:numFmt w:val="bullet"/>
      <w:lvlText w:val=""/>
      <w:lvlJc w:val="left"/>
      <w:pPr>
        <w:tabs>
          <w:tab w:val="num" w:pos="7189"/>
        </w:tabs>
        <w:ind w:left="7189" w:hanging="360"/>
      </w:pPr>
      <w:rPr>
        <w:rFonts w:ascii="Wingdings" w:hAnsi="Wingdings" w:hint="default"/>
      </w:rPr>
    </w:lvl>
  </w:abstractNum>
  <w:abstractNum w:abstractNumId="16">
    <w:nsid w:val="2F7E2F4F"/>
    <w:multiLevelType w:val="hybridMultilevel"/>
    <w:tmpl w:val="581A3986"/>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31485823"/>
    <w:multiLevelType w:val="hybridMultilevel"/>
    <w:tmpl w:val="D8863FEA"/>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nsid w:val="326C124F"/>
    <w:multiLevelType w:val="hybridMultilevel"/>
    <w:tmpl w:val="04B02BE2"/>
    <w:lvl w:ilvl="0" w:tplc="6EAE92D2">
      <w:start w:val="653"/>
      <w:numFmt w:val="bullet"/>
      <w:lvlText w:val="-"/>
      <w:lvlJc w:val="left"/>
      <w:pPr>
        <w:ind w:left="720" w:hanging="360"/>
      </w:pPr>
      <w:rPr>
        <w:rFonts w:ascii="Tahoma" w:eastAsia="Arial Unicode MS"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nsid w:val="3B1B45A7"/>
    <w:multiLevelType w:val="hybridMultilevel"/>
    <w:tmpl w:val="AC06CF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EF364A"/>
    <w:multiLevelType w:val="hybridMultilevel"/>
    <w:tmpl w:val="9D40303E"/>
    <w:lvl w:ilvl="0" w:tplc="306628C6">
      <w:start w:val="1"/>
      <w:numFmt w:val="bullet"/>
      <w:lvlText w:val=""/>
      <w:lvlJc w:val="left"/>
      <w:pPr>
        <w:ind w:left="1440" w:hanging="360"/>
      </w:pPr>
      <w:rPr>
        <w:rFonts w:ascii="Wingdings" w:hAnsi="Wingdings" w:hint="default"/>
        <w:b/>
        <w:color w:val="4F81BD" w:themeColor="accent1"/>
        <w:sz w:val="22"/>
        <w:szCs w:val="1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28C4481"/>
    <w:multiLevelType w:val="hybridMultilevel"/>
    <w:tmpl w:val="5D3A0874"/>
    <w:lvl w:ilvl="0" w:tplc="54C2FB6E">
      <w:start w:val="1"/>
      <w:numFmt w:val="decimal"/>
      <w:lvlText w:val="%1."/>
      <w:lvlJc w:val="left"/>
      <w:pPr>
        <w:ind w:left="1353" w:hanging="360"/>
      </w:pPr>
      <w:rPr>
        <w:rFonts w:hint="default"/>
      </w:rPr>
    </w:lvl>
    <w:lvl w:ilvl="1" w:tplc="04090019">
      <w:start w:val="1"/>
      <w:numFmt w:val="lowerLetter"/>
      <w:lvlText w:val="%2."/>
      <w:lvlJc w:val="left"/>
      <w:pPr>
        <w:ind w:left="2304" w:hanging="360"/>
      </w:pPr>
    </w:lvl>
    <w:lvl w:ilvl="2" w:tplc="0409001B">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2">
    <w:nsid w:val="4B56551E"/>
    <w:multiLevelType w:val="multilevel"/>
    <w:tmpl w:val="E04AFB84"/>
    <w:lvl w:ilvl="0">
      <w:start w:val="1"/>
      <w:numFmt w:val="decimal"/>
      <w:lvlText w:val="%1."/>
      <w:lvlJc w:val="left"/>
      <w:pPr>
        <w:tabs>
          <w:tab w:val="num" w:pos="432"/>
        </w:tabs>
        <w:ind w:left="432" w:hanging="432"/>
      </w:pPr>
      <w:rPr>
        <w:rFonts w:hint="default"/>
        <w:sz w:val="24"/>
        <w:szCs w:val="22"/>
      </w:rPr>
    </w:lvl>
    <w:lvl w:ilvl="1">
      <w:start w:val="1"/>
      <w:numFmt w:val="decimal"/>
      <w:lvlText w:val="%1.%2"/>
      <w:lvlJc w:val="left"/>
      <w:pPr>
        <w:tabs>
          <w:tab w:val="num" w:pos="336"/>
        </w:tabs>
        <w:ind w:left="336" w:hanging="576"/>
      </w:pPr>
      <w:rPr>
        <w:rFonts w:hint="default"/>
        <w:b/>
      </w:rPr>
    </w:lvl>
    <w:lvl w:ilvl="2">
      <w:start w:val="1"/>
      <w:numFmt w:val="decimal"/>
      <w:lvlText w:val="%1.%2.%3"/>
      <w:lvlJc w:val="left"/>
      <w:pPr>
        <w:tabs>
          <w:tab w:val="num" w:pos="6870"/>
        </w:tabs>
        <w:ind w:left="687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918"/>
        </w:tabs>
        <w:ind w:left="918" w:hanging="1008"/>
      </w:pPr>
      <w:rPr>
        <w:rFonts w:hint="default"/>
      </w:rPr>
    </w:lvl>
    <w:lvl w:ilvl="5">
      <w:start w:val="1"/>
      <w:numFmt w:val="decimal"/>
      <w:lvlText w:val="%1.%2.%3.%4.%5.%6"/>
      <w:lvlJc w:val="left"/>
      <w:pPr>
        <w:tabs>
          <w:tab w:val="num" w:pos="1062"/>
        </w:tabs>
        <w:ind w:left="1062" w:hanging="1152"/>
      </w:pPr>
      <w:rPr>
        <w:rFonts w:hint="default"/>
      </w:rPr>
    </w:lvl>
    <w:lvl w:ilvl="6">
      <w:start w:val="1"/>
      <w:numFmt w:val="decimal"/>
      <w:lvlText w:val="%1.%2.%3.%4.%5.%6.%7"/>
      <w:lvlJc w:val="left"/>
      <w:pPr>
        <w:tabs>
          <w:tab w:val="num" w:pos="1206"/>
        </w:tabs>
        <w:ind w:left="1206" w:hanging="1296"/>
      </w:pPr>
      <w:rPr>
        <w:rFonts w:hint="default"/>
      </w:rPr>
    </w:lvl>
    <w:lvl w:ilvl="7">
      <w:start w:val="1"/>
      <w:numFmt w:val="decimal"/>
      <w:lvlText w:val="%1.%2.%3.%4.%5.%6.%7.%8"/>
      <w:lvlJc w:val="left"/>
      <w:pPr>
        <w:tabs>
          <w:tab w:val="num" w:pos="1350"/>
        </w:tabs>
        <w:ind w:left="1350" w:hanging="1440"/>
      </w:pPr>
      <w:rPr>
        <w:rFonts w:hint="default"/>
      </w:rPr>
    </w:lvl>
    <w:lvl w:ilvl="8">
      <w:start w:val="1"/>
      <w:numFmt w:val="decimal"/>
      <w:lvlText w:val="%1.%2.%3.%4.%5.%6.%7.%8.%9"/>
      <w:lvlJc w:val="left"/>
      <w:pPr>
        <w:tabs>
          <w:tab w:val="num" w:pos="1494"/>
        </w:tabs>
        <w:ind w:left="1494" w:hanging="1584"/>
      </w:pPr>
      <w:rPr>
        <w:rFonts w:hint="default"/>
      </w:rPr>
    </w:lvl>
  </w:abstractNum>
  <w:abstractNum w:abstractNumId="23">
    <w:nsid w:val="4C8D0396"/>
    <w:multiLevelType w:val="hybridMultilevel"/>
    <w:tmpl w:val="65A270A8"/>
    <w:lvl w:ilvl="0" w:tplc="241A000D">
      <w:start w:val="1"/>
      <w:numFmt w:val="bullet"/>
      <w:lvlText w:val=""/>
      <w:lvlJc w:val="left"/>
      <w:pPr>
        <w:ind w:left="1287" w:hanging="360"/>
      </w:pPr>
      <w:rPr>
        <w:rFonts w:ascii="Wingdings" w:hAnsi="Wingdings" w:hint="default"/>
      </w:rPr>
    </w:lvl>
    <w:lvl w:ilvl="1" w:tplc="241A0003" w:tentative="1">
      <w:start w:val="1"/>
      <w:numFmt w:val="bullet"/>
      <w:lvlText w:val="o"/>
      <w:lvlJc w:val="left"/>
      <w:pPr>
        <w:ind w:left="2007" w:hanging="360"/>
      </w:pPr>
      <w:rPr>
        <w:rFonts w:ascii="Courier New" w:hAnsi="Courier New" w:cs="Courier New" w:hint="default"/>
      </w:rPr>
    </w:lvl>
    <w:lvl w:ilvl="2" w:tplc="241A0005" w:tentative="1">
      <w:start w:val="1"/>
      <w:numFmt w:val="bullet"/>
      <w:lvlText w:val=""/>
      <w:lvlJc w:val="left"/>
      <w:pPr>
        <w:ind w:left="2727" w:hanging="360"/>
      </w:pPr>
      <w:rPr>
        <w:rFonts w:ascii="Wingdings" w:hAnsi="Wingdings" w:hint="default"/>
      </w:rPr>
    </w:lvl>
    <w:lvl w:ilvl="3" w:tplc="241A0001" w:tentative="1">
      <w:start w:val="1"/>
      <w:numFmt w:val="bullet"/>
      <w:lvlText w:val=""/>
      <w:lvlJc w:val="left"/>
      <w:pPr>
        <w:ind w:left="3447" w:hanging="360"/>
      </w:pPr>
      <w:rPr>
        <w:rFonts w:ascii="Symbol" w:hAnsi="Symbol" w:hint="default"/>
      </w:rPr>
    </w:lvl>
    <w:lvl w:ilvl="4" w:tplc="241A0003" w:tentative="1">
      <w:start w:val="1"/>
      <w:numFmt w:val="bullet"/>
      <w:lvlText w:val="o"/>
      <w:lvlJc w:val="left"/>
      <w:pPr>
        <w:ind w:left="4167" w:hanging="360"/>
      </w:pPr>
      <w:rPr>
        <w:rFonts w:ascii="Courier New" w:hAnsi="Courier New" w:cs="Courier New" w:hint="default"/>
      </w:rPr>
    </w:lvl>
    <w:lvl w:ilvl="5" w:tplc="241A0005" w:tentative="1">
      <w:start w:val="1"/>
      <w:numFmt w:val="bullet"/>
      <w:lvlText w:val=""/>
      <w:lvlJc w:val="left"/>
      <w:pPr>
        <w:ind w:left="4887" w:hanging="360"/>
      </w:pPr>
      <w:rPr>
        <w:rFonts w:ascii="Wingdings" w:hAnsi="Wingdings" w:hint="default"/>
      </w:rPr>
    </w:lvl>
    <w:lvl w:ilvl="6" w:tplc="241A0001" w:tentative="1">
      <w:start w:val="1"/>
      <w:numFmt w:val="bullet"/>
      <w:lvlText w:val=""/>
      <w:lvlJc w:val="left"/>
      <w:pPr>
        <w:ind w:left="5607" w:hanging="360"/>
      </w:pPr>
      <w:rPr>
        <w:rFonts w:ascii="Symbol" w:hAnsi="Symbol" w:hint="default"/>
      </w:rPr>
    </w:lvl>
    <w:lvl w:ilvl="7" w:tplc="241A0003" w:tentative="1">
      <w:start w:val="1"/>
      <w:numFmt w:val="bullet"/>
      <w:lvlText w:val="o"/>
      <w:lvlJc w:val="left"/>
      <w:pPr>
        <w:ind w:left="6327" w:hanging="360"/>
      </w:pPr>
      <w:rPr>
        <w:rFonts w:ascii="Courier New" w:hAnsi="Courier New" w:cs="Courier New" w:hint="default"/>
      </w:rPr>
    </w:lvl>
    <w:lvl w:ilvl="8" w:tplc="241A0005" w:tentative="1">
      <w:start w:val="1"/>
      <w:numFmt w:val="bullet"/>
      <w:lvlText w:val=""/>
      <w:lvlJc w:val="left"/>
      <w:pPr>
        <w:ind w:left="7047" w:hanging="360"/>
      </w:pPr>
      <w:rPr>
        <w:rFonts w:ascii="Wingdings" w:hAnsi="Wingdings" w:hint="default"/>
      </w:rPr>
    </w:lvl>
  </w:abstractNum>
  <w:abstractNum w:abstractNumId="24">
    <w:nsid w:val="4D7D0192"/>
    <w:multiLevelType w:val="hybridMultilevel"/>
    <w:tmpl w:val="EE40B218"/>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9DB6317"/>
    <w:multiLevelType w:val="hybridMultilevel"/>
    <w:tmpl w:val="5DEE04D6"/>
    <w:lvl w:ilvl="0" w:tplc="B77C8B28">
      <w:start w:val="1"/>
      <w:numFmt w:val="bullet"/>
      <w:lvlText w:val=""/>
      <w:lvlJc w:val="left"/>
      <w:pPr>
        <w:ind w:left="1287" w:hanging="360"/>
      </w:pPr>
      <w:rPr>
        <w:rFonts w:ascii="Wingdings" w:hAnsi="Wingdings" w:hint="default"/>
        <w:color w:val="auto"/>
        <w:sz w:val="22"/>
        <w:szCs w:val="22"/>
      </w:rPr>
    </w:lvl>
    <w:lvl w:ilvl="1" w:tplc="241A0003" w:tentative="1">
      <w:start w:val="1"/>
      <w:numFmt w:val="bullet"/>
      <w:lvlText w:val="o"/>
      <w:lvlJc w:val="left"/>
      <w:pPr>
        <w:ind w:left="2007" w:hanging="360"/>
      </w:pPr>
      <w:rPr>
        <w:rFonts w:ascii="Courier New" w:hAnsi="Courier New" w:cs="Courier New" w:hint="default"/>
      </w:rPr>
    </w:lvl>
    <w:lvl w:ilvl="2" w:tplc="241A0005" w:tentative="1">
      <w:start w:val="1"/>
      <w:numFmt w:val="bullet"/>
      <w:lvlText w:val=""/>
      <w:lvlJc w:val="left"/>
      <w:pPr>
        <w:ind w:left="2727" w:hanging="360"/>
      </w:pPr>
      <w:rPr>
        <w:rFonts w:ascii="Wingdings" w:hAnsi="Wingdings" w:hint="default"/>
      </w:rPr>
    </w:lvl>
    <w:lvl w:ilvl="3" w:tplc="241A0001" w:tentative="1">
      <w:start w:val="1"/>
      <w:numFmt w:val="bullet"/>
      <w:lvlText w:val=""/>
      <w:lvlJc w:val="left"/>
      <w:pPr>
        <w:ind w:left="3447" w:hanging="360"/>
      </w:pPr>
      <w:rPr>
        <w:rFonts w:ascii="Symbol" w:hAnsi="Symbol" w:hint="default"/>
      </w:rPr>
    </w:lvl>
    <w:lvl w:ilvl="4" w:tplc="241A0003" w:tentative="1">
      <w:start w:val="1"/>
      <w:numFmt w:val="bullet"/>
      <w:lvlText w:val="o"/>
      <w:lvlJc w:val="left"/>
      <w:pPr>
        <w:ind w:left="4167" w:hanging="360"/>
      </w:pPr>
      <w:rPr>
        <w:rFonts w:ascii="Courier New" w:hAnsi="Courier New" w:cs="Courier New" w:hint="default"/>
      </w:rPr>
    </w:lvl>
    <w:lvl w:ilvl="5" w:tplc="241A0005" w:tentative="1">
      <w:start w:val="1"/>
      <w:numFmt w:val="bullet"/>
      <w:lvlText w:val=""/>
      <w:lvlJc w:val="left"/>
      <w:pPr>
        <w:ind w:left="4887" w:hanging="360"/>
      </w:pPr>
      <w:rPr>
        <w:rFonts w:ascii="Wingdings" w:hAnsi="Wingdings" w:hint="default"/>
      </w:rPr>
    </w:lvl>
    <w:lvl w:ilvl="6" w:tplc="241A0001" w:tentative="1">
      <w:start w:val="1"/>
      <w:numFmt w:val="bullet"/>
      <w:lvlText w:val=""/>
      <w:lvlJc w:val="left"/>
      <w:pPr>
        <w:ind w:left="5607" w:hanging="360"/>
      </w:pPr>
      <w:rPr>
        <w:rFonts w:ascii="Symbol" w:hAnsi="Symbol" w:hint="default"/>
      </w:rPr>
    </w:lvl>
    <w:lvl w:ilvl="7" w:tplc="241A0003" w:tentative="1">
      <w:start w:val="1"/>
      <w:numFmt w:val="bullet"/>
      <w:lvlText w:val="o"/>
      <w:lvlJc w:val="left"/>
      <w:pPr>
        <w:ind w:left="6327" w:hanging="360"/>
      </w:pPr>
      <w:rPr>
        <w:rFonts w:ascii="Courier New" w:hAnsi="Courier New" w:cs="Courier New" w:hint="default"/>
      </w:rPr>
    </w:lvl>
    <w:lvl w:ilvl="8" w:tplc="241A0005" w:tentative="1">
      <w:start w:val="1"/>
      <w:numFmt w:val="bullet"/>
      <w:lvlText w:val=""/>
      <w:lvlJc w:val="left"/>
      <w:pPr>
        <w:ind w:left="7047" w:hanging="360"/>
      </w:pPr>
      <w:rPr>
        <w:rFonts w:ascii="Wingdings" w:hAnsi="Wingdings" w:hint="default"/>
      </w:rPr>
    </w:lvl>
  </w:abstractNum>
  <w:abstractNum w:abstractNumId="26">
    <w:nsid w:val="59EF7DA1"/>
    <w:multiLevelType w:val="multilevel"/>
    <w:tmpl w:val="C3FADEA8"/>
    <w:lvl w:ilvl="0">
      <w:start w:val="1"/>
      <w:numFmt w:val="decimal"/>
      <w:pStyle w:val="Heading1"/>
      <w:lvlText w:val="%1"/>
      <w:lvlJc w:val="left"/>
      <w:pPr>
        <w:tabs>
          <w:tab w:val="num" w:pos="432"/>
        </w:tabs>
        <w:ind w:left="432" w:hanging="432"/>
      </w:pPr>
      <w:rPr>
        <w:rFonts w:ascii="Tahoma" w:hAnsi="Tahoma" w:cs="Tahoma" w:hint="default"/>
        <w:sz w:val="22"/>
        <w:szCs w:val="22"/>
      </w:rPr>
    </w:lvl>
    <w:lvl w:ilvl="1">
      <w:start w:val="1"/>
      <w:numFmt w:val="decimal"/>
      <w:pStyle w:val="Heading2"/>
      <w:lvlText w:val="%1.%2"/>
      <w:lvlJc w:val="left"/>
      <w:pPr>
        <w:tabs>
          <w:tab w:val="num" w:pos="336"/>
        </w:tabs>
        <w:ind w:left="336" w:hanging="576"/>
      </w:pPr>
      <w:rPr>
        <w:rFonts w:hint="default"/>
      </w:rPr>
    </w:lvl>
    <w:lvl w:ilvl="2">
      <w:start w:val="1"/>
      <w:numFmt w:val="decimal"/>
      <w:pStyle w:val="Heading3"/>
      <w:lvlText w:val="%1.%2.%3"/>
      <w:lvlJc w:val="left"/>
      <w:pPr>
        <w:tabs>
          <w:tab w:val="num" w:pos="6870"/>
        </w:tabs>
        <w:ind w:left="687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918"/>
        </w:tabs>
        <w:ind w:left="918" w:hanging="1008"/>
      </w:pPr>
      <w:rPr>
        <w:rFonts w:hint="default"/>
      </w:rPr>
    </w:lvl>
    <w:lvl w:ilvl="5">
      <w:start w:val="1"/>
      <w:numFmt w:val="decimal"/>
      <w:pStyle w:val="Heading6"/>
      <w:lvlText w:val="%1.%2.%3.%4.%5.%6"/>
      <w:lvlJc w:val="left"/>
      <w:pPr>
        <w:tabs>
          <w:tab w:val="num" w:pos="1062"/>
        </w:tabs>
        <w:ind w:left="1062" w:hanging="1152"/>
      </w:pPr>
      <w:rPr>
        <w:rFonts w:hint="default"/>
      </w:rPr>
    </w:lvl>
    <w:lvl w:ilvl="6">
      <w:start w:val="1"/>
      <w:numFmt w:val="decimal"/>
      <w:pStyle w:val="Heading7"/>
      <w:lvlText w:val="%1.%2.%3.%4.%5.%6.%7"/>
      <w:lvlJc w:val="left"/>
      <w:pPr>
        <w:tabs>
          <w:tab w:val="num" w:pos="1206"/>
        </w:tabs>
        <w:ind w:left="1206" w:hanging="1296"/>
      </w:pPr>
      <w:rPr>
        <w:rFonts w:hint="default"/>
      </w:rPr>
    </w:lvl>
    <w:lvl w:ilvl="7">
      <w:start w:val="1"/>
      <w:numFmt w:val="decimal"/>
      <w:pStyle w:val="Heading8"/>
      <w:lvlText w:val="%1.%2.%3.%4.%5.%6.%7.%8"/>
      <w:lvlJc w:val="left"/>
      <w:pPr>
        <w:tabs>
          <w:tab w:val="num" w:pos="1350"/>
        </w:tabs>
        <w:ind w:left="1350" w:hanging="1440"/>
      </w:pPr>
      <w:rPr>
        <w:rFonts w:hint="default"/>
      </w:rPr>
    </w:lvl>
    <w:lvl w:ilvl="8">
      <w:start w:val="1"/>
      <w:numFmt w:val="decimal"/>
      <w:pStyle w:val="Heading9"/>
      <w:lvlText w:val="%1.%2.%3.%4.%5.%6.%7.%8.%9"/>
      <w:lvlJc w:val="left"/>
      <w:pPr>
        <w:tabs>
          <w:tab w:val="num" w:pos="1494"/>
        </w:tabs>
        <w:ind w:left="1494" w:hanging="1584"/>
      </w:pPr>
      <w:rPr>
        <w:rFonts w:hint="default"/>
      </w:rPr>
    </w:lvl>
  </w:abstractNum>
  <w:abstractNum w:abstractNumId="27">
    <w:nsid w:val="5D386B63"/>
    <w:multiLevelType w:val="multilevel"/>
    <w:tmpl w:val="081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8">
    <w:nsid w:val="5EA947AF"/>
    <w:multiLevelType w:val="hybridMultilevel"/>
    <w:tmpl w:val="7C4C11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FB45545"/>
    <w:multiLevelType w:val="hybridMultilevel"/>
    <w:tmpl w:val="26282C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1EA1378"/>
    <w:multiLevelType w:val="hybridMultilevel"/>
    <w:tmpl w:val="41246AD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67E4D11"/>
    <w:multiLevelType w:val="hybridMultilevel"/>
    <w:tmpl w:val="E1DC4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7F61BA8"/>
    <w:multiLevelType w:val="hybridMultilevel"/>
    <w:tmpl w:val="407A0922"/>
    <w:lvl w:ilvl="0" w:tplc="C68216C6">
      <w:start w:val="1"/>
      <w:numFmt w:val="bullet"/>
      <w:lvlText w:val=""/>
      <w:lvlJc w:val="left"/>
      <w:pPr>
        <w:ind w:left="1287" w:hanging="360"/>
      </w:pPr>
      <w:rPr>
        <w:rFonts w:ascii="Symbol" w:hAnsi="Symbol" w:hint="default"/>
      </w:rPr>
    </w:lvl>
    <w:lvl w:ilvl="1" w:tplc="241A0003" w:tentative="1">
      <w:start w:val="1"/>
      <w:numFmt w:val="bullet"/>
      <w:lvlText w:val="o"/>
      <w:lvlJc w:val="left"/>
      <w:pPr>
        <w:ind w:left="2007" w:hanging="360"/>
      </w:pPr>
      <w:rPr>
        <w:rFonts w:ascii="Courier New" w:hAnsi="Courier New" w:cs="Courier New" w:hint="default"/>
      </w:rPr>
    </w:lvl>
    <w:lvl w:ilvl="2" w:tplc="241A0005" w:tentative="1">
      <w:start w:val="1"/>
      <w:numFmt w:val="bullet"/>
      <w:lvlText w:val=""/>
      <w:lvlJc w:val="left"/>
      <w:pPr>
        <w:ind w:left="2727" w:hanging="360"/>
      </w:pPr>
      <w:rPr>
        <w:rFonts w:ascii="Wingdings" w:hAnsi="Wingdings" w:hint="default"/>
      </w:rPr>
    </w:lvl>
    <w:lvl w:ilvl="3" w:tplc="241A0001" w:tentative="1">
      <w:start w:val="1"/>
      <w:numFmt w:val="bullet"/>
      <w:lvlText w:val=""/>
      <w:lvlJc w:val="left"/>
      <w:pPr>
        <w:ind w:left="3447" w:hanging="360"/>
      </w:pPr>
      <w:rPr>
        <w:rFonts w:ascii="Symbol" w:hAnsi="Symbol" w:hint="default"/>
      </w:rPr>
    </w:lvl>
    <w:lvl w:ilvl="4" w:tplc="241A0003" w:tentative="1">
      <w:start w:val="1"/>
      <w:numFmt w:val="bullet"/>
      <w:lvlText w:val="o"/>
      <w:lvlJc w:val="left"/>
      <w:pPr>
        <w:ind w:left="4167" w:hanging="360"/>
      </w:pPr>
      <w:rPr>
        <w:rFonts w:ascii="Courier New" w:hAnsi="Courier New" w:cs="Courier New" w:hint="default"/>
      </w:rPr>
    </w:lvl>
    <w:lvl w:ilvl="5" w:tplc="241A0005" w:tentative="1">
      <w:start w:val="1"/>
      <w:numFmt w:val="bullet"/>
      <w:lvlText w:val=""/>
      <w:lvlJc w:val="left"/>
      <w:pPr>
        <w:ind w:left="4887" w:hanging="360"/>
      </w:pPr>
      <w:rPr>
        <w:rFonts w:ascii="Wingdings" w:hAnsi="Wingdings" w:hint="default"/>
      </w:rPr>
    </w:lvl>
    <w:lvl w:ilvl="6" w:tplc="241A0001" w:tentative="1">
      <w:start w:val="1"/>
      <w:numFmt w:val="bullet"/>
      <w:lvlText w:val=""/>
      <w:lvlJc w:val="left"/>
      <w:pPr>
        <w:ind w:left="5607" w:hanging="360"/>
      </w:pPr>
      <w:rPr>
        <w:rFonts w:ascii="Symbol" w:hAnsi="Symbol" w:hint="default"/>
      </w:rPr>
    </w:lvl>
    <w:lvl w:ilvl="7" w:tplc="241A0003" w:tentative="1">
      <w:start w:val="1"/>
      <w:numFmt w:val="bullet"/>
      <w:lvlText w:val="o"/>
      <w:lvlJc w:val="left"/>
      <w:pPr>
        <w:ind w:left="6327" w:hanging="360"/>
      </w:pPr>
      <w:rPr>
        <w:rFonts w:ascii="Courier New" w:hAnsi="Courier New" w:cs="Courier New" w:hint="default"/>
      </w:rPr>
    </w:lvl>
    <w:lvl w:ilvl="8" w:tplc="241A0005" w:tentative="1">
      <w:start w:val="1"/>
      <w:numFmt w:val="bullet"/>
      <w:lvlText w:val=""/>
      <w:lvlJc w:val="left"/>
      <w:pPr>
        <w:ind w:left="7047" w:hanging="360"/>
      </w:pPr>
      <w:rPr>
        <w:rFonts w:ascii="Wingdings" w:hAnsi="Wingdings" w:hint="default"/>
      </w:rPr>
    </w:lvl>
  </w:abstractNum>
  <w:abstractNum w:abstractNumId="33">
    <w:nsid w:val="6C37455D"/>
    <w:multiLevelType w:val="hybridMultilevel"/>
    <w:tmpl w:val="97588B8C"/>
    <w:lvl w:ilvl="0" w:tplc="241A0001">
      <w:start w:val="1"/>
      <w:numFmt w:val="bullet"/>
      <w:lvlText w:val=""/>
      <w:lvlJc w:val="left"/>
      <w:pPr>
        <w:ind w:left="1364" w:hanging="360"/>
      </w:pPr>
      <w:rPr>
        <w:rFonts w:ascii="Symbol" w:hAnsi="Symbol" w:hint="default"/>
      </w:rPr>
    </w:lvl>
    <w:lvl w:ilvl="1" w:tplc="241A0003" w:tentative="1">
      <w:start w:val="1"/>
      <w:numFmt w:val="bullet"/>
      <w:lvlText w:val="o"/>
      <w:lvlJc w:val="left"/>
      <w:pPr>
        <w:ind w:left="2084" w:hanging="360"/>
      </w:pPr>
      <w:rPr>
        <w:rFonts w:ascii="Courier New" w:hAnsi="Courier New" w:cs="Courier New" w:hint="default"/>
      </w:rPr>
    </w:lvl>
    <w:lvl w:ilvl="2" w:tplc="241A0005" w:tentative="1">
      <w:start w:val="1"/>
      <w:numFmt w:val="bullet"/>
      <w:lvlText w:val=""/>
      <w:lvlJc w:val="left"/>
      <w:pPr>
        <w:ind w:left="2804" w:hanging="360"/>
      </w:pPr>
      <w:rPr>
        <w:rFonts w:ascii="Wingdings" w:hAnsi="Wingdings" w:hint="default"/>
      </w:rPr>
    </w:lvl>
    <w:lvl w:ilvl="3" w:tplc="241A0001" w:tentative="1">
      <w:start w:val="1"/>
      <w:numFmt w:val="bullet"/>
      <w:lvlText w:val=""/>
      <w:lvlJc w:val="left"/>
      <w:pPr>
        <w:ind w:left="3524" w:hanging="360"/>
      </w:pPr>
      <w:rPr>
        <w:rFonts w:ascii="Symbol" w:hAnsi="Symbol" w:hint="default"/>
      </w:rPr>
    </w:lvl>
    <w:lvl w:ilvl="4" w:tplc="241A0003" w:tentative="1">
      <w:start w:val="1"/>
      <w:numFmt w:val="bullet"/>
      <w:lvlText w:val="o"/>
      <w:lvlJc w:val="left"/>
      <w:pPr>
        <w:ind w:left="4244" w:hanging="360"/>
      </w:pPr>
      <w:rPr>
        <w:rFonts w:ascii="Courier New" w:hAnsi="Courier New" w:cs="Courier New" w:hint="default"/>
      </w:rPr>
    </w:lvl>
    <w:lvl w:ilvl="5" w:tplc="241A0005" w:tentative="1">
      <w:start w:val="1"/>
      <w:numFmt w:val="bullet"/>
      <w:lvlText w:val=""/>
      <w:lvlJc w:val="left"/>
      <w:pPr>
        <w:ind w:left="4964" w:hanging="360"/>
      </w:pPr>
      <w:rPr>
        <w:rFonts w:ascii="Wingdings" w:hAnsi="Wingdings" w:hint="default"/>
      </w:rPr>
    </w:lvl>
    <w:lvl w:ilvl="6" w:tplc="241A0001" w:tentative="1">
      <w:start w:val="1"/>
      <w:numFmt w:val="bullet"/>
      <w:lvlText w:val=""/>
      <w:lvlJc w:val="left"/>
      <w:pPr>
        <w:ind w:left="5684" w:hanging="360"/>
      </w:pPr>
      <w:rPr>
        <w:rFonts w:ascii="Symbol" w:hAnsi="Symbol" w:hint="default"/>
      </w:rPr>
    </w:lvl>
    <w:lvl w:ilvl="7" w:tplc="241A0003" w:tentative="1">
      <w:start w:val="1"/>
      <w:numFmt w:val="bullet"/>
      <w:lvlText w:val="o"/>
      <w:lvlJc w:val="left"/>
      <w:pPr>
        <w:ind w:left="6404" w:hanging="360"/>
      </w:pPr>
      <w:rPr>
        <w:rFonts w:ascii="Courier New" w:hAnsi="Courier New" w:cs="Courier New" w:hint="default"/>
      </w:rPr>
    </w:lvl>
    <w:lvl w:ilvl="8" w:tplc="241A0005" w:tentative="1">
      <w:start w:val="1"/>
      <w:numFmt w:val="bullet"/>
      <w:lvlText w:val=""/>
      <w:lvlJc w:val="left"/>
      <w:pPr>
        <w:ind w:left="7124" w:hanging="360"/>
      </w:pPr>
      <w:rPr>
        <w:rFonts w:ascii="Wingdings" w:hAnsi="Wingdings" w:hint="default"/>
      </w:rPr>
    </w:lvl>
  </w:abstractNum>
  <w:abstractNum w:abstractNumId="34">
    <w:nsid w:val="70D0352C"/>
    <w:multiLevelType w:val="hybridMultilevel"/>
    <w:tmpl w:val="7B3C1D3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5">
    <w:nsid w:val="72002DEE"/>
    <w:multiLevelType w:val="hybridMultilevel"/>
    <w:tmpl w:val="ED801060"/>
    <w:lvl w:ilvl="0" w:tplc="241A000F">
      <w:start w:val="1"/>
      <w:numFmt w:val="decimal"/>
      <w:lvlText w:val="%1."/>
      <w:lvlJc w:val="left"/>
      <w:pPr>
        <w:ind w:left="1004" w:hanging="360"/>
      </w:pPr>
    </w:lvl>
    <w:lvl w:ilvl="1" w:tplc="241A0019" w:tentative="1">
      <w:start w:val="1"/>
      <w:numFmt w:val="lowerLetter"/>
      <w:lvlText w:val="%2."/>
      <w:lvlJc w:val="left"/>
      <w:pPr>
        <w:ind w:left="1724" w:hanging="360"/>
      </w:pPr>
    </w:lvl>
    <w:lvl w:ilvl="2" w:tplc="241A001B" w:tentative="1">
      <w:start w:val="1"/>
      <w:numFmt w:val="lowerRoman"/>
      <w:lvlText w:val="%3."/>
      <w:lvlJc w:val="right"/>
      <w:pPr>
        <w:ind w:left="2444" w:hanging="180"/>
      </w:pPr>
    </w:lvl>
    <w:lvl w:ilvl="3" w:tplc="241A000F" w:tentative="1">
      <w:start w:val="1"/>
      <w:numFmt w:val="decimal"/>
      <w:lvlText w:val="%4."/>
      <w:lvlJc w:val="left"/>
      <w:pPr>
        <w:ind w:left="3164" w:hanging="360"/>
      </w:pPr>
    </w:lvl>
    <w:lvl w:ilvl="4" w:tplc="241A0019" w:tentative="1">
      <w:start w:val="1"/>
      <w:numFmt w:val="lowerLetter"/>
      <w:lvlText w:val="%5."/>
      <w:lvlJc w:val="left"/>
      <w:pPr>
        <w:ind w:left="3884" w:hanging="360"/>
      </w:pPr>
    </w:lvl>
    <w:lvl w:ilvl="5" w:tplc="241A001B" w:tentative="1">
      <w:start w:val="1"/>
      <w:numFmt w:val="lowerRoman"/>
      <w:lvlText w:val="%6."/>
      <w:lvlJc w:val="right"/>
      <w:pPr>
        <w:ind w:left="4604" w:hanging="180"/>
      </w:pPr>
    </w:lvl>
    <w:lvl w:ilvl="6" w:tplc="241A000F" w:tentative="1">
      <w:start w:val="1"/>
      <w:numFmt w:val="decimal"/>
      <w:lvlText w:val="%7."/>
      <w:lvlJc w:val="left"/>
      <w:pPr>
        <w:ind w:left="5324" w:hanging="360"/>
      </w:pPr>
    </w:lvl>
    <w:lvl w:ilvl="7" w:tplc="241A0019" w:tentative="1">
      <w:start w:val="1"/>
      <w:numFmt w:val="lowerLetter"/>
      <w:lvlText w:val="%8."/>
      <w:lvlJc w:val="left"/>
      <w:pPr>
        <w:ind w:left="6044" w:hanging="360"/>
      </w:pPr>
    </w:lvl>
    <w:lvl w:ilvl="8" w:tplc="241A001B" w:tentative="1">
      <w:start w:val="1"/>
      <w:numFmt w:val="lowerRoman"/>
      <w:lvlText w:val="%9."/>
      <w:lvlJc w:val="right"/>
      <w:pPr>
        <w:ind w:left="6764" w:hanging="180"/>
      </w:pPr>
    </w:lvl>
  </w:abstractNum>
  <w:abstractNum w:abstractNumId="36">
    <w:nsid w:val="75785C4A"/>
    <w:multiLevelType w:val="hybridMultilevel"/>
    <w:tmpl w:val="51D6E816"/>
    <w:lvl w:ilvl="0" w:tplc="139E0FB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59A5AF4"/>
    <w:multiLevelType w:val="hybridMultilevel"/>
    <w:tmpl w:val="7B3C1D3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8">
    <w:nsid w:val="76C369C4"/>
    <w:multiLevelType w:val="hybridMultilevel"/>
    <w:tmpl w:val="C974DB0E"/>
    <w:lvl w:ilvl="0" w:tplc="241A000D">
      <w:start w:val="1"/>
      <w:numFmt w:val="bullet"/>
      <w:lvlText w:val=""/>
      <w:lvlJc w:val="left"/>
      <w:pPr>
        <w:ind w:left="1004" w:hanging="360"/>
      </w:pPr>
      <w:rPr>
        <w:rFonts w:ascii="Wingdings" w:hAnsi="Wingdings" w:hint="default"/>
      </w:rPr>
    </w:lvl>
    <w:lvl w:ilvl="1" w:tplc="241A0003" w:tentative="1">
      <w:start w:val="1"/>
      <w:numFmt w:val="bullet"/>
      <w:lvlText w:val="o"/>
      <w:lvlJc w:val="left"/>
      <w:pPr>
        <w:ind w:left="1724" w:hanging="360"/>
      </w:pPr>
      <w:rPr>
        <w:rFonts w:ascii="Courier New" w:hAnsi="Courier New" w:cs="Courier New" w:hint="default"/>
      </w:rPr>
    </w:lvl>
    <w:lvl w:ilvl="2" w:tplc="241A0005" w:tentative="1">
      <w:start w:val="1"/>
      <w:numFmt w:val="bullet"/>
      <w:lvlText w:val=""/>
      <w:lvlJc w:val="left"/>
      <w:pPr>
        <w:ind w:left="2444" w:hanging="360"/>
      </w:pPr>
      <w:rPr>
        <w:rFonts w:ascii="Wingdings" w:hAnsi="Wingdings" w:hint="default"/>
      </w:rPr>
    </w:lvl>
    <w:lvl w:ilvl="3" w:tplc="241A0001" w:tentative="1">
      <w:start w:val="1"/>
      <w:numFmt w:val="bullet"/>
      <w:lvlText w:val=""/>
      <w:lvlJc w:val="left"/>
      <w:pPr>
        <w:ind w:left="3164" w:hanging="360"/>
      </w:pPr>
      <w:rPr>
        <w:rFonts w:ascii="Symbol" w:hAnsi="Symbol" w:hint="default"/>
      </w:rPr>
    </w:lvl>
    <w:lvl w:ilvl="4" w:tplc="241A0003" w:tentative="1">
      <w:start w:val="1"/>
      <w:numFmt w:val="bullet"/>
      <w:lvlText w:val="o"/>
      <w:lvlJc w:val="left"/>
      <w:pPr>
        <w:ind w:left="3884" w:hanging="360"/>
      </w:pPr>
      <w:rPr>
        <w:rFonts w:ascii="Courier New" w:hAnsi="Courier New" w:cs="Courier New" w:hint="default"/>
      </w:rPr>
    </w:lvl>
    <w:lvl w:ilvl="5" w:tplc="241A0005" w:tentative="1">
      <w:start w:val="1"/>
      <w:numFmt w:val="bullet"/>
      <w:lvlText w:val=""/>
      <w:lvlJc w:val="left"/>
      <w:pPr>
        <w:ind w:left="4604" w:hanging="360"/>
      </w:pPr>
      <w:rPr>
        <w:rFonts w:ascii="Wingdings" w:hAnsi="Wingdings" w:hint="default"/>
      </w:rPr>
    </w:lvl>
    <w:lvl w:ilvl="6" w:tplc="241A0001" w:tentative="1">
      <w:start w:val="1"/>
      <w:numFmt w:val="bullet"/>
      <w:lvlText w:val=""/>
      <w:lvlJc w:val="left"/>
      <w:pPr>
        <w:ind w:left="5324" w:hanging="360"/>
      </w:pPr>
      <w:rPr>
        <w:rFonts w:ascii="Symbol" w:hAnsi="Symbol" w:hint="default"/>
      </w:rPr>
    </w:lvl>
    <w:lvl w:ilvl="7" w:tplc="241A0003" w:tentative="1">
      <w:start w:val="1"/>
      <w:numFmt w:val="bullet"/>
      <w:lvlText w:val="o"/>
      <w:lvlJc w:val="left"/>
      <w:pPr>
        <w:ind w:left="6044" w:hanging="360"/>
      </w:pPr>
      <w:rPr>
        <w:rFonts w:ascii="Courier New" w:hAnsi="Courier New" w:cs="Courier New" w:hint="default"/>
      </w:rPr>
    </w:lvl>
    <w:lvl w:ilvl="8" w:tplc="241A0005" w:tentative="1">
      <w:start w:val="1"/>
      <w:numFmt w:val="bullet"/>
      <w:lvlText w:val=""/>
      <w:lvlJc w:val="left"/>
      <w:pPr>
        <w:ind w:left="6764" w:hanging="360"/>
      </w:pPr>
      <w:rPr>
        <w:rFonts w:ascii="Wingdings" w:hAnsi="Wingdings" w:hint="default"/>
      </w:rPr>
    </w:lvl>
  </w:abstractNum>
  <w:abstractNum w:abstractNumId="39">
    <w:nsid w:val="77AC4674"/>
    <w:multiLevelType w:val="hybridMultilevel"/>
    <w:tmpl w:val="A75E5D3A"/>
    <w:lvl w:ilvl="0" w:tplc="306628C6">
      <w:start w:val="1"/>
      <w:numFmt w:val="bullet"/>
      <w:lvlText w:val=""/>
      <w:lvlJc w:val="left"/>
      <w:pPr>
        <w:ind w:left="720" w:hanging="360"/>
      </w:pPr>
      <w:rPr>
        <w:rFonts w:ascii="Wingdings" w:hAnsi="Wingdings" w:hint="default"/>
        <w:b/>
        <w:color w:val="4F81BD" w:themeColor="accent1"/>
        <w:sz w:val="22"/>
        <w:szCs w:val="18"/>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0">
    <w:nsid w:val="7AA7291F"/>
    <w:multiLevelType w:val="hybridMultilevel"/>
    <w:tmpl w:val="7AA81798"/>
    <w:lvl w:ilvl="0" w:tplc="095A473E">
      <w:numFmt w:val="bullet"/>
      <w:lvlText w:val="-"/>
      <w:lvlJc w:val="left"/>
      <w:pPr>
        <w:ind w:left="1211" w:hanging="360"/>
      </w:pPr>
      <w:rPr>
        <w:rFonts w:ascii="Verdana" w:eastAsiaTheme="minorHAnsi" w:hAnsi="Verdana" w:cstheme="minorBidi"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41">
    <w:nsid w:val="7B1B7F00"/>
    <w:multiLevelType w:val="hybridMultilevel"/>
    <w:tmpl w:val="AC06CF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2"/>
  </w:num>
  <w:num w:numId="3">
    <w:abstractNumId w:val="20"/>
  </w:num>
  <w:num w:numId="4">
    <w:abstractNumId w:val="6"/>
  </w:num>
  <w:num w:numId="5">
    <w:abstractNumId w:val="2"/>
  </w:num>
  <w:num w:numId="6">
    <w:abstractNumId w:val="14"/>
  </w:num>
  <w:num w:numId="7">
    <w:abstractNumId w:val="9"/>
  </w:num>
  <w:num w:numId="8">
    <w:abstractNumId w:val="13"/>
  </w:num>
  <w:num w:numId="9">
    <w:abstractNumId w:val="0"/>
  </w:num>
  <w:num w:numId="10">
    <w:abstractNumId w:val="27"/>
  </w:num>
  <w:num w:numId="11">
    <w:abstractNumId w:val="8"/>
  </w:num>
  <w:num w:numId="12">
    <w:abstractNumId w:val="39"/>
  </w:num>
  <w:num w:numId="13">
    <w:abstractNumId w:val="29"/>
  </w:num>
  <w:num w:numId="14">
    <w:abstractNumId w:val="28"/>
  </w:num>
  <w:num w:numId="15">
    <w:abstractNumId w:val="17"/>
  </w:num>
  <w:num w:numId="16">
    <w:abstractNumId w:val="30"/>
  </w:num>
  <w:num w:numId="17">
    <w:abstractNumId w:val="36"/>
  </w:num>
  <w:num w:numId="18">
    <w:abstractNumId w:val="11"/>
  </w:num>
  <w:num w:numId="19">
    <w:abstractNumId w:val="23"/>
  </w:num>
  <w:num w:numId="20">
    <w:abstractNumId w:val="10"/>
  </w:num>
  <w:num w:numId="21">
    <w:abstractNumId w:val="38"/>
  </w:num>
  <w:num w:numId="22">
    <w:abstractNumId w:val="32"/>
  </w:num>
  <w:num w:numId="23">
    <w:abstractNumId w:val="21"/>
  </w:num>
  <w:num w:numId="24">
    <w:abstractNumId w:val="19"/>
  </w:num>
  <w:num w:numId="25">
    <w:abstractNumId w:val="24"/>
  </w:num>
  <w:num w:numId="26">
    <w:abstractNumId w:val="1"/>
  </w:num>
  <w:num w:numId="27">
    <w:abstractNumId w:val="41"/>
  </w:num>
  <w:num w:numId="28">
    <w:abstractNumId w:val="12"/>
  </w:num>
  <w:num w:numId="29">
    <w:abstractNumId w:val="7"/>
  </w:num>
  <w:num w:numId="30">
    <w:abstractNumId w:val="40"/>
  </w:num>
  <w:num w:numId="31">
    <w:abstractNumId w:val="37"/>
  </w:num>
  <w:num w:numId="32">
    <w:abstractNumId w:val="34"/>
  </w:num>
  <w:num w:numId="33">
    <w:abstractNumId w:val="18"/>
  </w:num>
  <w:num w:numId="34">
    <w:abstractNumId w:val="4"/>
  </w:num>
  <w:num w:numId="35">
    <w:abstractNumId w:val="26"/>
  </w:num>
  <w:num w:numId="36">
    <w:abstractNumId w:val="25"/>
  </w:num>
  <w:num w:numId="37">
    <w:abstractNumId w:val="5"/>
  </w:num>
  <w:num w:numId="38">
    <w:abstractNumId w:val="16"/>
  </w:num>
  <w:num w:numId="39">
    <w:abstractNumId w:val="3"/>
  </w:num>
  <w:num w:numId="40">
    <w:abstractNumId w:val="31"/>
  </w:num>
  <w:num w:numId="41">
    <w:abstractNumId w:val="15"/>
  </w:num>
  <w:num w:numId="42">
    <w:abstractNumId w:val="35"/>
  </w:num>
  <w:num w:numId="43">
    <w:abstractNumId w:val="33"/>
  </w:num>
  <w:numIdMacAtCleanup w:val="3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lena Popic">
    <w15:presenceInfo w15:providerId="None" w15:userId="Jelena Popic"/>
  </w15:person>
  <w15:person w15:author="Govedarica, Zorana">
    <w15:presenceInfo w15:providerId="None" w15:userId="Govedarica, Zora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492"/>
    <w:rsid w:val="0000135F"/>
    <w:rsid w:val="00003262"/>
    <w:rsid w:val="000050DB"/>
    <w:rsid w:val="0000684F"/>
    <w:rsid w:val="000069F3"/>
    <w:rsid w:val="00006B40"/>
    <w:rsid w:val="0001045D"/>
    <w:rsid w:val="00011135"/>
    <w:rsid w:val="000127B4"/>
    <w:rsid w:val="000130A8"/>
    <w:rsid w:val="00013387"/>
    <w:rsid w:val="00015D38"/>
    <w:rsid w:val="00021F8A"/>
    <w:rsid w:val="0002470A"/>
    <w:rsid w:val="0002677F"/>
    <w:rsid w:val="00034540"/>
    <w:rsid w:val="000359C0"/>
    <w:rsid w:val="00035E89"/>
    <w:rsid w:val="00037B93"/>
    <w:rsid w:val="00040C9C"/>
    <w:rsid w:val="00051F7F"/>
    <w:rsid w:val="00055424"/>
    <w:rsid w:val="00055ECF"/>
    <w:rsid w:val="00056264"/>
    <w:rsid w:val="000648E0"/>
    <w:rsid w:val="00071ED1"/>
    <w:rsid w:val="0007205D"/>
    <w:rsid w:val="00075202"/>
    <w:rsid w:val="000770A6"/>
    <w:rsid w:val="0008771D"/>
    <w:rsid w:val="000919B7"/>
    <w:rsid w:val="00092D62"/>
    <w:rsid w:val="0009317A"/>
    <w:rsid w:val="00093D98"/>
    <w:rsid w:val="000957CD"/>
    <w:rsid w:val="00095D5A"/>
    <w:rsid w:val="000A3F2A"/>
    <w:rsid w:val="000A6024"/>
    <w:rsid w:val="000A6BB2"/>
    <w:rsid w:val="000B0B32"/>
    <w:rsid w:val="000B11FB"/>
    <w:rsid w:val="000C0B72"/>
    <w:rsid w:val="000C2983"/>
    <w:rsid w:val="000C4656"/>
    <w:rsid w:val="000C556B"/>
    <w:rsid w:val="000C73FE"/>
    <w:rsid w:val="000C7684"/>
    <w:rsid w:val="000D2029"/>
    <w:rsid w:val="000D50C3"/>
    <w:rsid w:val="000D69E3"/>
    <w:rsid w:val="000D72BA"/>
    <w:rsid w:val="000F23FC"/>
    <w:rsid w:val="000F27DF"/>
    <w:rsid w:val="000F62F3"/>
    <w:rsid w:val="000F7076"/>
    <w:rsid w:val="000F72FD"/>
    <w:rsid w:val="00101CE9"/>
    <w:rsid w:val="00103C74"/>
    <w:rsid w:val="00105442"/>
    <w:rsid w:val="00107683"/>
    <w:rsid w:val="00110634"/>
    <w:rsid w:val="00110C1C"/>
    <w:rsid w:val="00115CCC"/>
    <w:rsid w:val="001177E8"/>
    <w:rsid w:val="00121464"/>
    <w:rsid w:val="00121F19"/>
    <w:rsid w:val="0012597D"/>
    <w:rsid w:val="00125FCB"/>
    <w:rsid w:val="001316D9"/>
    <w:rsid w:val="00134363"/>
    <w:rsid w:val="00134C2D"/>
    <w:rsid w:val="00140C21"/>
    <w:rsid w:val="00141B41"/>
    <w:rsid w:val="00144318"/>
    <w:rsid w:val="00146239"/>
    <w:rsid w:val="00146491"/>
    <w:rsid w:val="0015171B"/>
    <w:rsid w:val="001517AA"/>
    <w:rsid w:val="00153DB4"/>
    <w:rsid w:val="00155B6C"/>
    <w:rsid w:val="001571ED"/>
    <w:rsid w:val="00160CA3"/>
    <w:rsid w:val="00160E0C"/>
    <w:rsid w:val="0016707E"/>
    <w:rsid w:val="00173063"/>
    <w:rsid w:val="00177C3C"/>
    <w:rsid w:val="00190806"/>
    <w:rsid w:val="0019190C"/>
    <w:rsid w:val="00193A48"/>
    <w:rsid w:val="00195744"/>
    <w:rsid w:val="001A11AB"/>
    <w:rsid w:val="001A2CBE"/>
    <w:rsid w:val="001A3F64"/>
    <w:rsid w:val="001A4C70"/>
    <w:rsid w:val="001B183C"/>
    <w:rsid w:val="001B208C"/>
    <w:rsid w:val="001B338A"/>
    <w:rsid w:val="001B4229"/>
    <w:rsid w:val="001B4C34"/>
    <w:rsid w:val="001B5D26"/>
    <w:rsid w:val="001B6A88"/>
    <w:rsid w:val="001B7810"/>
    <w:rsid w:val="001C14AA"/>
    <w:rsid w:val="001C15A6"/>
    <w:rsid w:val="001C35CE"/>
    <w:rsid w:val="001C373D"/>
    <w:rsid w:val="001C422E"/>
    <w:rsid w:val="001C5B22"/>
    <w:rsid w:val="001D1258"/>
    <w:rsid w:val="001D4002"/>
    <w:rsid w:val="001D65C4"/>
    <w:rsid w:val="001E0DAA"/>
    <w:rsid w:val="001E4642"/>
    <w:rsid w:val="001E544F"/>
    <w:rsid w:val="001E6FEE"/>
    <w:rsid w:val="001F0066"/>
    <w:rsid w:val="001F1D74"/>
    <w:rsid w:val="001F1DB3"/>
    <w:rsid w:val="001F7BA3"/>
    <w:rsid w:val="00202463"/>
    <w:rsid w:val="002041C5"/>
    <w:rsid w:val="00210C9F"/>
    <w:rsid w:val="00211305"/>
    <w:rsid w:val="00212C17"/>
    <w:rsid w:val="00213EA3"/>
    <w:rsid w:val="00215B22"/>
    <w:rsid w:val="00215EC7"/>
    <w:rsid w:val="002207DC"/>
    <w:rsid w:val="00222FFF"/>
    <w:rsid w:val="00224D42"/>
    <w:rsid w:val="0023198F"/>
    <w:rsid w:val="00232C7A"/>
    <w:rsid w:val="00234E46"/>
    <w:rsid w:val="00235916"/>
    <w:rsid w:val="00236B98"/>
    <w:rsid w:val="002377E1"/>
    <w:rsid w:val="00242540"/>
    <w:rsid w:val="00242648"/>
    <w:rsid w:val="00246061"/>
    <w:rsid w:val="00250703"/>
    <w:rsid w:val="002510CA"/>
    <w:rsid w:val="00252B51"/>
    <w:rsid w:val="00261351"/>
    <w:rsid w:val="00276509"/>
    <w:rsid w:val="002802BD"/>
    <w:rsid w:val="00281AAB"/>
    <w:rsid w:val="0028256B"/>
    <w:rsid w:val="0028380C"/>
    <w:rsid w:val="00290951"/>
    <w:rsid w:val="00290B21"/>
    <w:rsid w:val="00292256"/>
    <w:rsid w:val="002A45ED"/>
    <w:rsid w:val="002A54DA"/>
    <w:rsid w:val="002A6400"/>
    <w:rsid w:val="002A65D4"/>
    <w:rsid w:val="002A6C96"/>
    <w:rsid w:val="002B235A"/>
    <w:rsid w:val="002B6B5E"/>
    <w:rsid w:val="002C1E80"/>
    <w:rsid w:val="002C4700"/>
    <w:rsid w:val="002C574E"/>
    <w:rsid w:val="002D03B5"/>
    <w:rsid w:val="002D11A8"/>
    <w:rsid w:val="002D210C"/>
    <w:rsid w:val="002D2678"/>
    <w:rsid w:val="002D570E"/>
    <w:rsid w:val="002D6A53"/>
    <w:rsid w:val="002E0051"/>
    <w:rsid w:val="002E50D3"/>
    <w:rsid w:val="002E60C4"/>
    <w:rsid w:val="002E7303"/>
    <w:rsid w:val="002F116F"/>
    <w:rsid w:val="002F7CC6"/>
    <w:rsid w:val="00303D6C"/>
    <w:rsid w:val="00306DF9"/>
    <w:rsid w:val="00307B8A"/>
    <w:rsid w:val="00311B11"/>
    <w:rsid w:val="00314796"/>
    <w:rsid w:val="00317A88"/>
    <w:rsid w:val="00321873"/>
    <w:rsid w:val="003235D8"/>
    <w:rsid w:val="003239F9"/>
    <w:rsid w:val="0033312C"/>
    <w:rsid w:val="003337D5"/>
    <w:rsid w:val="00344761"/>
    <w:rsid w:val="00344FEB"/>
    <w:rsid w:val="00345674"/>
    <w:rsid w:val="00347032"/>
    <w:rsid w:val="00352E9D"/>
    <w:rsid w:val="00361B84"/>
    <w:rsid w:val="00363755"/>
    <w:rsid w:val="003638DE"/>
    <w:rsid w:val="00371FB1"/>
    <w:rsid w:val="0037217C"/>
    <w:rsid w:val="003724D4"/>
    <w:rsid w:val="00374D4D"/>
    <w:rsid w:val="003810C8"/>
    <w:rsid w:val="003915F5"/>
    <w:rsid w:val="003941AA"/>
    <w:rsid w:val="0039527B"/>
    <w:rsid w:val="00396531"/>
    <w:rsid w:val="0039718D"/>
    <w:rsid w:val="00397F37"/>
    <w:rsid w:val="003A3BFC"/>
    <w:rsid w:val="003A5A7C"/>
    <w:rsid w:val="003A72C9"/>
    <w:rsid w:val="003B105F"/>
    <w:rsid w:val="003B1360"/>
    <w:rsid w:val="003B2D3D"/>
    <w:rsid w:val="003C2CF5"/>
    <w:rsid w:val="003C3A4D"/>
    <w:rsid w:val="003C6447"/>
    <w:rsid w:val="003C6820"/>
    <w:rsid w:val="003C7F39"/>
    <w:rsid w:val="003D22A0"/>
    <w:rsid w:val="003D4F11"/>
    <w:rsid w:val="003D5801"/>
    <w:rsid w:val="003E0EFA"/>
    <w:rsid w:val="003E4705"/>
    <w:rsid w:val="003F0965"/>
    <w:rsid w:val="003F69E4"/>
    <w:rsid w:val="003F6A85"/>
    <w:rsid w:val="004011EE"/>
    <w:rsid w:val="00401509"/>
    <w:rsid w:val="00412AD5"/>
    <w:rsid w:val="00414A02"/>
    <w:rsid w:val="00414FB8"/>
    <w:rsid w:val="00422A69"/>
    <w:rsid w:val="00424AA9"/>
    <w:rsid w:val="00430160"/>
    <w:rsid w:val="00430E71"/>
    <w:rsid w:val="004317BA"/>
    <w:rsid w:val="004318B4"/>
    <w:rsid w:val="004341C7"/>
    <w:rsid w:val="00437D90"/>
    <w:rsid w:val="00444469"/>
    <w:rsid w:val="0045139C"/>
    <w:rsid w:val="00451C7D"/>
    <w:rsid w:val="00451D61"/>
    <w:rsid w:val="00452967"/>
    <w:rsid w:val="004539A2"/>
    <w:rsid w:val="00453A94"/>
    <w:rsid w:val="0045525C"/>
    <w:rsid w:val="00457147"/>
    <w:rsid w:val="00457607"/>
    <w:rsid w:val="00457DD6"/>
    <w:rsid w:val="004606C1"/>
    <w:rsid w:val="00460ED3"/>
    <w:rsid w:val="0046210A"/>
    <w:rsid w:val="00462CC0"/>
    <w:rsid w:val="00467B96"/>
    <w:rsid w:val="00470147"/>
    <w:rsid w:val="004724F6"/>
    <w:rsid w:val="004834AD"/>
    <w:rsid w:val="00483D9F"/>
    <w:rsid w:val="00484718"/>
    <w:rsid w:val="00484D5E"/>
    <w:rsid w:val="00487521"/>
    <w:rsid w:val="00487630"/>
    <w:rsid w:val="00490D7A"/>
    <w:rsid w:val="0049135D"/>
    <w:rsid w:val="00492321"/>
    <w:rsid w:val="004A1BB9"/>
    <w:rsid w:val="004B60E3"/>
    <w:rsid w:val="004B7ADE"/>
    <w:rsid w:val="004C0126"/>
    <w:rsid w:val="004C0359"/>
    <w:rsid w:val="004C5462"/>
    <w:rsid w:val="004C5E1D"/>
    <w:rsid w:val="004C6F94"/>
    <w:rsid w:val="004C74ED"/>
    <w:rsid w:val="004D3398"/>
    <w:rsid w:val="004D3CC6"/>
    <w:rsid w:val="004E1215"/>
    <w:rsid w:val="004E6081"/>
    <w:rsid w:val="004E6E16"/>
    <w:rsid w:val="004F2EE0"/>
    <w:rsid w:val="004F3075"/>
    <w:rsid w:val="0050139E"/>
    <w:rsid w:val="00505DD5"/>
    <w:rsid w:val="00511F77"/>
    <w:rsid w:val="00513280"/>
    <w:rsid w:val="005157DE"/>
    <w:rsid w:val="005205B7"/>
    <w:rsid w:val="005216BD"/>
    <w:rsid w:val="00523F19"/>
    <w:rsid w:val="005260F9"/>
    <w:rsid w:val="00532904"/>
    <w:rsid w:val="0053291C"/>
    <w:rsid w:val="005353CD"/>
    <w:rsid w:val="00536368"/>
    <w:rsid w:val="00540FAA"/>
    <w:rsid w:val="0054367A"/>
    <w:rsid w:val="00543830"/>
    <w:rsid w:val="00545266"/>
    <w:rsid w:val="00546411"/>
    <w:rsid w:val="0054769A"/>
    <w:rsid w:val="00547C31"/>
    <w:rsid w:val="005526B2"/>
    <w:rsid w:val="00554DAD"/>
    <w:rsid w:val="00562478"/>
    <w:rsid w:val="00565AA7"/>
    <w:rsid w:val="0057117B"/>
    <w:rsid w:val="00571928"/>
    <w:rsid w:val="0057338D"/>
    <w:rsid w:val="00577297"/>
    <w:rsid w:val="005776E4"/>
    <w:rsid w:val="00577F78"/>
    <w:rsid w:val="005838E3"/>
    <w:rsid w:val="005841D5"/>
    <w:rsid w:val="00584DB1"/>
    <w:rsid w:val="00587258"/>
    <w:rsid w:val="00590DA2"/>
    <w:rsid w:val="005A1C60"/>
    <w:rsid w:val="005A408C"/>
    <w:rsid w:val="005A410F"/>
    <w:rsid w:val="005A5F32"/>
    <w:rsid w:val="005B7D88"/>
    <w:rsid w:val="005C0749"/>
    <w:rsid w:val="005C2BDB"/>
    <w:rsid w:val="005C2D00"/>
    <w:rsid w:val="005D2F38"/>
    <w:rsid w:val="005D692E"/>
    <w:rsid w:val="005D7602"/>
    <w:rsid w:val="005E2C7D"/>
    <w:rsid w:val="005E3523"/>
    <w:rsid w:val="005E3D22"/>
    <w:rsid w:val="0060244E"/>
    <w:rsid w:val="006047ED"/>
    <w:rsid w:val="00605A80"/>
    <w:rsid w:val="00606AB0"/>
    <w:rsid w:val="00612AE3"/>
    <w:rsid w:val="00614197"/>
    <w:rsid w:val="00614EC1"/>
    <w:rsid w:val="006151A6"/>
    <w:rsid w:val="0061552B"/>
    <w:rsid w:val="00615BE2"/>
    <w:rsid w:val="006162EC"/>
    <w:rsid w:val="006259EA"/>
    <w:rsid w:val="0062689C"/>
    <w:rsid w:val="00627C1C"/>
    <w:rsid w:val="00633BF7"/>
    <w:rsid w:val="00637574"/>
    <w:rsid w:val="00637D67"/>
    <w:rsid w:val="00642075"/>
    <w:rsid w:val="00644594"/>
    <w:rsid w:val="00644B11"/>
    <w:rsid w:val="006476E5"/>
    <w:rsid w:val="00655CD0"/>
    <w:rsid w:val="0065641C"/>
    <w:rsid w:val="00661721"/>
    <w:rsid w:val="00661839"/>
    <w:rsid w:val="00665116"/>
    <w:rsid w:val="00665921"/>
    <w:rsid w:val="006666F4"/>
    <w:rsid w:val="00674CE3"/>
    <w:rsid w:val="00676DDE"/>
    <w:rsid w:val="0067705E"/>
    <w:rsid w:val="0068218E"/>
    <w:rsid w:val="00686161"/>
    <w:rsid w:val="00686799"/>
    <w:rsid w:val="00687583"/>
    <w:rsid w:val="00692437"/>
    <w:rsid w:val="0069486B"/>
    <w:rsid w:val="006957F7"/>
    <w:rsid w:val="006963FE"/>
    <w:rsid w:val="006A1DA2"/>
    <w:rsid w:val="006A24A0"/>
    <w:rsid w:val="006A28AD"/>
    <w:rsid w:val="006A2CC9"/>
    <w:rsid w:val="006A401A"/>
    <w:rsid w:val="006A590F"/>
    <w:rsid w:val="006B4964"/>
    <w:rsid w:val="006B6543"/>
    <w:rsid w:val="006B79F9"/>
    <w:rsid w:val="006C0D6C"/>
    <w:rsid w:val="006C1E1A"/>
    <w:rsid w:val="006C3EE7"/>
    <w:rsid w:val="006C4070"/>
    <w:rsid w:val="006D005B"/>
    <w:rsid w:val="006D041E"/>
    <w:rsid w:val="006D7BF2"/>
    <w:rsid w:val="006E059B"/>
    <w:rsid w:val="006E1ACC"/>
    <w:rsid w:val="006E1BF4"/>
    <w:rsid w:val="006E1FA8"/>
    <w:rsid w:val="006E3225"/>
    <w:rsid w:val="006E6CC3"/>
    <w:rsid w:val="006F3525"/>
    <w:rsid w:val="006F5CFD"/>
    <w:rsid w:val="00702534"/>
    <w:rsid w:val="00702A2B"/>
    <w:rsid w:val="00706330"/>
    <w:rsid w:val="00707C93"/>
    <w:rsid w:val="00707FFC"/>
    <w:rsid w:val="00710D3C"/>
    <w:rsid w:val="0071269C"/>
    <w:rsid w:val="007138AF"/>
    <w:rsid w:val="00713CC9"/>
    <w:rsid w:val="00714318"/>
    <w:rsid w:val="00714AAA"/>
    <w:rsid w:val="00716C32"/>
    <w:rsid w:val="0072217E"/>
    <w:rsid w:val="00735822"/>
    <w:rsid w:val="007366E5"/>
    <w:rsid w:val="00740812"/>
    <w:rsid w:val="0074249B"/>
    <w:rsid w:val="007438DB"/>
    <w:rsid w:val="00745D11"/>
    <w:rsid w:val="00746EE3"/>
    <w:rsid w:val="0075121B"/>
    <w:rsid w:val="00752387"/>
    <w:rsid w:val="007550D4"/>
    <w:rsid w:val="00755344"/>
    <w:rsid w:val="00755C32"/>
    <w:rsid w:val="0076189C"/>
    <w:rsid w:val="00763DFD"/>
    <w:rsid w:val="00766C59"/>
    <w:rsid w:val="007675E2"/>
    <w:rsid w:val="00767769"/>
    <w:rsid w:val="00771CCA"/>
    <w:rsid w:val="0077625F"/>
    <w:rsid w:val="0078065A"/>
    <w:rsid w:val="00784569"/>
    <w:rsid w:val="007874DF"/>
    <w:rsid w:val="00792B25"/>
    <w:rsid w:val="00794AEC"/>
    <w:rsid w:val="00794DC4"/>
    <w:rsid w:val="007973B1"/>
    <w:rsid w:val="007A2D39"/>
    <w:rsid w:val="007A5818"/>
    <w:rsid w:val="007C021E"/>
    <w:rsid w:val="007C188B"/>
    <w:rsid w:val="007C1FE6"/>
    <w:rsid w:val="007D05A5"/>
    <w:rsid w:val="007D56F0"/>
    <w:rsid w:val="007E0258"/>
    <w:rsid w:val="007E07E8"/>
    <w:rsid w:val="007E1CF3"/>
    <w:rsid w:val="007E3AB8"/>
    <w:rsid w:val="007E64C0"/>
    <w:rsid w:val="007E7D3F"/>
    <w:rsid w:val="007F1ABC"/>
    <w:rsid w:val="007F41CD"/>
    <w:rsid w:val="007F511E"/>
    <w:rsid w:val="007F70AC"/>
    <w:rsid w:val="007F7695"/>
    <w:rsid w:val="00801C6B"/>
    <w:rsid w:val="00804A11"/>
    <w:rsid w:val="008148F4"/>
    <w:rsid w:val="00820179"/>
    <w:rsid w:val="008204A5"/>
    <w:rsid w:val="008227CB"/>
    <w:rsid w:val="00823927"/>
    <w:rsid w:val="00826E75"/>
    <w:rsid w:val="00827878"/>
    <w:rsid w:val="008301BA"/>
    <w:rsid w:val="00831117"/>
    <w:rsid w:val="0083752F"/>
    <w:rsid w:val="00840E13"/>
    <w:rsid w:val="00840EF6"/>
    <w:rsid w:val="008425D2"/>
    <w:rsid w:val="0084283B"/>
    <w:rsid w:val="00855153"/>
    <w:rsid w:val="008555F5"/>
    <w:rsid w:val="00856492"/>
    <w:rsid w:val="0085678B"/>
    <w:rsid w:val="008611AD"/>
    <w:rsid w:val="00865405"/>
    <w:rsid w:val="008657F6"/>
    <w:rsid w:val="00865869"/>
    <w:rsid w:val="008707F4"/>
    <w:rsid w:val="00872182"/>
    <w:rsid w:val="00875757"/>
    <w:rsid w:val="008758E5"/>
    <w:rsid w:val="00875B15"/>
    <w:rsid w:val="0088064B"/>
    <w:rsid w:val="008813B1"/>
    <w:rsid w:val="008879FB"/>
    <w:rsid w:val="00887DE6"/>
    <w:rsid w:val="00890387"/>
    <w:rsid w:val="008924DD"/>
    <w:rsid w:val="00895061"/>
    <w:rsid w:val="00895519"/>
    <w:rsid w:val="00895BBA"/>
    <w:rsid w:val="00896912"/>
    <w:rsid w:val="008A3C9C"/>
    <w:rsid w:val="008A79BA"/>
    <w:rsid w:val="008B20FE"/>
    <w:rsid w:val="008B2D3B"/>
    <w:rsid w:val="008B5F2C"/>
    <w:rsid w:val="008B742A"/>
    <w:rsid w:val="008C1433"/>
    <w:rsid w:val="008C2890"/>
    <w:rsid w:val="008C2B46"/>
    <w:rsid w:val="008C5A05"/>
    <w:rsid w:val="008D0A10"/>
    <w:rsid w:val="008D0B60"/>
    <w:rsid w:val="008D5297"/>
    <w:rsid w:val="008D5B13"/>
    <w:rsid w:val="008E058B"/>
    <w:rsid w:val="008E0AE8"/>
    <w:rsid w:val="008E0DE0"/>
    <w:rsid w:val="008E35BD"/>
    <w:rsid w:val="008E4D7D"/>
    <w:rsid w:val="008E537C"/>
    <w:rsid w:val="008E5EA5"/>
    <w:rsid w:val="008E6289"/>
    <w:rsid w:val="008F0541"/>
    <w:rsid w:val="008F30FA"/>
    <w:rsid w:val="00900951"/>
    <w:rsid w:val="0090445F"/>
    <w:rsid w:val="009047C1"/>
    <w:rsid w:val="0090550B"/>
    <w:rsid w:val="009079A8"/>
    <w:rsid w:val="00910067"/>
    <w:rsid w:val="00911099"/>
    <w:rsid w:val="0091326A"/>
    <w:rsid w:val="00925C24"/>
    <w:rsid w:val="0093285D"/>
    <w:rsid w:val="00934BEE"/>
    <w:rsid w:val="009358B7"/>
    <w:rsid w:val="0094066F"/>
    <w:rsid w:val="00942118"/>
    <w:rsid w:val="00942478"/>
    <w:rsid w:val="009466F8"/>
    <w:rsid w:val="00947528"/>
    <w:rsid w:val="00954BAD"/>
    <w:rsid w:val="00960D45"/>
    <w:rsid w:val="00971CD8"/>
    <w:rsid w:val="00971E4C"/>
    <w:rsid w:val="00973851"/>
    <w:rsid w:val="00975486"/>
    <w:rsid w:val="00980814"/>
    <w:rsid w:val="0098191C"/>
    <w:rsid w:val="00983D47"/>
    <w:rsid w:val="00987DDA"/>
    <w:rsid w:val="00992C15"/>
    <w:rsid w:val="0099374D"/>
    <w:rsid w:val="00996BC3"/>
    <w:rsid w:val="009A70FE"/>
    <w:rsid w:val="009B04F0"/>
    <w:rsid w:val="009B0A71"/>
    <w:rsid w:val="009B140A"/>
    <w:rsid w:val="009B1B18"/>
    <w:rsid w:val="009B1CE0"/>
    <w:rsid w:val="009B3891"/>
    <w:rsid w:val="009B4707"/>
    <w:rsid w:val="009C0761"/>
    <w:rsid w:val="009C66C2"/>
    <w:rsid w:val="009C6D15"/>
    <w:rsid w:val="009C6E56"/>
    <w:rsid w:val="009D1CE7"/>
    <w:rsid w:val="009D4824"/>
    <w:rsid w:val="009D5E2E"/>
    <w:rsid w:val="009D65D4"/>
    <w:rsid w:val="009E6C41"/>
    <w:rsid w:val="009E7769"/>
    <w:rsid w:val="009F09B0"/>
    <w:rsid w:val="009F1586"/>
    <w:rsid w:val="009F2B64"/>
    <w:rsid w:val="009F4646"/>
    <w:rsid w:val="009F4B7E"/>
    <w:rsid w:val="009F65E9"/>
    <w:rsid w:val="00A00263"/>
    <w:rsid w:val="00A01F2C"/>
    <w:rsid w:val="00A02CB6"/>
    <w:rsid w:val="00A11C3C"/>
    <w:rsid w:val="00A12FD6"/>
    <w:rsid w:val="00A13428"/>
    <w:rsid w:val="00A205B2"/>
    <w:rsid w:val="00A25960"/>
    <w:rsid w:val="00A33203"/>
    <w:rsid w:val="00A33F28"/>
    <w:rsid w:val="00A342A0"/>
    <w:rsid w:val="00A36540"/>
    <w:rsid w:val="00A44453"/>
    <w:rsid w:val="00A461C4"/>
    <w:rsid w:val="00A4678C"/>
    <w:rsid w:val="00A479C1"/>
    <w:rsid w:val="00A50763"/>
    <w:rsid w:val="00A54476"/>
    <w:rsid w:val="00A57879"/>
    <w:rsid w:val="00A641E3"/>
    <w:rsid w:val="00A65CFC"/>
    <w:rsid w:val="00A678A2"/>
    <w:rsid w:val="00A71AD8"/>
    <w:rsid w:val="00A72391"/>
    <w:rsid w:val="00A726B9"/>
    <w:rsid w:val="00A75E14"/>
    <w:rsid w:val="00A846BC"/>
    <w:rsid w:val="00A863A7"/>
    <w:rsid w:val="00A872F6"/>
    <w:rsid w:val="00A87581"/>
    <w:rsid w:val="00A9350E"/>
    <w:rsid w:val="00A95FF9"/>
    <w:rsid w:val="00AA2F70"/>
    <w:rsid w:val="00AA4BB1"/>
    <w:rsid w:val="00AA4FD2"/>
    <w:rsid w:val="00AB09B3"/>
    <w:rsid w:val="00AB0F8D"/>
    <w:rsid w:val="00AB25B8"/>
    <w:rsid w:val="00AB5007"/>
    <w:rsid w:val="00AB54E8"/>
    <w:rsid w:val="00AB59CB"/>
    <w:rsid w:val="00AB7579"/>
    <w:rsid w:val="00AB7717"/>
    <w:rsid w:val="00AC1464"/>
    <w:rsid w:val="00AC57B4"/>
    <w:rsid w:val="00AC7833"/>
    <w:rsid w:val="00AD0A1A"/>
    <w:rsid w:val="00AD16C1"/>
    <w:rsid w:val="00AD215C"/>
    <w:rsid w:val="00AD2267"/>
    <w:rsid w:val="00AD34D0"/>
    <w:rsid w:val="00AD6371"/>
    <w:rsid w:val="00AD6A47"/>
    <w:rsid w:val="00AD6BA1"/>
    <w:rsid w:val="00AD6BBF"/>
    <w:rsid w:val="00AD702C"/>
    <w:rsid w:val="00AE0E16"/>
    <w:rsid w:val="00AE308D"/>
    <w:rsid w:val="00AE34A1"/>
    <w:rsid w:val="00AE5768"/>
    <w:rsid w:val="00AE5A6A"/>
    <w:rsid w:val="00AE6FEE"/>
    <w:rsid w:val="00B006A1"/>
    <w:rsid w:val="00B02089"/>
    <w:rsid w:val="00B0214B"/>
    <w:rsid w:val="00B049DF"/>
    <w:rsid w:val="00B1003E"/>
    <w:rsid w:val="00B127D5"/>
    <w:rsid w:val="00B13AA5"/>
    <w:rsid w:val="00B15B57"/>
    <w:rsid w:val="00B17B10"/>
    <w:rsid w:val="00B239D9"/>
    <w:rsid w:val="00B256EA"/>
    <w:rsid w:val="00B27061"/>
    <w:rsid w:val="00B2768E"/>
    <w:rsid w:val="00B279E5"/>
    <w:rsid w:val="00B303A1"/>
    <w:rsid w:val="00B32B82"/>
    <w:rsid w:val="00B37DA2"/>
    <w:rsid w:val="00B44D29"/>
    <w:rsid w:val="00B51D5E"/>
    <w:rsid w:val="00B52DDD"/>
    <w:rsid w:val="00B5448C"/>
    <w:rsid w:val="00B5577F"/>
    <w:rsid w:val="00B5583B"/>
    <w:rsid w:val="00B62B8B"/>
    <w:rsid w:val="00B62E3A"/>
    <w:rsid w:val="00B64EB6"/>
    <w:rsid w:val="00B65DF3"/>
    <w:rsid w:val="00B66742"/>
    <w:rsid w:val="00B67FFD"/>
    <w:rsid w:val="00B70D4A"/>
    <w:rsid w:val="00B7143F"/>
    <w:rsid w:val="00B7188C"/>
    <w:rsid w:val="00B723F0"/>
    <w:rsid w:val="00B74825"/>
    <w:rsid w:val="00B77E87"/>
    <w:rsid w:val="00B8034D"/>
    <w:rsid w:val="00B8562C"/>
    <w:rsid w:val="00B93789"/>
    <w:rsid w:val="00B966D6"/>
    <w:rsid w:val="00BA088C"/>
    <w:rsid w:val="00BA3143"/>
    <w:rsid w:val="00BA41CF"/>
    <w:rsid w:val="00BA442A"/>
    <w:rsid w:val="00BA732E"/>
    <w:rsid w:val="00BB2651"/>
    <w:rsid w:val="00BB3023"/>
    <w:rsid w:val="00BB47E7"/>
    <w:rsid w:val="00BB79D5"/>
    <w:rsid w:val="00BC0583"/>
    <w:rsid w:val="00BC75BE"/>
    <w:rsid w:val="00BD0ED6"/>
    <w:rsid w:val="00BD3A0E"/>
    <w:rsid w:val="00BD3FDA"/>
    <w:rsid w:val="00BD40ED"/>
    <w:rsid w:val="00BD65A1"/>
    <w:rsid w:val="00BD6C71"/>
    <w:rsid w:val="00BD735A"/>
    <w:rsid w:val="00BE2AE2"/>
    <w:rsid w:val="00BE397A"/>
    <w:rsid w:val="00BE54D2"/>
    <w:rsid w:val="00BE573F"/>
    <w:rsid w:val="00BE5CEF"/>
    <w:rsid w:val="00BE5F5C"/>
    <w:rsid w:val="00BF1ABA"/>
    <w:rsid w:val="00BF3CDE"/>
    <w:rsid w:val="00BF4B4E"/>
    <w:rsid w:val="00BF79C7"/>
    <w:rsid w:val="00C00BBB"/>
    <w:rsid w:val="00C018F0"/>
    <w:rsid w:val="00C0249D"/>
    <w:rsid w:val="00C02944"/>
    <w:rsid w:val="00C031DE"/>
    <w:rsid w:val="00C035D0"/>
    <w:rsid w:val="00C05BF4"/>
    <w:rsid w:val="00C07C8C"/>
    <w:rsid w:val="00C12862"/>
    <w:rsid w:val="00C16A62"/>
    <w:rsid w:val="00C227CC"/>
    <w:rsid w:val="00C23DE6"/>
    <w:rsid w:val="00C259BA"/>
    <w:rsid w:val="00C26543"/>
    <w:rsid w:val="00C26F4B"/>
    <w:rsid w:val="00C3092C"/>
    <w:rsid w:val="00C34CD6"/>
    <w:rsid w:val="00C376BB"/>
    <w:rsid w:val="00C41649"/>
    <w:rsid w:val="00C43BF1"/>
    <w:rsid w:val="00C52EEF"/>
    <w:rsid w:val="00C53EB7"/>
    <w:rsid w:val="00C57604"/>
    <w:rsid w:val="00C57C45"/>
    <w:rsid w:val="00C608F9"/>
    <w:rsid w:val="00C64D89"/>
    <w:rsid w:val="00C71765"/>
    <w:rsid w:val="00C72C98"/>
    <w:rsid w:val="00C76E33"/>
    <w:rsid w:val="00C77721"/>
    <w:rsid w:val="00C779EB"/>
    <w:rsid w:val="00C816DA"/>
    <w:rsid w:val="00C86F3D"/>
    <w:rsid w:val="00C9033A"/>
    <w:rsid w:val="00C96476"/>
    <w:rsid w:val="00C975B4"/>
    <w:rsid w:val="00CA2DDD"/>
    <w:rsid w:val="00CA342D"/>
    <w:rsid w:val="00CA531C"/>
    <w:rsid w:val="00CA632F"/>
    <w:rsid w:val="00CB0B92"/>
    <w:rsid w:val="00CB3813"/>
    <w:rsid w:val="00CB5D6E"/>
    <w:rsid w:val="00CB6A12"/>
    <w:rsid w:val="00CB7123"/>
    <w:rsid w:val="00CB748C"/>
    <w:rsid w:val="00CC378D"/>
    <w:rsid w:val="00CC471E"/>
    <w:rsid w:val="00CC56B2"/>
    <w:rsid w:val="00CC6923"/>
    <w:rsid w:val="00CD2F48"/>
    <w:rsid w:val="00CD31A1"/>
    <w:rsid w:val="00CD69ED"/>
    <w:rsid w:val="00CE0E9D"/>
    <w:rsid w:val="00CE1D2D"/>
    <w:rsid w:val="00CE2F7E"/>
    <w:rsid w:val="00CE5244"/>
    <w:rsid w:val="00CF0ACE"/>
    <w:rsid w:val="00CF3B89"/>
    <w:rsid w:val="00CF476B"/>
    <w:rsid w:val="00CF731D"/>
    <w:rsid w:val="00CF78AD"/>
    <w:rsid w:val="00D04BAD"/>
    <w:rsid w:val="00D07AEA"/>
    <w:rsid w:val="00D1070D"/>
    <w:rsid w:val="00D1300F"/>
    <w:rsid w:val="00D16B74"/>
    <w:rsid w:val="00D20867"/>
    <w:rsid w:val="00D236D8"/>
    <w:rsid w:val="00D27ABB"/>
    <w:rsid w:val="00D31DE3"/>
    <w:rsid w:val="00D33574"/>
    <w:rsid w:val="00D33AAC"/>
    <w:rsid w:val="00D35AA2"/>
    <w:rsid w:val="00D42160"/>
    <w:rsid w:val="00D457FA"/>
    <w:rsid w:val="00D46BB3"/>
    <w:rsid w:val="00D47D73"/>
    <w:rsid w:val="00D50EE5"/>
    <w:rsid w:val="00D53D38"/>
    <w:rsid w:val="00D55988"/>
    <w:rsid w:val="00D574C6"/>
    <w:rsid w:val="00D60B82"/>
    <w:rsid w:val="00D623A6"/>
    <w:rsid w:val="00D623EC"/>
    <w:rsid w:val="00D62637"/>
    <w:rsid w:val="00D6530D"/>
    <w:rsid w:val="00D6666A"/>
    <w:rsid w:val="00D66F68"/>
    <w:rsid w:val="00D672C5"/>
    <w:rsid w:val="00D72B72"/>
    <w:rsid w:val="00D753E1"/>
    <w:rsid w:val="00D75511"/>
    <w:rsid w:val="00D76DC9"/>
    <w:rsid w:val="00D85921"/>
    <w:rsid w:val="00D85D41"/>
    <w:rsid w:val="00D95BED"/>
    <w:rsid w:val="00D97857"/>
    <w:rsid w:val="00DA4BD2"/>
    <w:rsid w:val="00DA6617"/>
    <w:rsid w:val="00DB022D"/>
    <w:rsid w:val="00DB1DB0"/>
    <w:rsid w:val="00DB3338"/>
    <w:rsid w:val="00DB37FF"/>
    <w:rsid w:val="00DB4487"/>
    <w:rsid w:val="00DB4DCD"/>
    <w:rsid w:val="00DB5FEA"/>
    <w:rsid w:val="00DB608F"/>
    <w:rsid w:val="00DB6EDE"/>
    <w:rsid w:val="00DC51FA"/>
    <w:rsid w:val="00DC6E26"/>
    <w:rsid w:val="00DC78A1"/>
    <w:rsid w:val="00DC7A51"/>
    <w:rsid w:val="00DD5A2F"/>
    <w:rsid w:val="00DD64CC"/>
    <w:rsid w:val="00DE138A"/>
    <w:rsid w:val="00DF78D2"/>
    <w:rsid w:val="00DF7965"/>
    <w:rsid w:val="00E00FE9"/>
    <w:rsid w:val="00E03998"/>
    <w:rsid w:val="00E03E1D"/>
    <w:rsid w:val="00E100A2"/>
    <w:rsid w:val="00E13AAD"/>
    <w:rsid w:val="00E15C9E"/>
    <w:rsid w:val="00E2280A"/>
    <w:rsid w:val="00E23DB6"/>
    <w:rsid w:val="00E244A8"/>
    <w:rsid w:val="00E2699E"/>
    <w:rsid w:val="00E27761"/>
    <w:rsid w:val="00E278C5"/>
    <w:rsid w:val="00E31B7F"/>
    <w:rsid w:val="00E32260"/>
    <w:rsid w:val="00E460EA"/>
    <w:rsid w:val="00E47CFE"/>
    <w:rsid w:val="00E56127"/>
    <w:rsid w:val="00E677C4"/>
    <w:rsid w:val="00E706D4"/>
    <w:rsid w:val="00E72F95"/>
    <w:rsid w:val="00E847DA"/>
    <w:rsid w:val="00E84915"/>
    <w:rsid w:val="00E85D0E"/>
    <w:rsid w:val="00E85E24"/>
    <w:rsid w:val="00E872CD"/>
    <w:rsid w:val="00E90B47"/>
    <w:rsid w:val="00E92C99"/>
    <w:rsid w:val="00E938F9"/>
    <w:rsid w:val="00EA4390"/>
    <w:rsid w:val="00EA58B0"/>
    <w:rsid w:val="00EA7779"/>
    <w:rsid w:val="00EB3721"/>
    <w:rsid w:val="00EB61F9"/>
    <w:rsid w:val="00EC3EDD"/>
    <w:rsid w:val="00EC4243"/>
    <w:rsid w:val="00EC78EA"/>
    <w:rsid w:val="00ED1600"/>
    <w:rsid w:val="00ED1B98"/>
    <w:rsid w:val="00ED1E0C"/>
    <w:rsid w:val="00ED4902"/>
    <w:rsid w:val="00ED5A3B"/>
    <w:rsid w:val="00EE19E9"/>
    <w:rsid w:val="00EE6F85"/>
    <w:rsid w:val="00EE710C"/>
    <w:rsid w:val="00EE7237"/>
    <w:rsid w:val="00EF6FBA"/>
    <w:rsid w:val="00EF6FC0"/>
    <w:rsid w:val="00F03313"/>
    <w:rsid w:val="00F057A7"/>
    <w:rsid w:val="00F05ADD"/>
    <w:rsid w:val="00F11E3C"/>
    <w:rsid w:val="00F12FEB"/>
    <w:rsid w:val="00F13898"/>
    <w:rsid w:val="00F13C92"/>
    <w:rsid w:val="00F151DD"/>
    <w:rsid w:val="00F20164"/>
    <w:rsid w:val="00F21D11"/>
    <w:rsid w:val="00F225CA"/>
    <w:rsid w:val="00F225D2"/>
    <w:rsid w:val="00F22C15"/>
    <w:rsid w:val="00F2466C"/>
    <w:rsid w:val="00F32F5F"/>
    <w:rsid w:val="00F37343"/>
    <w:rsid w:val="00F37ECF"/>
    <w:rsid w:val="00F4582D"/>
    <w:rsid w:val="00F45870"/>
    <w:rsid w:val="00F46139"/>
    <w:rsid w:val="00F46F35"/>
    <w:rsid w:val="00F51E0F"/>
    <w:rsid w:val="00F555FA"/>
    <w:rsid w:val="00F55BE7"/>
    <w:rsid w:val="00F55E00"/>
    <w:rsid w:val="00F61CE9"/>
    <w:rsid w:val="00F728BF"/>
    <w:rsid w:val="00F73B8E"/>
    <w:rsid w:val="00F81DEE"/>
    <w:rsid w:val="00F81ED1"/>
    <w:rsid w:val="00F824D6"/>
    <w:rsid w:val="00F85C20"/>
    <w:rsid w:val="00F860ED"/>
    <w:rsid w:val="00F9193A"/>
    <w:rsid w:val="00F91B66"/>
    <w:rsid w:val="00F9302D"/>
    <w:rsid w:val="00F93B69"/>
    <w:rsid w:val="00F94152"/>
    <w:rsid w:val="00FA33B9"/>
    <w:rsid w:val="00FA6B6A"/>
    <w:rsid w:val="00FA75D5"/>
    <w:rsid w:val="00FB1578"/>
    <w:rsid w:val="00FB2018"/>
    <w:rsid w:val="00FC1DC7"/>
    <w:rsid w:val="00FC56F2"/>
    <w:rsid w:val="00FD3A30"/>
    <w:rsid w:val="00FD4BCF"/>
    <w:rsid w:val="00FD503E"/>
    <w:rsid w:val="00FE068A"/>
    <w:rsid w:val="00FE5E17"/>
    <w:rsid w:val="00FE73B0"/>
    <w:rsid w:val="00FE7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930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index heading" w:uiPriority="0"/>
    <w:lsdException w:name="caption" w:uiPriority="0" w:qFormat="1"/>
    <w:lsdException w:name="envelope address" w:uiPriority="0"/>
    <w:lsdException w:name="envelope return" w:uiPriority="0"/>
    <w:lsdException w:name="footnote reference" w:uiPriority="0"/>
    <w:lsdException w:name="line number" w:uiPriority="0"/>
    <w:lsdException w:name="page number" w:uiPriority="0"/>
    <w:lsdException w:name="macro" w:uiPriority="0"/>
    <w:lsdException w:name="toa heading"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Closing" w:uiPriority="0"/>
    <w:lsdException w:name="Default Paragraph Font" w:uiPriority="1"/>
    <w:lsdException w:name="Body Text Indent" w:uiPriority="0"/>
    <w:lsdException w:name="List Continue" w:uiPriority="0"/>
    <w:lsdException w:name="Message Header"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Outline List 2" w:uiPriority="0"/>
    <w:lsdException w:name="Outline List 3" w:uiPriority="0"/>
    <w:lsdException w:name="Table Grid 1" w:uiPriority="0"/>
    <w:lsdException w:name="Table Grid 8" w:uiPriority="0"/>
    <w:lsdException w:name="Table List 1" w:uiPriority="0"/>
    <w:lsdException w:name="Table List 6" w:uiPriority="0"/>
    <w:lsdException w:name="Table Professional" w:uiPriority="0"/>
    <w:lsdException w:name="Table Web 2" w:uiPriority="0"/>
    <w:lsdException w:name="Table Web 3"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606AB0"/>
  </w:style>
  <w:style w:type="paragraph" w:styleId="Heading1">
    <w:name w:val="heading 1"/>
    <w:basedOn w:val="Normal"/>
    <w:next w:val="Normal"/>
    <w:link w:val="Heading1Char"/>
    <w:qFormat/>
    <w:rsid w:val="005353CD"/>
    <w:pPr>
      <w:keepNext/>
      <w:numPr>
        <w:numId w:val="1"/>
      </w:numPr>
      <w:suppressAutoHyphens/>
      <w:spacing w:after="0" w:line="240" w:lineRule="auto"/>
      <w:jc w:val="center"/>
      <w:outlineLvl w:val="0"/>
    </w:pPr>
    <w:rPr>
      <w:rFonts w:ascii="Arial" w:eastAsia="Times New Roman" w:hAnsi="Arial" w:cs="Arial"/>
      <w:b/>
      <w:bCs/>
      <w:sz w:val="16"/>
      <w:szCs w:val="16"/>
      <w:lang w:eastAsia="ar-SA"/>
    </w:rPr>
  </w:style>
  <w:style w:type="paragraph" w:styleId="Heading2">
    <w:name w:val="heading 2"/>
    <w:aliases w:val="Char, Char"/>
    <w:basedOn w:val="Normal"/>
    <w:next w:val="Normal"/>
    <w:link w:val="Heading2Char"/>
    <w:uiPriority w:val="9"/>
    <w:qFormat/>
    <w:rsid w:val="005353CD"/>
    <w:pPr>
      <w:keepNext/>
      <w:numPr>
        <w:ilvl w:val="1"/>
        <w:numId w:val="1"/>
      </w:numPr>
      <w:suppressAutoHyphens/>
      <w:spacing w:after="0" w:line="240" w:lineRule="auto"/>
      <w:outlineLvl w:val="1"/>
    </w:pPr>
    <w:rPr>
      <w:rFonts w:ascii="Times New Roman" w:eastAsia="Times New Roman" w:hAnsi="Times New Roman" w:cs="Times New Roman"/>
      <w:b/>
      <w:bCs/>
      <w:sz w:val="24"/>
      <w:szCs w:val="24"/>
      <w:lang w:val="sr-Latn-CS" w:eastAsia="ar-SA"/>
    </w:rPr>
  </w:style>
  <w:style w:type="paragraph" w:styleId="Heading3">
    <w:name w:val="heading 3"/>
    <w:basedOn w:val="Normal"/>
    <w:next w:val="Normal"/>
    <w:link w:val="Heading3Char"/>
    <w:qFormat/>
    <w:rsid w:val="005353CD"/>
    <w:pPr>
      <w:keepNext/>
      <w:numPr>
        <w:ilvl w:val="2"/>
        <w:numId w:val="1"/>
      </w:numPr>
      <w:suppressAutoHyphens/>
      <w:spacing w:after="0" w:line="240" w:lineRule="auto"/>
      <w:outlineLvl w:val="2"/>
    </w:pPr>
    <w:rPr>
      <w:rFonts w:ascii="Times New Roman" w:eastAsia="Times New Roman" w:hAnsi="Times New Roman" w:cs="Times New Roman"/>
      <w:b/>
      <w:bCs/>
      <w:sz w:val="24"/>
      <w:szCs w:val="24"/>
      <w:lang w:val="sr-Latn-CS" w:eastAsia="ar-SA"/>
    </w:rPr>
  </w:style>
  <w:style w:type="paragraph" w:styleId="Heading4">
    <w:name w:val="heading 4"/>
    <w:basedOn w:val="Normal"/>
    <w:next w:val="Normal"/>
    <w:link w:val="Heading4Char"/>
    <w:qFormat/>
    <w:rsid w:val="005353CD"/>
    <w:pPr>
      <w:keepNext/>
      <w:numPr>
        <w:ilvl w:val="3"/>
        <w:numId w:val="1"/>
      </w:numPr>
      <w:suppressAutoHyphens/>
      <w:spacing w:after="0" w:line="240" w:lineRule="auto"/>
      <w:jc w:val="both"/>
      <w:outlineLvl w:val="3"/>
    </w:pPr>
    <w:rPr>
      <w:rFonts w:ascii="Times New Roman" w:eastAsia="Times New Roman" w:hAnsi="Times New Roman" w:cs="Times New Roman"/>
      <w:b/>
      <w:bCs/>
      <w:sz w:val="24"/>
      <w:szCs w:val="24"/>
      <w:lang w:val="sr-Latn-CS" w:eastAsia="ar-SA"/>
    </w:rPr>
  </w:style>
  <w:style w:type="paragraph" w:styleId="Heading5">
    <w:name w:val="heading 5"/>
    <w:basedOn w:val="Normal"/>
    <w:next w:val="Normal"/>
    <w:link w:val="Heading5Char"/>
    <w:qFormat/>
    <w:rsid w:val="005353CD"/>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Heading6">
    <w:name w:val="heading 6"/>
    <w:basedOn w:val="Normal"/>
    <w:next w:val="Normal"/>
    <w:link w:val="Heading6Char"/>
    <w:qFormat/>
    <w:rsid w:val="005353CD"/>
    <w:pPr>
      <w:numPr>
        <w:ilvl w:val="5"/>
        <w:numId w:val="1"/>
      </w:numPr>
      <w:suppressAutoHyphens/>
      <w:spacing w:before="240" w:after="60" w:line="240" w:lineRule="auto"/>
      <w:outlineLvl w:val="5"/>
    </w:pPr>
    <w:rPr>
      <w:rFonts w:ascii="Times New Roman" w:eastAsia="Times New Roman" w:hAnsi="Times New Roman" w:cs="Times New Roman"/>
      <w:b/>
      <w:bCs/>
      <w:lang w:eastAsia="ar-SA"/>
    </w:rPr>
  </w:style>
  <w:style w:type="paragraph" w:styleId="Heading7">
    <w:name w:val="heading 7"/>
    <w:basedOn w:val="Normal"/>
    <w:next w:val="Normal"/>
    <w:link w:val="Heading7Char"/>
    <w:qFormat/>
    <w:rsid w:val="005353CD"/>
    <w:pPr>
      <w:numPr>
        <w:ilvl w:val="6"/>
        <w:numId w:val="1"/>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Heading8">
    <w:name w:val="heading 8"/>
    <w:basedOn w:val="Normal"/>
    <w:next w:val="Normal"/>
    <w:link w:val="Heading8Char"/>
    <w:qFormat/>
    <w:rsid w:val="005353CD"/>
    <w:pPr>
      <w:numPr>
        <w:ilvl w:val="7"/>
        <w:numId w:val="1"/>
      </w:numPr>
      <w:suppressAutoHyphens/>
      <w:spacing w:before="240" w:after="60" w:line="240" w:lineRule="auto"/>
      <w:outlineLvl w:val="7"/>
    </w:pPr>
    <w:rPr>
      <w:rFonts w:ascii="Times New Roman" w:eastAsia="Times New Roman" w:hAnsi="Times New Roman" w:cs="Times New Roman"/>
      <w:i/>
      <w:iCs/>
      <w:sz w:val="24"/>
      <w:szCs w:val="24"/>
      <w:lang w:eastAsia="ar-SA"/>
    </w:rPr>
  </w:style>
  <w:style w:type="paragraph" w:styleId="Heading9">
    <w:name w:val="heading 9"/>
    <w:basedOn w:val="Normal"/>
    <w:next w:val="Normal"/>
    <w:link w:val="Heading9Char"/>
    <w:qFormat/>
    <w:rsid w:val="005353CD"/>
    <w:pPr>
      <w:numPr>
        <w:ilvl w:val="8"/>
        <w:numId w:val="1"/>
      </w:numPr>
      <w:suppressAutoHyphens/>
      <w:spacing w:before="240" w:after="60" w:line="240" w:lineRule="auto"/>
      <w:outlineLvl w:val="8"/>
    </w:pPr>
    <w:rPr>
      <w:rFonts w:ascii="Arial" w:eastAsia="Times New Roman" w:hAnsi="Arial" w:cs="Arial"/>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56492"/>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856492"/>
    <w:rPr>
      <w:rFonts w:eastAsiaTheme="minorEastAsia"/>
      <w:lang w:val="en-US" w:eastAsia="ja-JP"/>
    </w:rPr>
  </w:style>
  <w:style w:type="paragraph" w:styleId="BalloonText">
    <w:name w:val="Balloon Text"/>
    <w:basedOn w:val="Normal"/>
    <w:link w:val="BalloonTextChar"/>
    <w:uiPriority w:val="99"/>
    <w:unhideWhenUsed/>
    <w:rsid w:val="008564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6492"/>
    <w:rPr>
      <w:rFonts w:ascii="Tahoma" w:hAnsi="Tahoma" w:cs="Tahoma"/>
      <w:sz w:val="16"/>
      <w:szCs w:val="16"/>
    </w:rPr>
  </w:style>
  <w:style w:type="table" w:styleId="TableGrid">
    <w:name w:val="Table Grid"/>
    <w:basedOn w:val="TableNormal"/>
    <w:uiPriority w:val="59"/>
    <w:rsid w:val="008564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56492"/>
    <w:pPr>
      <w:tabs>
        <w:tab w:val="center" w:pos="4536"/>
        <w:tab w:val="right" w:pos="9072"/>
      </w:tabs>
      <w:spacing w:after="0" w:line="240" w:lineRule="auto"/>
    </w:pPr>
  </w:style>
  <w:style w:type="character" w:customStyle="1" w:styleId="HeaderChar">
    <w:name w:val="Header Char"/>
    <w:basedOn w:val="DefaultParagraphFont"/>
    <w:link w:val="Header"/>
    <w:uiPriority w:val="99"/>
    <w:rsid w:val="00856492"/>
  </w:style>
  <w:style w:type="paragraph" w:styleId="Footer">
    <w:name w:val="footer"/>
    <w:basedOn w:val="Normal"/>
    <w:link w:val="FooterChar"/>
    <w:uiPriority w:val="99"/>
    <w:unhideWhenUsed/>
    <w:rsid w:val="00856492"/>
    <w:pPr>
      <w:tabs>
        <w:tab w:val="center" w:pos="4536"/>
        <w:tab w:val="right" w:pos="9072"/>
      </w:tabs>
      <w:spacing w:after="0" w:line="240" w:lineRule="auto"/>
    </w:pPr>
  </w:style>
  <w:style w:type="character" w:customStyle="1" w:styleId="FooterChar">
    <w:name w:val="Footer Char"/>
    <w:basedOn w:val="DefaultParagraphFont"/>
    <w:link w:val="Footer"/>
    <w:uiPriority w:val="99"/>
    <w:rsid w:val="00856492"/>
  </w:style>
  <w:style w:type="character" w:styleId="Hyperlink">
    <w:name w:val="Hyperlink"/>
    <w:uiPriority w:val="99"/>
    <w:rsid w:val="00856492"/>
    <w:rPr>
      <w:color w:val="333366"/>
      <w:u w:val="none"/>
      <w:effect w:val="none"/>
    </w:rPr>
  </w:style>
  <w:style w:type="paragraph" w:customStyle="1" w:styleId="2909F619802848F09E01365C32F34654">
    <w:name w:val="2909F619802848F09E01365C32F34654"/>
    <w:rsid w:val="00856492"/>
    <w:rPr>
      <w:rFonts w:eastAsiaTheme="minorEastAsia"/>
      <w:lang w:eastAsia="ja-JP"/>
    </w:rPr>
  </w:style>
  <w:style w:type="character" w:customStyle="1" w:styleId="Heading1Char">
    <w:name w:val="Heading 1 Char"/>
    <w:basedOn w:val="DefaultParagraphFont"/>
    <w:link w:val="Heading1"/>
    <w:rsid w:val="005353CD"/>
    <w:rPr>
      <w:rFonts w:ascii="Arial" w:eastAsia="Times New Roman" w:hAnsi="Arial" w:cs="Arial"/>
      <w:b/>
      <w:bCs/>
      <w:sz w:val="16"/>
      <w:szCs w:val="16"/>
      <w:lang w:eastAsia="ar-SA"/>
    </w:rPr>
  </w:style>
  <w:style w:type="character" w:customStyle="1" w:styleId="Heading2Char">
    <w:name w:val="Heading 2 Char"/>
    <w:aliases w:val="Char Char, Char Char"/>
    <w:basedOn w:val="DefaultParagraphFont"/>
    <w:link w:val="Heading2"/>
    <w:rsid w:val="005353CD"/>
    <w:rPr>
      <w:rFonts w:ascii="Times New Roman" w:eastAsia="Times New Roman" w:hAnsi="Times New Roman" w:cs="Times New Roman"/>
      <w:b/>
      <w:bCs/>
      <w:sz w:val="24"/>
      <w:szCs w:val="24"/>
      <w:lang w:val="sr-Latn-CS" w:eastAsia="ar-SA"/>
    </w:rPr>
  </w:style>
  <w:style w:type="character" w:customStyle="1" w:styleId="Heading3Char">
    <w:name w:val="Heading 3 Char"/>
    <w:basedOn w:val="DefaultParagraphFont"/>
    <w:link w:val="Heading3"/>
    <w:rsid w:val="005353CD"/>
    <w:rPr>
      <w:rFonts w:ascii="Times New Roman" w:eastAsia="Times New Roman" w:hAnsi="Times New Roman" w:cs="Times New Roman"/>
      <w:b/>
      <w:bCs/>
      <w:sz w:val="24"/>
      <w:szCs w:val="24"/>
      <w:lang w:val="sr-Latn-CS" w:eastAsia="ar-SA"/>
    </w:rPr>
  </w:style>
  <w:style w:type="character" w:customStyle="1" w:styleId="Heading4Char">
    <w:name w:val="Heading 4 Char"/>
    <w:basedOn w:val="DefaultParagraphFont"/>
    <w:link w:val="Heading4"/>
    <w:rsid w:val="005353CD"/>
    <w:rPr>
      <w:rFonts w:ascii="Times New Roman" w:eastAsia="Times New Roman" w:hAnsi="Times New Roman" w:cs="Times New Roman"/>
      <w:b/>
      <w:bCs/>
      <w:sz w:val="24"/>
      <w:szCs w:val="24"/>
      <w:lang w:val="sr-Latn-CS" w:eastAsia="ar-SA"/>
    </w:rPr>
  </w:style>
  <w:style w:type="character" w:customStyle="1" w:styleId="Heading5Char">
    <w:name w:val="Heading 5 Char"/>
    <w:basedOn w:val="DefaultParagraphFont"/>
    <w:link w:val="Heading5"/>
    <w:rsid w:val="005353CD"/>
    <w:rPr>
      <w:rFonts w:ascii="Times New Roman" w:eastAsia="Times New Roman" w:hAnsi="Times New Roman" w:cs="Times New Roman"/>
      <w:b/>
      <w:bCs/>
      <w:i/>
      <w:iCs/>
      <w:sz w:val="26"/>
      <w:szCs w:val="26"/>
      <w:lang w:eastAsia="ar-SA"/>
    </w:rPr>
  </w:style>
  <w:style w:type="character" w:customStyle="1" w:styleId="Heading6Char">
    <w:name w:val="Heading 6 Char"/>
    <w:basedOn w:val="DefaultParagraphFont"/>
    <w:link w:val="Heading6"/>
    <w:rsid w:val="005353CD"/>
    <w:rPr>
      <w:rFonts w:ascii="Times New Roman" w:eastAsia="Times New Roman" w:hAnsi="Times New Roman" w:cs="Times New Roman"/>
      <w:b/>
      <w:bCs/>
      <w:lang w:eastAsia="ar-SA"/>
    </w:rPr>
  </w:style>
  <w:style w:type="character" w:customStyle="1" w:styleId="Heading7Char">
    <w:name w:val="Heading 7 Char"/>
    <w:basedOn w:val="DefaultParagraphFont"/>
    <w:link w:val="Heading7"/>
    <w:rsid w:val="005353CD"/>
    <w:rPr>
      <w:rFonts w:ascii="Times New Roman" w:eastAsia="Times New Roman" w:hAnsi="Times New Roman" w:cs="Times New Roman"/>
      <w:sz w:val="24"/>
      <w:szCs w:val="24"/>
      <w:lang w:eastAsia="ar-SA"/>
    </w:rPr>
  </w:style>
  <w:style w:type="character" w:customStyle="1" w:styleId="Heading8Char">
    <w:name w:val="Heading 8 Char"/>
    <w:basedOn w:val="DefaultParagraphFont"/>
    <w:link w:val="Heading8"/>
    <w:rsid w:val="005353CD"/>
    <w:rPr>
      <w:rFonts w:ascii="Times New Roman" w:eastAsia="Times New Roman" w:hAnsi="Times New Roman" w:cs="Times New Roman"/>
      <w:i/>
      <w:iCs/>
      <w:sz w:val="24"/>
      <w:szCs w:val="24"/>
      <w:lang w:eastAsia="ar-SA"/>
    </w:rPr>
  </w:style>
  <w:style w:type="character" w:customStyle="1" w:styleId="Heading9Char">
    <w:name w:val="Heading 9 Char"/>
    <w:basedOn w:val="DefaultParagraphFont"/>
    <w:link w:val="Heading9"/>
    <w:rsid w:val="005353CD"/>
    <w:rPr>
      <w:rFonts w:ascii="Arial" w:eastAsia="Times New Roman" w:hAnsi="Arial" w:cs="Arial"/>
      <w:lang w:eastAsia="ar-SA"/>
    </w:rPr>
  </w:style>
  <w:style w:type="paragraph" w:styleId="Subtitle">
    <w:name w:val="Subtitle"/>
    <w:basedOn w:val="Normal"/>
    <w:next w:val="BodyText"/>
    <w:link w:val="SubtitleChar"/>
    <w:qFormat/>
    <w:rsid w:val="005353CD"/>
    <w:pPr>
      <w:keepNext/>
      <w:suppressAutoHyphens/>
      <w:spacing w:before="240" w:after="120" w:line="240" w:lineRule="auto"/>
      <w:jc w:val="center"/>
    </w:pPr>
    <w:rPr>
      <w:rFonts w:ascii="Arial" w:eastAsia="MS Mincho" w:hAnsi="Arial" w:cs="Arial"/>
      <w:i/>
      <w:iCs/>
      <w:sz w:val="28"/>
      <w:szCs w:val="28"/>
      <w:lang w:eastAsia="ar-SA"/>
    </w:rPr>
  </w:style>
  <w:style w:type="character" w:customStyle="1" w:styleId="SubtitleChar">
    <w:name w:val="Subtitle Char"/>
    <w:basedOn w:val="DefaultParagraphFont"/>
    <w:link w:val="Subtitle"/>
    <w:rsid w:val="005353CD"/>
    <w:rPr>
      <w:rFonts w:ascii="Arial" w:eastAsia="MS Mincho" w:hAnsi="Arial" w:cs="Arial"/>
      <w:i/>
      <w:iCs/>
      <w:sz w:val="28"/>
      <w:szCs w:val="28"/>
      <w:lang w:val="en-US" w:eastAsia="ar-SA"/>
    </w:rPr>
  </w:style>
  <w:style w:type="paragraph" w:styleId="BodyText">
    <w:name w:val="Body Text"/>
    <w:aliases w:val="Char1, Char5"/>
    <w:basedOn w:val="Normal"/>
    <w:link w:val="BodyTextChar"/>
    <w:uiPriority w:val="99"/>
    <w:unhideWhenUsed/>
    <w:rsid w:val="005353CD"/>
    <w:pPr>
      <w:spacing w:after="120"/>
    </w:pPr>
  </w:style>
  <w:style w:type="character" w:customStyle="1" w:styleId="BodyTextChar">
    <w:name w:val="Body Text Char"/>
    <w:aliases w:val="Char1 Char, Char5 Char"/>
    <w:basedOn w:val="DefaultParagraphFont"/>
    <w:link w:val="BodyText"/>
    <w:uiPriority w:val="99"/>
    <w:rsid w:val="005353CD"/>
  </w:style>
  <w:style w:type="character" w:styleId="IntenseEmphasis">
    <w:name w:val="Intense Emphasis"/>
    <w:basedOn w:val="DefaultParagraphFont"/>
    <w:uiPriority w:val="21"/>
    <w:qFormat/>
    <w:rsid w:val="002A54DA"/>
    <w:rPr>
      <w:b/>
      <w:bCs/>
      <w:i/>
      <w:iCs/>
      <w:color w:val="4F81BD" w:themeColor="accent1"/>
    </w:rPr>
  </w:style>
  <w:style w:type="paragraph" w:styleId="ListParagraph">
    <w:name w:val="List Paragraph"/>
    <w:basedOn w:val="Normal"/>
    <w:link w:val="ListParagraphChar"/>
    <w:qFormat/>
    <w:rsid w:val="00003262"/>
    <w:pPr>
      <w:ind w:left="720"/>
      <w:contextualSpacing/>
    </w:pPr>
  </w:style>
  <w:style w:type="table" w:styleId="ColorfulGrid-Accent1">
    <w:name w:val="Colorful Grid Accent 1"/>
    <w:basedOn w:val="TableNormal"/>
    <w:uiPriority w:val="73"/>
    <w:rsid w:val="00A12FD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LightShading-Accent11">
    <w:name w:val="Light Shading - Accent 11"/>
    <w:basedOn w:val="TableNormal"/>
    <w:uiPriority w:val="60"/>
    <w:rsid w:val="00A12FD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Poudarek">
    <w:name w:val="Poudarek"/>
    <w:basedOn w:val="Normal"/>
    <w:rsid w:val="00DB4DCD"/>
    <w:pPr>
      <w:spacing w:after="0" w:line="240" w:lineRule="auto"/>
      <w:jc w:val="right"/>
    </w:pPr>
    <w:rPr>
      <w:rFonts w:ascii="Arial" w:eastAsia="Times New Roman" w:hAnsi="Arial" w:cs="Arial"/>
      <w:b/>
      <w:bCs/>
      <w:color w:val="000080"/>
      <w:sz w:val="16"/>
      <w:szCs w:val="20"/>
      <w:lang w:val="sl-SI"/>
    </w:rPr>
  </w:style>
  <w:style w:type="paragraph" w:styleId="TOCHeading">
    <w:name w:val="TOC Heading"/>
    <w:basedOn w:val="Heading1"/>
    <w:next w:val="Normal"/>
    <w:uiPriority w:val="39"/>
    <w:unhideWhenUsed/>
    <w:qFormat/>
    <w:rsid w:val="00801C6B"/>
    <w:pPr>
      <w:keepLines/>
      <w:numPr>
        <w:numId w:val="0"/>
      </w:numPr>
      <w:suppressAutoHyphens w:val="0"/>
      <w:spacing w:before="480" w:line="276" w:lineRule="auto"/>
      <w:jc w:val="left"/>
      <w:outlineLvl w:val="9"/>
    </w:pPr>
    <w:rPr>
      <w:rFonts w:asciiTheme="majorHAnsi" w:eastAsiaTheme="majorEastAsia" w:hAnsiTheme="majorHAnsi" w:cstheme="majorBidi"/>
      <w:color w:val="365F91" w:themeColor="accent1" w:themeShade="BF"/>
      <w:sz w:val="28"/>
      <w:szCs w:val="28"/>
      <w:lang w:eastAsia="ja-JP"/>
    </w:rPr>
  </w:style>
  <w:style w:type="paragraph" w:styleId="TOC1">
    <w:name w:val="toc 1"/>
    <w:basedOn w:val="Normal"/>
    <w:next w:val="Normal"/>
    <w:autoRedefine/>
    <w:uiPriority w:val="39"/>
    <w:unhideWhenUsed/>
    <w:qFormat/>
    <w:rsid w:val="007438DB"/>
    <w:pPr>
      <w:tabs>
        <w:tab w:val="left" w:pos="440"/>
        <w:tab w:val="right" w:leader="dot" w:pos="9062"/>
      </w:tabs>
      <w:spacing w:after="100"/>
      <w:ind w:left="425" w:hanging="425"/>
    </w:pPr>
    <w:rPr>
      <w:rFonts w:asciiTheme="majorHAnsi" w:hAnsiTheme="majorHAnsi" w:cs="Tahoma"/>
      <w:b/>
      <w:i/>
      <w:noProof/>
      <w:color w:val="365F91" w:themeColor="accent1" w:themeShade="BF"/>
      <w:sz w:val="20"/>
    </w:rPr>
  </w:style>
  <w:style w:type="table" w:customStyle="1" w:styleId="MediumList1-Accent11">
    <w:name w:val="Medium List 1 - Accent 11"/>
    <w:basedOn w:val="TableNormal"/>
    <w:uiPriority w:val="65"/>
    <w:rsid w:val="00EE19E9"/>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111">
    <w:name w:val="Medium List 1 - Accent 111"/>
    <w:basedOn w:val="TableNormal"/>
    <w:uiPriority w:val="65"/>
    <w:rsid w:val="00BA732E"/>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paragraph" w:styleId="TOC3">
    <w:name w:val="toc 3"/>
    <w:basedOn w:val="Normal"/>
    <w:next w:val="Normal"/>
    <w:autoRedefine/>
    <w:uiPriority w:val="39"/>
    <w:unhideWhenUsed/>
    <w:qFormat/>
    <w:rsid w:val="001A3F64"/>
    <w:pPr>
      <w:spacing w:after="100"/>
      <w:ind w:left="440"/>
    </w:pPr>
  </w:style>
  <w:style w:type="character" w:customStyle="1" w:styleId="ListParagraphChar">
    <w:name w:val="List Paragraph Char"/>
    <w:link w:val="ListParagraph"/>
    <w:locked/>
    <w:rsid w:val="007D05A5"/>
  </w:style>
  <w:style w:type="table" w:styleId="LightShading-Accent2">
    <w:name w:val="Light Shading Accent 2"/>
    <w:basedOn w:val="TableNormal"/>
    <w:uiPriority w:val="60"/>
    <w:rsid w:val="00CE5244"/>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ColorfulList-Accent1">
    <w:name w:val="Colorful List Accent 1"/>
    <w:basedOn w:val="TableNormal"/>
    <w:uiPriority w:val="72"/>
    <w:rsid w:val="00095D5A"/>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customStyle="1" w:styleId="MediumList1-Accent112">
    <w:name w:val="Medium List 1 - Accent 112"/>
    <w:basedOn w:val="TableNormal"/>
    <w:uiPriority w:val="65"/>
    <w:rsid w:val="00EC4243"/>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113">
    <w:name w:val="Medium List 1 - Accent 113"/>
    <w:basedOn w:val="TableNormal"/>
    <w:uiPriority w:val="65"/>
    <w:rsid w:val="00107683"/>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114">
    <w:name w:val="Medium List 1 - Accent 114"/>
    <w:basedOn w:val="TableNormal"/>
    <w:uiPriority w:val="65"/>
    <w:rsid w:val="00107683"/>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115">
    <w:name w:val="Medium List 1 - Accent 115"/>
    <w:basedOn w:val="TableNormal"/>
    <w:uiPriority w:val="65"/>
    <w:rsid w:val="00107683"/>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116">
    <w:name w:val="Medium List 1 - Accent 116"/>
    <w:basedOn w:val="TableNormal"/>
    <w:uiPriority w:val="65"/>
    <w:rsid w:val="00107683"/>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117">
    <w:name w:val="Medium List 1 - Accent 117"/>
    <w:basedOn w:val="TableNormal"/>
    <w:uiPriority w:val="65"/>
    <w:rsid w:val="00107683"/>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118">
    <w:name w:val="Medium List 1 - Accent 118"/>
    <w:basedOn w:val="TableNormal"/>
    <w:uiPriority w:val="65"/>
    <w:rsid w:val="00107683"/>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119">
    <w:name w:val="Medium List 1 - Accent 119"/>
    <w:basedOn w:val="TableNormal"/>
    <w:uiPriority w:val="65"/>
    <w:rsid w:val="00107683"/>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1110">
    <w:name w:val="Medium List 1 - Accent 1110"/>
    <w:basedOn w:val="TableNormal"/>
    <w:uiPriority w:val="65"/>
    <w:rsid w:val="00107683"/>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1111">
    <w:name w:val="Medium List 1 - Accent 1111"/>
    <w:basedOn w:val="TableNormal"/>
    <w:uiPriority w:val="65"/>
    <w:rsid w:val="00612AE3"/>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1112">
    <w:name w:val="Medium List 1 - Accent 1112"/>
    <w:basedOn w:val="TableNormal"/>
    <w:uiPriority w:val="65"/>
    <w:rsid w:val="00612AE3"/>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1113">
    <w:name w:val="Medium List 1 - Accent 1113"/>
    <w:basedOn w:val="TableNormal"/>
    <w:uiPriority w:val="65"/>
    <w:rsid w:val="00612AE3"/>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1114">
    <w:name w:val="Medium List 1 - Accent 1114"/>
    <w:basedOn w:val="TableNormal"/>
    <w:uiPriority w:val="65"/>
    <w:rsid w:val="00612AE3"/>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1115">
    <w:name w:val="Medium List 1 - Accent 1115"/>
    <w:basedOn w:val="TableNormal"/>
    <w:uiPriority w:val="65"/>
    <w:rsid w:val="00612AE3"/>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WW8Num2z0">
    <w:name w:val="WW8Num2z0"/>
    <w:rsid w:val="008C2B46"/>
    <w:rPr>
      <w:rFonts w:ascii="Symbol" w:hAnsi="Symbol" w:cs="Symbol"/>
      <w:color w:val="auto"/>
      <w:sz w:val="24"/>
      <w:szCs w:val="24"/>
    </w:rPr>
  </w:style>
  <w:style w:type="character" w:customStyle="1" w:styleId="WW8Num4z0">
    <w:name w:val="WW8Num4z0"/>
    <w:rsid w:val="008C2B46"/>
    <w:rPr>
      <w:rFonts w:ascii="Wingdings" w:hAnsi="Wingdings" w:cs="Wingdings"/>
    </w:rPr>
  </w:style>
  <w:style w:type="character" w:customStyle="1" w:styleId="WW8Num5z0">
    <w:name w:val="WW8Num5z0"/>
    <w:rsid w:val="008C2B46"/>
    <w:rPr>
      <w:rFonts w:ascii="Symbol" w:hAnsi="Symbol" w:cs="Symbol"/>
    </w:rPr>
  </w:style>
  <w:style w:type="character" w:customStyle="1" w:styleId="WW8Num5z1">
    <w:name w:val="WW8Num5z1"/>
    <w:rsid w:val="008C2B46"/>
    <w:rPr>
      <w:rFonts w:ascii="Times New Roman" w:hAnsi="Times New Roman" w:cs="Times New Roman"/>
    </w:rPr>
  </w:style>
  <w:style w:type="character" w:customStyle="1" w:styleId="WW8Num5z2">
    <w:name w:val="WW8Num5z2"/>
    <w:rsid w:val="008C2B46"/>
    <w:rPr>
      <w:rFonts w:ascii="Wingdings" w:hAnsi="Wingdings" w:cs="Wingdings"/>
    </w:rPr>
  </w:style>
  <w:style w:type="character" w:customStyle="1" w:styleId="WW8Num5z4">
    <w:name w:val="WW8Num5z4"/>
    <w:rsid w:val="008C2B46"/>
    <w:rPr>
      <w:rFonts w:ascii="Courier New" w:hAnsi="Courier New" w:cs="Courier New"/>
    </w:rPr>
  </w:style>
  <w:style w:type="character" w:customStyle="1" w:styleId="Absatz-Standardschriftart">
    <w:name w:val="Absatz-Standardschriftart"/>
    <w:rsid w:val="008C2B46"/>
  </w:style>
  <w:style w:type="character" w:customStyle="1" w:styleId="WW8Num1z0">
    <w:name w:val="WW8Num1z0"/>
    <w:rsid w:val="008C2B46"/>
    <w:rPr>
      <w:rFonts w:ascii="Symbol" w:hAnsi="Symbol" w:cs="Symbol"/>
    </w:rPr>
  </w:style>
  <w:style w:type="character" w:customStyle="1" w:styleId="WW8Num1z1">
    <w:name w:val="WW8Num1z1"/>
    <w:rsid w:val="008C2B46"/>
    <w:rPr>
      <w:rFonts w:ascii="Courier New" w:hAnsi="Courier New" w:cs="Courier New"/>
    </w:rPr>
  </w:style>
  <w:style w:type="character" w:customStyle="1" w:styleId="WW8Num1z2">
    <w:name w:val="WW8Num1z2"/>
    <w:rsid w:val="008C2B46"/>
    <w:rPr>
      <w:rFonts w:ascii="Wingdings" w:hAnsi="Wingdings" w:cs="Wingdings"/>
    </w:rPr>
  </w:style>
  <w:style w:type="character" w:customStyle="1" w:styleId="WW8Num2z1">
    <w:name w:val="WW8Num2z1"/>
    <w:rsid w:val="008C2B46"/>
    <w:rPr>
      <w:rFonts w:ascii="Courier New" w:hAnsi="Courier New" w:cs="Courier New"/>
    </w:rPr>
  </w:style>
  <w:style w:type="character" w:customStyle="1" w:styleId="WW8Num2z2">
    <w:name w:val="WW8Num2z2"/>
    <w:rsid w:val="008C2B46"/>
    <w:rPr>
      <w:rFonts w:ascii="Wingdings" w:hAnsi="Wingdings" w:cs="Wingdings"/>
    </w:rPr>
  </w:style>
  <w:style w:type="character" w:customStyle="1" w:styleId="WW8Num2z3">
    <w:name w:val="WW8Num2z3"/>
    <w:rsid w:val="008C2B46"/>
    <w:rPr>
      <w:rFonts w:ascii="Symbol" w:hAnsi="Symbol" w:cs="Symbol"/>
    </w:rPr>
  </w:style>
  <w:style w:type="character" w:customStyle="1" w:styleId="WW8Num3z0">
    <w:name w:val="WW8Num3z0"/>
    <w:rsid w:val="008C2B46"/>
    <w:rPr>
      <w:u w:val="none"/>
    </w:rPr>
  </w:style>
  <w:style w:type="character" w:customStyle="1" w:styleId="WW8Num4z1">
    <w:name w:val="WW8Num4z1"/>
    <w:rsid w:val="008C2B46"/>
    <w:rPr>
      <w:rFonts w:ascii="Courier New" w:hAnsi="Courier New" w:cs="Courier New"/>
    </w:rPr>
  </w:style>
  <w:style w:type="character" w:customStyle="1" w:styleId="WW8Num4z3">
    <w:name w:val="WW8Num4z3"/>
    <w:rsid w:val="008C2B46"/>
    <w:rPr>
      <w:rFonts w:ascii="Symbol" w:hAnsi="Symbol" w:cs="Symbol"/>
    </w:rPr>
  </w:style>
  <w:style w:type="character" w:customStyle="1" w:styleId="WW8Num7z0">
    <w:name w:val="WW8Num7z0"/>
    <w:rsid w:val="008C2B46"/>
    <w:rPr>
      <w:rFonts w:ascii="Symbol" w:hAnsi="Symbol" w:cs="Symbol"/>
    </w:rPr>
  </w:style>
  <w:style w:type="character" w:customStyle="1" w:styleId="WW8Num8z0">
    <w:name w:val="WW8Num8z0"/>
    <w:rsid w:val="008C2B46"/>
    <w:rPr>
      <w:rFonts w:ascii="Times New Roman" w:hAnsi="Times New Roman" w:cs="Times New Roman"/>
    </w:rPr>
  </w:style>
  <w:style w:type="character" w:customStyle="1" w:styleId="WW8Num8z1">
    <w:name w:val="WW8Num8z1"/>
    <w:rsid w:val="008C2B46"/>
    <w:rPr>
      <w:rFonts w:ascii="Courier New" w:hAnsi="Courier New" w:cs="Courier New"/>
    </w:rPr>
  </w:style>
  <w:style w:type="character" w:customStyle="1" w:styleId="WW8Num8z2">
    <w:name w:val="WW8Num8z2"/>
    <w:rsid w:val="008C2B46"/>
    <w:rPr>
      <w:rFonts w:ascii="Wingdings" w:hAnsi="Wingdings" w:cs="Wingdings"/>
    </w:rPr>
  </w:style>
  <w:style w:type="character" w:customStyle="1" w:styleId="WW8Num8z3">
    <w:name w:val="WW8Num8z3"/>
    <w:rsid w:val="008C2B46"/>
    <w:rPr>
      <w:rFonts w:ascii="Symbol" w:hAnsi="Symbol" w:cs="Symbol"/>
    </w:rPr>
  </w:style>
  <w:style w:type="character" w:customStyle="1" w:styleId="WW8Num9z0">
    <w:name w:val="WW8Num9z0"/>
    <w:rsid w:val="008C2B46"/>
    <w:rPr>
      <w:rFonts w:ascii="Symbol" w:hAnsi="Symbol" w:cs="Symbol"/>
    </w:rPr>
  </w:style>
  <w:style w:type="character" w:customStyle="1" w:styleId="WW8Num9z1">
    <w:name w:val="WW8Num9z1"/>
    <w:rsid w:val="008C2B46"/>
    <w:rPr>
      <w:rFonts w:ascii="Times New Roman" w:hAnsi="Times New Roman" w:cs="Times New Roman"/>
    </w:rPr>
  </w:style>
  <w:style w:type="character" w:customStyle="1" w:styleId="WW8Num9z2">
    <w:name w:val="WW8Num9z2"/>
    <w:rsid w:val="008C2B46"/>
    <w:rPr>
      <w:rFonts w:ascii="Wingdings" w:hAnsi="Wingdings" w:cs="Wingdings"/>
    </w:rPr>
  </w:style>
  <w:style w:type="character" w:customStyle="1" w:styleId="WW8Num9z4">
    <w:name w:val="WW8Num9z4"/>
    <w:rsid w:val="008C2B46"/>
    <w:rPr>
      <w:rFonts w:ascii="Courier New" w:hAnsi="Courier New" w:cs="Courier New"/>
    </w:rPr>
  </w:style>
  <w:style w:type="character" w:customStyle="1" w:styleId="WW-DefaultParagraphFont">
    <w:name w:val="WW-Default Paragraph Font"/>
    <w:rsid w:val="008C2B46"/>
  </w:style>
  <w:style w:type="character" w:styleId="PageNumber">
    <w:name w:val="page number"/>
    <w:basedOn w:val="WW-DefaultParagraphFont"/>
    <w:rsid w:val="008C2B46"/>
  </w:style>
  <w:style w:type="character" w:customStyle="1" w:styleId="NumberingSymbols">
    <w:name w:val="Numbering Symbols"/>
    <w:rsid w:val="008C2B46"/>
  </w:style>
  <w:style w:type="paragraph" w:customStyle="1" w:styleId="Heading">
    <w:name w:val="Heading"/>
    <w:basedOn w:val="Normal"/>
    <w:next w:val="BodyText"/>
    <w:rsid w:val="008C2B46"/>
    <w:pPr>
      <w:keepNext/>
      <w:suppressAutoHyphens/>
      <w:spacing w:before="240" w:after="120" w:line="240" w:lineRule="auto"/>
    </w:pPr>
    <w:rPr>
      <w:rFonts w:ascii="Arial" w:eastAsia="MS Mincho" w:hAnsi="Arial" w:cs="Arial"/>
      <w:sz w:val="28"/>
      <w:szCs w:val="28"/>
      <w:lang w:eastAsia="ar-SA"/>
    </w:rPr>
  </w:style>
  <w:style w:type="paragraph" w:styleId="List">
    <w:name w:val="List"/>
    <w:basedOn w:val="BodyText"/>
    <w:rsid w:val="008C2B46"/>
    <w:pPr>
      <w:suppressAutoHyphens/>
      <w:spacing w:after="0" w:line="240" w:lineRule="auto"/>
      <w:jc w:val="both"/>
    </w:pPr>
    <w:rPr>
      <w:rFonts w:ascii="Times New Roman" w:eastAsia="Times New Roman" w:hAnsi="Times New Roman" w:cs="Times New Roman"/>
      <w:sz w:val="24"/>
      <w:szCs w:val="24"/>
      <w:lang w:val="sr-Latn-CS" w:eastAsia="ar-SA"/>
    </w:rPr>
  </w:style>
  <w:style w:type="paragraph" w:styleId="Caption">
    <w:name w:val="caption"/>
    <w:basedOn w:val="Normal"/>
    <w:qFormat/>
    <w:rsid w:val="008C2B46"/>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Index">
    <w:name w:val="Index"/>
    <w:basedOn w:val="Normal"/>
    <w:rsid w:val="008C2B46"/>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NormalWeb">
    <w:name w:val="Normal (Web)"/>
    <w:basedOn w:val="Normal"/>
    <w:rsid w:val="008C2B46"/>
    <w:pPr>
      <w:suppressAutoHyphens/>
      <w:spacing w:before="280" w:after="280" w:line="240" w:lineRule="auto"/>
    </w:pPr>
    <w:rPr>
      <w:rFonts w:ascii="Times New Roman" w:eastAsia="Times New Roman" w:hAnsi="Times New Roman" w:cs="Times New Roman"/>
      <w:sz w:val="24"/>
      <w:szCs w:val="24"/>
      <w:lang w:eastAsia="ar-SA"/>
    </w:rPr>
  </w:style>
  <w:style w:type="paragraph" w:styleId="Title">
    <w:name w:val="Title"/>
    <w:basedOn w:val="Normal"/>
    <w:next w:val="Subtitle"/>
    <w:link w:val="TitleChar"/>
    <w:qFormat/>
    <w:rsid w:val="008C2B46"/>
    <w:pPr>
      <w:suppressAutoHyphens/>
      <w:spacing w:after="0" w:line="240" w:lineRule="auto"/>
      <w:jc w:val="center"/>
    </w:pPr>
    <w:rPr>
      <w:rFonts w:ascii="Times New Roman" w:eastAsia="Times New Roman" w:hAnsi="Times New Roman" w:cs="Times New Roman"/>
      <w:b/>
      <w:bCs/>
      <w:sz w:val="28"/>
      <w:szCs w:val="28"/>
      <w:lang w:val="sr-Latn-CS" w:eastAsia="ar-SA"/>
    </w:rPr>
  </w:style>
  <w:style w:type="character" w:customStyle="1" w:styleId="TitleChar">
    <w:name w:val="Title Char"/>
    <w:basedOn w:val="DefaultParagraphFont"/>
    <w:link w:val="Title"/>
    <w:rsid w:val="008C2B46"/>
    <w:rPr>
      <w:rFonts w:ascii="Times New Roman" w:eastAsia="Times New Roman" w:hAnsi="Times New Roman" w:cs="Times New Roman"/>
      <w:b/>
      <w:bCs/>
      <w:sz w:val="28"/>
      <w:szCs w:val="28"/>
      <w:lang w:val="sr-Latn-CS" w:eastAsia="ar-SA"/>
    </w:rPr>
  </w:style>
  <w:style w:type="paragraph" w:styleId="BodyText2">
    <w:name w:val="Body Text 2"/>
    <w:basedOn w:val="Normal"/>
    <w:link w:val="BodyText2Char"/>
    <w:rsid w:val="008C2B46"/>
    <w:pPr>
      <w:suppressAutoHyphens/>
      <w:spacing w:after="120" w:line="480" w:lineRule="auto"/>
    </w:pPr>
    <w:rPr>
      <w:rFonts w:ascii="Times New Roman" w:eastAsia="Times New Roman" w:hAnsi="Times New Roman" w:cs="Times New Roman"/>
      <w:sz w:val="24"/>
      <w:szCs w:val="24"/>
      <w:lang w:eastAsia="ar-SA"/>
    </w:rPr>
  </w:style>
  <w:style w:type="character" w:customStyle="1" w:styleId="BodyText2Char">
    <w:name w:val="Body Text 2 Char"/>
    <w:basedOn w:val="DefaultParagraphFont"/>
    <w:link w:val="BodyText2"/>
    <w:rsid w:val="008C2B46"/>
    <w:rPr>
      <w:rFonts w:ascii="Times New Roman" w:eastAsia="Times New Roman" w:hAnsi="Times New Roman" w:cs="Times New Roman"/>
      <w:sz w:val="24"/>
      <w:szCs w:val="24"/>
      <w:lang w:eastAsia="ar-SA"/>
    </w:rPr>
  </w:style>
  <w:style w:type="paragraph" w:styleId="BodyTextIndent2">
    <w:name w:val="Body Text Indent 2"/>
    <w:basedOn w:val="Normal"/>
    <w:link w:val="BodyTextIndent2Char"/>
    <w:rsid w:val="008C2B46"/>
    <w:pPr>
      <w:suppressAutoHyphens/>
      <w:spacing w:after="0" w:line="240" w:lineRule="auto"/>
      <w:ind w:left="720"/>
      <w:jc w:val="both"/>
    </w:pPr>
    <w:rPr>
      <w:rFonts w:ascii="Times New Roman" w:eastAsia="Times New Roman" w:hAnsi="Times New Roman" w:cs="Times New Roman"/>
      <w:sz w:val="24"/>
      <w:szCs w:val="24"/>
      <w:lang w:val="sr-Latn-CS" w:eastAsia="ar-SA"/>
    </w:rPr>
  </w:style>
  <w:style w:type="character" w:customStyle="1" w:styleId="BodyTextIndent2Char">
    <w:name w:val="Body Text Indent 2 Char"/>
    <w:basedOn w:val="DefaultParagraphFont"/>
    <w:link w:val="BodyTextIndent2"/>
    <w:rsid w:val="008C2B46"/>
    <w:rPr>
      <w:rFonts w:ascii="Times New Roman" w:eastAsia="Times New Roman" w:hAnsi="Times New Roman" w:cs="Times New Roman"/>
      <w:sz w:val="24"/>
      <w:szCs w:val="24"/>
      <w:lang w:val="sr-Latn-CS" w:eastAsia="ar-SA"/>
    </w:rPr>
  </w:style>
  <w:style w:type="paragraph" w:styleId="BodyTextIndent3">
    <w:name w:val="Body Text Indent 3"/>
    <w:basedOn w:val="Normal"/>
    <w:link w:val="BodyTextIndent3Char"/>
    <w:rsid w:val="008C2B46"/>
    <w:pPr>
      <w:suppressAutoHyphens/>
      <w:spacing w:after="0" w:line="240" w:lineRule="auto"/>
      <w:ind w:left="1080"/>
      <w:jc w:val="both"/>
    </w:pPr>
    <w:rPr>
      <w:rFonts w:ascii="Times New Roman" w:eastAsia="Times New Roman" w:hAnsi="Times New Roman" w:cs="Times New Roman"/>
      <w:sz w:val="24"/>
      <w:szCs w:val="24"/>
      <w:lang w:val="sr-Latn-CS" w:eastAsia="ar-SA"/>
    </w:rPr>
  </w:style>
  <w:style w:type="character" w:customStyle="1" w:styleId="BodyTextIndent3Char">
    <w:name w:val="Body Text Indent 3 Char"/>
    <w:basedOn w:val="DefaultParagraphFont"/>
    <w:link w:val="BodyTextIndent3"/>
    <w:rsid w:val="008C2B46"/>
    <w:rPr>
      <w:rFonts w:ascii="Times New Roman" w:eastAsia="Times New Roman" w:hAnsi="Times New Roman" w:cs="Times New Roman"/>
      <w:sz w:val="24"/>
      <w:szCs w:val="24"/>
      <w:lang w:val="sr-Latn-CS" w:eastAsia="ar-SA"/>
    </w:rPr>
  </w:style>
  <w:style w:type="paragraph" w:customStyle="1" w:styleId="TableContents">
    <w:name w:val="Table Contents"/>
    <w:basedOn w:val="Normal"/>
    <w:rsid w:val="008C2B46"/>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TableHeading">
    <w:name w:val="Table Heading"/>
    <w:basedOn w:val="TableContents"/>
    <w:rsid w:val="008C2B46"/>
    <w:pPr>
      <w:jc w:val="center"/>
    </w:pPr>
    <w:rPr>
      <w:b/>
      <w:bCs/>
      <w:i/>
      <w:iCs/>
    </w:rPr>
  </w:style>
  <w:style w:type="paragraph" w:customStyle="1" w:styleId="Framecontents">
    <w:name w:val="Frame contents"/>
    <w:basedOn w:val="BodyText"/>
    <w:rsid w:val="008C2B46"/>
    <w:pPr>
      <w:suppressAutoHyphens/>
      <w:spacing w:after="0" w:line="240" w:lineRule="auto"/>
      <w:jc w:val="both"/>
    </w:pPr>
    <w:rPr>
      <w:rFonts w:ascii="Times New Roman" w:eastAsia="Times New Roman" w:hAnsi="Times New Roman" w:cs="Times New Roman"/>
      <w:sz w:val="24"/>
      <w:szCs w:val="24"/>
      <w:lang w:val="sr-Latn-CS" w:eastAsia="ar-SA"/>
    </w:rPr>
  </w:style>
  <w:style w:type="character" w:customStyle="1" w:styleId="Style105pt">
    <w:name w:val="Style 105 pt"/>
    <w:rsid w:val="008C2B46"/>
    <w:rPr>
      <w:rFonts w:ascii="Times New Roman Bold" w:hAnsi="Times New Roman Bold" w:cs="Times New Roman Bold"/>
      <w:b/>
      <w:bCs/>
      <w:color w:val="auto"/>
      <w:sz w:val="24"/>
      <w:szCs w:val="24"/>
    </w:rPr>
  </w:style>
  <w:style w:type="table" w:styleId="TableWeb3">
    <w:name w:val="Table Web 3"/>
    <w:basedOn w:val="TableNormal"/>
    <w:rsid w:val="008C2B46"/>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styleId="CommentText">
    <w:name w:val="annotation text"/>
    <w:basedOn w:val="Normal"/>
    <w:link w:val="CommentTextChar"/>
    <w:uiPriority w:val="99"/>
    <w:semiHidden/>
    <w:rsid w:val="008C2B46"/>
    <w:pPr>
      <w:tabs>
        <w:tab w:val="left" w:pos="-720"/>
      </w:tabs>
      <w:suppressAutoHyphens/>
      <w:spacing w:after="0" w:line="240" w:lineRule="auto"/>
    </w:pPr>
    <w:rPr>
      <w:rFonts w:ascii="Helvetica 11pt" w:eastAsia="Times New Roman" w:hAnsi="Helvetica 11pt" w:cs="Helvetica 11pt"/>
      <w:sz w:val="24"/>
      <w:szCs w:val="24"/>
    </w:rPr>
  </w:style>
  <w:style w:type="character" w:customStyle="1" w:styleId="CommentTextChar">
    <w:name w:val="Comment Text Char"/>
    <w:basedOn w:val="DefaultParagraphFont"/>
    <w:link w:val="CommentText"/>
    <w:uiPriority w:val="99"/>
    <w:semiHidden/>
    <w:rsid w:val="008C2B46"/>
    <w:rPr>
      <w:rFonts w:ascii="Helvetica 11pt" w:eastAsia="Times New Roman" w:hAnsi="Helvetica 11pt" w:cs="Helvetica 11pt"/>
      <w:sz w:val="24"/>
      <w:szCs w:val="24"/>
    </w:rPr>
  </w:style>
  <w:style w:type="paragraph" w:customStyle="1" w:styleId="Style1">
    <w:name w:val="Style1"/>
    <w:basedOn w:val="Heading"/>
    <w:rsid w:val="008C2B46"/>
    <w:rPr>
      <w:rFonts w:ascii="Tahoma" w:hAnsi="Tahoma" w:cs="Tahoma"/>
      <w:b/>
      <w:bCs/>
      <w:sz w:val="24"/>
      <w:szCs w:val="24"/>
    </w:rPr>
  </w:style>
  <w:style w:type="paragraph" w:customStyle="1" w:styleId="Style2">
    <w:name w:val="Style2"/>
    <w:basedOn w:val="Heading1"/>
    <w:rsid w:val="008C2B46"/>
    <w:pPr>
      <w:numPr>
        <w:numId w:val="9"/>
      </w:numPr>
      <w:jc w:val="left"/>
    </w:pPr>
    <w:rPr>
      <w:rFonts w:ascii="Tahoma" w:hAnsi="Tahoma" w:cs="Tahoma"/>
      <w:b w:val="0"/>
      <w:bCs w:val="0"/>
      <w:sz w:val="24"/>
      <w:szCs w:val="24"/>
    </w:rPr>
  </w:style>
  <w:style w:type="character" w:styleId="LineNumber">
    <w:name w:val="line number"/>
    <w:basedOn w:val="DefaultParagraphFont"/>
    <w:rsid w:val="008C2B46"/>
  </w:style>
  <w:style w:type="character" w:customStyle="1" w:styleId="Bullets">
    <w:name w:val="Bullets"/>
    <w:rsid w:val="008C2B46"/>
    <w:rPr>
      <w:rFonts w:ascii="StarSymbol" w:eastAsia="StarSymbol" w:cs="StarSymbol"/>
      <w:sz w:val="18"/>
      <w:szCs w:val="18"/>
    </w:rPr>
  </w:style>
  <w:style w:type="paragraph" w:styleId="FootnoteText">
    <w:name w:val="footnote text"/>
    <w:basedOn w:val="Normal"/>
    <w:link w:val="FootnoteTextChar"/>
    <w:semiHidden/>
    <w:rsid w:val="008C2B46"/>
    <w:pPr>
      <w:widowControl w:val="0"/>
      <w:suppressAutoHyphens/>
      <w:spacing w:after="0" w:line="240" w:lineRule="auto"/>
    </w:pPr>
    <w:rPr>
      <w:rFonts w:ascii="Times New Roman" w:eastAsia="Times New Roman" w:hAnsi="Times New Roman" w:cs="Times New Roman"/>
      <w:sz w:val="20"/>
      <w:szCs w:val="20"/>
      <w:lang w:eastAsia="ar-SA"/>
    </w:rPr>
  </w:style>
  <w:style w:type="character" w:customStyle="1" w:styleId="FootnoteTextChar">
    <w:name w:val="Footnote Text Char"/>
    <w:basedOn w:val="DefaultParagraphFont"/>
    <w:link w:val="FootnoteText"/>
    <w:semiHidden/>
    <w:rsid w:val="008C2B46"/>
    <w:rPr>
      <w:rFonts w:ascii="Times New Roman" w:eastAsia="Times New Roman" w:hAnsi="Times New Roman" w:cs="Times New Roman"/>
      <w:sz w:val="20"/>
      <w:szCs w:val="20"/>
      <w:lang w:eastAsia="ar-SA"/>
    </w:rPr>
  </w:style>
  <w:style w:type="character" w:styleId="FootnoteReference">
    <w:name w:val="footnote reference"/>
    <w:semiHidden/>
    <w:rsid w:val="008C2B46"/>
    <w:rPr>
      <w:vertAlign w:val="superscript"/>
    </w:rPr>
  </w:style>
  <w:style w:type="table" w:styleId="TableList1">
    <w:name w:val="Table List 1"/>
    <w:basedOn w:val="TableNormal"/>
    <w:rsid w:val="008C2B46"/>
    <w:pPr>
      <w:widowControl w:val="0"/>
      <w:suppressAutoHyphens/>
      <w:spacing w:after="0" w:line="240" w:lineRule="auto"/>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insideH w:val="single" w:sz="6" w:space="0" w:color="008080"/>
        <w:insideV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C2B46"/>
    <w:pPr>
      <w:widowControl w:val="0"/>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8">
    <w:name w:val="Table Grid 8"/>
    <w:basedOn w:val="TableNormal"/>
    <w:rsid w:val="008C2B46"/>
    <w:pPr>
      <w:widowControl w:val="0"/>
      <w:suppressAutoHyphens/>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Professional">
    <w:name w:val="Table Professional"/>
    <w:basedOn w:val="TableNormal"/>
    <w:rsid w:val="008C2B46"/>
    <w:pPr>
      <w:widowControl w:val="0"/>
      <w:suppressAutoHyphens/>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List6">
    <w:name w:val="Table List 6"/>
    <w:basedOn w:val="TableNormal"/>
    <w:rsid w:val="008C2B46"/>
    <w:pPr>
      <w:suppressAutoHyphens/>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character" w:customStyle="1" w:styleId="Char2">
    <w:name w:val="Char2"/>
    <w:rsid w:val="008C2B46"/>
    <w:rPr>
      <w:b/>
      <w:bCs/>
      <w:sz w:val="24"/>
      <w:szCs w:val="24"/>
      <w:lang w:val="en-US" w:eastAsia="ar-SA" w:bidi="ar-SA"/>
    </w:rPr>
  </w:style>
  <w:style w:type="table" w:styleId="TableGrid1">
    <w:name w:val="Table Grid 1"/>
    <w:basedOn w:val="TableNormal"/>
    <w:rsid w:val="008C2B46"/>
    <w:pPr>
      <w:suppressAutoHyphens/>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FollowedHyperlink">
    <w:name w:val="FollowedHyperlink"/>
    <w:rsid w:val="008C2B46"/>
    <w:rPr>
      <w:color w:val="800080"/>
      <w:u w:val="single"/>
    </w:rPr>
  </w:style>
  <w:style w:type="character" w:styleId="CommentReference">
    <w:name w:val="annotation reference"/>
    <w:uiPriority w:val="99"/>
    <w:semiHidden/>
    <w:rsid w:val="008C2B46"/>
    <w:rPr>
      <w:sz w:val="16"/>
      <w:szCs w:val="16"/>
    </w:rPr>
  </w:style>
  <w:style w:type="paragraph" w:styleId="CommentSubject">
    <w:name w:val="annotation subject"/>
    <w:basedOn w:val="CommentText"/>
    <w:next w:val="CommentText"/>
    <w:link w:val="CommentSubjectChar"/>
    <w:uiPriority w:val="99"/>
    <w:semiHidden/>
    <w:rsid w:val="008C2B46"/>
    <w:pPr>
      <w:tabs>
        <w:tab w:val="clear" w:pos="-720"/>
      </w:tabs>
    </w:pPr>
    <w:rPr>
      <w:rFonts w:ascii="Times New Roman" w:hAnsi="Times New Roman" w:cs="Times New Roman"/>
      <w:b/>
      <w:bCs/>
      <w:sz w:val="20"/>
      <w:szCs w:val="20"/>
      <w:lang w:eastAsia="ar-SA"/>
    </w:rPr>
  </w:style>
  <w:style w:type="character" w:customStyle="1" w:styleId="CommentSubjectChar">
    <w:name w:val="Comment Subject Char"/>
    <w:basedOn w:val="CommentTextChar"/>
    <w:link w:val="CommentSubject"/>
    <w:uiPriority w:val="99"/>
    <w:semiHidden/>
    <w:rsid w:val="008C2B46"/>
    <w:rPr>
      <w:rFonts w:ascii="Times New Roman" w:eastAsia="Times New Roman" w:hAnsi="Times New Roman" w:cs="Times New Roman"/>
      <w:b/>
      <w:bCs/>
      <w:sz w:val="20"/>
      <w:szCs w:val="20"/>
      <w:lang w:eastAsia="ar-SA"/>
    </w:rPr>
  </w:style>
  <w:style w:type="character" w:styleId="BookTitle">
    <w:name w:val="Book Title"/>
    <w:uiPriority w:val="99"/>
    <w:qFormat/>
    <w:rsid w:val="008C2B46"/>
    <w:rPr>
      <w:b/>
      <w:bCs/>
      <w:smallCaps/>
      <w:spacing w:val="5"/>
    </w:rPr>
  </w:style>
  <w:style w:type="table" w:customStyle="1" w:styleId="LightShading-Accent12">
    <w:name w:val="Light Shading - Accent 12"/>
    <w:uiPriority w:val="60"/>
    <w:rsid w:val="008C2B46"/>
    <w:pPr>
      <w:spacing w:after="0" w:line="240" w:lineRule="auto"/>
    </w:pPr>
    <w:rPr>
      <w:rFonts w:ascii="Times New Roman" w:eastAsia="Times New Roman" w:hAnsi="Times New Roman" w:cs="Times New Roman"/>
      <w:color w:val="365F91"/>
      <w:sz w:val="20"/>
      <w:szCs w:val="20"/>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MediumShading2-Accent5">
    <w:name w:val="Medium Shading 2 Accent 5"/>
    <w:basedOn w:val="TableNormal"/>
    <w:uiPriority w:val="99"/>
    <w:rsid w:val="008C2B46"/>
    <w:pPr>
      <w:spacing w:after="0" w:line="240" w:lineRule="auto"/>
    </w:pPr>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3-Accent5">
    <w:name w:val="Medium Grid 3 Accent 5"/>
    <w:basedOn w:val="TableNormal"/>
    <w:uiPriority w:val="99"/>
    <w:rsid w:val="008C2B46"/>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LightShading-Accent13">
    <w:name w:val="Light Shading - Accent 13"/>
    <w:uiPriority w:val="99"/>
    <w:rsid w:val="008C2B46"/>
    <w:pPr>
      <w:spacing w:after="0" w:line="240" w:lineRule="auto"/>
    </w:pPr>
    <w:rPr>
      <w:rFonts w:ascii="Times New Roman" w:eastAsia="Times New Roman" w:hAnsi="Times New Roman" w:cs="Times New Roman"/>
      <w:color w:val="365F91"/>
      <w:sz w:val="20"/>
      <w:szCs w:val="20"/>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MediumGrid3-Accent1">
    <w:name w:val="Medium Grid 3 Accent 1"/>
    <w:basedOn w:val="TableNormal"/>
    <w:uiPriority w:val="99"/>
    <w:rsid w:val="008C2B46"/>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styleId="SubtleEmphasis">
    <w:name w:val="Subtle Emphasis"/>
    <w:uiPriority w:val="19"/>
    <w:qFormat/>
    <w:rsid w:val="008C2B46"/>
    <w:rPr>
      <w:i/>
      <w:iCs/>
      <w:color w:val="808080"/>
    </w:rPr>
  </w:style>
  <w:style w:type="character" w:styleId="Emphasis">
    <w:name w:val="Emphasis"/>
    <w:uiPriority w:val="20"/>
    <w:qFormat/>
    <w:rsid w:val="008C2B46"/>
    <w:rPr>
      <w:i/>
      <w:iCs/>
    </w:rPr>
  </w:style>
  <w:style w:type="paragraph" w:customStyle="1" w:styleId="Default">
    <w:name w:val="Default"/>
    <w:rsid w:val="008C2B46"/>
    <w:pPr>
      <w:autoSpaceDE w:val="0"/>
      <w:autoSpaceDN w:val="0"/>
      <w:adjustRightInd w:val="0"/>
      <w:spacing w:after="0" w:line="240" w:lineRule="auto"/>
    </w:pPr>
    <w:rPr>
      <w:rFonts w:ascii="Arial" w:eastAsia="Times New Roman" w:hAnsi="Arial" w:cs="Arial"/>
      <w:color w:val="000000"/>
      <w:sz w:val="24"/>
      <w:szCs w:val="24"/>
      <w:lang w:eastAsia="sr-Latn-CS"/>
    </w:rPr>
  </w:style>
  <w:style w:type="table" w:customStyle="1" w:styleId="LightShading-Accent14">
    <w:name w:val="Light Shading - Accent 14"/>
    <w:basedOn w:val="TableNormal"/>
    <w:uiPriority w:val="60"/>
    <w:rsid w:val="008C2B46"/>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Grid-Accent11">
    <w:name w:val="Light Grid - Accent 11"/>
    <w:basedOn w:val="TableNormal"/>
    <w:uiPriority w:val="62"/>
    <w:rsid w:val="008C2B46"/>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1-Accent11">
    <w:name w:val="Medium Shading 1 - Accent 11"/>
    <w:basedOn w:val="TableNormal"/>
    <w:uiPriority w:val="63"/>
    <w:rsid w:val="008C2B46"/>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2-Accent11">
    <w:name w:val="Medium Shading 2 - Accent 11"/>
    <w:basedOn w:val="TableNormal"/>
    <w:uiPriority w:val="64"/>
    <w:rsid w:val="008C2B46"/>
    <w:pPr>
      <w:spacing w:after="0" w:line="240" w:lineRule="auto"/>
    </w:pPr>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List2-Accent1">
    <w:name w:val="Medium List 2 Accent 1"/>
    <w:basedOn w:val="TableNormal"/>
    <w:uiPriority w:val="66"/>
    <w:rsid w:val="008C2B46"/>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BodyTextIndentChar">
    <w:name w:val="Body Text Indent Char"/>
    <w:link w:val="BodyTextIndent"/>
    <w:rsid w:val="008C2B46"/>
    <w:rPr>
      <w:sz w:val="24"/>
      <w:szCs w:val="24"/>
      <w:lang w:eastAsia="ar-SA"/>
    </w:rPr>
  </w:style>
  <w:style w:type="paragraph" w:styleId="BodyTextIndent">
    <w:name w:val="Body Text Indent"/>
    <w:basedOn w:val="Normal"/>
    <w:link w:val="BodyTextIndentChar"/>
    <w:unhideWhenUsed/>
    <w:rsid w:val="008C2B46"/>
    <w:pPr>
      <w:suppressAutoHyphens/>
      <w:spacing w:after="0" w:line="240" w:lineRule="auto"/>
      <w:ind w:firstLine="360"/>
      <w:jc w:val="both"/>
    </w:pPr>
    <w:rPr>
      <w:sz w:val="24"/>
      <w:szCs w:val="24"/>
      <w:lang w:eastAsia="ar-SA"/>
    </w:rPr>
  </w:style>
  <w:style w:type="character" w:customStyle="1" w:styleId="BodyTextIndentChar1">
    <w:name w:val="Body Text Indent Char1"/>
    <w:basedOn w:val="DefaultParagraphFont"/>
    <w:uiPriority w:val="99"/>
    <w:semiHidden/>
    <w:rsid w:val="008C2B46"/>
  </w:style>
  <w:style w:type="paragraph" w:styleId="TOC2">
    <w:name w:val="toc 2"/>
    <w:basedOn w:val="Normal"/>
    <w:next w:val="Normal"/>
    <w:autoRedefine/>
    <w:uiPriority w:val="39"/>
    <w:unhideWhenUsed/>
    <w:qFormat/>
    <w:rsid w:val="008C2B46"/>
    <w:pPr>
      <w:tabs>
        <w:tab w:val="left" w:pos="1276"/>
        <w:tab w:val="right" w:leader="dot" w:pos="9396"/>
      </w:tabs>
      <w:spacing w:after="0" w:line="240" w:lineRule="auto"/>
      <w:ind w:left="216"/>
    </w:pPr>
    <w:rPr>
      <w:rFonts w:ascii="Calibri" w:eastAsia="Times New Roman" w:hAnsi="Calibri" w:cs="Times New Roman"/>
      <w:lang w:eastAsia="ja-JP"/>
    </w:rPr>
  </w:style>
  <w:style w:type="character" w:customStyle="1" w:styleId="DefaultParagraphFont1">
    <w:name w:val="Default Paragraph Font1"/>
    <w:rsid w:val="008C2B46"/>
  </w:style>
  <w:style w:type="paragraph" w:customStyle="1" w:styleId="msonospacing0">
    <w:name w:val="msonospacing"/>
    <w:basedOn w:val="Normal"/>
    <w:rsid w:val="008C2B4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3">
    <w:name w:val="Char3"/>
    <w:rsid w:val="008C2B46"/>
    <w:rPr>
      <w:b/>
      <w:bCs/>
      <w:sz w:val="24"/>
      <w:lang w:val="en-US" w:eastAsia="ar-SA" w:bidi="ar-SA"/>
    </w:rPr>
  </w:style>
  <w:style w:type="paragraph" w:customStyle="1" w:styleId="BodySingle">
    <w:name w:val="Body Single"/>
    <w:rsid w:val="008C2B46"/>
    <w:pPr>
      <w:spacing w:after="0" w:line="240" w:lineRule="auto"/>
    </w:pPr>
    <w:rPr>
      <w:rFonts w:ascii="Times New Roman" w:eastAsia="Times New Roman" w:hAnsi="Times New Roman" w:cs="Times New Roman"/>
      <w:color w:val="000000"/>
      <w:sz w:val="24"/>
      <w:szCs w:val="20"/>
    </w:rPr>
  </w:style>
  <w:style w:type="table" w:styleId="TableWeb2">
    <w:name w:val="Table Web 2"/>
    <w:basedOn w:val="TableNormal"/>
    <w:rsid w:val="008C2B46"/>
    <w:pPr>
      <w:suppressAutoHyphens/>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styleId="111111">
    <w:name w:val="Outline List 2"/>
    <w:basedOn w:val="NoList"/>
    <w:rsid w:val="008C2B46"/>
    <w:pPr>
      <w:numPr>
        <w:numId w:val="10"/>
      </w:numPr>
    </w:pPr>
  </w:style>
  <w:style w:type="numbering" w:styleId="ArticleSection">
    <w:name w:val="Outline List 3"/>
    <w:basedOn w:val="NoList"/>
    <w:rsid w:val="008C2B46"/>
    <w:pPr>
      <w:numPr>
        <w:numId w:val="11"/>
      </w:numPr>
    </w:pPr>
  </w:style>
  <w:style w:type="paragraph" w:styleId="TOC4">
    <w:name w:val="toc 4"/>
    <w:basedOn w:val="Normal"/>
    <w:next w:val="Normal"/>
    <w:autoRedefine/>
    <w:uiPriority w:val="39"/>
    <w:rsid w:val="008C2B46"/>
    <w:pPr>
      <w:spacing w:after="0" w:line="240" w:lineRule="auto"/>
      <w:ind w:left="720"/>
    </w:pPr>
    <w:rPr>
      <w:rFonts w:ascii="Times New Roman" w:eastAsia="Times New Roman" w:hAnsi="Times New Roman" w:cs="Times New Roman"/>
      <w:sz w:val="24"/>
      <w:szCs w:val="24"/>
      <w:lang w:val="sr-Latn-CS" w:eastAsia="sr-Latn-CS"/>
    </w:rPr>
  </w:style>
  <w:style w:type="paragraph" w:styleId="TOC5">
    <w:name w:val="toc 5"/>
    <w:basedOn w:val="Normal"/>
    <w:next w:val="Normal"/>
    <w:autoRedefine/>
    <w:uiPriority w:val="39"/>
    <w:rsid w:val="008C2B46"/>
    <w:pPr>
      <w:spacing w:after="0" w:line="240" w:lineRule="auto"/>
      <w:ind w:left="960"/>
    </w:pPr>
    <w:rPr>
      <w:rFonts w:ascii="Times New Roman" w:eastAsia="Times New Roman" w:hAnsi="Times New Roman" w:cs="Times New Roman"/>
      <w:sz w:val="24"/>
      <w:szCs w:val="24"/>
      <w:lang w:val="sr-Latn-CS" w:eastAsia="sr-Latn-CS"/>
    </w:rPr>
  </w:style>
  <w:style w:type="paragraph" w:styleId="TOC6">
    <w:name w:val="toc 6"/>
    <w:basedOn w:val="Normal"/>
    <w:next w:val="Normal"/>
    <w:autoRedefine/>
    <w:uiPriority w:val="39"/>
    <w:rsid w:val="008C2B46"/>
    <w:pPr>
      <w:spacing w:after="0" w:line="240" w:lineRule="auto"/>
      <w:ind w:left="1200"/>
    </w:pPr>
    <w:rPr>
      <w:rFonts w:ascii="Times New Roman" w:eastAsia="Times New Roman" w:hAnsi="Times New Roman" w:cs="Times New Roman"/>
      <w:sz w:val="24"/>
      <w:szCs w:val="24"/>
      <w:lang w:val="sr-Latn-CS" w:eastAsia="sr-Latn-CS"/>
    </w:rPr>
  </w:style>
  <w:style w:type="paragraph" w:styleId="TOC7">
    <w:name w:val="toc 7"/>
    <w:basedOn w:val="Normal"/>
    <w:next w:val="Normal"/>
    <w:autoRedefine/>
    <w:uiPriority w:val="39"/>
    <w:rsid w:val="008C2B46"/>
    <w:pPr>
      <w:spacing w:after="0" w:line="240" w:lineRule="auto"/>
      <w:ind w:left="1440"/>
    </w:pPr>
    <w:rPr>
      <w:rFonts w:ascii="Times New Roman" w:eastAsia="Times New Roman" w:hAnsi="Times New Roman" w:cs="Times New Roman"/>
      <w:sz w:val="24"/>
      <w:szCs w:val="24"/>
      <w:lang w:val="sr-Latn-CS" w:eastAsia="sr-Latn-CS"/>
    </w:rPr>
  </w:style>
  <w:style w:type="paragraph" w:styleId="TOC8">
    <w:name w:val="toc 8"/>
    <w:basedOn w:val="Normal"/>
    <w:next w:val="Normal"/>
    <w:autoRedefine/>
    <w:uiPriority w:val="39"/>
    <w:rsid w:val="008C2B46"/>
    <w:pPr>
      <w:spacing w:after="0" w:line="240" w:lineRule="auto"/>
      <w:ind w:left="1680"/>
    </w:pPr>
    <w:rPr>
      <w:rFonts w:ascii="Times New Roman" w:eastAsia="Times New Roman" w:hAnsi="Times New Roman" w:cs="Times New Roman"/>
      <w:sz w:val="24"/>
      <w:szCs w:val="24"/>
      <w:lang w:val="sr-Latn-CS" w:eastAsia="sr-Latn-CS"/>
    </w:rPr>
  </w:style>
  <w:style w:type="paragraph" w:styleId="TOC9">
    <w:name w:val="toc 9"/>
    <w:basedOn w:val="Normal"/>
    <w:next w:val="Normal"/>
    <w:autoRedefine/>
    <w:uiPriority w:val="39"/>
    <w:rsid w:val="008C2B46"/>
    <w:pPr>
      <w:spacing w:after="0" w:line="240" w:lineRule="auto"/>
      <w:ind w:left="1920"/>
    </w:pPr>
    <w:rPr>
      <w:rFonts w:ascii="Times New Roman" w:eastAsia="Times New Roman" w:hAnsi="Times New Roman" w:cs="Times New Roman"/>
      <w:sz w:val="24"/>
      <w:szCs w:val="24"/>
      <w:lang w:val="sr-Latn-CS" w:eastAsia="sr-Latn-CS"/>
    </w:rPr>
  </w:style>
  <w:style w:type="character" w:customStyle="1" w:styleId="Char4">
    <w:name w:val="Char4"/>
    <w:rsid w:val="008C2B46"/>
    <w:rPr>
      <w:b/>
      <w:bCs/>
      <w:sz w:val="24"/>
      <w:lang w:eastAsia="ar-SA"/>
    </w:rPr>
  </w:style>
  <w:style w:type="paragraph" w:customStyle="1" w:styleId="StyleHeading1Tahoma11ptLeftLeft0cmFirstline0">
    <w:name w:val="Style Heading 1 + Tahoma 11 pt Left Left:  0 cm First line:  0 ..."/>
    <w:basedOn w:val="Heading1"/>
    <w:autoRedefine/>
    <w:rsid w:val="008C2B46"/>
    <w:pPr>
      <w:numPr>
        <w:numId w:val="0"/>
      </w:numPr>
      <w:spacing w:before="240" w:after="240"/>
      <w:ind w:right="-4"/>
      <w:jc w:val="both"/>
      <w:outlineLvl w:val="9"/>
    </w:pPr>
    <w:rPr>
      <w:rFonts w:ascii="Tahoma" w:hAnsi="Tahoma" w:cs="Times New Roman"/>
      <w:b w:val="0"/>
      <w:sz w:val="24"/>
      <w:szCs w:val="24"/>
    </w:rPr>
  </w:style>
  <w:style w:type="paragraph" w:customStyle="1" w:styleId="StyleHeading2Tahoma11ptChar">
    <w:name w:val="Style Heading 2 + Tahoma 11 pt Char"/>
    <w:basedOn w:val="Heading2"/>
    <w:link w:val="StyleHeading2Tahoma11ptCharChar"/>
    <w:autoRedefine/>
    <w:rsid w:val="008C2B46"/>
    <w:pPr>
      <w:numPr>
        <w:ilvl w:val="0"/>
        <w:numId w:val="0"/>
      </w:numPr>
      <w:tabs>
        <w:tab w:val="num" w:pos="567"/>
      </w:tabs>
      <w:spacing w:before="240" w:after="120"/>
      <w:ind w:left="567" w:hanging="567"/>
    </w:pPr>
    <w:rPr>
      <w:rFonts w:ascii="Tahoma" w:hAnsi="Tahoma"/>
      <w:sz w:val="22"/>
    </w:rPr>
  </w:style>
  <w:style w:type="character" w:customStyle="1" w:styleId="StyleHeading2Tahoma11ptCharChar">
    <w:name w:val="Style Heading 2 + Tahoma 11 pt Char Char"/>
    <w:link w:val="StyleHeading2Tahoma11ptChar"/>
    <w:rsid w:val="008C2B46"/>
    <w:rPr>
      <w:rFonts w:ascii="Tahoma" w:eastAsia="Times New Roman" w:hAnsi="Tahoma" w:cs="Times New Roman"/>
      <w:b/>
      <w:bCs/>
      <w:szCs w:val="24"/>
      <w:lang w:val="sr-Latn-CS" w:eastAsia="ar-SA"/>
    </w:rPr>
  </w:style>
  <w:style w:type="paragraph" w:customStyle="1" w:styleId="StyleStyleHeading1Tahoma11ptLeftLeft0cmFirstline">
    <w:name w:val="Style Style Heading 1 + Tahoma 11 pt Left Left:  0 cm First line:  ..."/>
    <w:basedOn w:val="StyleHeading1Tahoma11ptLeftLeft0cmFirstline0"/>
    <w:autoRedefine/>
    <w:rsid w:val="008C2B46"/>
  </w:style>
  <w:style w:type="paragraph" w:customStyle="1" w:styleId="StyleHeading3Tahoma11ptChar">
    <w:name w:val="Style Heading 3 + Tahoma 11 pt Char"/>
    <w:basedOn w:val="Heading3"/>
    <w:link w:val="StyleHeading3Tahoma11ptCharChar"/>
    <w:autoRedefine/>
    <w:rsid w:val="008C2B46"/>
    <w:pPr>
      <w:numPr>
        <w:ilvl w:val="0"/>
        <w:numId w:val="0"/>
      </w:numPr>
      <w:tabs>
        <w:tab w:val="left" w:pos="993"/>
        <w:tab w:val="num" w:pos="1146"/>
      </w:tabs>
      <w:spacing w:before="100" w:beforeAutospacing="1" w:after="100" w:afterAutospacing="1"/>
      <w:ind w:left="1468"/>
      <w:jc w:val="both"/>
    </w:pPr>
    <w:rPr>
      <w:rFonts w:ascii="Tahoma" w:hAnsi="Tahoma"/>
      <w:sz w:val="22"/>
    </w:rPr>
  </w:style>
  <w:style w:type="character" w:customStyle="1" w:styleId="StyleHeading3Tahoma11ptCharChar">
    <w:name w:val="Style Heading 3 + Tahoma 11 pt Char Char"/>
    <w:link w:val="StyleHeading3Tahoma11ptChar"/>
    <w:rsid w:val="008C2B46"/>
    <w:rPr>
      <w:rFonts w:ascii="Tahoma" w:eastAsia="Times New Roman" w:hAnsi="Tahoma" w:cs="Times New Roman"/>
      <w:b/>
      <w:bCs/>
      <w:szCs w:val="24"/>
      <w:lang w:val="sr-Latn-CS" w:eastAsia="ar-SA"/>
    </w:rPr>
  </w:style>
  <w:style w:type="paragraph" w:customStyle="1" w:styleId="Normal1">
    <w:name w:val="Normal1"/>
    <w:basedOn w:val="Normal"/>
    <w:rsid w:val="008C2B46"/>
    <w:pPr>
      <w:spacing w:before="100" w:beforeAutospacing="1" w:after="100" w:afterAutospacing="1" w:line="240" w:lineRule="auto"/>
    </w:pPr>
    <w:rPr>
      <w:rFonts w:ascii="Arial" w:eastAsia="Times New Roman" w:hAnsi="Arial" w:cs="Arial"/>
      <w:lang w:val="sr-Latn-CS"/>
    </w:rPr>
  </w:style>
  <w:style w:type="paragraph" w:styleId="MacroText">
    <w:name w:val="macro"/>
    <w:aliases w:val=" Char2"/>
    <w:link w:val="MacroTextChar"/>
    <w:semiHidden/>
    <w:rsid w:val="008C2B46"/>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napToGrid w:val="0"/>
      <w:sz w:val="20"/>
      <w:szCs w:val="20"/>
    </w:rPr>
  </w:style>
  <w:style w:type="character" w:customStyle="1" w:styleId="MacroTextChar">
    <w:name w:val="Macro Text Char"/>
    <w:aliases w:val=" Char2 Char"/>
    <w:basedOn w:val="DefaultParagraphFont"/>
    <w:link w:val="MacroText"/>
    <w:semiHidden/>
    <w:rsid w:val="008C2B46"/>
    <w:rPr>
      <w:rFonts w:ascii="Courier New" w:eastAsia="Times New Roman" w:hAnsi="Courier New" w:cs="Times New Roman"/>
      <w:snapToGrid w:val="0"/>
      <w:sz w:val="20"/>
      <w:szCs w:val="20"/>
    </w:rPr>
  </w:style>
  <w:style w:type="paragraph" w:styleId="DocumentMap">
    <w:name w:val="Document Map"/>
    <w:basedOn w:val="Normal"/>
    <w:link w:val="DocumentMapChar"/>
    <w:semiHidden/>
    <w:rsid w:val="008C2B46"/>
    <w:pPr>
      <w:shd w:val="clear" w:color="auto" w:fill="000080"/>
      <w:suppressAutoHyphens/>
      <w:spacing w:after="0" w:line="240" w:lineRule="auto"/>
    </w:pPr>
    <w:rPr>
      <w:rFonts w:ascii="Tahoma" w:eastAsia="Times New Roman" w:hAnsi="Tahoma" w:cs="Tahoma"/>
      <w:sz w:val="24"/>
      <w:szCs w:val="24"/>
      <w:lang w:eastAsia="ar-SA"/>
    </w:rPr>
  </w:style>
  <w:style w:type="character" w:customStyle="1" w:styleId="DocumentMapChar">
    <w:name w:val="Document Map Char"/>
    <w:basedOn w:val="DefaultParagraphFont"/>
    <w:link w:val="DocumentMap"/>
    <w:semiHidden/>
    <w:rsid w:val="008C2B46"/>
    <w:rPr>
      <w:rFonts w:ascii="Tahoma" w:eastAsia="Times New Roman" w:hAnsi="Tahoma" w:cs="Tahoma"/>
      <w:sz w:val="24"/>
      <w:szCs w:val="24"/>
      <w:shd w:val="clear" w:color="auto" w:fill="000080"/>
      <w:lang w:eastAsia="ar-SA"/>
    </w:rPr>
  </w:style>
  <w:style w:type="paragraph" w:customStyle="1" w:styleId="Toc30">
    <w:name w:val="Toc3"/>
    <w:basedOn w:val="Normal"/>
    <w:link w:val="Toc3Char"/>
    <w:rsid w:val="008C2B46"/>
    <w:pPr>
      <w:tabs>
        <w:tab w:val="left" w:pos="960"/>
      </w:tabs>
      <w:suppressAutoHyphens/>
      <w:spacing w:after="0" w:line="240" w:lineRule="auto"/>
      <w:ind w:left="240" w:right="-124"/>
    </w:pPr>
    <w:rPr>
      <w:rFonts w:ascii="Tahoma" w:eastAsia="Times New Roman" w:hAnsi="Tahoma" w:cs="Tahoma"/>
      <w:lang w:val="sr-Latn-CS" w:eastAsia="ar-SA"/>
    </w:rPr>
  </w:style>
  <w:style w:type="character" w:customStyle="1" w:styleId="Toc3Char">
    <w:name w:val="Toc3 Char"/>
    <w:link w:val="Toc30"/>
    <w:rsid w:val="008C2B46"/>
    <w:rPr>
      <w:rFonts w:ascii="Tahoma" w:eastAsia="Times New Roman" w:hAnsi="Tahoma" w:cs="Tahoma"/>
      <w:lang w:val="sr-Latn-CS" w:eastAsia="ar-SA"/>
    </w:rPr>
  </w:style>
  <w:style w:type="paragraph" w:styleId="Closing">
    <w:name w:val="Closing"/>
    <w:basedOn w:val="Normal"/>
    <w:link w:val="ClosingChar"/>
    <w:rsid w:val="008C2B46"/>
    <w:pPr>
      <w:spacing w:after="0" w:line="240" w:lineRule="auto"/>
      <w:ind w:left="4320"/>
    </w:pPr>
    <w:rPr>
      <w:rFonts w:ascii="Cirilica Times" w:eastAsia="Times New Roman" w:hAnsi="Cirilica Times" w:cs="Times New Roman"/>
      <w:sz w:val="24"/>
      <w:szCs w:val="20"/>
    </w:rPr>
  </w:style>
  <w:style w:type="character" w:customStyle="1" w:styleId="ClosingChar">
    <w:name w:val="Closing Char"/>
    <w:basedOn w:val="DefaultParagraphFont"/>
    <w:link w:val="Closing"/>
    <w:rsid w:val="008C2B46"/>
    <w:rPr>
      <w:rFonts w:ascii="Cirilica Times" w:eastAsia="Times New Roman" w:hAnsi="Cirilica Times" w:cs="Times New Roman"/>
      <w:sz w:val="24"/>
      <w:szCs w:val="20"/>
    </w:rPr>
  </w:style>
  <w:style w:type="paragraph" w:styleId="EndnoteText">
    <w:name w:val="endnote text"/>
    <w:basedOn w:val="Normal"/>
    <w:link w:val="EndnoteTextChar"/>
    <w:uiPriority w:val="99"/>
    <w:semiHidden/>
    <w:rsid w:val="008C2B46"/>
    <w:pPr>
      <w:spacing w:after="0" w:line="240" w:lineRule="auto"/>
    </w:pPr>
    <w:rPr>
      <w:rFonts w:ascii="Cirilica Times" w:eastAsia="Times New Roman" w:hAnsi="Cirilica Times" w:cs="Times New Roman"/>
      <w:sz w:val="24"/>
      <w:szCs w:val="20"/>
    </w:rPr>
  </w:style>
  <w:style w:type="character" w:customStyle="1" w:styleId="EndnoteTextChar">
    <w:name w:val="Endnote Text Char"/>
    <w:basedOn w:val="DefaultParagraphFont"/>
    <w:link w:val="EndnoteText"/>
    <w:uiPriority w:val="99"/>
    <w:semiHidden/>
    <w:rsid w:val="008C2B46"/>
    <w:rPr>
      <w:rFonts w:ascii="Cirilica Times" w:eastAsia="Times New Roman" w:hAnsi="Cirilica Times" w:cs="Times New Roman"/>
      <w:sz w:val="24"/>
      <w:szCs w:val="20"/>
    </w:rPr>
  </w:style>
  <w:style w:type="paragraph" w:styleId="EnvelopeAddress">
    <w:name w:val="envelope address"/>
    <w:basedOn w:val="Normal"/>
    <w:rsid w:val="008C2B46"/>
    <w:pPr>
      <w:framePr w:w="7920" w:h="1980" w:hRule="exact" w:hSpace="180" w:wrap="auto" w:hAnchor="page" w:xAlign="center" w:yAlign="bottom"/>
      <w:spacing w:after="0" w:line="240" w:lineRule="auto"/>
      <w:ind w:left="2880"/>
    </w:pPr>
    <w:rPr>
      <w:rFonts w:ascii="Cirilica Times" w:eastAsia="Times New Roman" w:hAnsi="Cirilica Times" w:cs="Times New Roman"/>
      <w:sz w:val="24"/>
      <w:szCs w:val="20"/>
    </w:rPr>
  </w:style>
  <w:style w:type="paragraph" w:styleId="EnvelopeReturn">
    <w:name w:val="envelope return"/>
    <w:basedOn w:val="Normal"/>
    <w:rsid w:val="008C2B46"/>
    <w:pPr>
      <w:spacing w:after="0" w:line="240" w:lineRule="auto"/>
    </w:pPr>
    <w:rPr>
      <w:rFonts w:ascii="Cirilica Times" w:eastAsia="Times New Roman" w:hAnsi="Cirilica Times" w:cs="Times New Roman"/>
      <w:sz w:val="24"/>
      <w:szCs w:val="20"/>
    </w:rPr>
  </w:style>
  <w:style w:type="paragraph" w:styleId="Index1">
    <w:name w:val="index 1"/>
    <w:basedOn w:val="Normal"/>
    <w:next w:val="Normal"/>
    <w:semiHidden/>
    <w:rsid w:val="008C2B46"/>
    <w:pPr>
      <w:tabs>
        <w:tab w:val="right" w:leader="dot" w:pos="8640"/>
      </w:tabs>
      <w:spacing w:after="0" w:line="240" w:lineRule="auto"/>
      <w:ind w:left="200" w:hanging="200"/>
    </w:pPr>
    <w:rPr>
      <w:rFonts w:ascii="Cirilica Times" w:eastAsia="Times New Roman" w:hAnsi="Cirilica Times" w:cs="Times New Roman"/>
      <w:sz w:val="24"/>
      <w:szCs w:val="20"/>
    </w:rPr>
  </w:style>
  <w:style w:type="paragraph" w:styleId="Index2">
    <w:name w:val="index 2"/>
    <w:basedOn w:val="Normal"/>
    <w:next w:val="Normal"/>
    <w:semiHidden/>
    <w:rsid w:val="008C2B46"/>
    <w:pPr>
      <w:tabs>
        <w:tab w:val="right" w:leader="dot" w:pos="8640"/>
      </w:tabs>
      <w:spacing w:after="0" w:line="240" w:lineRule="auto"/>
      <w:ind w:left="400" w:hanging="200"/>
    </w:pPr>
    <w:rPr>
      <w:rFonts w:ascii="Cirilica Times" w:eastAsia="Times New Roman" w:hAnsi="Cirilica Times" w:cs="Times New Roman"/>
      <w:sz w:val="24"/>
      <w:szCs w:val="20"/>
    </w:rPr>
  </w:style>
  <w:style w:type="paragraph" w:styleId="Index3">
    <w:name w:val="index 3"/>
    <w:basedOn w:val="Normal"/>
    <w:next w:val="Normal"/>
    <w:semiHidden/>
    <w:rsid w:val="008C2B46"/>
    <w:pPr>
      <w:tabs>
        <w:tab w:val="right" w:leader="dot" w:pos="8640"/>
      </w:tabs>
      <w:spacing w:after="0" w:line="240" w:lineRule="auto"/>
      <w:ind w:left="600" w:hanging="200"/>
    </w:pPr>
    <w:rPr>
      <w:rFonts w:ascii="Cirilica Times" w:eastAsia="Times New Roman" w:hAnsi="Cirilica Times" w:cs="Times New Roman"/>
      <w:sz w:val="24"/>
      <w:szCs w:val="20"/>
    </w:rPr>
  </w:style>
  <w:style w:type="paragraph" w:styleId="Index4">
    <w:name w:val="index 4"/>
    <w:basedOn w:val="Normal"/>
    <w:next w:val="Normal"/>
    <w:semiHidden/>
    <w:rsid w:val="008C2B46"/>
    <w:pPr>
      <w:tabs>
        <w:tab w:val="right" w:leader="dot" w:pos="8640"/>
      </w:tabs>
      <w:spacing w:after="0" w:line="240" w:lineRule="auto"/>
      <w:ind w:left="800" w:hanging="200"/>
    </w:pPr>
    <w:rPr>
      <w:rFonts w:ascii="Cirilica Times" w:eastAsia="Times New Roman" w:hAnsi="Cirilica Times" w:cs="Times New Roman"/>
      <w:sz w:val="24"/>
      <w:szCs w:val="20"/>
    </w:rPr>
  </w:style>
  <w:style w:type="paragraph" w:styleId="Index5">
    <w:name w:val="index 5"/>
    <w:basedOn w:val="Normal"/>
    <w:next w:val="Normal"/>
    <w:semiHidden/>
    <w:rsid w:val="008C2B46"/>
    <w:pPr>
      <w:tabs>
        <w:tab w:val="right" w:leader="dot" w:pos="8640"/>
      </w:tabs>
      <w:spacing w:after="0" w:line="240" w:lineRule="auto"/>
      <w:ind w:left="1000" w:hanging="200"/>
    </w:pPr>
    <w:rPr>
      <w:rFonts w:ascii="Cirilica Times" w:eastAsia="Times New Roman" w:hAnsi="Cirilica Times" w:cs="Times New Roman"/>
      <w:sz w:val="24"/>
      <w:szCs w:val="20"/>
    </w:rPr>
  </w:style>
  <w:style w:type="paragraph" w:styleId="Index6">
    <w:name w:val="index 6"/>
    <w:basedOn w:val="Normal"/>
    <w:next w:val="Normal"/>
    <w:semiHidden/>
    <w:rsid w:val="008C2B46"/>
    <w:pPr>
      <w:tabs>
        <w:tab w:val="right" w:leader="dot" w:pos="8640"/>
      </w:tabs>
      <w:spacing w:after="0" w:line="240" w:lineRule="auto"/>
      <w:ind w:left="1200" w:hanging="200"/>
    </w:pPr>
    <w:rPr>
      <w:rFonts w:ascii="Cirilica Times" w:eastAsia="Times New Roman" w:hAnsi="Cirilica Times" w:cs="Times New Roman"/>
      <w:sz w:val="24"/>
      <w:szCs w:val="20"/>
    </w:rPr>
  </w:style>
  <w:style w:type="paragraph" w:styleId="Index7">
    <w:name w:val="index 7"/>
    <w:basedOn w:val="Normal"/>
    <w:next w:val="Normal"/>
    <w:semiHidden/>
    <w:rsid w:val="008C2B46"/>
    <w:pPr>
      <w:tabs>
        <w:tab w:val="right" w:leader="dot" w:pos="8640"/>
      </w:tabs>
      <w:spacing w:after="0" w:line="240" w:lineRule="auto"/>
      <w:ind w:left="1400" w:hanging="200"/>
    </w:pPr>
    <w:rPr>
      <w:rFonts w:ascii="Cirilica Times" w:eastAsia="Times New Roman" w:hAnsi="Cirilica Times" w:cs="Times New Roman"/>
      <w:sz w:val="24"/>
      <w:szCs w:val="20"/>
    </w:rPr>
  </w:style>
  <w:style w:type="paragraph" w:styleId="Index8">
    <w:name w:val="index 8"/>
    <w:basedOn w:val="Normal"/>
    <w:next w:val="Normal"/>
    <w:semiHidden/>
    <w:rsid w:val="008C2B46"/>
    <w:pPr>
      <w:tabs>
        <w:tab w:val="right" w:leader="dot" w:pos="8640"/>
      </w:tabs>
      <w:spacing w:after="0" w:line="240" w:lineRule="auto"/>
      <w:ind w:left="1600" w:hanging="200"/>
    </w:pPr>
    <w:rPr>
      <w:rFonts w:ascii="Cirilica Times" w:eastAsia="Times New Roman" w:hAnsi="Cirilica Times" w:cs="Times New Roman"/>
      <w:sz w:val="24"/>
      <w:szCs w:val="20"/>
    </w:rPr>
  </w:style>
  <w:style w:type="paragraph" w:styleId="Index9">
    <w:name w:val="index 9"/>
    <w:basedOn w:val="Normal"/>
    <w:next w:val="Normal"/>
    <w:semiHidden/>
    <w:rsid w:val="008C2B46"/>
    <w:pPr>
      <w:tabs>
        <w:tab w:val="right" w:leader="dot" w:pos="8640"/>
      </w:tabs>
      <w:spacing w:after="0" w:line="240" w:lineRule="auto"/>
      <w:ind w:left="1800" w:hanging="200"/>
    </w:pPr>
    <w:rPr>
      <w:rFonts w:ascii="Cirilica Times" w:eastAsia="Times New Roman" w:hAnsi="Cirilica Times" w:cs="Times New Roman"/>
      <w:sz w:val="24"/>
      <w:szCs w:val="20"/>
    </w:rPr>
  </w:style>
  <w:style w:type="paragraph" w:styleId="IndexHeading">
    <w:name w:val="index heading"/>
    <w:basedOn w:val="Normal"/>
    <w:next w:val="Index1"/>
    <w:semiHidden/>
    <w:rsid w:val="008C2B46"/>
    <w:pPr>
      <w:spacing w:after="0" w:line="240" w:lineRule="auto"/>
    </w:pPr>
    <w:rPr>
      <w:rFonts w:ascii="Cirilica Times" w:eastAsia="Times New Roman" w:hAnsi="Cirilica Times" w:cs="Times New Roman"/>
      <w:sz w:val="24"/>
      <w:szCs w:val="20"/>
    </w:rPr>
  </w:style>
  <w:style w:type="paragraph" w:styleId="List2">
    <w:name w:val="List 2"/>
    <w:basedOn w:val="Normal"/>
    <w:rsid w:val="008C2B46"/>
    <w:pPr>
      <w:spacing w:after="0" w:line="240" w:lineRule="auto"/>
      <w:ind w:left="720" w:hanging="360"/>
    </w:pPr>
    <w:rPr>
      <w:rFonts w:ascii="Cirilica Times" w:eastAsia="Times New Roman" w:hAnsi="Cirilica Times" w:cs="Times New Roman"/>
      <w:sz w:val="24"/>
      <w:szCs w:val="20"/>
    </w:rPr>
  </w:style>
  <w:style w:type="paragraph" w:styleId="List3">
    <w:name w:val="List 3"/>
    <w:basedOn w:val="Normal"/>
    <w:rsid w:val="008C2B46"/>
    <w:pPr>
      <w:spacing w:after="0" w:line="240" w:lineRule="auto"/>
      <w:ind w:left="1080" w:hanging="360"/>
    </w:pPr>
    <w:rPr>
      <w:rFonts w:ascii="Cirilica Times" w:eastAsia="Times New Roman" w:hAnsi="Cirilica Times" w:cs="Times New Roman"/>
      <w:sz w:val="24"/>
      <w:szCs w:val="20"/>
    </w:rPr>
  </w:style>
  <w:style w:type="paragraph" w:styleId="List4">
    <w:name w:val="List 4"/>
    <w:basedOn w:val="Normal"/>
    <w:rsid w:val="008C2B46"/>
    <w:pPr>
      <w:spacing w:after="0" w:line="240" w:lineRule="auto"/>
      <w:ind w:left="1440" w:hanging="360"/>
    </w:pPr>
    <w:rPr>
      <w:rFonts w:ascii="Cirilica Times" w:eastAsia="Times New Roman" w:hAnsi="Cirilica Times" w:cs="Times New Roman"/>
      <w:sz w:val="24"/>
      <w:szCs w:val="20"/>
    </w:rPr>
  </w:style>
  <w:style w:type="paragraph" w:styleId="List5">
    <w:name w:val="List 5"/>
    <w:basedOn w:val="Normal"/>
    <w:rsid w:val="008C2B46"/>
    <w:pPr>
      <w:spacing w:after="0" w:line="240" w:lineRule="auto"/>
      <w:ind w:left="1800" w:hanging="360"/>
    </w:pPr>
    <w:rPr>
      <w:rFonts w:ascii="Cirilica Times" w:eastAsia="Times New Roman" w:hAnsi="Cirilica Times" w:cs="Times New Roman"/>
      <w:sz w:val="24"/>
      <w:szCs w:val="20"/>
    </w:rPr>
  </w:style>
  <w:style w:type="paragraph" w:styleId="ListBullet">
    <w:name w:val="List Bullet"/>
    <w:basedOn w:val="Normal"/>
    <w:rsid w:val="008C2B46"/>
    <w:pPr>
      <w:spacing w:after="0" w:line="240" w:lineRule="auto"/>
      <w:ind w:left="360" w:hanging="360"/>
    </w:pPr>
    <w:rPr>
      <w:rFonts w:ascii="Cirilica Times" w:eastAsia="Times New Roman" w:hAnsi="Cirilica Times" w:cs="Times New Roman"/>
      <w:sz w:val="24"/>
      <w:szCs w:val="20"/>
    </w:rPr>
  </w:style>
  <w:style w:type="paragraph" w:styleId="ListBullet2">
    <w:name w:val="List Bullet 2"/>
    <w:basedOn w:val="Normal"/>
    <w:rsid w:val="008C2B46"/>
    <w:pPr>
      <w:spacing w:after="0" w:line="240" w:lineRule="auto"/>
      <w:ind w:left="720" w:hanging="360"/>
    </w:pPr>
    <w:rPr>
      <w:rFonts w:ascii="Cirilica Times" w:eastAsia="Times New Roman" w:hAnsi="Cirilica Times" w:cs="Times New Roman"/>
      <w:sz w:val="24"/>
      <w:szCs w:val="20"/>
    </w:rPr>
  </w:style>
  <w:style w:type="paragraph" w:styleId="ListBullet3">
    <w:name w:val="List Bullet 3"/>
    <w:basedOn w:val="Normal"/>
    <w:rsid w:val="008C2B46"/>
    <w:pPr>
      <w:spacing w:after="0" w:line="240" w:lineRule="auto"/>
      <w:ind w:left="1080" w:hanging="360"/>
    </w:pPr>
    <w:rPr>
      <w:rFonts w:ascii="Cirilica Times" w:eastAsia="Times New Roman" w:hAnsi="Cirilica Times" w:cs="Times New Roman"/>
      <w:sz w:val="24"/>
      <w:szCs w:val="20"/>
    </w:rPr>
  </w:style>
  <w:style w:type="paragraph" w:styleId="ListBullet4">
    <w:name w:val="List Bullet 4"/>
    <w:basedOn w:val="Normal"/>
    <w:rsid w:val="008C2B46"/>
    <w:pPr>
      <w:spacing w:after="0" w:line="240" w:lineRule="auto"/>
      <w:ind w:left="1440" w:hanging="360"/>
    </w:pPr>
    <w:rPr>
      <w:rFonts w:ascii="Cirilica Times" w:eastAsia="Times New Roman" w:hAnsi="Cirilica Times" w:cs="Times New Roman"/>
      <w:sz w:val="24"/>
      <w:szCs w:val="20"/>
    </w:rPr>
  </w:style>
  <w:style w:type="paragraph" w:styleId="ListBullet5">
    <w:name w:val="List Bullet 5"/>
    <w:basedOn w:val="Normal"/>
    <w:rsid w:val="008C2B46"/>
    <w:pPr>
      <w:spacing w:after="0" w:line="240" w:lineRule="auto"/>
      <w:ind w:left="1800" w:hanging="360"/>
    </w:pPr>
    <w:rPr>
      <w:rFonts w:ascii="Cirilica Times" w:eastAsia="Times New Roman" w:hAnsi="Cirilica Times" w:cs="Times New Roman"/>
      <w:sz w:val="24"/>
      <w:szCs w:val="20"/>
    </w:rPr>
  </w:style>
  <w:style w:type="paragraph" w:styleId="ListContinue">
    <w:name w:val="List Continue"/>
    <w:basedOn w:val="Normal"/>
    <w:rsid w:val="008C2B46"/>
    <w:pPr>
      <w:spacing w:after="120" w:line="240" w:lineRule="auto"/>
      <w:ind w:left="360"/>
    </w:pPr>
    <w:rPr>
      <w:rFonts w:ascii="Cirilica Times" w:eastAsia="Times New Roman" w:hAnsi="Cirilica Times" w:cs="Times New Roman"/>
      <w:sz w:val="24"/>
      <w:szCs w:val="20"/>
    </w:rPr>
  </w:style>
  <w:style w:type="paragraph" w:styleId="MessageHeader">
    <w:name w:val="Message Header"/>
    <w:basedOn w:val="Normal"/>
    <w:link w:val="MessageHeaderChar"/>
    <w:rsid w:val="008C2B46"/>
    <w:pPr>
      <w:spacing w:after="0" w:line="240" w:lineRule="auto"/>
      <w:ind w:left="1080" w:hanging="1080"/>
    </w:pPr>
    <w:rPr>
      <w:rFonts w:ascii="Cirilica Helvetica" w:eastAsia="Times New Roman" w:hAnsi="Cirilica Helvetica" w:cs="Times New Roman"/>
      <w:sz w:val="24"/>
      <w:szCs w:val="20"/>
    </w:rPr>
  </w:style>
  <w:style w:type="character" w:customStyle="1" w:styleId="MessageHeaderChar">
    <w:name w:val="Message Header Char"/>
    <w:basedOn w:val="DefaultParagraphFont"/>
    <w:link w:val="MessageHeader"/>
    <w:rsid w:val="008C2B46"/>
    <w:rPr>
      <w:rFonts w:ascii="Cirilica Helvetica" w:eastAsia="Times New Roman" w:hAnsi="Cirilica Helvetica" w:cs="Times New Roman"/>
      <w:sz w:val="24"/>
      <w:szCs w:val="20"/>
    </w:rPr>
  </w:style>
  <w:style w:type="paragraph" w:styleId="TOAHeading">
    <w:name w:val="toa heading"/>
    <w:basedOn w:val="Normal"/>
    <w:next w:val="Normal"/>
    <w:semiHidden/>
    <w:rsid w:val="008C2B46"/>
    <w:pPr>
      <w:spacing w:before="120" w:after="0" w:line="240" w:lineRule="auto"/>
    </w:pPr>
    <w:rPr>
      <w:rFonts w:ascii="Cirilica Helvetica" w:eastAsia="Times New Roman" w:hAnsi="Cirilica Helvetica" w:cs="Times New Roman"/>
      <w:b/>
      <w:sz w:val="24"/>
      <w:szCs w:val="20"/>
    </w:rPr>
  </w:style>
  <w:style w:type="paragraph" w:styleId="BodyText3">
    <w:name w:val="Body Text 3"/>
    <w:basedOn w:val="Normal"/>
    <w:link w:val="BodyText3Char"/>
    <w:rsid w:val="008C2B46"/>
    <w:pPr>
      <w:spacing w:after="0" w:line="240" w:lineRule="auto"/>
      <w:jc w:val="both"/>
    </w:pPr>
    <w:rPr>
      <w:rFonts w:ascii="Cirilica Times" w:eastAsia="Times New Roman" w:hAnsi="Cirilica Times" w:cs="Times New Roman"/>
      <w:b/>
      <w:sz w:val="28"/>
      <w:szCs w:val="20"/>
    </w:rPr>
  </w:style>
  <w:style w:type="character" w:customStyle="1" w:styleId="BodyText3Char">
    <w:name w:val="Body Text 3 Char"/>
    <w:basedOn w:val="DefaultParagraphFont"/>
    <w:link w:val="BodyText3"/>
    <w:rsid w:val="008C2B46"/>
    <w:rPr>
      <w:rFonts w:ascii="Cirilica Times" w:eastAsia="Times New Roman" w:hAnsi="Cirilica Times" w:cs="Times New Roman"/>
      <w:b/>
      <w:sz w:val="28"/>
      <w:szCs w:val="20"/>
    </w:rPr>
  </w:style>
  <w:style w:type="paragraph" w:customStyle="1" w:styleId="font5">
    <w:name w:val="font5"/>
    <w:basedOn w:val="Normal"/>
    <w:rsid w:val="008C2B46"/>
    <w:pP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font6">
    <w:name w:val="font6"/>
    <w:basedOn w:val="Normal"/>
    <w:rsid w:val="008C2B46"/>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7">
    <w:name w:val="font7"/>
    <w:basedOn w:val="Normal"/>
    <w:rsid w:val="008C2B46"/>
    <w:pPr>
      <w:spacing w:before="100" w:beforeAutospacing="1" w:after="100" w:afterAutospacing="1" w:line="240" w:lineRule="auto"/>
    </w:pPr>
    <w:rPr>
      <w:rFonts w:ascii="Cirilica Times" w:eastAsia="Arial Unicode MS" w:hAnsi="Cirilica Times" w:cs="Arial Unicode MS"/>
      <w:sz w:val="18"/>
      <w:szCs w:val="18"/>
    </w:rPr>
  </w:style>
  <w:style w:type="paragraph" w:customStyle="1" w:styleId="font8">
    <w:name w:val="font8"/>
    <w:basedOn w:val="Normal"/>
    <w:rsid w:val="008C2B46"/>
    <w:pPr>
      <w:spacing w:before="100" w:beforeAutospacing="1" w:after="100" w:afterAutospacing="1" w:line="240" w:lineRule="auto"/>
    </w:pPr>
    <w:rPr>
      <w:rFonts w:ascii="Courier New" w:eastAsia="Arial Unicode MS" w:hAnsi="Courier New" w:cs="Courier New"/>
      <w:sz w:val="18"/>
      <w:szCs w:val="18"/>
    </w:rPr>
  </w:style>
  <w:style w:type="paragraph" w:customStyle="1" w:styleId="font9">
    <w:name w:val="font9"/>
    <w:basedOn w:val="Normal"/>
    <w:rsid w:val="008C2B46"/>
    <w:pPr>
      <w:spacing w:before="100" w:beforeAutospacing="1" w:after="100" w:afterAutospacing="1" w:line="240" w:lineRule="auto"/>
    </w:pPr>
    <w:rPr>
      <w:rFonts w:ascii="Times New Roman" w:eastAsia="Arial Unicode MS" w:hAnsi="Times New Roman" w:cs="Times New Roman"/>
      <w:sz w:val="18"/>
      <w:szCs w:val="18"/>
    </w:rPr>
  </w:style>
  <w:style w:type="paragraph" w:customStyle="1" w:styleId="xl24">
    <w:name w:val="xl24"/>
    <w:basedOn w:val="Normal"/>
    <w:rsid w:val="008C2B4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16"/>
      <w:szCs w:val="16"/>
    </w:rPr>
  </w:style>
  <w:style w:type="paragraph" w:customStyle="1" w:styleId="xl25">
    <w:name w:val="xl25"/>
    <w:basedOn w:val="Normal"/>
    <w:rsid w:val="008C2B46"/>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18"/>
      <w:szCs w:val="18"/>
    </w:rPr>
  </w:style>
  <w:style w:type="paragraph" w:customStyle="1" w:styleId="xl26">
    <w:name w:val="xl26"/>
    <w:basedOn w:val="Normal"/>
    <w:rsid w:val="008C2B46"/>
    <w:pPr>
      <w:pBdr>
        <w:top w:val="single" w:sz="8" w:space="0" w:color="auto"/>
        <w:right w:val="single" w:sz="4" w:space="0" w:color="auto"/>
      </w:pBdr>
      <w:spacing w:before="100" w:beforeAutospacing="1" w:after="100" w:afterAutospacing="1" w:line="240" w:lineRule="auto"/>
      <w:jc w:val="center"/>
      <w:textAlignment w:val="center"/>
    </w:pPr>
    <w:rPr>
      <w:rFonts w:ascii="Cirilica Times" w:eastAsia="Arial Unicode MS" w:hAnsi="Cirilica Times" w:cs="Arial Unicode MS"/>
      <w:b/>
      <w:bCs/>
      <w:sz w:val="18"/>
      <w:szCs w:val="18"/>
    </w:rPr>
  </w:style>
  <w:style w:type="paragraph" w:customStyle="1" w:styleId="xl27">
    <w:name w:val="xl27"/>
    <w:basedOn w:val="Normal"/>
    <w:rsid w:val="008C2B46"/>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Unicode MS" w:eastAsia="Arial Unicode MS" w:hAnsi="Arial Unicode MS" w:cs="Arial Unicode MS"/>
      <w:b/>
      <w:bCs/>
      <w:sz w:val="18"/>
      <w:szCs w:val="18"/>
    </w:rPr>
  </w:style>
  <w:style w:type="paragraph" w:customStyle="1" w:styleId="xl28">
    <w:name w:val="xl28"/>
    <w:basedOn w:val="Normal"/>
    <w:rsid w:val="008C2B46"/>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Unicode MS" w:eastAsia="Arial Unicode MS" w:hAnsi="Arial Unicode MS" w:cs="Arial Unicode MS"/>
      <w:b/>
      <w:bCs/>
      <w:sz w:val="18"/>
      <w:szCs w:val="18"/>
    </w:rPr>
  </w:style>
  <w:style w:type="paragraph" w:customStyle="1" w:styleId="xl29">
    <w:name w:val="xl29"/>
    <w:basedOn w:val="Normal"/>
    <w:rsid w:val="008C2B46"/>
    <w:pPr>
      <w:pBdr>
        <w:top w:val="single" w:sz="8" w:space="0" w:color="auto"/>
        <w:bottom w:val="single" w:sz="4" w:space="0" w:color="auto"/>
      </w:pBdr>
      <w:spacing w:before="100" w:beforeAutospacing="1" w:after="100" w:afterAutospacing="1" w:line="240" w:lineRule="auto"/>
      <w:textAlignment w:val="center"/>
    </w:pPr>
    <w:rPr>
      <w:rFonts w:ascii="Arial Unicode MS" w:eastAsia="Arial Unicode MS" w:hAnsi="Arial Unicode MS" w:cs="Arial Unicode MS"/>
      <w:b/>
      <w:bCs/>
      <w:sz w:val="18"/>
      <w:szCs w:val="18"/>
    </w:rPr>
  </w:style>
  <w:style w:type="paragraph" w:customStyle="1" w:styleId="xl30">
    <w:name w:val="xl30"/>
    <w:basedOn w:val="Normal"/>
    <w:rsid w:val="008C2B46"/>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Arial Unicode MS" w:eastAsia="Arial Unicode MS" w:hAnsi="Arial Unicode MS" w:cs="Arial Unicode MS"/>
      <w:b/>
      <w:bCs/>
      <w:sz w:val="18"/>
      <w:szCs w:val="18"/>
    </w:rPr>
  </w:style>
  <w:style w:type="paragraph" w:customStyle="1" w:styleId="xl31">
    <w:name w:val="xl31"/>
    <w:basedOn w:val="Normal"/>
    <w:rsid w:val="008C2B46"/>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18"/>
      <w:szCs w:val="18"/>
    </w:rPr>
  </w:style>
  <w:style w:type="paragraph" w:customStyle="1" w:styleId="xl32">
    <w:name w:val="xl32"/>
    <w:basedOn w:val="Normal"/>
    <w:rsid w:val="008C2B46"/>
    <w:pPr>
      <w:pBdr>
        <w:bottom w:val="single" w:sz="8"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b/>
      <w:bCs/>
      <w:sz w:val="18"/>
      <w:szCs w:val="18"/>
    </w:rPr>
  </w:style>
  <w:style w:type="paragraph" w:customStyle="1" w:styleId="xl33">
    <w:name w:val="xl33"/>
    <w:basedOn w:val="Normal"/>
    <w:rsid w:val="008C2B46"/>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Unicode MS" w:eastAsia="Arial Unicode MS" w:hAnsi="Arial Unicode MS" w:cs="Arial Unicode MS"/>
      <w:sz w:val="18"/>
      <w:szCs w:val="18"/>
    </w:rPr>
  </w:style>
  <w:style w:type="paragraph" w:customStyle="1" w:styleId="xl34">
    <w:name w:val="xl34"/>
    <w:basedOn w:val="Normal"/>
    <w:rsid w:val="008C2B46"/>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b/>
      <w:bCs/>
      <w:sz w:val="18"/>
      <w:szCs w:val="18"/>
    </w:rPr>
  </w:style>
  <w:style w:type="paragraph" w:customStyle="1" w:styleId="xl35">
    <w:name w:val="xl35"/>
    <w:basedOn w:val="Normal"/>
    <w:rsid w:val="008C2B46"/>
    <w:pPr>
      <w:pBdr>
        <w:bottom w:val="single" w:sz="8" w:space="0" w:color="auto"/>
        <w:right w:val="single" w:sz="8" w:space="0" w:color="auto"/>
      </w:pBdr>
      <w:spacing w:before="100" w:beforeAutospacing="1" w:after="100" w:afterAutospacing="1" w:line="240" w:lineRule="auto"/>
      <w:jc w:val="center"/>
      <w:textAlignment w:val="center"/>
    </w:pPr>
    <w:rPr>
      <w:rFonts w:ascii="Arial Unicode MS" w:eastAsia="Arial Unicode MS" w:hAnsi="Arial Unicode MS" w:cs="Arial Unicode MS"/>
      <w:b/>
      <w:bCs/>
      <w:sz w:val="18"/>
      <w:szCs w:val="18"/>
    </w:rPr>
  </w:style>
  <w:style w:type="paragraph" w:customStyle="1" w:styleId="xl36">
    <w:name w:val="xl36"/>
    <w:basedOn w:val="Normal"/>
    <w:rsid w:val="008C2B46"/>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8"/>
      <w:szCs w:val="18"/>
    </w:rPr>
  </w:style>
  <w:style w:type="paragraph" w:customStyle="1" w:styleId="xl37">
    <w:name w:val="xl37"/>
    <w:basedOn w:val="Normal"/>
    <w:rsid w:val="008C2B46"/>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8"/>
      <w:szCs w:val="18"/>
    </w:rPr>
  </w:style>
  <w:style w:type="paragraph" w:customStyle="1" w:styleId="xl38">
    <w:name w:val="xl38"/>
    <w:basedOn w:val="Normal"/>
    <w:rsid w:val="008C2B46"/>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Unicode MS" w:eastAsia="Arial Unicode MS" w:hAnsi="Arial Unicode MS" w:cs="Arial Unicode MS"/>
      <w:sz w:val="18"/>
      <w:szCs w:val="18"/>
    </w:rPr>
  </w:style>
  <w:style w:type="paragraph" w:customStyle="1" w:styleId="xl39">
    <w:name w:val="xl39"/>
    <w:basedOn w:val="Normal"/>
    <w:rsid w:val="008C2B46"/>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8"/>
      <w:szCs w:val="18"/>
    </w:rPr>
  </w:style>
  <w:style w:type="paragraph" w:customStyle="1" w:styleId="xl40">
    <w:name w:val="xl40"/>
    <w:basedOn w:val="Normal"/>
    <w:rsid w:val="008C2B46"/>
    <w:pPr>
      <w:pBdr>
        <w:top w:val="single" w:sz="8"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8"/>
      <w:szCs w:val="18"/>
    </w:rPr>
  </w:style>
  <w:style w:type="paragraph" w:customStyle="1" w:styleId="xl41">
    <w:name w:val="xl41"/>
    <w:basedOn w:val="Normal"/>
    <w:rsid w:val="008C2B46"/>
    <w:pPr>
      <w:pBdr>
        <w:top w:val="single" w:sz="8"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18"/>
      <w:szCs w:val="18"/>
    </w:rPr>
  </w:style>
  <w:style w:type="paragraph" w:customStyle="1" w:styleId="xl42">
    <w:name w:val="xl42"/>
    <w:basedOn w:val="Normal"/>
    <w:rsid w:val="008C2B46"/>
    <w:pPr>
      <w:pBdr>
        <w:left w:val="single" w:sz="8"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8"/>
      <w:szCs w:val="18"/>
    </w:rPr>
  </w:style>
  <w:style w:type="paragraph" w:customStyle="1" w:styleId="xl43">
    <w:name w:val="xl43"/>
    <w:basedOn w:val="Normal"/>
    <w:rsid w:val="008C2B46"/>
    <w:pPr>
      <w:pBdr>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8"/>
      <w:szCs w:val="18"/>
    </w:rPr>
  </w:style>
  <w:style w:type="paragraph" w:customStyle="1" w:styleId="xl44">
    <w:name w:val="xl44"/>
    <w:basedOn w:val="Normal"/>
    <w:rsid w:val="008C2B46"/>
    <w:pPr>
      <w:pBdr>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18"/>
      <w:szCs w:val="18"/>
    </w:rPr>
  </w:style>
  <w:style w:type="paragraph" w:customStyle="1" w:styleId="xl45">
    <w:name w:val="xl45"/>
    <w:basedOn w:val="Normal"/>
    <w:rsid w:val="008C2B46"/>
    <w:pPr>
      <w:pBdr>
        <w:left w:val="single" w:sz="8"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b/>
      <w:bCs/>
      <w:sz w:val="18"/>
      <w:szCs w:val="18"/>
    </w:rPr>
  </w:style>
  <w:style w:type="paragraph" w:customStyle="1" w:styleId="xl46">
    <w:name w:val="xl46"/>
    <w:basedOn w:val="Normal"/>
    <w:rsid w:val="008C2B46"/>
    <w:pPr>
      <w:pBdr>
        <w:left w:val="single" w:sz="8" w:space="0" w:color="auto"/>
        <w:bottom w:val="single" w:sz="8" w:space="0" w:color="auto"/>
        <w:right w:val="single" w:sz="4" w:space="0" w:color="auto"/>
      </w:pBdr>
      <w:spacing w:before="100" w:beforeAutospacing="1" w:after="100" w:afterAutospacing="1" w:line="240" w:lineRule="auto"/>
    </w:pPr>
    <w:rPr>
      <w:rFonts w:ascii="Arial Unicode MS" w:eastAsia="Arial Unicode MS" w:hAnsi="Arial Unicode MS" w:cs="Arial Unicode MS"/>
      <w:sz w:val="18"/>
      <w:szCs w:val="18"/>
    </w:rPr>
  </w:style>
  <w:style w:type="paragraph" w:customStyle="1" w:styleId="xl47">
    <w:name w:val="xl47"/>
    <w:basedOn w:val="Normal"/>
    <w:rsid w:val="008C2B46"/>
    <w:pPr>
      <w:pBdr>
        <w:bottom w:val="single" w:sz="8" w:space="0" w:color="auto"/>
        <w:right w:val="single" w:sz="4" w:space="0" w:color="auto"/>
      </w:pBdr>
      <w:spacing w:before="100" w:beforeAutospacing="1" w:after="100" w:afterAutospacing="1" w:line="240" w:lineRule="auto"/>
    </w:pPr>
    <w:rPr>
      <w:rFonts w:ascii="Arial Unicode MS" w:eastAsia="Arial Unicode MS" w:hAnsi="Arial Unicode MS" w:cs="Arial Unicode MS"/>
      <w:sz w:val="18"/>
      <w:szCs w:val="18"/>
    </w:rPr>
  </w:style>
  <w:style w:type="paragraph" w:customStyle="1" w:styleId="xl48">
    <w:name w:val="xl48"/>
    <w:basedOn w:val="Normal"/>
    <w:rsid w:val="008C2B46"/>
    <w:pPr>
      <w:pBdr>
        <w:bottom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sz w:val="18"/>
      <w:szCs w:val="18"/>
    </w:rPr>
  </w:style>
  <w:style w:type="paragraph" w:customStyle="1" w:styleId="xl49">
    <w:name w:val="xl49"/>
    <w:basedOn w:val="Normal"/>
    <w:rsid w:val="008C2B46"/>
    <w:pPr>
      <w:pBdr>
        <w:left w:val="single" w:sz="8"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8"/>
      <w:szCs w:val="18"/>
    </w:rPr>
  </w:style>
  <w:style w:type="paragraph" w:customStyle="1" w:styleId="xl50">
    <w:name w:val="xl50"/>
    <w:basedOn w:val="Normal"/>
    <w:rsid w:val="008C2B46"/>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b/>
      <w:bCs/>
      <w:sz w:val="18"/>
      <w:szCs w:val="18"/>
    </w:rPr>
  </w:style>
  <w:style w:type="paragraph" w:customStyle="1" w:styleId="xl51">
    <w:name w:val="xl51"/>
    <w:basedOn w:val="Normal"/>
    <w:rsid w:val="008C2B46"/>
    <w:pPr>
      <w:pBdr>
        <w:left w:val="single" w:sz="8" w:space="0" w:color="auto"/>
        <w:bottom w:val="single" w:sz="8" w:space="0" w:color="auto"/>
      </w:pBdr>
      <w:spacing w:before="100" w:beforeAutospacing="1" w:after="100" w:afterAutospacing="1" w:line="240" w:lineRule="auto"/>
    </w:pPr>
    <w:rPr>
      <w:rFonts w:ascii="Arial Unicode MS" w:eastAsia="Arial Unicode MS" w:hAnsi="Arial Unicode MS" w:cs="Arial Unicode MS"/>
      <w:sz w:val="18"/>
      <w:szCs w:val="18"/>
    </w:rPr>
  </w:style>
  <w:style w:type="paragraph" w:customStyle="1" w:styleId="xl52">
    <w:name w:val="xl52"/>
    <w:basedOn w:val="Normal"/>
    <w:rsid w:val="008C2B46"/>
    <w:pPr>
      <w:pBdr>
        <w:left w:val="single" w:sz="8"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b/>
      <w:bCs/>
      <w:sz w:val="18"/>
      <w:szCs w:val="18"/>
    </w:rPr>
  </w:style>
  <w:style w:type="paragraph" w:customStyle="1" w:styleId="xl53">
    <w:name w:val="xl53"/>
    <w:basedOn w:val="Normal"/>
    <w:rsid w:val="008C2B46"/>
    <w:pPr>
      <w:pBdr>
        <w:left w:val="single" w:sz="8" w:space="0" w:color="auto"/>
        <w:bottom w:val="single" w:sz="4" w:space="0" w:color="auto"/>
      </w:pBdr>
      <w:spacing w:before="100" w:beforeAutospacing="1" w:after="100" w:afterAutospacing="1" w:line="240" w:lineRule="auto"/>
    </w:pPr>
    <w:rPr>
      <w:rFonts w:ascii="Courier New" w:eastAsia="Arial Unicode MS" w:hAnsi="Courier New" w:cs="Courier New"/>
      <w:b/>
      <w:bCs/>
      <w:sz w:val="18"/>
      <w:szCs w:val="18"/>
    </w:rPr>
  </w:style>
  <w:style w:type="paragraph" w:customStyle="1" w:styleId="xl54">
    <w:name w:val="xl54"/>
    <w:basedOn w:val="Normal"/>
    <w:rsid w:val="008C2B46"/>
    <w:pPr>
      <w:pBdr>
        <w:left w:val="single" w:sz="8" w:space="0" w:color="auto"/>
        <w:bottom w:val="single" w:sz="4" w:space="0" w:color="auto"/>
        <w:right w:val="single" w:sz="8" w:space="0" w:color="auto"/>
      </w:pBdr>
      <w:spacing w:before="100" w:beforeAutospacing="1" w:after="100" w:afterAutospacing="1" w:line="240" w:lineRule="auto"/>
    </w:pPr>
    <w:rPr>
      <w:rFonts w:ascii="Cirilica Times" w:eastAsia="Arial Unicode MS" w:hAnsi="Cirilica Times" w:cs="Arial Unicode MS"/>
      <w:b/>
      <w:bCs/>
      <w:sz w:val="18"/>
      <w:szCs w:val="18"/>
    </w:rPr>
  </w:style>
  <w:style w:type="paragraph" w:customStyle="1" w:styleId="xl55">
    <w:name w:val="xl55"/>
    <w:basedOn w:val="Normal"/>
    <w:rsid w:val="008C2B46"/>
    <w:pPr>
      <w:pBdr>
        <w:top w:val="single" w:sz="8" w:space="0" w:color="auto"/>
        <w:left w:val="single" w:sz="8" w:space="0" w:color="auto"/>
        <w:bottom w:val="single" w:sz="8" w:space="0" w:color="auto"/>
      </w:pBdr>
      <w:spacing w:before="100" w:beforeAutospacing="1" w:after="100" w:afterAutospacing="1" w:line="240" w:lineRule="auto"/>
    </w:pPr>
    <w:rPr>
      <w:rFonts w:ascii="Arial Unicode MS" w:eastAsia="Arial Unicode MS" w:hAnsi="Arial Unicode MS" w:cs="Arial Unicode MS"/>
      <w:sz w:val="18"/>
      <w:szCs w:val="18"/>
    </w:rPr>
  </w:style>
  <w:style w:type="paragraph" w:customStyle="1" w:styleId="xl56">
    <w:name w:val="xl56"/>
    <w:basedOn w:val="Normal"/>
    <w:rsid w:val="008C2B46"/>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sz w:val="18"/>
      <w:szCs w:val="18"/>
    </w:rPr>
  </w:style>
  <w:style w:type="paragraph" w:customStyle="1" w:styleId="xl57">
    <w:name w:val="xl57"/>
    <w:basedOn w:val="Normal"/>
    <w:rsid w:val="008C2B46"/>
    <w:pPr>
      <w:pBdr>
        <w:top w:val="single" w:sz="8" w:space="0" w:color="auto"/>
        <w:bottom w:val="single" w:sz="4"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58">
    <w:name w:val="xl58"/>
    <w:basedOn w:val="Normal"/>
    <w:rsid w:val="008C2B46"/>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59">
    <w:name w:val="xl59"/>
    <w:basedOn w:val="Normal"/>
    <w:rsid w:val="008C2B46"/>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60">
    <w:name w:val="xl60"/>
    <w:basedOn w:val="Normal"/>
    <w:rsid w:val="008C2B46"/>
    <w:pPr>
      <w:pBdr>
        <w:top w:val="single" w:sz="8" w:space="0" w:color="auto"/>
        <w:bottom w:val="single" w:sz="4"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61">
    <w:name w:val="xl61"/>
    <w:basedOn w:val="Normal"/>
    <w:rsid w:val="008C2B46"/>
    <w:pPr>
      <w:pBdr>
        <w:top w:val="single" w:sz="8" w:space="0" w:color="auto"/>
        <w:bottom w:val="single" w:sz="4"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62">
    <w:name w:val="xl62"/>
    <w:basedOn w:val="Normal"/>
    <w:rsid w:val="008C2B46"/>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63">
    <w:name w:val="xl63"/>
    <w:basedOn w:val="Normal"/>
    <w:rsid w:val="008C2B46"/>
    <w:pPr>
      <w:pBdr>
        <w:left w:val="single" w:sz="8" w:space="0" w:color="auto"/>
        <w:bottom w:val="single" w:sz="4"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64">
    <w:name w:val="xl64"/>
    <w:basedOn w:val="Normal"/>
    <w:rsid w:val="008C2B46"/>
    <w:pPr>
      <w:pBdr>
        <w:bottom w:val="single" w:sz="4"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65">
    <w:name w:val="xl65"/>
    <w:basedOn w:val="Normal"/>
    <w:rsid w:val="008C2B46"/>
    <w:pPr>
      <w:pBdr>
        <w:bottom w:val="single" w:sz="4"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66">
    <w:name w:val="xl66"/>
    <w:basedOn w:val="Normal"/>
    <w:rsid w:val="008C2B46"/>
    <w:pPr>
      <w:pBdr>
        <w:bottom w:val="single" w:sz="4"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67">
    <w:name w:val="xl67"/>
    <w:basedOn w:val="Normal"/>
    <w:rsid w:val="008C2B4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68">
    <w:name w:val="xl68"/>
    <w:basedOn w:val="Normal"/>
    <w:rsid w:val="008C2B4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69">
    <w:name w:val="xl69"/>
    <w:basedOn w:val="Normal"/>
    <w:rsid w:val="008C2B46"/>
    <w:pPr>
      <w:pBdr>
        <w:top w:val="single" w:sz="4" w:space="0" w:color="auto"/>
        <w:bottom w:val="single" w:sz="4"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70">
    <w:name w:val="xl70"/>
    <w:basedOn w:val="Normal"/>
    <w:rsid w:val="008C2B46"/>
    <w:pPr>
      <w:pBdr>
        <w:left w:val="single" w:sz="8" w:space="0" w:color="auto"/>
        <w:bottom w:val="single" w:sz="8"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71">
    <w:name w:val="xl71"/>
    <w:basedOn w:val="Normal"/>
    <w:rsid w:val="008C2B46"/>
    <w:pPr>
      <w:pBdr>
        <w:bottom w:val="single" w:sz="8"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72">
    <w:name w:val="xl72"/>
    <w:basedOn w:val="Normal"/>
    <w:rsid w:val="008C2B46"/>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73">
    <w:name w:val="xl73"/>
    <w:basedOn w:val="Normal"/>
    <w:rsid w:val="008C2B46"/>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74">
    <w:name w:val="xl74"/>
    <w:basedOn w:val="Normal"/>
    <w:rsid w:val="008C2B46"/>
    <w:pPr>
      <w:pBdr>
        <w:left w:val="single" w:sz="4" w:space="0" w:color="auto"/>
        <w:bottom w:val="single" w:sz="4" w:space="0" w:color="auto"/>
        <w:right w:val="single" w:sz="8"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75">
    <w:name w:val="xl75"/>
    <w:basedOn w:val="Normal"/>
    <w:rsid w:val="008C2B46"/>
    <w:pPr>
      <w:pBdr>
        <w:left w:val="single" w:sz="4" w:space="0" w:color="auto"/>
        <w:bottom w:val="single" w:sz="4"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76">
    <w:name w:val="xl76"/>
    <w:basedOn w:val="Normal"/>
    <w:rsid w:val="008C2B46"/>
    <w:pPr>
      <w:pBdr>
        <w:top w:val="single" w:sz="4" w:space="0" w:color="auto"/>
        <w:bottom w:val="single" w:sz="8"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77">
    <w:name w:val="xl77"/>
    <w:basedOn w:val="Normal"/>
    <w:rsid w:val="008C2B46"/>
    <w:pPr>
      <w:pBdr>
        <w:top w:val="single" w:sz="8" w:space="0" w:color="auto"/>
        <w:bottom w:val="single" w:sz="8" w:space="0" w:color="auto"/>
        <w:right w:val="single" w:sz="4" w:space="0" w:color="auto"/>
      </w:pBdr>
      <w:spacing w:before="100" w:beforeAutospacing="1" w:after="100" w:afterAutospacing="1" w:line="240" w:lineRule="auto"/>
    </w:pPr>
    <w:rPr>
      <w:rFonts w:ascii="Cirilica Times" w:eastAsia="Arial Unicode MS" w:hAnsi="Cirilica Times" w:cs="Arial Unicode MS"/>
      <w:b/>
      <w:bCs/>
      <w:sz w:val="16"/>
      <w:szCs w:val="16"/>
    </w:rPr>
  </w:style>
  <w:style w:type="paragraph" w:customStyle="1" w:styleId="xl78">
    <w:name w:val="xl78"/>
    <w:basedOn w:val="Normal"/>
    <w:rsid w:val="008C2B46"/>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79">
    <w:name w:val="xl79"/>
    <w:basedOn w:val="Normal"/>
    <w:rsid w:val="008C2B46"/>
    <w:pPr>
      <w:pBdr>
        <w:left w:val="single" w:sz="4" w:space="0" w:color="auto"/>
        <w:bottom w:val="single" w:sz="8"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80">
    <w:name w:val="xl80"/>
    <w:basedOn w:val="Normal"/>
    <w:rsid w:val="008C2B46"/>
    <w:pPr>
      <w:pBdr>
        <w:left w:val="single" w:sz="4" w:space="0" w:color="auto"/>
        <w:bottom w:val="single" w:sz="8" w:space="0" w:color="auto"/>
        <w:right w:val="single" w:sz="8"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81">
    <w:name w:val="xl81"/>
    <w:basedOn w:val="Normal"/>
    <w:rsid w:val="008C2B46"/>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Cirilica Times" w:eastAsia="Arial Unicode MS" w:hAnsi="Cirilica Times" w:cs="Arial Unicode MS"/>
      <w:sz w:val="16"/>
      <w:szCs w:val="16"/>
    </w:rPr>
  </w:style>
  <w:style w:type="paragraph" w:customStyle="1" w:styleId="xl82">
    <w:name w:val="xl82"/>
    <w:basedOn w:val="Normal"/>
    <w:rsid w:val="008C2B46"/>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83">
    <w:name w:val="xl83"/>
    <w:basedOn w:val="Normal"/>
    <w:rsid w:val="008C2B4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Unicode MS" w:eastAsia="Arial Unicode MS" w:hAnsi="Arial Unicode MS" w:cs="Arial Unicode MS"/>
      <w:sz w:val="18"/>
      <w:szCs w:val="18"/>
    </w:rPr>
  </w:style>
  <w:style w:type="paragraph" w:customStyle="1" w:styleId="xl84">
    <w:name w:val="xl84"/>
    <w:basedOn w:val="Normal"/>
    <w:rsid w:val="008C2B46"/>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18"/>
      <w:szCs w:val="18"/>
    </w:rPr>
  </w:style>
  <w:style w:type="paragraph" w:customStyle="1" w:styleId="xl85">
    <w:name w:val="xl85"/>
    <w:basedOn w:val="Normal"/>
    <w:rsid w:val="008C2B46"/>
    <w:pPr>
      <w:pBdr>
        <w:top w:val="single" w:sz="8" w:space="0" w:color="auto"/>
        <w:left w:val="single" w:sz="8" w:space="0" w:color="auto"/>
        <w:bottom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113">
    <w:name w:val="xl113"/>
    <w:basedOn w:val="Normal"/>
    <w:rsid w:val="008C2B46"/>
    <w:pPr>
      <w:pBdr>
        <w:bottom w:val="single" w:sz="8" w:space="0" w:color="auto"/>
        <w:right w:val="single" w:sz="8" w:space="0" w:color="auto"/>
      </w:pBdr>
      <w:spacing w:before="100" w:beforeAutospacing="1" w:after="100" w:afterAutospacing="1" w:line="240" w:lineRule="auto"/>
      <w:jc w:val="center"/>
      <w:textAlignment w:val="center"/>
    </w:pPr>
    <w:rPr>
      <w:rFonts w:ascii="Cirilica Times" w:eastAsia="Arial Unicode MS" w:hAnsi="Cirilica Times" w:cs="Arial Unicode MS"/>
      <w:b/>
      <w:bCs/>
      <w:sz w:val="24"/>
      <w:szCs w:val="24"/>
    </w:rPr>
  </w:style>
  <w:style w:type="paragraph" w:customStyle="1" w:styleId="xl86">
    <w:name w:val="xl86"/>
    <w:basedOn w:val="Normal"/>
    <w:rsid w:val="008C2B46"/>
    <w:pPr>
      <w:pBdr>
        <w:left w:val="single" w:sz="4" w:space="0" w:color="auto"/>
        <w:bottom w:val="single" w:sz="4" w:space="0" w:color="auto"/>
        <w:right w:val="single" w:sz="4" w:space="0" w:color="auto"/>
      </w:pBdr>
      <w:shd w:val="clear" w:color="auto" w:fill="EAEAEA"/>
      <w:spacing w:before="100" w:beforeAutospacing="1" w:after="100" w:afterAutospacing="1" w:line="240" w:lineRule="auto"/>
    </w:pPr>
    <w:rPr>
      <w:rFonts w:ascii="Cirilica Times" w:eastAsia="Arial Unicode MS" w:hAnsi="Cirilica Times" w:cs="Arial Unicode MS"/>
      <w:b/>
      <w:bCs/>
      <w:sz w:val="24"/>
      <w:szCs w:val="24"/>
    </w:rPr>
  </w:style>
  <w:style w:type="paragraph" w:customStyle="1" w:styleId="xl87">
    <w:name w:val="xl87"/>
    <w:basedOn w:val="Normal"/>
    <w:rsid w:val="008C2B46"/>
    <w:pPr>
      <w:pBdr>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88">
    <w:name w:val="xl88"/>
    <w:basedOn w:val="Normal"/>
    <w:rsid w:val="008C2B46"/>
    <w:pPr>
      <w:pBdr>
        <w:top w:val="single" w:sz="4"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89">
    <w:name w:val="xl89"/>
    <w:basedOn w:val="Normal"/>
    <w:rsid w:val="008C2B46"/>
    <w:pPr>
      <w:spacing w:before="100" w:beforeAutospacing="1" w:after="100" w:afterAutospacing="1" w:line="240" w:lineRule="auto"/>
    </w:pPr>
    <w:rPr>
      <w:rFonts w:ascii="Cirilica Times" w:eastAsia="Arial Unicode MS" w:hAnsi="Cirilica Times" w:cs="Arial Unicode MS"/>
      <w:b/>
      <w:bCs/>
      <w:sz w:val="24"/>
      <w:szCs w:val="24"/>
    </w:rPr>
  </w:style>
  <w:style w:type="paragraph" w:customStyle="1" w:styleId="xl90">
    <w:name w:val="xl90"/>
    <w:basedOn w:val="Normal"/>
    <w:rsid w:val="008C2B46"/>
    <w:pPr>
      <w:pBdr>
        <w:top w:val="single" w:sz="8" w:space="0" w:color="auto"/>
        <w:left w:val="single" w:sz="8" w:space="0" w:color="auto"/>
        <w:bottom w:val="single" w:sz="8" w:space="0" w:color="auto"/>
      </w:pBdr>
      <w:spacing w:before="100" w:beforeAutospacing="1" w:after="100" w:afterAutospacing="1" w:line="240" w:lineRule="auto"/>
    </w:pPr>
    <w:rPr>
      <w:rFonts w:ascii="Cirilica Times" w:eastAsia="Arial Unicode MS" w:hAnsi="Cirilica Times" w:cs="Arial Unicode MS"/>
      <w:b/>
      <w:bCs/>
      <w:sz w:val="24"/>
      <w:szCs w:val="24"/>
    </w:rPr>
  </w:style>
  <w:style w:type="paragraph" w:customStyle="1" w:styleId="xl91">
    <w:name w:val="xl91"/>
    <w:basedOn w:val="Normal"/>
    <w:rsid w:val="008C2B46"/>
    <w:pPr>
      <w:pBdr>
        <w:top w:val="single" w:sz="8" w:space="0" w:color="auto"/>
        <w:left w:val="single" w:sz="8" w:space="0" w:color="auto"/>
        <w:bottom w:val="single" w:sz="8" w:space="0" w:color="auto"/>
      </w:pBdr>
      <w:spacing w:before="100" w:beforeAutospacing="1" w:after="100" w:afterAutospacing="1" w:line="240" w:lineRule="auto"/>
      <w:jc w:val="right"/>
    </w:pPr>
    <w:rPr>
      <w:rFonts w:ascii="Arial Unicode MS" w:eastAsia="Arial Unicode MS" w:hAnsi="Arial Unicode MS" w:cs="Arial Unicode MS"/>
      <w:sz w:val="24"/>
      <w:szCs w:val="24"/>
    </w:rPr>
  </w:style>
  <w:style w:type="paragraph" w:customStyle="1" w:styleId="xl92">
    <w:name w:val="xl92"/>
    <w:basedOn w:val="Normal"/>
    <w:rsid w:val="008C2B46"/>
    <w:pPr>
      <w:pBdr>
        <w:bottom w:val="single" w:sz="4" w:space="0" w:color="auto"/>
        <w:right w:val="single" w:sz="8" w:space="0" w:color="auto"/>
      </w:pBdr>
      <w:spacing w:before="100" w:beforeAutospacing="1" w:after="100" w:afterAutospacing="1" w:line="240" w:lineRule="auto"/>
      <w:jc w:val="center"/>
    </w:pPr>
    <w:rPr>
      <w:rFonts w:ascii="Times New Roman" w:eastAsia="Arial Unicode MS" w:hAnsi="Times New Roman" w:cs="Times New Roman"/>
      <w:b/>
      <w:bCs/>
      <w:sz w:val="18"/>
      <w:szCs w:val="18"/>
    </w:rPr>
  </w:style>
  <w:style w:type="paragraph" w:customStyle="1" w:styleId="xl93">
    <w:name w:val="xl93"/>
    <w:basedOn w:val="Normal"/>
    <w:rsid w:val="008C2B46"/>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Arial Unicode MS" w:hAnsi="Times New Roman" w:cs="Times New Roman"/>
      <w:b/>
      <w:bCs/>
      <w:sz w:val="18"/>
      <w:szCs w:val="18"/>
    </w:rPr>
  </w:style>
  <w:style w:type="paragraph" w:customStyle="1" w:styleId="xl94">
    <w:name w:val="xl94"/>
    <w:basedOn w:val="Normal"/>
    <w:rsid w:val="008C2B46"/>
    <w:pPr>
      <w:pBdr>
        <w:left w:val="single" w:sz="4" w:space="0" w:color="auto"/>
        <w:right w:val="single" w:sz="4" w:space="0" w:color="auto"/>
      </w:pBdr>
      <w:shd w:val="clear" w:color="auto" w:fill="EAEAEA"/>
      <w:spacing w:before="100" w:beforeAutospacing="1" w:after="100" w:afterAutospacing="1" w:line="240" w:lineRule="auto"/>
    </w:pPr>
    <w:rPr>
      <w:rFonts w:ascii="Cirilica Times" w:eastAsia="Arial Unicode MS" w:hAnsi="Cirilica Times" w:cs="Arial Unicode MS"/>
      <w:b/>
      <w:bCs/>
      <w:sz w:val="24"/>
      <w:szCs w:val="24"/>
    </w:rPr>
  </w:style>
  <w:style w:type="paragraph" w:customStyle="1" w:styleId="xl95">
    <w:name w:val="xl95"/>
    <w:basedOn w:val="Normal"/>
    <w:rsid w:val="008C2B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Unicode MS" w:eastAsia="Arial Unicode MS" w:hAnsi="Arial Unicode MS" w:cs="Arial Unicode MS"/>
      <w:sz w:val="24"/>
      <w:szCs w:val="24"/>
    </w:rPr>
  </w:style>
  <w:style w:type="paragraph" w:customStyle="1" w:styleId="xl96">
    <w:name w:val="xl96"/>
    <w:basedOn w:val="Normal"/>
    <w:rsid w:val="008C2B46"/>
    <w:pPr>
      <w:pBdr>
        <w:top w:val="single" w:sz="4" w:space="0" w:color="auto"/>
        <w:left w:val="single" w:sz="4" w:space="0" w:color="auto"/>
        <w:bottom w:val="single" w:sz="4" w:space="0" w:color="auto"/>
        <w:right w:val="single" w:sz="4" w:space="0" w:color="auto"/>
      </w:pBdr>
      <w:shd w:val="clear" w:color="auto" w:fill="EAEAEA"/>
      <w:spacing w:before="100" w:beforeAutospacing="1" w:after="100" w:afterAutospacing="1" w:line="240" w:lineRule="auto"/>
    </w:pPr>
    <w:rPr>
      <w:rFonts w:ascii="Cirilica Times" w:eastAsia="Arial Unicode MS" w:hAnsi="Cirilica Times" w:cs="Arial Unicode MS"/>
      <w:b/>
      <w:bCs/>
      <w:sz w:val="24"/>
      <w:szCs w:val="24"/>
    </w:rPr>
  </w:style>
  <w:style w:type="paragraph" w:customStyle="1" w:styleId="xl97">
    <w:name w:val="xl97"/>
    <w:basedOn w:val="Normal"/>
    <w:rsid w:val="008C2B46"/>
    <w:pPr>
      <w:pBdr>
        <w:top w:val="single" w:sz="4" w:space="0" w:color="auto"/>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98">
    <w:name w:val="xl98"/>
    <w:basedOn w:val="Normal"/>
    <w:rsid w:val="008C2B46"/>
    <w:pPr>
      <w:pBdr>
        <w:top w:val="single" w:sz="8" w:space="0" w:color="auto"/>
        <w:left w:val="single" w:sz="4" w:space="0" w:color="auto"/>
        <w:bottom w:val="single" w:sz="8" w:space="0" w:color="auto"/>
      </w:pBdr>
      <w:spacing w:before="100" w:beforeAutospacing="1" w:after="100" w:afterAutospacing="1" w:line="240" w:lineRule="auto"/>
    </w:pPr>
    <w:rPr>
      <w:rFonts w:ascii="Arial Unicode MS" w:eastAsia="Arial Unicode MS" w:hAnsi="Arial Unicode MS" w:cs="Arial Unicode MS"/>
      <w:b/>
      <w:bCs/>
      <w:sz w:val="24"/>
      <w:szCs w:val="24"/>
    </w:rPr>
  </w:style>
  <w:style w:type="paragraph" w:customStyle="1" w:styleId="xl99">
    <w:name w:val="xl99"/>
    <w:basedOn w:val="Normal"/>
    <w:rsid w:val="008C2B46"/>
    <w:pPr>
      <w:pBdr>
        <w:top w:val="single" w:sz="8"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b/>
      <w:bCs/>
      <w:sz w:val="24"/>
      <w:szCs w:val="24"/>
    </w:rPr>
  </w:style>
  <w:style w:type="paragraph" w:customStyle="1" w:styleId="xl100">
    <w:name w:val="xl100"/>
    <w:basedOn w:val="Normal"/>
    <w:rsid w:val="008C2B46"/>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101">
    <w:name w:val="xl101"/>
    <w:basedOn w:val="Normal"/>
    <w:rsid w:val="008C2B46"/>
    <w:pPr>
      <w:pBdr>
        <w:top w:val="single" w:sz="8" w:space="0" w:color="auto"/>
      </w:pBdr>
      <w:spacing w:before="100" w:beforeAutospacing="1" w:after="100" w:afterAutospacing="1" w:line="240" w:lineRule="auto"/>
      <w:jc w:val="center"/>
    </w:pPr>
    <w:rPr>
      <w:rFonts w:ascii="Cirilica Times" w:eastAsia="Arial Unicode MS" w:hAnsi="Cirilica Times" w:cs="Arial Unicode MS"/>
      <w:b/>
      <w:bCs/>
      <w:sz w:val="24"/>
      <w:szCs w:val="24"/>
    </w:rPr>
  </w:style>
  <w:style w:type="paragraph" w:customStyle="1" w:styleId="xl102">
    <w:name w:val="xl102"/>
    <w:basedOn w:val="Normal"/>
    <w:rsid w:val="008C2B46"/>
    <w:pPr>
      <w:pBdr>
        <w:bottom w:val="single" w:sz="4" w:space="0" w:color="auto"/>
      </w:pBdr>
      <w:spacing w:before="100" w:beforeAutospacing="1" w:after="100" w:afterAutospacing="1" w:line="240" w:lineRule="auto"/>
    </w:pPr>
    <w:rPr>
      <w:rFonts w:ascii="Times New Roman" w:eastAsia="Arial Unicode MS" w:hAnsi="Times New Roman" w:cs="Times New Roman"/>
      <w:b/>
      <w:bCs/>
      <w:sz w:val="24"/>
      <w:szCs w:val="24"/>
    </w:rPr>
  </w:style>
  <w:style w:type="paragraph" w:customStyle="1" w:styleId="xl103">
    <w:name w:val="xl103"/>
    <w:basedOn w:val="Normal"/>
    <w:rsid w:val="008C2B46"/>
    <w:pPr>
      <w:pBdr>
        <w:top w:val="single" w:sz="8" w:space="0" w:color="auto"/>
        <w:left w:val="single" w:sz="8" w:space="0" w:color="auto"/>
        <w:bottom w:val="single" w:sz="8" w:space="0" w:color="auto"/>
      </w:pBdr>
      <w:spacing w:before="100" w:beforeAutospacing="1" w:after="100" w:afterAutospacing="1" w:line="240" w:lineRule="auto"/>
    </w:pPr>
    <w:rPr>
      <w:rFonts w:ascii="Arial Unicode MS" w:eastAsia="Arial Unicode MS" w:hAnsi="Arial Unicode MS" w:cs="Arial Unicode MS"/>
      <w:b/>
      <w:bCs/>
      <w:sz w:val="24"/>
      <w:szCs w:val="24"/>
    </w:rPr>
  </w:style>
  <w:style w:type="paragraph" w:customStyle="1" w:styleId="xl104">
    <w:name w:val="xl104"/>
    <w:basedOn w:val="Normal"/>
    <w:rsid w:val="008C2B46"/>
    <w:pPr>
      <w:pBdr>
        <w:left w:val="single" w:sz="8"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105">
    <w:name w:val="xl105"/>
    <w:basedOn w:val="Normal"/>
    <w:rsid w:val="008C2B46"/>
    <w:pPr>
      <w:pBdr>
        <w:top w:val="single" w:sz="4" w:space="0" w:color="auto"/>
        <w:left w:val="single" w:sz="8" w:space="0" w:color="auto"/>
      </w:pBdr>
      <w:spacing w:before="100" w:beforeAutospacing="1" w:after="100" w:afterAutospacing="1" w:line="240" w:lineRule="auto"/>
    </w:pPr>
    <w:rPr>
      <w:rFonts w:ascii="Arial Unicode MS" w:eastAsia="Arial Unicode MS" w:hAnsi="Arial Unicode MS" w:cs="Arial Unicode MS"/>
      <w:b/>
      <w:bCs/>
      <w:sz w:val="24"/>
      <w:szCs w:val="24"/>
    </w:rPr>
  </w:style>
  <w:style w:type="paragraph" w:customStyle="1" w:styleId="xl106">
    <w:name w:val="xl106"/>
    <w:basedOn w:val="Normal"/>
    <w:rsid w:val="008C2B46"/>
    <w:pPr>
      <w:pBdr>
        <w:top w:val="single" w:sz="8" w:space="0" w:color="auto"/>
        <w:left w:val="single" w:sz="8" w:space="0" w:color="auto"/>
        <w:bottom w:val="single" w:sz="8" w:space="0" w:color="auto"/>
      </w:pBdr>
      <w:shd w:val="clear" w:color="auto" w:fill="EAEAEA"/>
      <w:spacing w:before="100" w:beforeAutospacing="1" w:after="100" w:afterAutospacing="1" w:line="240" w:lineRule="auto"/>
    </w:pPr>
    <w:rPr>
      <w:rFonts w:ascii="Arial Unicode MS" w:eastAsia="Arial Unicode MS" w:hAnsi="Arial Unicode MS" w:cs="Arial Unicode MS"/>
      <w:b/>
      <w:bCs/>
      <w:sz w:val="24"/>
      <w:szCs w:val="24"/>
    </w:rPr>
  </w:style>
  <w:style w:type="paragraph" w:customStyle="1" w:styleId="xl107">
    <w:name w:val="xl107"/>
    <w:basedOn w:val="Normal"/>
    <w:rsid w:val="008C2B46"/>
    <w:pPr>
      <w:pBdr>
        <w:left w:val="single" w:sz="8" w:space="0" w:color="auto"/>
        <w:bottom w:val="single" w:sz="4" w:space="0" w:color="auto"/>
      </w:pBdr>
      <w:shd w:val="clear" w:color="auto" w:fill="EAEAEA"/>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108">
    <w:name w:val="xl108"/>
    <w:basedOn w:val="Normal"/>
    <w:rsid w:val="008C2B46"/>
    <w:pPr>
      <w:pBdr>
        <w:left w:val="single" w:sz="8" w:space="0" w:color="auto"/>
      </w:pBdr>
      <w:shd w:val="clear" w:color="auto" w:fill="EAEAEA"/>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109">
    <w:name w:val="xl109"/>
    <w:basedOn w:val="Normal"/>
    <w:rsid w:val="008C2B46"/>
    <w:pPr>
      <w:pBdr>
        <w:top w:val="single" w:sz="8" w:space="0" w:color="auto"/>
        <w:left w:val="single" w:sz="8" w:space="0" w:color="auto"/>
        <w:bottom w:val="single" w:sz="8" w:space="0" w:color="auto"/>
      </w:pBdr>
      <w:shd w:val="clear" w:color="auto" w:fill="EAEAEA"/>
      <w:spacing w:before="100" w:beforeAutospacing="1" w:after="100" w:afterAutospacing="1" w:line="240" w:lineRule="auto"/>
    </w:pPr>
    <w:rPr>
      <w:rFonts w:ascii="Cirilica Times" w:eastAsia="Arial Unicode MS" w:hAnsi="Cirilica Times" w:cs="Arial Unicode MS"/>
      <w:b/>
      <w:bCs/>
      <w:sz w:val="24"/>
      <w:szCs w:val="24"/>
    </w:rPr>
  </w:style>
  <w:style w:type="paragraph" w:customStyle="1" w:styleId="xl110">
    <w:name w:val="xl110"/>
    <w:basedOn w:val="Normal"/>
    <w:rsid w:val="008C2B46"/>
    <w:pPr>
      <w:pBdr>
        <w:top w:val="single" w:sz="4" w:space="0" w:color="auto"/>
        <w:left w:val="single" w:sz="4" w:space="0" w:color="auto"/>
        <w:bottom w:val="single" w:sz="4" w:space="0" w:color="auto"/>
      </w:pBdr>
      <w:shd w:val="clear" w:color="auto" w:fill="EAEAEA"/>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111">
    <w:name w:val="xl111"/>
    <w:basedOn w:val="Normal"/>
    <w:rsid w:val="008C2B46"/>
    <w:pPr>
      <w:pBdr>
        <w:left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112">
    <w:name w:val="xl112"/>
    <w:basedOn w:val="Normal"/>
    <w:rsid w:val="008C2B46"/>
    <w:pPr>
      <w:pBdr>
        <w:left w:val="single" w:sz="8" w:space="0" w:color="auto"/>
        <w:bottom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114">
    <w:name w:val="xl114"/>
    <w:basedOn w:val="Normal"/>
    <w:rsid w:val="008C2B46"/>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115">
    <w:name w:val="xl115"/>
    <w:basedOn w:val="Normal"/>
    <w:rsid w:val="008C2B46"/>
    <w:pPr>
      <w:pBdr>
        <w:left w:val="single" w:sz="4" w:space="0" w:color="auto"/>
        <w:bottom w:val="single" w:sz="4" w:space="0" w:color="auto"/>
        <w:right w:val="single" w:sz="8" w:space="0" w:color="auto"/>
      </w:pBdr>
      <w:spacing w:before="100" w:beforeAutospacing="1" w:after="100" w:afterAutospacing="1" w:line="240" w:lineRule="auto"/>
    </w:pPr>
    <w:rPr>
      <w:rFonts w:ascii="Cirilica Times" w:eastAsia="Arial Unicode MS" w:hAnsi="Cirilica Times" w:cs="Arial Unicode MS"/>
      <w:b/>
      <w:bCs/>
      <w:sz w:val="24"/>
      <w:szCs w:val="24"/>
    </w:rPr>
  </w:style>
  <w:style w:type="paragraph" w:customStyle="1" w:styleId="xl116">
    <w:name w:val="xl116"/>
    <w:basedOn w:val="Normal"/>
    <w:rsid w:val="008C2B46"/>
    <w:pPr>
      <w:pBdr>
        <w:left w:val="single" w:sz="4" w:space="0" w:color="auto"/>
        <w:right w:val="single" w:sz="8" w:space="0" w:color="auto"/>
      </w:pBdr>
      <w:spacing w:before="100" w:beforeAutospacing="1" w:after="100" w:afterAutospacing="1" w:line="240" w:lineRule="auto"/>
    </w:pPr>
    <w:rPr>
      <w:rFonts w:ascii="Cirilica Times" w:eastAsia="Arial Unicode MS" w:hAnsi="Cirilica Times" w:cs="Arial Unicode MS"/>
      <w:b/>
      <w:bCs/>
      <w:sz w:val="24"/>
      <w:szCs w:val="24"/>
    </w:rPr>
  </w:style>
  <w:style w:type="paragraph" w:customStyle="1" w:styleId="xl117">
    <w:name w:val="xl117"/>
    <w:basedOn w:val="Normal"/>
    <w:rsid w:val="008C2B4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b/>
      <w:bCs/>
      <w:sz w:val="24"/>
      <w:szCs w:val="24"/>
    </w:rPr>
  </w:style>
  <w:style w:type="paragraph" w:customStyle="1" w:styleId="xl118">
    <w:name w:val="xl118"/>
    <w:basedOn w:val="Normal"/>
    <w:rsid w:val="008C2B4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irilica Times" w:eastAsia="Arial Unicode MS" w:hAnsi="Cirilica Times" w:cs="Arial Unicode MS"/>
      <w:b/>
      <w:bCs/>
      <w:sz w:val="24"/>
      <w:szCs w:val="24"/>
    </w:rPr>
  </w:style>
  <w:style w:type="paragraph" w:customStyle="1" w:styleId="xl119">
    <w:name w:val="xl119"/>
    <w:basedOn w:val="Normal"/>
    <w:rsid w:val="008C2B46"/>
    <w:pPr>
      <w:pBdr>
        <w:left w:val="single" w:sz="4" w:space="0" w:color="auto"/>
        <w:bottom w:val="single" w:sz="8" w:space="0" w:color="auto"/>
        <w:right w:val="single" w:sz="8" w:space="0" w:color="auto"/>
      </w:pBdr>
      <w:spacing w:before="100" w:beforeAutospacing="1" w:after="100" w:afterAutospacing="1" w:line="240" w:lineRule="auto"/>
    </w:pPr>
    <w:rPr>
      <w:rFonts w:ascii="Cirilica Times" w:eastAsia="Arial Unicode MS" w:hAnsi="Cirilica Times" w:cs="Arial Unicode MS"/>
      <w:b/>
      <w:bCs/>
      <w:sz w:val="24"/>
      <w:szCs w:val="24"/>
    </w:rPr>
  </w:style>
  <w:style w:type="paragraph" w:customStyle="1" w:styleId="xl120">
    <w:name w:val="xl120"/>
    <w:basedOn w:val="Normal"/>
    <w:rsid w:val="008C2B46"/>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121">
    <w:name w:val="xl121"/>
    <w:basedOn w:val="Normal"/>
    <w:rsid w:val="008C2B46"/>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122">
    <w:name w:val="xl122"/>
    <w:basedOn w:val="Normal"/>
    <w:rsid w:val="008C2B46"/>
    <w:pPr>
      <w:pBdr>
        <w:right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123">
    <w:name w:val="xl123"/>
    <w:basedOn w:val="Normal"/>
    <w:rsid w:val="008C2B46"/>
    <w:pPr>
      <w:pBdr>
        <w:top w:val="single" w:sz="8" w:space="0" w:color="auto"/>
        <w:left w:val="single" w:sz="8" w:space="0" w:color="auto"/>
        <w:bottom w:val="single" w:sz="8" w:space="0" w:color="auto"/>
      </w:pBdr>
      <w:spacing w:before="100" w:beforeAutospacing="1" w:after="100" w:afterAutospacing="1" w:line="240" w:lineRule="auto"/>
      <w:jc w:val="center"/>
    </w:pPr>
    <w:rPr>
      <w:rFonts w:ascii="Arial Unicode MS" w:eastAsia="Arial Unicode MS" w:hAnsi="Arial Unicode MS" w:cs="Arial Unicode MS"/>
      <w:sz w:val="24"/>
      <w:szCs w:val="24"/>
    </w:rPr>
  </w:style>
  <w:style w:type="paragraph" w:customStyle="1" w:styleId="xl124">
    <w:name w:val="xl124"/>
    <w:basedOn w:val="Normal"/>
    <w:rsid w:val="008C2B46"/>
    <w:pPr>
      <w:pBdr>
        <w:left w:val="single" w:sz="4" w:space="0" w:color="auto"/>
        <w:right w:val="single" w:sz="4" w:space="0" w:color="auto"/>
      </w:pBdr>
      <w:spacing w:before="100" w:beforeAutospacing="1" w:after="100" w:afterAutospacing="1" w:line="240" w:lineRule="auto"/>
    </w:pPr>
    <w:rPr>
      <w:rFonts w:ascii="Cirilica Times" w:eastAsia="Arial Unicode MS" w:hAnsi="Cirilica Times" w:cs="Arial Unicode MS"/>
      <w:b/>
      <w:bCs/>
      <w:sz w:val="24"/>
      <w:szCs w:val="24"/>
    </w:rPr>
  </w:style>
  <w:style w:type="paragraph" w:customStyle="1" w:styleId="xl125">
    <w:name w:val="xl125"/>
    <w:basedOn w:val="Normal"/>
    <w:rsid w:val="008C2B46"/>
    <w:pPr>
      <w:pBdr>
        <w:bottom w:val="single" w:sz="4" w:space="0" w:color="auto"/>
      </w:pBdr>
      <w:spacing w:before="100" w:beforeAutospacing="1" w:after="100" w:afterAutospacing="1" w:line="240" w:lineRule="auto"/>
    </w:pPr>
    <w:rPr>
      <w:rFonts w:ascii="Cirilica Times" w:eastAsia="Arial Unicode MS" w:hAnsi="Cirilica Times" w:cs="Arial Unicode MS"/>
      <w:b/>
      <w:bCs/>
      <w:sz w:val="24"/>
      <w:szCs w:val="24"/>
    </w:rPr>
  </w:style>
  <w:style w:type="paragraph" w:customStyle="1" w:styleId="xl126">
    <w:name w:val="xl126"/>
    <w:basedOn w:val="Normal"/>
    <w:rsid w:val="008C2B46"/>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b/>
      <w:bCs/>
      <w:sz w:val="24"/>
      <w:szCs w:val="24"/>
    </w:rPr>
  </w:style>
  <w:style w:type="paragraph" w:customStyle="1" w:styleId="xl127">
    <w:name w:val="xl127"/>
    <w:basedOn w:val="Normal"/>
    <w:rsid w:val="008C2B46"/>
    <w:pPr>
      <w:pBdr>
        <w:top w:val="single" w:sz="8"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128">
    <w:name w:val="xl128"/>
    <w:basedOn w:val="Normal"/>
    <w:rsid w:val="008C2B46"/>
    <w:pPr>
      <w:pBdr>
        <w:top w:val="single" w:sz="8" w:space="0" w:color="auto"/>
        <w:left w:val="single" w:sz="8" w:space="0" w:color="auto"/>
        <w:bottom w:val="single" w:sz="8" w:space="0" w:color="auto"/>
      </w:pBdr>
      <w:spacing w:before="100" w:beforeAutospacing="1" w:after="100" w:afterAutospacing="1" w:line="240" w:lineRule="auto"/>
      <w:jc w:val="center"/>
    </w:pPr>
    <w:rPr>
      <w:rFonts w:ascii="Cirilica Times" w:eastAsia="Arial Unicode MS" w:hAnsi="Cirilica Times" w:cs="Arial Unicode MS"/>
      <w:b/>
      <w:bCs/>
      <w:sz w:val="24"/>
      <w:szCs w:val="24"/>
    </w:rPr>
  </w:style>
  <w:style w:type="paragraph" w:customStyle="1" w:styleId="xl129">
    <w:name w:val="xl129"/>
    <w:basedOn w:val="Normal"/>
    <w:rsid w:val="008C2B46"/>
    <w:pPr>
      <w:pBdr>
        <w:top w:val="single" w:sz="8" w:space="0" w:color="auto"/>
        <w:bottom w:val="single" w:sz="8" w:space="0" w:color="auto"/>
      </w:pBdr>
      <w:spacing w:before="100" w:beforeAutospacing="1" w:after="100" w:afterAutospacing="1" w:line="240" w:lineRule="auto"/>
      <w:jc w:val="center"/>
    </w:pPr>
    <w:rPr>
      <w:rFonts w:ascii="Cirilica Times" w:eastAsia="Arial Unicode MS" w:hAnsi="Cirilica Times" w:cs="Arial Unicode MS"/>
      <w:b/>
      <w:bCs/>
      <w:sz w:val="24"/>
      <w:szCs w:val="24"/>
    </w:rPr>
  </w:style>
  <w:style w:type="paragraph" w:customStyle="1" w:styleId="xl130">
    <w:name w:val="xl130"/>
    <w:basedOn w:val="Normal"/>
    <w:rsid w:val="008C2B46"/>
    <w:pPr>
      <w:pBdr>
        <w:top w:val="single" w:sz="8" w:space="0" w:color="auto"/>
        <w:left w:val="single" w:sz="8" w:space="0" w:color="auto"/>
        <w:bottom w:val="single" w:sz="8" w:space="0" w:color="auto"/>
      </w:pBdr>
      <w:spacing w:before="100" w:beforeAutospacing="1" w:after="100" w:afterAutospacing="1" w:line="240" w:lineRule="auto"/>
      <w:jc w:val="center"/>
    </w:pPr>
    <w:rPr>
      <w:rFonts w:ascii="Arial Unicode MS" w:eastAsia="Arial Unicode MS" w:hAnsi="Arial Unicode MS" w:cs="Arial Unicode MS"/>
      <w:b/>
      <w:bCs/>
      <w:sz w:val="24"/>
      <w:szCs w:val="24"/>
    </w:rPr>
  </w:style>
  <w:style w:type="paragraph" w:customStyle="1" w:styleId="xl131">
    <w:name w:val="xl131"/>
    <w:basedOn w:val="Normal"/>
    <w:rsid w:val="008C2B46"/>
    <w:pPr>
      <w:pBdr>
        <w:top w:val="single" w:sz="8" w:space="0" w:color="auto"/>
        <w:bottom w:val="single" w:sz="8" w:space="0" w:color="auto"/>
      </w:pBdr>
      <w:spacing w:before="100" w:beforeAutospacing="1" w:after="100" w:afterAutospacing="1" w:line="240" w:lineRule="auto"/>
      <w:jc w:val="center"/>
    </w:pPr>
    <w:rPr>
      <w:rFonts w:ascii="Arial Unicode MS" w:eastAsia="Arial Unicode MS" w:hAnsi="Arial Unicode MS" w:cs="Arial Unicode MS"/>
      <w:b/>
      <w:bCs/>
      <w:sz w:val="24"/>
      <w:szCs w:val="24"/>
    </w:rPr>
  </w:style>
  <w:style w:type="paragraph" w:customStyle="1" w:styleId="xl132">
    <w:name w:val="xl132"/>
    <w:basedOn w:val="Normal"/>
    <w:rsid w:val="008C2B46"/>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Unicode MS" w:eastAsia="Arial Unicode MS" w:hAnsi="Arial Unicode MS" w:cs="Arial Unicode MS"/>
      <w:b/>
      <w:bCs/>
      <w:sz w:val="24"/>
      <w:szCs w:val="24"/>
    </w:rPr>
  </w:style>
  <w:style w:type="paragraph" w:styleId="BlockText">
    <w:name w:val="Block Text"/>
    <w:basedOn w:val="Normal"/>
    <w:rsid w:val="008C2B46"/>
    <w:pPr>
      <w:autoSpaceDE w:val="0"/>
      <w:autoSpaceDN w:val="0"/>
      <w:spacing w:after="0" w:line="240" w:lineRule="auto"/>
      <w:ind w:left="360" w:right="276" w:hanging="360"/>
      <w:jc w:val="both"/>
    </w:pPr>
    <w:rPr>
      <w:rFonts w:ascii="Cirilica Times" w:eastAsia="Times New Roman" w:hAnsi="Cirilica Times" w:cs="Times New Roman"/>
    </w:rPr>
  </w:style>
  <w:style w:type="table" w:styleId="LightShading">
    <w:name w:val="Light Shading"/>
    <w:basedOn w:val="TableNormal"/>
    <w:uiPriority w:val="60"/>
    <w:rsid w:val="008C2B46"/>
    <w:pPr>
      <w:spacing w:after="0" w:line="240" w:lineRule="auto"/>
    </w:pPr>
    <w:rPr>
      <w:rFonts w:ascii="Times New Roman" w:eastAsia="Times New Roman" w:hAnsi="Times New Roman" w:cs="Times New Roman"/>
      <w:color w:val="000000" w:themeColor="text1" w:themeShade="BF"/>
      <w:sz w:val="20"/>
      <w:szCs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1">
    <w:name w:val="Medium List 1 Accent 1"/>
    <w:basedOn w:val="TableNormal"/>
    <w:uiPriority w:val="65"/>
    <w:rsid w:val="008C2B46"/>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ghtList-Accent5">
    <w:name w:val="Light List Accent 5"/>
    <w:basedOn w:val="TableNormal"/>
    <w:uiPriority w:val="61"/>
    <w:rsid w:val="008C2B46"/>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MediumList1-Accent1121">
    <w:name w:val="Medium List 1 - Accent 1121"/>
    <w:basedOn w:val="TableNormal"/>
    <w:uiPriority w:val="65"/>
    <w:rsid w:val="00F728BF"/>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PlainText">
    <w:name w:val="Plain Text"/>
    <w:basedOn w:val="Normal"/>
    <w:link w:val="PlainTextChar"/>
    <w:uiPriority w:val="99"/>
    <w:semiHidden/>
    <w:unhideWhenUsed/>
    <w:rsid w:val="006C0D6C"/>
    <w:pPr>
      <w:spacing w:after="0" w:line="240" w:lineRule="auto"/>
    </w:pPr>
    <w:rPr>
      <w:rFonts w:ascii="Verdana" w:hAnsi="Verdana" w:cs="Times New Roman"/>
      <w:sz w:val="20"/>
      <w:szCs w:val="20"/>
    </w:rPr>
  </w:style>
  <w:style w:type="character" w:customStyle="1" w:styleId="PlainTextChar">
    <w:name w:val="Plain Text Char"/>
    <w:basedOn w:val="DefaultParagraphFont"/>
    <w:link w:val="PlainText"/>
    <w:uiPriority w:val="99"/>
    <w:semiHidden/>
    <w:rsid w:val="006C0D6C"/>
    <w:rPr>
      <w:rFonts w:ascii="Verdana" w:hAnsi="Verdana" w:cs="Times New Roman"/>
      <w:sz w:val="20"/>
      <w:szCs w:val="20"/>
    </w:rPr>
  </w:style>
  <w:style w:type="character" w:styleId="EndnoteReference">
    <w:name w:val="endnote reference"/>
    <w:basedOn w:val="DefaultParagraphFont"/>
    <w:uiPriority w:val="99"/>
    <w:semiHidden/>
    <w:unhideWhenUsed/>
    <w:rsid w:val="006C0D6C"/>
    <w:rPr>
      <w:vertAlign w:val="superscript"/>
    </w:rPr>
  </w:style>
  <w:style w:type="paragraph" w:styleId="Revision">
    <w:name w:val="Revision"/>
    <w:hidden/>
    <w:uiPriority w:val="99"/>
    <w:semiHidden/>
    <w:rsid w:val="00DB37F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index heading" w:uiPriority="0"/>
    <w:lsdException w:name="caption" w:uiPriority="0" w:qFormat="1"/>
    <w:lsdException w:name="envelope address" w:uiPriority="0"/>
    <w:lsdException w:name="envelope return" w:uiPriority="0"/>
    <w:lsdException w:name="footnote reference" w:uiPriority="0"/>
    <w:lsdException w:name="line number" w:uiPriority="0"/>
    <w:lsdException w:name="page number" w:uiPriority="0"/>
    <w:lsdException w:name="macro" w:uiPriority="0"/>
    <w:lsdException w:name="toa heading"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Closing" w:uiPriority="0"/>
    <w:lsdException w:name="Default Paragraph Font" w:uiPriority="1"/>
    <w:lsdException w:name="Body Text Indent" w:uiPriority="0"/>
    <w:lsdException w:name="List Continue" w:uiPriority="0"/>
    <w:lsdException w:name="Message Header"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Outline List 2" w:uiPriority="0"/>
    <w:lsdException w:name="Outline List 3" w:uiPriority="0"/>
    <w:lsdException w:name="Table Grid 1" w:uiPriority="0"/>
    <w:lsdException w:name="Table Grid 8" w:uiPriority="0"/>
    <w:lsdException w:name="Table List 1" w:uiPriority="0"/>
    <w:lsdException w:name="Table List 6" w:uiPriority="0"/>
    <w:lsdException w:name="Table Professional" w:uiPriority="0"/>
    <w:lsdException w:name="Table Web 2" w:uiPriority="0"/>
    <w:lsdException w:name="Table Web 3"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606AB0"/>
  </w:style>
  <w:style w:type="paragraph" w:styleId="Heading1">
    <w:name w:val="heading 1"/>
    <w:basedOn w:val="Normal"/>
    <w:next w:val="Normal"/>
    <w:link w:val="Heading1Char"/>
    <w:qFormat/>
    <w:rsid w:val="005353CD"/>
    <w:pPr>
      <w:keepNext/>
      <w:numPr>
        <w:numId w:val="1"/>
      </w:numPr>
      <w:suppressAutoHyphens/>
      <w:spacing w:after="0" w:line="240" w:lineRule="auto"/>
      <w:jc w:val="center"/>
      <w:outlineLvl w:val="0"/>
    </w:pPr>
    <w:rPr>
      <w:rFonts w:ascii="Arial" w:eastAsia="Times New Roman" w:hAnsi="Arial" w:cs="Arial"/>
      <w:b/>
      <w:bCs/>
      <w:sz w:val="16"/>
      <w:szCs w:val="16"/>
      <w:lang w:eastAsia="ar-SA"/>
    </w:rPr>
  </w:style>
  <w:style w:type="paragraph" w:styleId="Heading2">
    <w:name w:val="heading 2"/>
    <w:aliases w:val="Char, Char"/>
    <w:basedOn w:val="Normal"/>
    <w:next w:val="Normal"/>
    <w:link w:val="Heading2Char"/>
    <w:uiPriority w:val="9"/>
    <w:qFormat/>
    <w:rsid w:val="005353CD"/>
    <w:pPr>
      <w:keepNext/>
      <w:numPr>
        <w:ilvl w:val="1"/>
        <w:numId w:val="1"/>
      </w:numPr>
      <w:suppressAutoHyphens/>
      <w:spacing w:after="0" w:line="240" w:lineRule="auto"/>
      <w:outlineLvl w:val="1"/>
    </w:pPr>
    <w:rPr>
      <w:rFonts w:ascii="Times New Roman" w:eastAsia="Times New Roman" w:hAnsi="Times New Roman" w:cs="Times New Roman"/>
      <w:b/>
      <w:bCs/>
      <w:sz w:val="24"/>
      <w:szCs w:val="24"/>
      <w:lang w:val="sr-Latn-CS" w:eastAsia="ar-SA"/>
    </w:rPr>
  </w:style>
  <w:style w:type="paragraph" w:styleId="Heading3">
    <w:name w:val="heading 3"/>
    <w:basedOn w:val="Normal"/>
    <w:next w:val="Normal"/>
    <w:link w:val="Heading3Char"/>
    <w:qFormat/>
    <w:rsid w:val="005353CD"/>
    <w:pPr>
      <w:keepNext/>
      <w:numPr>
        <w:ilvl w:val="2"/>
        <w:numId w:val="1"/>
      </w:numPr>
      <w:suppressAutoHyphens/>
      <w:spacing w:after="0" w:line="240" w:lineRule="auto"/>
      <w:outlineLvl w:val="2"/>
    </w:pPr>
    <w:rPr>
      <w:rFonts w:ascii="Times New Roman" w:eastAsia="Times New Roman" w:hAnsi="Times New Roman" w:cs="Times New Roman"/>
      <w:b/>
      <w:bCs/>
      <w:sz w:val="24"/>
      <w:szCs w:val="24"/>
      <w:lang w:val="sr-Latn-CS" w:eastAsia="ar-SA"/>
    </w:rPr>
  </w:style>
  <w:style w:type="paragraph" w:styleId="Heading4">
    <w:name w:val="heading 4"/>
    <w:basedOn w:val="Normal"/>
    <w:next w:val="Normal"/>
    <w:link w:val="Heading4Char"/>
    <w:qFormat/>
    <w:rsid w:val="005353CD"/>
    <w:pPr>
      <w:keepNext/>
      <w:numPr>
        <w:ilvl w:val="3"/>
        <w:numId w:val="1"/>
      </w:numPr>
      <w:suppressAutoHyphens/>
      <w:spacing w:after="0" w:line="240" w:lineRule="auto"/>
      <w:jc w:val="both"/>
      <w:outlineLvl w:val="3"/>
    </w:pPr>
    <w:rPr>
      <w:rFonts w:ascii="Times New Roman" w:eastAsia="Times New Roman" w:hAnsi="Times New Roman" w:cs="Times New Roman"/>
      <w:b/>
      <w:bCs/>
      <w:sz w:val="24"/>
      <w:szCs w:val="24"/>
      <w:lang w:val="sr-Latn-CS" w:eastAsia="ar-SA"/>
    </w:rPr>
  </w:style>
  <w:style w:type="paragraph" w:styleId="Heading5">
    <w:name w:val="heading 5"/>
    <w:basedOn w:val="Normal"/>
    <w:next w:val="Normal"/>
    <w:link w:val="Heading5Char"/>
    <w:qFormat/>
    <w:rsid w:val="005353CD"/>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Heading6">
    <w:name w:val="heading 6"/>
    <w:basedOn w:val="Normal"/>
    <w:next w:val="Normal"/>
    <w:link w:val="Heading6Char"/>
    <w:qFormat/>
    <w:rsid w:val="005353CD"/>
    <w:pPr>
      <w:numPr>
        <w:ilvl w:val="5"/>
        <w:numId w:val="1"/>
      </w:numPr>
      <w:suppressAutoHyphens/>
      <w:spacing w:before="240" w:after="60" w:line="240" w:lineRule="auto"/>
      <w:outlineLvl w:val="5"/>
    </w:pPr>
    <w:rPr>
      <w:rFonts w:ascii="Times New Roman" w:eastAsia="Times New Roman" w:hAnsi="Times New Roman" w:cs="Times New Roman"/>
      <w:b/>
      <w:bCs/>
      <w:lang w:eastAsia="ar-SA"/>
    </w:rPr>
  </w:style>
  <w:style w:type="paragraph" w:styleId="Heading7">
    <w:name w:val="heading 7"/>
    <w:basedOn w:val="Normal"/>
    <w:next w:val="Normal"/>
    <w:link w:val="Heading7Char"/>
    <w:qFormat/>
    <w:rsid w:val="005353CD"/>
    <w:pPr>
      <w:numPr>
        <w:ilvl w:val="6"/>
        <w:numId w:val="1"/>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Heading8">
    <w:name w:val="heading 8"/>
    <w:basedOn w:val="Normal"/>
    <w:next w:val="Normal"/>
    <w:link w:val="Heading8Char"/>
    <w:qFormat/>
    <w:rsid w:val="005353CD"/>
    <w:pPr>
      <w:numPr>
        <w:ilvl w:val="7"/>
        <w:numId w:val="1"/>
      </w:numPr>
      <w:suppressAutoHyphens/>
      <w:spacing w:before="240" w:after="60" w:line="240" w:lineRule="auto"/>
      <w:outlineLvl w:val="7"/>
    </w:pPr>
    <w:rPr>
      <w:rFonts w:ascii="Times New Roman" w:eastAsia="Times New Roman" w:hAnsi="Times New Roman" w:cs="Times New Roman"/>
      <w:i/>
      <w:iCs/>
      <w:sz w:val="24"/>
      <w:szCs w:val="24"/>
      <w:lang w:eastAsia="ar-SA"/>
    </w:rPr>
  </w:style>
  <w:style w:type="paragraph" w:styleId="Heading9">
    <w:name w:val="heading 9"/>
    <w:basedOn w:val="Normal"/>
    <w:next w:val="Normal"/>
    <w:link w:val="Heading9Char"/>
    <w:qFormat/>
    <w:rsid w:val="005353CD"/>
    <w:pPr>
      <w:numPr>
        <w:ilvl w:val="8"/>
        <w:numId w:val="1"/>
      </w:numPr>
      <w:suppressAutoHyphens/>
      <w:spacing w:before="240" w:after="60" w:line="240" w:lineRule="auto"/>
      <w:outlineLvl w:val="8"/>
    </w:pPr>
    <w:rPr>
      <w:rFonts w:ascii="Arial" w:eastAsia="Times New Roman" w:hAnsi="Arial" w:cs="Arial"/>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56492"/>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856492"/>
    <w:rPr>
      <w:rFonts w:eastAsiaTheme="minorEastAsia"/>
      <w:lang w:val="en-US" w:eastAsia="ja-JP"/>
    </w:rPr>
  </w:style>
  <w:style w:type="paragraph" w:styleId="BalloonText">
    <w:name w:val="Balloon Text"/>
    <w:basedOn w:val="Normal"/>
    <w:link w:val="BalloonTextChar"/>
    <w:uiPriority w:val="99"/>
    <w:unhideWhenUsed/>
    <w:rsid w:val="008564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6492"/>
    <w:rPr>
      <w:rFonts w:ascii="Tahoma" w:hAnsi="Tahoma" w:cs="Tahoma"/>
      <w:sz w:val="16"/>
      <w:szCs w:val="16"/>
    </w:rPr>
  </w:style>
  <w:style w:type="table" w:styleId="TableGrid">
    <w:name w:val="Table Grid"/>
    <w:basedOn w:val="TableNormal"/>
    <w:uiPriority w:val="59"/>
    <w:rsid w:val="008564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56492"/>
    <w:pPr>
      <w:tabs>
        <w:tab w:val="center" w:pos="4536"/>
        <w:tab w:val="right" w:pos="9072"/>
      </w:tabs>
      <w:spacing w:after="0" w:line="240" w:lineRule="auto"/>
    </w:pPr>
  </w:style>
  <w:style w:type="character" w:customStyle="1" w:styleId="HeaderChar">
    <w:name w:val="Header Char"/>
    <w:basedOn w:val="DefaultParagraphFont"/>
    <w:link w:val="Header"/>
    <w:uiPriority w:val="99"/>
    <w:rsid w:val="00856492"/>
  </w:style>
  <w:style w:type="paragraph" w:styleId="Footer">
    <w:name w:val="footer"/>
    <w:basedOn w:val="Normal"/>
    <w:link w:val="FooterChar"/>
    <w:uiPriority w:val="99"/>
    <w:unhideWhenUsed/>
    <w:rsid w:val="00856492"/>
    <w:pPr>
      <w:tabs>
        <w:tab w:val="center" w:pos="4536"/>
        <w:tab w:val="right" w:pos="9072"/>
      </w:tabs>
      <w:spacing w:after="0" w:line="240" w:lineRule="auto"/>
    </w:pPr>
  </w:style>
  <w:style w:type="character" w:customStyle="1" w:styleId="FooterChar">
    <w:name w:val="Footer Char"/>
    <w:basedOn w:val="DefaultParagraphFont"/>
    <w:link w:val="Footer"/>
    <w:uiPriority w:val="99"/>
    <w:rsid w:val="00856492"/>
  </w:style>
  <w:style w:type="character" w:styleId="Hyperlink">
    <w:name w:val="Hyperlink"/>
    <w:uiPriority w:val="99"/>
    <w:rsid w:val="00856492"/>
    <w:rPr>
      <w:color w:val="333366"/>
      <w:u w:val="none"/>
      <w:effect w:val="none"/>
    </w:rPr>
  </w:style>
  <w:style w:type="paragraph" w:customStyle="1" w:styleId="2909F619802848F09E01365C32F34654">
    <w:name w:val="2909F619802848F09E01365C32F34654"/>
    <w:rsid w:val="00856492"/>
    <w:rPr>
      <w:rFonts w:eastAsiaTheme="minorEastAsia"/>
      <w:lang w:eastAsia="ja-JP"/>
    </w:rPr>
  </w:style>
  <w:style w:type="character" w:customStyle="1" w:styleId="Heading1Char">
    <w:name w:val="Heading 1 Char"/>
    <w:basedOn w:val="DefaultParagraphFont"/>
    <w:link w:val="Heading1"/>
    <w:rsid w:val="005353CD"/>
    <w:rPr>
      <w:rFonts w:ascii="Arial" w:eastAsia="Times New Roman" w:hAnsi="Arial" w:cs="Arial"/>
      <w:b/>
      <w:bCs/>
      <w:sz w:val="16"/>
      <w:szCs w:val="16"/>
      <w:lang w:eastAsia="ar-SA"/>
    </w:rPr>
  </w:style>
  <w:style w:type="character" w:customStyle="1" w:styleId="Heading2Char">
    <w:name w:val="Heading 2 Char"/>
    <w:aliases w:val="Char Char, Char Char"/>
    <w:basedOn w:val="DefaultParagraphFont"/>
    <w:link w:val="Heading2"/>
    <w:rsid w:val="005353CD"/>
    <w:rPr>
      <w:rFonts w:ascii="Times New Roman" w:eastAsia="Times New Roman" w:hAnsi="Times New Roman" w:cs="Times New Roman"/>
      <w:b/>
      <w:bCs/>
      <w:sz w:val="24"/>
      <w:szCs w:val="24"/>
      <w:lang w:val="sr-Latn-CS" w:eastAsia="ar-SA"/>
    </w:rPr>
  </w:style>
  <w:style w:type="character" w:customStyle="1" w:styleId="Heading3Char">
    <w:name w:val="Heading 3 Char"/>
    <w:basedOn w:val="DefaultParagraphFont"/>
    <w:link w:val="Heading3"/>
    <w:rsid w:val="005353CD"/>
    <w:rPr>
      <w:rFonts w:ascii="Times New Roman" w:eastAsia="Times New Roman" w:hAnsi="Times New Roman" w:cs="Times New Roman"/>
      <w:b/>
      <w:bCs/>
      <w:sz w:val="24"/>
      <w:szCs w:val="24"/>
      <w:lang w:val="sr-Latn-CS" w:eastAsia="ar-SA"/>
    </w:rPr>
  </w:style>
  <w:style w:type="character" w:customStyle="1" w:styleId="Heading4Char">
    <w:name w:val="Heading 4 Char"/>
    <w:basedOn w:val="DefaultParagraphFont"/>
    <w:link w:val="Heading4"/>
    <w:rsid w:val="005353CD"/>
    <w:rPr>
      <w:rFonts w:ascii="Times New Roman" w:eastAsia="Times New Roman" w:hAnsi="Times New Roman" w:cs="Times New Roman"/>
      <w:b/>
      <w:bCs/>
      <w:sz w:val="24"/>
      <w:szCs w:val="24"/>
      <w:lang w:val="sr-Latn-CS" w:eastAsia="ar-SA"/>
    </w:rPr>
  </w:style>
  <w:style w:type="character" w:customStyle="1" w:styleId="Heading5Char">
    <w:name w:val="Heading 5 Char"/>
    <w:basedOn w:val="DefaultParagraphFont"/>
    <w:link w:val="Heading5"/>
    <w:rsid w:val="005353CD"/>
    <w:rPr>
      <w:rFonts w:ascii="Times New Roman" w:eastAsia="Times New Roman" w:hAnsi="Times New Roman" w:cs="Times New Roman"/>
      <w:b/>
      <w:bCs/>
      <w:i/>
      <w:iCs/>
      <w:sz w:val="26"/>
      <w:szCs w:val="26"/>
      <w:lang w:eastAsia="ar-SA"/>
    </w:rPr>
  </w:style>
  <w:style w:type="character" w:customStyle="1" w:styleId="Heading6Char">
    <w:name w:val="Heading 6 Char"/>
    <w:basedOn w:val="DefaultParagraphFont"/>
    <w:link w:val="Heading6"/>
    <w:rsid w:val="005353CD"/>
    <w:rPr>
      <w:rFonts w:ascii="Times New Roman" w:eastAsia="Times New Roman" w:hAnsi="Times New Roman" w:cs="Times New Roman"/>
      <w:b/>
      <w:bCs/>
      <w:lang w:eastAsia="ar-SA"/>
    </w:rPr>
  </w:style>
  <w:style w:type="character" w:customStyle="1" w:styleId="Heading7Char">
    <w:name w:val="Heading 7 Char"/>
    <w:basedOn w:val="DefaultParagraphFont"/>
    <w:link w:val="Heading7"/>
    <w:rsid w:val="005353CD"/>
    <w:rPr>
      <w:rFonts w:ascii="Times New Roman" w:eastAsia="Times New Roman" w:hAnsi="Times New Roman" w:cs="Times New Roman"/>
      <w:sz w:val="24"/>
      <w:szCs w:val="24"/>
      <w:lang w:eastAsia="ar-SA"/>
    </w:rPr>
  </w:style>
  <w:style w:type="character" w:customStyle="1" w:styleId="Heading8Char">
    <w:name w:val="Heading 8 Char"/>
    <w:basedOn w:val="DefaultParagraphFont"/>
    <w:link w:val="Heading8"/>
    <w:rsid w:val="005353CD"/>
    <w:rPr>
      <w:rFonts w:ascii="Times New Roman" w:eastAsia="Times New Roman" w:hAnsi="Times New Roman" w:cs="Times New Roman"/>
      <w:i/>
      <w:iCs/>
      <w:sz w:val="24"/>
      <w:szCs w:val="24"/>
      <w:lang w:eastAsia="ar-SA"/>
    </w:rPr>
  </w:style>
  <w:style w:type="character" w:customStyle="1" w:styleId="Heading9Char">
    <w:name w:val="Heading 9 Char"/>
    <w:basedOn w:val="DefaultParagraphFont"/>
    <w:link w:val="Heading9"/>
    <w:rsid w:val="005353CD"/>
    <w:rPr>
      <w:rFonts w:ascii="Arial" w:eastAsia="Times New Roman" w:hAnsi="Arial" w:cs="Arial"/>
      <w:lang w:eastAsia="ar-SA"/>
    </w:rPr>
  </w:style>
  <w:style w:type="paragraph" w:styleId="Subtitle">
    <w:name w:val="Subtitle"/>
    <w:basedOn w:val="Normal"/>
    <w:next w:val="BodyText"/>
    <w:link w:val="SubtitleChar"/>
    <w:qFormat/>
    <w:rsid w:val="005353CD"/>
    <w:pPr>
      <w:keepNext/>
      <w:suppressAutoHyphens/>
      <w:spacing w:before="240" w:after="120" w:line="240" w:lineRule="auto"/>
      <w:jc w:val="center"/>
    </w:pPr>
    <w:rPr>
      <w:rFonts w:ascii="Arial" w:eastAsia="MS Mincho" w:hAnsi="Arial" w:cs="Arial"/>
      <w:i/>
      <w:iCs/>
      <w:sz w:val="28"/>
      <w:szCs w:val="28"/>
      <w:lang w:eastAsia="ar-SA"/>
    </w:rPr>
  </w:style>
  <w:style w:type="character" w:customStyle="1" w:styleId="SubtitleChar">
    <w:name w:val="Subtitle Char"/>
    <w:basedOn w:val="DefaultParagraphFont"/>
    <w:link w:val="Subtitle"/>
    <w:rsid w:val="005353CD"/>
    <w:rPr>
      <w:rFonts w:ascii="Arial" w:eastAsia="MS Mincho" w:hAnsi="Arial" w:cs="Arial"/>
      <w:i/>
      <w:iCs/>
      <w:sz w:val="28"/>
      <w:szCs w:val="28"/>
      <w:lang w:val="en-US" w:eastAsia="ar-SA"/>
    </w:rPr>
  </w:style>
  <w:style w:type="paragraph" w:styleId="BodyText">
    <w:name w:val="Body Text"/>
    <w:aliases w:val="Char1, Char5"/>
    <w:basedOn w:val="Normal"/>
    <w:link w:val="BodyTextChar"/>
    <w:uiPriority w:val="99"/>
    <w:unhideWhenUsed/>
    <w:rsid w:val="005353CD"/>
    <w:pPr>
      <w:spacing w:after="120"/>
    </w:pPr>
  </w:style>
  <w:style w:type="character" w:customStyle="1" w:styleId="BodyTextChar">
    <w:name w:val="Body Text Char"/>
    <w:aliases w:val="Char1 Char, Char5 Char"/>
    <w:basedOn w:val="DefaultParagraphFont"/>
    <w:link w:val="BodyText"/>
    <w:uiPriority w:val="99"/>
    <w:rsid w:val="005353CD"/>
  </w:style>
  <w:style w:type="character" w:styleId="IntenseEmphasis">
    <w:name w:val="Intense Emphasis"/>
    <w:basedOn w:val="DefaultParagraphFont"/>
    <w:uiPriority w:val="21"/>
    <w:qFormat/>
    <w:rsid w:val="002A54DA"/>
    <w:rPr>
      <w:b/>
      <w:bCs/>
      <w:i/>
      <w:iCs/>
      <w:color w:val="4F81BD" w:themeColor="accent1"/>
    </w:rPr>
  </w:style>
  <w:style w:type="paragraph" w:styleId="ListParagraph">
    <w:name w:val="List Paragraph"/>
    <w:basedOn w:val="Normal"/>
    <w:link w:val="ListParagraphChar"/>
    <w:qFormat/>
    <w:rsid w:val="00003262"/>
    <w:pPr>
      <w:ind w:left="720"/>
      <w:contextualSpacing/>
    </w:pPr>
  </w:style>
  <w:style w:type="table" w:styleId="ColorfulGrid-Accent1">
    <w:name w:val="Colorful Grid Accent 1"/>
    <w:basedOn w:val="TableNormal"/>
    <w:uiPriority w:val="73"/>
    <w:rsid w:val="00A12FD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LightShading-Accent11">
    <w:name w:val="Light Shading - Accent 11"/>
    <w:basedOn w:val="TableNormal"/>
    <w:uiPriority w:val="60"/>
    <w:rsid w:val="00A12FD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Poudarek">
    <w:name w:val="Poudarek"/>
    <w:basedOn w:val="Normal"/>
    <w:rsid w:val="00DB4DCD"/>
    <w:pPr>
      <w:spacing w:after="0" w:line="240" w:lineRule="auto"/>
      <w:jc w:val="right"/>
    </w:pPr>
    <w:rPr>
      <w:rFonts w:ascii="Arial" w:eastAsia="Times New Roman" w:hAnsi="Arial" w:cs="Arial"/>
      <w:b/>
      <w:bCs/>
      <w:color w:val="000080"/>
      <w:sz w:val="16"/>
      <w:szCs w:val="20"/>
      <w:lang w:val="sl-SI"/>
    </w:rPr>
  </w:style>
  <w:style w:type="paragraph" w:styleId="TOCHeading">
    <w:name w:val="TOC Heading"/>
    <w:basedOn w:val="Heading1"/>
    <w:next w:val="Normal"/>
    <w:uiPriority w:val="39"/>
    <w:unhideWhenUsed/>
    <w:qFormat/>
    <w:rsid w:val="00801C6B"/>
    <w:pPr>
      <w:keepLines/>
      <w:numPr>
        <w:numId w:val="0"/>
      </w:numPr>
      <w:suppressAutoHyphens w:val="0"/>
      <w:spacing w:before="480" w:line="276" w:lineRule="auto"/>
      <w:jc w:val="left"/>
      <w:outlineLvl w:val="9"/>
    </w:pPr>
    <w:rPr>
      <w:rFonts w:asciiTheme="majorHAnsi" w:eastAsiaTheme="majorEastAsia" w:hAnsiTheme="majorHAnsi" w:cstheme="majorBidi"/>
      <w:color w:val="365F91" w:themeColor="accent1" w:themeShade="BF"/>
      <w:sz w:val="28"/>
      <w:szCs w:val="28"/>
      <w:lang w:eastAsia="ja-JP"/>
    </w:rPr>
  </w:style>
  <w:style w:type="paragraph" w:styleId="TOC1">
    <w:name w:val="toc 1"/>
    <w:basedOn w:val="Normal"/>
    <w:next w:val="Normal"/>
    <w:autoRedefine/>
    <w:uiPriority w:val="39"/>
    <w:unhideWhenUsed/>
    <w:qFormat/>
    <w:rsid w:val="007438DB"/>
    <w:pPr>
      <w:tabs>
        <w:tab w:val="left" w:pos="440"/>
        <w:tab w:val="right" w:leader="dot" w:pos="9062"/>
      </w:tabs>
      <w:spacing w:after="100"/>
      <w:ind w:left="425" w:hanging="425"/>
    </w:pPr>
    <w:rPr>
      <w:rFonts w:asciiTheme="majorHAnsi" w:hAnsiTheme="majorHAnsi" w:cs="Tahoma"/>
      <w:b/>
      <w:i/>
      <w:noProof/>
      <w:color w:val="365F91" w:themeColor="accent1" w:themeShade="BF"/>
      <w:sz w:val="20"/>
    </w:rPr>
  </w:style>
  <w:style w:type="table" w:customStyle="1" w:styleId="MediumList1-Accent11">
    <w:name w:val="Medium List 1 - Accent 11"/>
    <w:basedOn w:val="TableNormal"/>
    <w:uiPriority w:val="65"/>
    <w:rsid w:val="00EE19E9"/>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111">
    <w:name w:val="Medium List 1 - Accent 111"/>
    <w:basedOn w:val="TableNormal"/>
    <w:uiPriority w:val="65"/>
    <w:rsid w:val="00BA732E"/>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paragraph" w:styleId="TOC3">
    <w:name w:val="toc 3"/>
    <w:basedOn w:val="Normal"/>
    <w:next w:val="Normal"/>
    <w:autoRedefine/>
    <w:uiPriority w:val="39"/>
    <w:unhideWhenUsed/>
    <w:qFormat/>
    <w:rsid w:val="001A3F64"/>
    <w:pPr>
      <w:spacing w:after="100"/>
      <w:ind w:left="440"/>
    </w:pPr>
  </w:style>
  <w:style w:type="character" w:customStyle="1" w:styleId="ListParagraphChar">
    <w:name w:val="List Paragraph Char"/>
    <w:link w:val="ListParagraph"/>
    <w:locked/>
    <w:rsid w:val="007D05A5"/>
  </w:style>
  <w:style w:type="table" w:styleId="LightShading-Accent2">
    <w:name w:val="Light Shading Accent 2"/>
    <w:basedOn w:val="TableNormal"/>
    <w:uiPriority w:val="60"/>
    <w:rsid w:val="00CE5244"/>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ColorfulList-Accent1">
    <w:name w:val="Colorful List Accent 1"/>
    <w:basedOn w:val="TableNormal"/>
    <w:uiPriority w:val="72"/>
    <w:rsid w:val="00095D5A"/>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customStyle="1" w:styleId="MediumList1-Accent112">
    <w:name w:val="Medium List 1 - Accent 112"/>
    <w:basedOn w:val="TableNormal"/>
    <w:uiPriority w:val="65"/>
    <w:rsid w:val="00EC4243"/>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113">
    <w:name w:val="Medium List 1 - Accent 113"/>
    <w:basedOn w:val="TableNormal"/>
    <w:uiPriority w:val="65"/>
    <w:rsid w:val="00107683"/>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114">
    <w:name w:val="Medium List 1 - Accent 114"/>
    <w:basedOn w:val="TableNormal"/>
    <w:uiPriority w:val="65"/>
    <w:rsid w:val="00107683"/>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115">
    <w:name w:val="Medium List 1 - Accent 115"/>
    <w:basedOn w:val="TableNormal"/>
    <w:uiPriority w:val="65"/>
    <w:rsid w:val="00107683"/>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116">
    <w:name w:val="Medium List 1 - Accent 116"/>
    <w:basedOn w:val="TableNormal"/>
    <w:uiPriority w:val="65"/>
    <w:rsid w:val="00107683"/>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117">
    <w:name w:val="Medium List 1 - Accent 117"/>
    <w:basedOn w:val="TableNormal"/>
    <w:uiPriority w:val="65"/>
    <w:rsid w:val="00107683"/>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118">
    <w:name w:val="Medium List 1 - Accent 118"/>
    <w:basedOn w:val="TableNormal"/>
    <w:uiPriority w:val="65"/>
    <w:rsid w:val="00107683"/>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119">
    <w:name w:val="Medium List 1 - Accent 119"/>
    <w:basedOn w:val="TableNormal"/>
    <w:uiPriority w:val="65"/>
    <w:rsid w:val="00107683"/>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1110">
    <w:name w:val="Medium List 1 - Accent 1110"/>
    <w:basedOn w:val="TableNormal"/>
    <w:uiPriority w:val="65"/>
    <w:rsid w:val="00107683"/>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1111">
    <w:name w:val="Medium List 1 - Accent 1111"/>
    <w:basedOn w:val="TableNormal"/>
    <w:uiPriority w:val="65"/>
    <w:rsid w:val="00612AE3"/>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1112">
    <w:name w:val="Medium List 1 - Accent 1112"/>
    <w:basedOn w:val="TableNormal"/>
    <w:uiPriority w:val="65"/>
    <w:rsid w:val="00612AE3"/>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1113">
    <w:name w:val="Medium List 1 - Accent 1113"/>
    <w:basedOn w:val="TableNormal"/>
    <w:uiPriority w:val="65"/>
    <w:rsid w:val="00612AE3"/>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1114">
    <w:name w:val="Medium List 1 - Accent 1114"/>
    <w:basedOn w:val="TableNormal"/>
    <w:uiPriority w:val="65"/>
    <w:rsid w:val="00612AE3"/>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1115">
    <w:name w:val="Medium List 1 - Accent 1115"/>
    <w:basedOn w:val="TableNormal"/>
    <w:uiPriority w:val="65"/>
    <w:rsid w:val="00612AE3"/>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WW8Num2z0">
    <w:name w:val="WW8Num2z0"/>
    <w:rsid w:val="008C2B46"/>
    <w:rPr>
      <w:rFonts w:ascii="Symbol" w:hAnsi="Symbol" w:cs="Symbol"/>
      <w:color w:val="auto"/>
      <w:sz w:val="24"/>
      <w:szCs w:val="24"/>
    </w:rPr>
  </w:style>
  <w:style w:type="character" w:customStyle="1" w:styleId="WW8Num4z0">
    <w:name w:val="WW8Num4z0"/>
    <w:rsid w:val="008C2B46"/>
    <w:rPr>
      <w:rFonts w:ascii="Wingdings" w:hAnsi="Wingdings" w:cs="Wingdings"/>
    </w:rPr>
  </w:style>
  <w:style w:type="character" w:customStyle="1" w:styleId="WW8Num5z0">
    <w:name w:val="WW8Num5z0"/>
    <w:rsid w:val="008C2B46"/>
    <w:rPr>
      <w:rFonts w:ascii="Symbol" w:hAnsi="Symbol" w:cs="Symbol"/>
    </w:rPr>
  </w:style>
  <w:style w:type="character" w:customStyle="1" w:styleId="WW8Num5z1">
    <w:name w:val="WW8Num5z1"/>
    <w:rsid w:val="008C2B46"/>
    <w:rPr>
      <w:rFonts w:ascii="Times New Roman" w:hAnsi="Times New Roman" w:cs="Times New Roman"/>
    </w:rPr>
  </w:style>
  <w:style w:type="character" w:customStyle="1" w:styleId="WW8Num5z2">
    <w:name w:val="WW8Num5z2"/>
    <w:rsid w:val="008C2B46"/>
    <w:rPr>
      <w:rFonts w:ascii="Wingdings" w:hAnsi="Wingdings" w:cs="Wingdings"/>
    </w:rPr>
  </w:style>
  <w:style w:type="character" w:customStyle="1" w:styleId="WW8Num5z4">
    <w:name w:val="WW8Num5z4"/>
    <w:rsid w:val="008C2B46"/>
    <w:rPr>
      <w:rFonts w:ascii="Courier New" w:hAnsi="Courier New" w:cs="Courier New"/>
    </w:rPr>
  </w:style>
  <w:style w:type="character" w:customStyle="1" w:styleId="Absatz-Standardschriftart">
    <w:name w:val="Absatz-Standardschriftart"/>
    <w:rsid w:val="008C2B46"/>
  </w:style>
  <w:style w:type="character" w:customStyle="1" w:styleId="WW8Num1z0">
    <w:name w:val="WW8Num1z0"/>
    <w:rsid w:val="008C2B46"/>
    <w:rPr>
      <w:rFonts w:ascii="Symbol" w:hAnsi="Symbol" w:cs="Symbol"/>
    </w:rPr>
  </w:style>
  <w:style w:type="character" w:customStyle="1" w:styleId="WW8Num1z1">
    <w:name w:val="WW8Num1z1"/>
    <w:rsid w:val="008C2B46"/>
    <w:rPr>
      <w:rFonts w:ascii="Courier New" w:hAnsi="Courier New" w:cs="Courier New"/>
    </w:rPr>
  </w:style>
  <w:style w:type="character" w:customStyle="1" w:styleId="WW8Num1z2">
    <w:name w:val="WW8Num1z2"/>
    <w:rsid w:val="008C2B46"/>
    <w:rPr>
      <w:rFonts w:ascii="Wingdings" w:hAnsi="Wingdings" w:cs="Wingdings"/>
    </w:rPr>
  </w:style>
  <w:style w:type="character" w:customStyle="1" w:styleId="WW8Num2z1">
    <w:name w:val="WW8Num2z1"/>
    <w:rsid w:val="008C2B46"/>
    <w:rPr>
      <w:rFonts w:ascii="Courier New" w:hAnsi="Courier New" w:cs="Courier New"/>
    </w:rPr>
  </w:style>
  <w:style w:type="character" w:customStyle="1" w:styleId="WW8Num2z2">
    <w:name w:val="WW8Num2z2"/>
    <w:rsid w:val="008C2B46"/>
    <w:rPr>
      <w:rFonts w:ascii="Wingdings" w:hAnsi="Wingdings" w:cs="Wingdings"/>
    </w:rPr>
  </w:style>
  <w:style w:type="character" w:customStyle="1" w:styleId="WW8Num2z3">
    <w:name w:val="WW8Num2z3"/>
    <w:rsid w:val="008C2B46"/>
    <w:rPr>
      <w:rFonts w:ascii="Symbol" w:hAnsi="Symbol" w:cs="Symbol"/>
    </w:rPr>
  </w:style>
  <w:style w:type="character" w:customStyle="1" w:styleId="WW8Num3z0">
    <w:name w:val="WW8Num3z0"/>
    <w:rsid w:val="008C2B46"/>
    <w:rPr>
      <w:u w:val="none"/>
    </w:rPr>
  </w:style>
  <w:style w:type="character" w:customStyle="1" w:styleId="WW8Num4z1">
    <w:name w:val="WW8Num4z1"/>
    <w:rsid w:val="008C2B46"/>
    <w:rPr>
      <w:rFonts w:ascii="Courier New" w:hAnsi="Courier New" w:cs="Courier New"/>
    </w:rPr>
  </w:style>
  <w:style w:type="character" w:customStyle="1" w:styleId="WW8Num4z3">
    <w:name w:val="WW8Num4z3"/>
    <w:rsid w:val="008C2B46"/>
    <w:rPr>
      <w:rFonts w:ascii="Symbol" w:hAnsi="Symbol" w:cs="Symbol"/>
    </w:rPr>
  </w:style>
  <w:style w:type="character" w:customStyle="1" w:styleId="WW8Num7z0">
    <w:name w:val="WW8Num7z0"/>
    <w:rsid w:val="008C2B46"/>
    <w:rPr>
      <w:rFonts w:ascii="Symbol" w:hAnsi="Symbol" w:cs="Symbol"/>
    </w:rPr>
  </w:style>
  <w:style w:type="character" w:customStyle="1" w:styleId="WW8Num8z0">
    <w:name w:val="WW8Num8z0"/>
    <w:rsid w:val="008C2B46"/>
    <w:rPr>
      <w:rFonts w:ascii="Times New Roman" w:hAnsi="Times New Roman" w:cs="Times New Roman"/>
    </w:rPr>
  </w:style>
  <w:style w:type="character" w:customStyle="1" w:styleId="WW8Num8z1">
    <w:name w:val="WW8Num8z1"/>
    <w:rsid w:val="008C2B46"/>
    <w:rPr>
      <w:rFonts w:ascii="Courier New" w:hAnsi="Courier New" w:cs="Courier New"/>
    </w:rPr>
  </w:style>
  <w:style w:type="character" w:customStyle="1" w:styleId="WW8Num8z2">
    <w:name w:val="WW8Num8z2"/>
    <w:rsid w:val="008C2B46"/>
    <w:rPr>
      <w:rFonts w:ascii="Wingdings" w:hAnsi="Wingdings" w:cs="Wingdings"/>
    </w:rPr>
  </w:style>
  <w:style w:type="character" w:customStyle="1" w:styleId="WW8Num8z3">
    <w:name w:val="WW8Num8z3"/>
    <w:rsid w:val="008C2B46"/>
    <w:rPr>
      <w:rFonts w:ascii="Symbol" w:hAnsi="Symbol" w:cs="Symbol"/>
    </w:rPr>
  </w:style>
  <w:style w:type="character" w:customStyle="1" w:styleId="WW8Num9z0">
    <w:name w:val="WW8Num9z0"/>
    <w:rsid w:val="008C2B46"/>
    <w:rPr>
      <w:rFonts w:ascii="Symbol" w:hAnsi="Symbol" w:cs="Symbol"/>
    </w:rPr>
  </w:style>
  <w:style w:type="character" w:customStyle="1" w:styleId="WW8Num9z1">
    <w:name w:val="WW8Num9z1"/>
    <w:rsid w:val="008C2B46"/>
    <w:rPr>
      <w:rFonts w:ascii="Times New Roman" w:hAnsi="Times New Roman" w:cs="Times New Roman"/>
    </w:rPr>
  </w:style>
  <w:style w:type="character" w:customStyle="1" w:styleId="WW8Num9z2">
    <w:name w:val="WW8Num9z2"/>
    <w:rsid w:val="008C2B46"/>
    <w:rPr>
      <w:rFonts w:ascii="Wingdings" w:hAnsi="Wingdings" w:cs="Wingdings"/>
    </w:rPr>
  </w:style>
  <w:style w:type="character" w:customStyle="1" w:styleId="WW8Num9z4">
    <w:name w:val="WW8Num9z4"/>
    <w:rsid w:val="008C2B46"/>
    <w:rPr>
      <w:rFonts w:ascii="Courier New" w:hAnsi="Courier New" w:cs="Courier New"/>
    </w:rPr>
  </w:style>
  <w:style w:type="character" w:customStyle="1" w:styleId="WW-DefaultParagraphFont">
    <w:name w:val="WW-Default Paragraph Font"/>
    <w:rsid w:val="008C2B46"/>
  </w:style>
  <w:style w:type="character" w:styleId="PageNumber">
    <w:name w:val="page number"/>
    <w:basedOn w:val="WW-DefaultParagraphFont"/>
    <w:rsid w:val="008C2B46"/>
  </w:style>
  <w:style w:type="character" w:customStyle="1" w:styleId="NumberingSymbols">
    <w:name w:val="Numbering Symbols"/>
    <w:rsid w:val="008C2B46"/>
  </w:style>
  <w:style w:type="paragraph" w:customStyle="1" w:styleId="Heading">
    <w:name w:val="Heading"/>
    <w:basedOn w:val="Normal"/>
    <w:next w:val="BodyText"/>
    <w:rsid w:val="008C2B46"/>
    <w:pPr>
      <w:keepNext/>
      <w:suppressAutoHyphens/>
      <w:spacing w:before="240" w:after="120" w:line="240" w:lineRule="auto"/>
    </w:pPr>
    <w:rPr>
      <w:rFonts w:ascii="Arial" w:eastAsia="MS Mincho" w:hAnsi="Arial" w:cs="Arial"/>
      <w:sz w:val="28"/>
      <w:szCs w:val="28"/>
      <w:lang w:eastAsia="ar-SA"/>
    </w:rPr>
  </w:style>
  <w:style w:type="paragraph" w:styleId="List">
    <w:name w:val="List"/>
    <w:basedOn w:val="BodyText"/>
    <w:rsid w:val="008C2B46"/>
    <w:pPr>
      <w:suppressAutoHyphens/>
      <w:spacing w:after="0" w:line="240" w:lineRule="auto"/>
      <w:jc w:val="both"/>
    </w:pPr>
    <w:rPr>
      <w:rFonts w:ascii="Times New Roman" w:eastAsia="Times New Roman" w:hAnsi="Times New Roman" w:cs="Times New Roman"/>
      <w:sz w:val="24"/>
      <w:szCs w:val="24"/>
      <w:lang w:val="sr-Latn-CS" w:eastAsia="ar-SA"/>
    </w:rPr>
  </w:style>
  <w:style w:type="paragraph" w:styleId="Caption">
    <w:name w:val="caption"/>
    <w:basedOn w:val="Normal"/>
    <w:qFormat/>
    <w:rsid w:val="008C2B46"/>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Index">
    <w:name w:val="Index"/>
    <w:basedOn w:val="Normal"/>
    <w:rsid w:val="008C2B46"/>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NormalWeb">
    <w:name w:val="Normal (Web)"/>
    <w:basedOn w:val="Normal"/>
    <w:rsid w:val="008C2B46"/>
    <w:pPr>
      <w:suppressAutoHyphens/>
      <w:spacing w:before="280" w:after="280" w:line="240" w:lineRule="auto"/>
    </w:pPr>
    <w:rPr>
      <w:rFonts w:ascii="Times New Roman" w:eastAsia="Times New Roman" w:hAnsi="Times New Roman" w:cs="Times New Roman"/>
      <w:sz w:val="24"/>
      <w:szCs w:val="24"/>
      <w:lang w:eastAsia="ar-SA"/>
    </w:rPr>
  </w:style>
  <w:style w:type="paragraph" w:styleId="Title">
    <w:name w:val="Title"/>
    <w:basedOn w:val="Normal"/>
    <w:next w:val="Subtitle"/>
    <w:link w:val="TitleChar"/>
    <w:qFormat/>
    <w:rsid w:val="008C2B46"/>
    <w:pPr>
      <w:suppressAutoHyphens/>
      <w:spacing w:after="0" w:line="240" w:lineRule="auto"/>
      <w:jc w:val="center"/>
    </w:pPr>
    <w:rPr>
      <w:rFonts w:ascii="Times New Roman" w:eastAsia="Times New Roman" w:hAnsi="Times New Roman" w:cs="Times New Roman"/>
      <w:b/>
      <w:bCs/>
      <w:sz w:val="28"/>
      <w:szCs w:val="28"/>
      <w:lang w:val="sr-Latn-CS" w:eastAsia="ar-SA"/>
    </w:rPr>
  </w:style>
  <w:style w:type="character" w:customStyle="1" w:styleId="TitleChar">
    <w:name w:val="Title Char"/>
    <w:basedOn w:val="DefaultParagraphFont"/>
    <w:link w:val="Title"/>
    <w:rsid w:val="008C2B46"/>
    <w:rPr>
      <w:rFonts w:ascii="Times New Roman" w:eastAsia="Times New Roman" w:hAnsi="Times New Roman" w:cs="Times New Roman"/>
      <w:b/>
      <w:bCs/>
      <w:sz w:val="28"/>
      <w:szCs w:val="28"/>
      <w:lang w:val="sr-Latn-CS" w:eastAsia="ar-SA"/>
    </w:rPr>
  </w:style>
  <w:style w:type="paragraph" w:styleId="BodyText2">
    <w:name w:val="Body Text 2"/>
    <w:basedOn w:val="Normal"/>
    <w:link w:val="BodyText2Char"/>
    <w:rsid w:val="008C2B46"/>
    <w:pPr>
      <w:suppressAutoHyphens/>
      <w:spacing w:after="120" w:line="480" w:lineRule="auto"/>
    </w:pPr>
    <w:rPr>
      <w:rFonts w:ascii="Times New Roman" w:eastAsia="Times New Roman" w:hAnsi="Times New Roman" w:cs="Times New Roman"/>
      <w:sz w:val="24"/>
      <w:szCs w:val="24"/>
      <w:lang w:eastAsia="ar-SA"/>
    </w:rPr>
  </w:style>
  <w:style w:type="character" w:customStyle="1" w:styleId="BodyText2Char">
    <w:name w:val="Body Text 2 Char"/>
    <w:basedOn w:val="DefaultParagraphFont"/>
    <w:link w:val="BodyText2"/>
    <w:rsid w:val="008C2B46"/>
    <w:rPr>
      <w:rFonts w:ascii="Times New Roman" w:eastAsia="Times New Roman" w:hAnsi="Times New Roman" w:cs="Times New Roman"/>
      <w:sz w:val="24"/>
      <w:szCs w:val="24"/>
      <w:lang w:eastAsia="ar-SA"/>
    </w:rPr>
  </w:style>
  <w:style w:type="paragraph" w:styleId="BodyTextIndent2">
    <w:name w:val="Body Text Indent 2"/>
    <w:basedOn w:val="Normal"/>
    <w:link w:val="BodyTextIndent2Char"/>
    <w:rsid w:val="008C2B46"/>
    <w:pPr>
      <w:suppressAutoHyphens/>
      <w:spacing w:after="0" w:line="240" w:lineRule="auto"/>
      <w:ind w:left="720"/>
      <w:jc w:val="both"/>
    </w:pPr>
    <w:rPr>
      <w:rFonts w:ascii="Times New Roman" w:eastAsia="Times New Roman" w:hAnsi="Times New Roman" w:cs="Times New Roman"/>
      <w:sz w:val="24"/>
      <w:szCs w:val="24"/>
      <w:lang w:val="sr-Latn-CS" w:eastAsia="ar-SA"/>
    </w:rPr>
  </w:style>
  <w:style w:type="character" w:customStyle="1" w:styleId="BodyTextIndent2Char">
    <w:name w:val="Body Text Indent 2 Char"/>
    <w:basedOn w:val="DefaultParagraphFont"/>
    <w:link w:val="BodyTextIndent2"/>
    <w:rsid w:val="008C2B46"/>
    <w:rPr>
      <w:rFonts w:ascii="Times New Roman" w:eastAsia="Times New Roman" w:hAnsi="Times New Roman" w:cs="Times New Roman"/>
      <w:sz w:val="24"/>
      <w:szCs w:val="24"/>
      <w:lang w:val="sr-Latn-CS" w:eastAsia="ar-SA"/>
    </w:rPr>
  </w:style>
  <w:style w:type="paragraph" w:styleId="BodyTextIndent3">
    <w:name w:val="Body Text Indent 3"/>
    <w:basedOn w:val="Normal"/>
    <w:link w:val="BodyTextIndent3Char"/>
    <w:rsid w:val="008C2B46"/>
    <w:pPr>
      <w:suppressAutoHyphens/>
      <w:spacing w:after="0" w:line="240" w:lineRule="auto"/>
      <w:ind w:left="1080"/>
      <w:jc w:val="both"/>
    </w:pPr>
    <w:rPr>
      <w:rFonts w:ascii="Times New Roman" w:eastAsia="Times New Roman" w:hAnsi="Times New Roman" w:cs="Times New Roman"/>
      <w:sz w:val="24"/>
      <w:szCs w:val="24"/>
      <w:lang w:val="sr-Latn-CS" w:eastAsia="ar-SA"/>
    </w:rPr>
  </w:style>
  <w:style w:type="character" w:customStyle="1" w:styleId="BodyTextIndent3Char">
    <w:name w:val="Body Text Indent 3 Char"/>
    <w:basedOn w:val="DefaultParagraphFont"/>
    <w:link w:val="BodyTextIndent3"/>
    <w:rsid w:val="008C2B46"/>
    <w:rPr>
      <w:rFonts w:ascii="Times New Roman" w:eastAsia="Times New Roman" w:hAnsi="Times New Roman" w:cs="Times New Roman"/>
      <w:sz w:val="24"/>
      <w:szCs w:val="24"/>
      <w:lang w:val="sr-Latn-CS" w:eastAsia="ar-SA"/>
    </w:rPr>
  </w:style>
  <w:style w:type="paragraph" w:customStyle="1" w:styleId="TableContents">
    <w:name w:val="Table Contents"/>
    <w:basedOn w:val="Normal"/>
    <w:rsid w:val="008C2B46"/>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TableHeading">
    <w:name w:val="Table Heading"/>
    <w:basedOn w:val="TableContents"/>
    <w:rsid w:val="008C2B46"/>
    <w:pPr>
      <w:jc w:val="center"/>
    </w:pPr>
    <w:rPr>
      <w:b/>
      <w:bCs/>
      <w:i/>
      <w:iCs/>
    </w:rPr>
  </w:style>
  <w:style w:type="paragraph" w:customStyle="1" w:styleId="Framecontents">
    <w:name w:val="Frame contents"/>
    <w:basedOn w:val="BodyText"/>
    <w:rsid w:val="008C2B46"/>
    <w:pPr>
      <w:suppressAutoHyphens/>
      <w:spacing w:after="0" w:line="240" w:lineRule="auto"/>
      <w:jc w:val="both"/>
    </w:pPr>
    <w:rPr>
      <w:rFonts w:ascii="Times New Roman" w:eastAsia="Times New Roman" w:hAnsi="Times New Roman" w:cs="Times New Roman"/>
      <w:sz w:val="24"/>
      <w:szCs w:val="24"/>
      <w:lang w:val="sr-Latn-CS" w:eastAsia="ar-SA"/>
    </w:rPr>
  </w:style>
  <w:style w:type="character" w:customStyle="1" w:styleId="Style105pt">
    <w:name w:val="Style 105 pt"/>
    <w:rsid w:val="008C2B46"/>
    <w:rPr>
      <w:rFonts w:ascii="Times New Roman Bold" w:hAnsi="Times New Roman Bold" w:cs="Times New Roman Bold"/>
      <w:b/>
      <w:bCs/>
      <w:color w:val="auto"/>
      <w:sz w:val="24"/>
      <w:szCs w:val="24"/>
    </w:rPr>
  </w:style>
  <w:style w:type="table" w:styleId="TableWeb3">
    <w:name w:val="Table Web 3"/>
    <w:basedOn w:val="TableNormal"/>
    <w:rsid w:val="008C2B46"/>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styleId="CommentText">
    <w:name w:val="annotation text"/>
    <w:basedOn w:val="Normal"/>
    <w:link w:val="CommentTextChar"/>
    <w:uiPriority w:val="99"/>
    <w:semiHidden/>
    <w:rsid w:val="008C2B46"/>
    <w:pPr>
      <w:tabs>
        <w:tab w:val="left" w:pos="-720"/>
      </w:tabs>
      <w:suppressAutoHyphens/>
      <w:spacing w:after="0" w:line="240" w:lineRule="auto"/>
    </w:pPr>
    <w:rPr>
      <w:rFonts w:ascii="Helvetica 11pt" w:eastAsia="Times New Roman" w:hAnsi="Helvetica 11pt" w:cs="Helvetica 11pt"/>
      <w:sz w:val="24"/>
      <w:szCs w:val="24"/>
    </w:rPr>
  </w:style>
  <w:style w:type="character" w:customStyle="1" w:styleId="CommentTextChar">
    <w:name w:val="Comment Text Char"/>
    <w:basedOn w:val="DefaultParagraphFont"/>
    <w:link w:val="CommentText"/>
    <w:uiPriority w:val="99"/>
    <w:semiHidden/>
    <w:rsid w:val="008C2B46"/>
    <w:rPr>
      <w:rFonts w:ascii="Helvetica 11pt" w:eastAsia="Times New Roman" w:hAnsi="Helvetica 11pt" w:cs="Helvetica 11pt"/>
      <w:sz w:val="24"/>
      <w:szCs w:val="24"/>
    </w:rPr>
  </w:style>
  <w:style w:type="paragraph" w:customStyle="1" w:styleId="Style1">
    <w:name w:val="Style1"/>
    <w:basedOn w:val="Heading"/>
    <w:rsid w:val="008C2B46"/>
    <w:rPr>
      <w:rFonts w:ascii="Tahoma" w:hAnsi="Tahoma" w:cs="Tahoma"/>
      <w:b/>
      <w:bCs/>
      <w:sz w:val="24"/>
      <w:szCs w:val="24"/>
    </w:rPr>
  </w:style>
  <w:style w:type="paragraph" w:customStyle="1" w:styleId="Style2">
    <w:name w:val="Style2"/>
    <w:basedOn w:val="Heading1"/>
    <w:rsid w:val="008C2B46"/>
    <w:pPr>
      <w:numPr>
        <w:numId w:val="9"/>
      </w:numPr>
      <w:jc w:val="left"/>
    </w:pPr>
    <w:rPr>
      <w:rFonts w:ascii="Tahoma" w:hAnsi="Tahoma" w:cs="Tahoma"/>
      <w:b w:val="0"/>
      <w:bCs w:val="0"/>
      <w:sz w:val="24"/>
      <w:szCs w:val="24"/>
    </w:rPr>
  </w:style>
  <w:style w:type="character" w:styleId="LineNumber">
    <w:name w:val="line number"/>
    <w:basedOn w:val="DefaultParagraphFont"/>
    <w:rsid w:val="008C2B46"/>
  </w:style>
  <w:style w:type="character" w:customStyle="1" w:styleId="Bullets">
    <w:name w:val="Bullets"/>
    <w:rsid w:val="008C2B46"/>
    <w:rPr>
      <w:rFonts w:ascii="StarSymbol" w:eastAsia="StarSymbol" w:cs="StarSymbol"/>
      <w:sz w:val="18"/>
      <w:szCs w:val="18"/>
    </w:rPr>
  </w:style>
  <w:style w:type="paragraph" w:styleId="FootnoteText">
    <w:name w:val="footnote text"/>
    <w:basedOn w:val="Normal"/>
    <w:link w:val="FootnoteTextChar"/>
    <w:semiHidden/>
    <w:rsid w:val="008C2B46"/>
    <w:pPr>
      <w:widowControl w:val="0"/>
      <w:suppressAutoHyphens/>
      <w:spacing w:after="0" w:line="240" w:lineRule="auto"/>
    </w:pPr>
    <w:rPr>
      <w:rFonts w:ascii="Times New Roman" w:eastAsia="Times New Roman" w:hAnsi="Times New Roman" w:cs="Times New Roman"/>
      <w:sz w:val="20"/>
      <w:szCs w:val="20"/>
      <w:lang w:eastAsia="ar-SA"/>
    </w:rPr>
  </w:style>
  <w:style w:type="character" w:customStyle="1" w:styleId="FootnoteTextChar">
    <w:name w:val="Footnote Text Char"/>
    <w:basedOn w:val="DefaultParagraphFont"/>
    <w:link w:val="FootnoteText"/>
    <w:semiHidden/>
    <w:rsid w:val="008C2B46"/>
    <w:rPr>
      <w:rFonts w:ascii="Times New Roman" w:eastAsia="Times New Roman" w:hAnsi="Times New Roman" w:cs="Times New Roman"/>
      <w:sz w:val="20"/>
      <w:szCs w:val="20"/>
      <w:lang w:eastAsia="ar-SA"/>
    </w:rPr>
  </w:style>
  <w:style w:type="character" w:styleId="FootnoteReference">
    <w:name w:val="footnote reference"/>
    <w:semiHidden/>
    <w:rsid w:val="008C2B46"/>
    <w:rPr>
      <w:vertAlign w:val="superscript"/>
    </w:rPr>
  </w:style>
  <w:style w:type="table" w:styleId="TableList1">
    <w:name w:val="Table List 1"/>
    <w:basedOn w:val="TableNormal"/>
    <w:rsid w:val="008C2B46"/>
    <w:pPr>
      <w:widowControl w:val="0"/>
      <w:suppressAutoHyphens/>
      <w:spacing w:after="0" w:line="240" w:lineRule="auto"/>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insideH w:val="single" w:sz="6" w:space="0" w:color="008080"/>
        <w:insideV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C2B46"/>
    <w:pPr>
      <w:widowControl w:val="0"/>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8">
    <w:name w:val="Table Grid 8"/>
    <w:basedOn w:val="TableNormal"/>
    <w:rsid w:val="008C2B46"/>
    <w:pPr>
      <w:widowControl w:val="0"/>
      <w:suppressAutoHyphens/>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Professional">
    <w:name w:val="Table Professional"/>
    <w:basedOn w:val="TableNormal"/>
    <w:rsid w:val="008C2B46"/>
    <w:pPr>
      <w:widowControl w:val="0"/>
      <w:suppressAutoHyphens/>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List6">
    <w:name w:val="Table List 6"/>
    <w:basedOn w:val="TableNormal"/>
    <w:rsid w:val="008C2B46"/>
    <w:pPr>
      <w:suppressAutoHyphens/>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character" w:customStyle="1" w:styleId="Char2">
    <w:name w:val="Char2"/>
    <w:rsid w:val="008C2B46"/>
    <w:rPr>
      <w:b/>
      <w:bCs/>
      <w:sz w:val="24"/>
      <w:szCs w:val="24"/>
      <w:lang w:val="en-US" w:eastAsia="ar-SA" w:bidi="ar-SA"/>
    </w:rPr>
  </w:style>
  <w:style w:type="table" w:styleId="TableGrid1">
    <w:name w:val="Table Grid 1"/>
    <w:basedOn w:val="TableNormal"/>
    <w:rsid w:val="008C2B46"/>
    <w:pPr>
      <w:suppressAutoHyphens/>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FollowedHyperlink">
    <w:name w:val="FollowedHyperlink"/>
    <w:rsid w:val="008C2B46"/>
    <w:rPr>
      <w:color w:val="800080"/>
      <w:u w:val="single"/>
    </w:rPr>
  </w:style>
  <w:style w:type="character" w:styleId="CommentReference">
    <w:name w:val="annotation reference"/>
    <w:uiPriority w:val="99"/>
    <w:semiHidden/>
    <w:rsid w:val="008C2B46"/>
    <w:rPr>
      <w:sz w:val="16"/>
      <w:szCs w:val="16"/>
    </w:rPr>
  </w:style>
  <w:style w:type="paragraph" w:styleId="CommentSubject">
    <w:name w:val="annotation subject"/>
    <w:basedOn w:val="CommentText"/>
    <w:next w:val="CommentText"/>
    <w:link w:val="CommentSubjectChar"/>
    <w:uiPriority w:val="99"/>
    <w:semiHidden/>
    <w:rsid w:val="008C2B46"/>
    <w:pPr>
      <w:tabs>
        <w:tab w:val="clear" w:pos="-720"/>
      </w:tabs>
    </w:pPr>
    <w:rPr>
      <w:rFonts w:ascii="Times New Roman" w:hAnsi="Times New Roman" w:cs="Times New Roman"/>
      <w:b/>
      <w:bCs/>
      <w:sz w:val="20"/>
      <w:szCs w:val="20"/>
      <w:lang w:eastAsia="ar-SA"/>
    </w:rPr>
  </w:style>
  <w:style w:type="character" w:customStyle="1" w:styleId="CommentSubjectChar">
    <w:name w:val="Comment Subject Char"/>
    <w:basedOn w:val="CommentTextChar"/>
    <w:link w:val="CommentSubject"/>
    <w:uiPriority w:val="99"/>
    <w:semiHidden/>
    <w:rsid w:val="008C2B46"/>
    <w:rPr>
      <w:rFonts w:ascii="Times New Roman" w:eastAsia="Times New Roman" w:hAnsi="Times New Roman" w:cs="Times New Roman"/>
      <w:b/>
      <w:bCs/>
      <w:sz w:val="20"/>
      <w:szCs w:val="20"/>
      <w:lang w:eastAsia="ar-SA"/>
    </w:rPr>
  </w:style>
  <w:style w:type="character" w:styleId="BookTitle">
    <w:name w:val="Book Title"/>
    <w:uiPriority w:val="99"/>
    <w:qFormat/>
    <w:rsid w:val="008C2B46"/>
    <w:rPr>
      <w:b/>
      <w:bCs/>
      <w:smallCaps/>
      <w:spacing w:val="5"/>
    </w:rPr>
  </w:style>
  <w:style w:type="table" w:customStyle="1" w:styleId="LightShading-Accent12">
    <w:name w:val="Light Shading - Accent 12"/>
    <w:uiPriority w:val="60"/>
    <w:rsid w:val="008C2B46"/>
    <w:pPr>
      <w:spacing w:after="0" w:line="240" w:lineRule="auto"/>
    </w:pPr>
    <w:rPr>
      <w:rFonts w:ascii="Times New Roman" w:eastAsia="Times New Roman" w:hAnsi="Times New Roman" w:cs="Times New Roman"/>
      <w:color w:val="365F91"/>
      <w:sz w:val="20"/>
      <w:szCs w:val="20"/>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MediumShading2-Accent5">
    <w:name w:val="Medium Shading 2 Accent 5"/>
    <w:basedOn w:val="TableNormal"/>
    <w:uiPriority w:val="99"/>
    <w:rsid w:val="008C2B46"/>
    <w:pPr>
      <w:spacing w:after="0" w:line="240" w:lineRule="auto"/>
    </w:pPr>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3-Accent5">
    <w:name w:val="Medium Grid 3 Accent 5"/>
    <w:basedOn w:val="TableNormal"/>
    <w:uiPriority w:val="99"/>
    <w:rsid w:val="008C2B46"/>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LightShading-Accent13">
    <w:name w:val="Light Shading - Accent 13"/>
    <w:uiPriority w:val="99"/>
    <w:rsid w:val="008C2B46"/>
    <w:pPr>
      <w:spacing w:after="0" w:line="240" w:lineRule="auto"/>
    </w:pPr>
    <w:rPr>
      <w:rFonts w:ascii="Times New Roman" w:eastAsia="Times New Roman" w:hAnsi="Times New Roman" w:cs="Times New Roman"/>
      <w:color w:val="365F91"/>
      <w:sz w:val="20"/>
      <w:szCs w:val="20"/>
      <w:lang w:val="sr-Latn-CS" w:eastAsia="sr-Latn-C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MediumGrid3-Accent1">
    <w:name w:val="Medium Grid 3 Accent 1"/>
    <w:basedOn w:val="TableNormal"/>
    <w:uiPriority w:val="99"/>
    <w:rsid w:val="008C2B46"/>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styleId="SubtleEmphasis">
    <w:name w:val="Subtle Emphasis"/>
    <w:uiPriority w:val="19"/>
    <w:qFormat/>
    <w:rsid w:val="008C2B46"/>
    <w:rPr>
      <w:i/>
      <w:iCs/>
      <w:color w:val="808080"/>
    </w:rPr>
  </w:style>
  <w:style w:type="character" w:styleId="Emphasis">
    <w:name w:val="Emphasis"/>
    <w:uiPriority w:val="20"/>
    <w:qFormat/>
    <w:rsid w:val="008C2B46"/>
    <w:rPr>
      <w:i/>
      <w:iCs/>
    </w:rPr>
  </w:style>
  <w:style w:type="paragraph" w:customStyle="1" w:styleId="Default">
    <w:name w:val="Default"/>
    <w:rsid w:val="008C2B46"/>
    <w:pPr>
      <w:autoSpaceDE w:val="0"/>
      <w:autoSpaceDN w:val="0"/>
      <w:adjustRightInd w:val="0"/>
      <w:spacing w:after="0" w:line="240" w:lineRule="auto"/>
    </w:pPr>
    <w:rPr>
      <w:rFonts w:ascii="Arial" w:eastAsia="Times New Roman" w:hAnsi="Arial" w:cs="Arial"/>
      <w:color w:val="000000"/>
      <w:sz w:val="24"/>
      <w:szCs w:val="24"/>
      <w:lang w:eastAsia="sr-Latn-CS"/>
    </w:rPr>
  </w:style>
  <w:style w:type="table" w:customStyle="1" w:styleId="LightShading-Accent14">
    <w:name w:val="Light Shading - Accent 14"/>
    <w:basedOn w:val="TableNormal"/>
    <w:uiPriority w:val="60"/>
    <w:rsid w:val="008C2B46"/>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Grid-Accent11">
    <w:name w:val="Light Grid - Accent 11"/>
    <w:basedOn w:val="TableNormal"/>
    <w:uiPriority w:val="62"/>
    <w:rsid w:val="008C2B46"/>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1-Accent11">
    <w:name w:val="Medium Shading 1 - Accent 11"/>
    <w:basedOn w:val="TableNormal"/>
    <w:uiPriority w:val="63"/>
    <w:rsid w:val="008C2B46"/>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2-Accent11">
    <w:name w:val="Medium Shading 2 - Accent 11"/>
    <w:basedOn w:val="TableNormal"/>
    <w:uiPriority w:val="64"/>
    <w:rsid w:val="008C2B46"/>
    <w:pPr>
      <w:spacing w:after="0" w:line="240" w:lineRule="auto"/>
    </w:pPr>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List2-Accent1">
    <w:name w:val="Medium List 2 Accent 1"/>
    <w:basedOn w:val="TableNormal"/>
    <w:uiPriority w:val="66"/>
    <w:rsid w:val="008C2B46"/>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BodyTextIndentChar">
    <w:name w:val="Body Text Indent Char"/>
    <w:link w:val="BodyTextIndent"/>
    <w:rsid w:val="008C2B46"/>
    <w:rPr>
      <w:sz w:val="24"/>
      <w:szCs w:val="24"/>
      <w:lang w:eastAsia="ar-SA"/>
    </w:rPr>
  </w:style>
  <w:style w:type="paragraph" w:styleId="BodyTextIndent">
    <w:name w:val="Body Text Indent"/>
    <w:basedOn w:val="Normal"/>
    <w:link w:val="BodyTextIndentChar"/>
    <w:unhideWhenUsed/>
    <w:rsid w:val="008C2B46"/>
    <w:pPr>
      <w:suppressAutoHyphens/>
      <w:spacing w:after="0" w:line="240" w:lineRule="auto"/>
      <w:ind w:firstLine="360"/>
      <w:jc w:val="both"/>
    </w:pPr>
    <w:rPr>
      <w:sz w:val="24"/>
      <w:szCs w:val="24"/>
      <w:lang w:eastAsia="ar-SA"/>
    </w:rPr>
  </w:style>
  <w:style w:type="character" w:customStyle="1" w:styleId="BodyTextIndentChar1">
    <w:name w:val="Body Text Indent Char1"/>
    <w:basedOn w:val="DefaultParagraphFont"/>
    <w:uiPriority w:val="99"/>
    <w:semiHidden/>
    <w:rsid w:val="008C2B46"/>
  </w:style>
  <w:style w:type="paragraph" w:styleId="TOC2">
    <w:name w:val="toc 2"/>
    <w:basedOn w:val="Normal"/>
    <w:next w:val="Normal"/>
    <w:autoRedefine/>
    <w:uiPriority w:val="39"/>
    <w:unhideWhenUsed/>
    <w:qFormat/>
    <w:rsid w:val="008C2B46"/>
    <w:pPr>
      <w:tabs>
        <w:tab w:val="left" w:pos="1276"/>
        <w:tab w:val="right" w:leader="dot" w:pos="9396"/>
      </w:tabs>
      <w:spacing w:after="0" w:line="240" w:lineRule="auto"/>
      <w:ind w:left="216"/>
    </w:pPr>
    <w:rPr>
      <w:rFonts w:ascii="Calibri" w:eastAsia="Times New Roman" w:hAnsi="Calibri" w:cs="Times New Roman"/>
      <w:lang w:eastAsia="ja-JP"/>
    </w:rPr>
  </w:style>
  <w:style w:type="character" w:customStyle="1" w:styleId="DefaultParagraphFont1">
    <w:name w:val="Default Paragraph Font1"/>
    <w:rsid w:val="008C2B46"/>
  </w:style>
  <w:style w:type="paragraph" w:customStyle="1" w:styleId="msonospacing0">
    <w:name w:val="msonospacing"/>
    <w:basedOn w:val="Normal"/>
    <w:rsid w:val="008C2B4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3">
    <w:name w:val="Char3"/>
    <w:rsid w:val="008C2B46"/>
    <w:rPr>
      <w:b/>
      <w:bCs/>
      <w:sz w:val="24"/>
      <w:lang w:val="en-US" w:eastAsia="ar-SA" w:bidi="ar-SA"/>
    </w:rPr>
  </w:style>
  <w:style w:type="paragraph" w:customStyle="1" w:styleId="BodySingle">
    <w:name w:val="Body Single"/>
    <w:rsid w:val="008C2B46"/>
    <w:pPr>
      <w:spacing w:after="0" w:line="240" w:lineRule="auto"/>
    </w:pPr>
    <w:rPr>
      <w:rFonts w:ascii="Times New Roman" w:eastAsia="Times New Roman" w:hAnsi="Times New Roman" w:cs="Times New Roman"/>
      <w:color w:val="000000"/>
      <w:sz w:val="24"/>
      <w:szCs w:val="20"/>
    </w:rPr>
  </w:style>
  <w:style w:type="table" w:styleId="TableWeb2">
    <w:name w:val="Table Web 2"/>
    <w:basedOn w:val="TableNormal"/>
    <w:rsid w:val="008C2B46"/>
    <w:pPr>
      <w:suppressAutoHyphens/>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styleId="111111">
    <w:name w:val="Outline List 2"/>
    <w:basedOn w:val="NoList"/>
    <w:rsid w:val="008C2B46"/>
    <w:pPr>
      <w:numPr>
        <w:numId w:val="10"/>
      </w:numPr>
    </w:pPr>
  </w:style>
  <w:style w:type="numbering" w:styleId="ArticleSection">
    <w:name w:val="Outline List 3"/>
    <w:basedOn w:val="NoList"/>
    <w:rsid w:val="008C2B46"/>
    <w:pPr>
      <w:numPr>
        <w:numId w:val="11"/>
      </w:numPr>
    </w:pPr>
  </w:style>
  <w:style w:type="paragraph" w:styleId="TOC4">
    <w:name w:val="toc 4"/>
    <w:basedOn w:val="Normal"/>
    <w:next w:val="Normal"/>
    <w:autoRedefine/>
    <w:uiPriority w:val="39"/>
    <w:rsid w:val="008C2B46"/>
    <w:pPr>
      <w:spacing w:after="0" w:line="240" w:lineRule="auto"/>
      <w:ind w:left="720"/>
    </w:pPr>
    <w:rPr>
      <w:rFonts w:ascii="Times New Roman" w:eastAsia="Times New Roman" w:hAnsi="Times New Roman" w:cs="Times New Roman"/>
      <w:sz w:val="24"/>
      <w:szCs w:val="24"/>
      <w:lang w:val="sr-Latn-CS" w:eastAsia="sr-Latn-CS"/>
    </w:rPr>
  </w:style>
  <w:style w:type="paragraph" w:styleId="TOC5">
    <w:name w:val="toc 5"/>
    <w:basedOn w:val="Normal"/>
    <w:next w:val="Normal"/>
    <w:autoRedefine/>
    <w:uiPriority w:val="39"/>
    <w:rsid w:val="008C2B46"/>
    <w:pPr>
      <w:spacing w:after="0" w:line="240" w:lineRule="auto"/>
      <w:ind w:left="960"/>
    </w:pPr>
    <w:rPr>
      <w:rFonts w:ascii="Times New Roman" w:eastAsia="Times New Roman" w:hAnsi="Times New Roman" w:cs="Times New Roman"/>
      <w:sz w:val="24"/>
      <w:szCs w:val="24"/>
      <w:lang w:val="sr-Latn-CS" w:eastAsia="sr-Latn-CS"/>
    </w:rPr>
  </w:style>
  <w:style w:type="paragraph" w:styleId="TOC6">
    <w:name w:val="toc 6"/>
    <w:basedOn w:val="Normal"/>
    <w:next w:val="Normal"/>
    <w:autoRedefine/>
    <w:uiPriority w:val="39"/>
    <w:rsid w:val="008C2B46"/>
    <w:pPr>
      <w:spacing w:after="0" w:line="240" w:lineRule="auto"/>
      <w:ind w:left="1200"/>
    </w:pPr>
    <w:rPr>
      <w:rFonts w:ascii="Times New Roman" w:eastAsia="Times New Roman" w:hAnsi="Times New Roman" w:cs="Times New Roman"/>
      <w:sz w:val="24"/>
      <w:szCs w:val="24"/>
      <w:lang w:val="sr-Latn-CS" w:eastAsia="sr-Latn-CS"/>
    </w:rPr>
  </w:style>
  <w:style w:type="paragraph" w:styleId="TOC7">
    <w:name w:val="toc 7"/>
    <w:basedOn w:val="Normal"/>
    <w:next w:val="Normal"/>
    <w:autoRedefine/>
    <w:uiPriority w:val="39"/>
    <w:rsid w:val="008C2B46"/>
    <w:pPr>
      <w:spacing w:after="0" w:line="240" w:lineRule="auto"/>
      <w:ind w:left="1440"/>
    </w:pPr>
    <w:rPr>
      <w:rFonts w:ascii="Times New Roman" w:eastAsia="Times New Roman" w:hAnsi="Times New Roman" w:cs="Times New Roman"/>
      <w:sz w:val="24"/>
      <w:szCs w:val="24"/>
      <w:lang w:val="sr-Latn-CS" w:eastAsia="sr-Latn-CS"/>
    </w:rPr>
  </w:style>
  <w:style w:type="paragraph" w:styleId="TOC8">
    <w:name w:val="toc 8"/>
    <w:basedOn w:val="Normal"/>
    <w:next w:val="Normal"/>
    <w:autoRedefine/>
    <w:uiPriority w:val="39"/>
    <w:rsid w:val="008C2B46"/>
    <w:pPr>
      <w:spacing w:after="0" w:line="240" w:lineRule="auto"/>
      <w:ind w:left="1680"/>
    </w:pPr>
    <w:rPr>
      <w:rFonts w:ascii="Times New Roman" w:eastAsia="Times New Roman" w:hAnsi="Times New Roman" w:cs="Times New Roman"/>
      <w:sz w:val="24"/>
      <w:szCs w:val="24"/>
      <w:lang w:val="sr-Latn-CS" w:eastAsia="sr-Latn-CS"/>
    </w:rPr>
  </w:style>
  <w:style w:type="paragraph" w:styleId="TOC9">
    <w:name w:val="toc 9"/>
    <w:basedOn w:val="Normal"/>
    <w:next w:val="Normal"/>
    <w:autoRedefine/>
    <w:uiPriority w:val="39"/>
    <w:rsid w:val="008C2B46"/>
    <w:pPr>
      <w:spacing w:after="0" w:line="240" w:lineRule="auto"/>
      <w:ind w:left="1920"/>
    </w:pPr>
    <w:rPr>
      <w:rFonts w:ascii="Times New Roman" w:eastAsia="Times New Roman" w:hAnsi="Times New Roman" w:cs="Times New Roman"/>
      <w:sz w:val="24"/>
      <w:szCs w:val="24"/>
      <w:lang w:val="sr-Latn-CS" w:eastAsia="sr-Latn-CS"/>
    </w:rPr>
  </w:style>
  <w:style w:type="character" w:customStyle="1" w:styleId="Char4">
    <w:name w:val="Char4"/>
    <w:rsid w:val="008C2B46"/>
    <w:rPr>
      <w:b/>
      <w:bCs/>
      <w:sz w:val="24"/>
      <w:lang w:eastAsia="ar-SA"/>
    </w:rPr>
  </w:style>
  <w:style w:type="paragraph" w:customStyle="1" w:styleId="StyleHeading1Tahoma11ptLeftLeft0cmFirstline0">
    <w:name w:val="Style Heading 1 + Tahoma 11 pt Left Left:  0 cm First line:  0 ..."/>
    <w:basedOn w:val="Heading1"/>
    <w:autoRedefine/>
    <w:rsid w:val="008C2B46"/>
    <w:pPr>
      <w:numPr>
        <w:numId w:val="0"/>
      </w:numPr>
      <w:spacing w:before="240" w:after="240"/>
      <w:ind w:right="-4"/>
      <w:jc w:val="both"/>
      <w:outlineLvl w:val="9"/>
    </w:pPr>
    <w:rPr>
      <w:rFonts w:ascii="Tahoma" w:hAnsi="Tahoma" w:cs="Times New Roman"/>
      <w:b w:val="0"/>
      <w:sz w:val="24"/>
      <w:szCs w:val="24"/>
    </w:rPr>
  </w:style>
  <w:style w:type="paragraph" w:customStyle="1" w:styleId="StyleHeading2Tahoma11ptChar">
    <w:name w:val="Style Heading 2 + Tahoma 11 pt Char"/>
    <w:basedOn w:val="Heading2"/>
    <w:link w:val="StyleHeading2Tahoma11ptCharChar"/>
    <w:autoRedefine/>
    <w:rsid w:val="008C2B46"/>
    <w:pPr>
      <w:numPr>
        <w:ilvl w:val="0"/>
        <w:numId w:val="0"/>
      </w:numPr>
      <w:tabs>
        <w:tab w:val="num" w:pos="567"/>
      </w:tabs>
      <w:spacing w:before="240" w:after="120"/>
      <w:ind w:left="567" w:hanging="567"/>
    </w:pPr>
    <w:rPr>
      <w:rFonts w:ascii="Tahoma" w:hAnsi="Tahoma"/>
      <w:sz w:val="22"/>
    </w:rPr>
  </w:style>
  <w:style w:type="character" w:customStyle="1" w:styleId="StyleHeading2Tahoma11ptCharChar">
    <w:name w:val="Style Heading 2 + Tahoma 11 pt Char Char"/>
    <w:link w:val="StyleHeading2Tahoma11ptChar"/>
    <w:rsid w:val="008C2B46"/>
    <w:rPr>
      <w:rFonts w:ascii="Tahoma" w:eastAsia="Times New Roman" w:hAnsi="Tahoma" w:cs="Times New Roman"/>
      <w:b/>
      <w:bCs/>
      <w:szCs w:val="24"/>
      <w:lang w:val="sr-Latn-CS" w:eastAsia="ar-SA"/>
    </w:rPr>
  </w:style>
  <w:style w:type="paragraph" w:customStyle="1" w:styleId="StyleStyleHeading1Tahoma11ptLeftLeft0cmFirstline">
    <w:name w:val="Style Style Heading 1 + Tahoma 11 pt Left Left:  0 cm First line:  ..."/>
    <w:basedOn w:val="StyleHeading1Tahoma11ptLeftLeft0cmFirstline0"/>
    <w:autoRedefine/>
    <w:rsid w:val="008C2B46"/>
  </w:style>
  <w:style w:type="paragraph" w:customStyle="1" w:styleId="StyleHeading3Tahoma11ptChar">
    <w:name w:val="Style Heading 3 + Tahoma 11 pt Char"/>
    <w:basedOn w:val="Heading3"/>
    <w:link w:val="StyleHeading3Tahoma11ptCharChar"/>
    <w:autoRedefine/>
    <w:rsid w:val="008C2B46"/>
    <w:pPr>
      <w:numPr>
        <w:ilvl w:val="0"/>
        <w:numId w:val="0"/>
      </w:numPr>
      <w:tabs>
        <w:tab w:val="left" w:pos="993"/>
        <w:tab w:val="num" w:pos="1146"/>
      </w:tabs>
      <w:spacing w:before="100" w:beforeAutospacing="1" w:after="100" w:afterAutospacing="1"/>
      <w:ind w:left="1468"/>
      <w:jc w:val="both"/>
    </w:pPr>
    <w:rPr>
      <w:rFonts w:ascii="Tahoma" w:hAnsi="Tahoma"/>
      <w:sz w:val="22"/>
    </w:rPr>
  </w:style>
  <w:style w:type="character" w:customStyle="1" w:styleId="StyleHeading3Tahoma11ptCharChar">
    <w:name w:val="Style Heading 3 + Tahoma 11 pt Char Char"/>
    <w:link w:val="StyleHeading3Tahoma11ptChar"/>
    <w:rsid w:val="008C2B46"/>
    <w:rPr>
      <w:rFonts w:ascii="Tahoma" w:eastAsia="Times New Roman" w:hAnsi="Tahoma" w:cs="Times New Roman"/>
      <w:b/>
      <w:bCs/>
      <w:szCs w:val="24"/>
      <w:lang w:val="sr-Latn-CS" w:eastAsia="ar-SA"/>
    </w:rPr>
  </w:style>
  <w:style w:type="paragraph" w:customStyle="1" w:styleId="Normal1">
    <w:name w:val="Normal1"/>
    <w:basedOn w:val="Normal"/>
    <w:rsid w:val="008C2B46"/>
    <w:pPr>
      <w:spacing w:before="100" w:beforeAutospacing="1" w:after="100" w:afterAutospacing="1" w:line="240" w:lineRule="auto"/>
    </w:pPr>
    <w:rPr>
      <w:rFonts w:ascii="Arial" w:eastAsia="Times New Roman" w:hAnsi="Arial" w:cs="Arial"/>
      <w:lang w:val="sr-Latn-CS"/>
    </w:rPr>
  </w:style>
  <w:style w:type="paragraph" w:styleId="MacroText">
    <w:name w:val="macro"/>
    <w:aliases w:val=" Char2"/>
    <w:link w:val="MacroTextChar"/>
    <w:semiHidden/>
    <w:rsid w:val="008C2B46"/>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napToGrid w:val="0"/>
      <w:sz w:val="20"/>
      <w:szCs w:val="20"/>
    </w:rPr>
  </w:style>
  <w:style w:type="character" w:customStyle="1" w:styleId="MacroTextChar">
    <w:name w:val="Macro Text Char"/>
    <w:aliases w:val=" Char2 Char"/>
    <w:basedOn w:val="DefaultParagraphFont"/>
    <w:link w:val="MacroText"/>
    <w:semiHidden/>
    <w:rsid w:val="008C2B46"/>
    <w:rPr>
      <w:rFonts w:ascii="Courier New" w:eastAsia="Times New Roman" w:hAnsi="Courier New" w:cs="Times New Roman"/>
      <w:snapToGrid w:val="0"/>
      <w:sz w:val="20"/>
      <w:szCs w:val="20"/>
    </w:rPr>
  </w:style>
  <w:style w:type="paragraph" w:styleId="DocumentMap">
    <w:name w:val="Document Map"/>
    <w:basedOn w:val="Normal"/>
    <w:link w:val="DocumentMapChar"/>
    <w:semiHidden/>
    <w:rsid w:val="008C2B46"/>
    <w:pPr>
      <w:shd w:val="clear" w:color="auto" w:fill="000080"/>
      <w:suppressAutoHyphens/>
      <w:spacing w:after="0" w:line="240" w:lineRule="auto"/>
    </w:pPr>
    <w:rPr>
      <w:rFonts w:ascii="Tahoma" w:eastAsia="Times New Roman" w:hAnsi="Tahoma" w:cs="Tahoma"/>
      <w:sz w:val="24"/>
      <w:szCs w:val="24"/>
      <w:lang w:eastAsia="ar-SA"/>
    </w:rPr>
  </w:style>
  <w:style w:type="character" w:customStyle="1" w:styleId="DocumentMapChar">
    <w:name w:val="Document Map Char"/>
    <w:basedOn w:val="DefaultParagraphFont"/>
    <w:link w:val="DocumentMap"/>
    <w:semiHidden/>
    <w:rsid w:val="008C2B46"/>
    <w:rPr>
      <w:rFonts w:ascii="Tahoma" w:eastAsia="Times New Roman" w:hAnsi="Tahoma" w:cs="Tahoma"/>
      <w:sz w:val="24"/>
      <w:szCs w:val="24"/>
      <w:shd w:val="clear" w:color="auto" w:fill="000080"/>
      <w:lang w:eastAsia="ar-SA"/>
    </w:rPr>
  </w:style>
  <w:style w:type="paragraph" w:customStyle="1" w:styleId="Toc30">
    <w:name w:val="Toc3"/>
    <w:basedOn w:val="Normal"/>
    <w:link w:val="Toc3Char"/>
    <w:rsid w:val="008C2B46"/>
    <w:pPr>
      <w:tabs>
        <w:tab w:val="left" w:pos="960"/>
      </w:tabs>
      <w:suppressAutoHyphens/>
      <w:spacing w:after="0" w:line="240" w:lineRule="auto"/>
      <w:ind w:left="240" w:right="-124"/>
    </w:pPr>
    <w:rPr>
      <w:rFonts w:ascii="Tahoma" w:eastAsia="Times New Roman" w:hAnsi="Tahoma" w:cs="Tahoma"/>
      <w:lang w:val="sr-Latn-CS" w:eastAsia="ar-SA"/>
    </w:rPr>
  </w:style>
  <w:style w:type="character" w:customStyle="1" w:styleId="Toc3Char">
    <w:name w:val="Toc3 Char"/>
    <w:link w:val="Toc30"/>
    <w:rsid w:val="008C2B46"/>
    <w:rPr>
      <w:rFonts w:ascii="Tahoma" w:eastAsia="Times New Roman" w:hAnsi="Tahoma" w:cs="Tahoma"/>
      <w:lang w:val="sr-Latn-CS" w:eastAsia="ar-SA"/>
    </w:rPr>
  </w:style>
  <w:style w:type="paragraph" w:styleId="Closing">
    <w:name w:val="Closing"/>
    <w:basedOn w:val="Normal"/>
    <w:link w:val="ClosingChar"/>
    <w:rsid w:val="008C2B46"/>
    <w:pPr>
      <w:spacing w:after="0" w:line="240" w:lineRule="auto"/>
      <w:ind w:left="4320"/>
    </w:pPr>
    <w:rPr>
      <w:rFonts w:ascii="Cirilica Times" w:eastAsia="Times New Roman" w:hAnsi="Cirilica Times" w:cs="Times New Roman"/>
      <w:sz w:val="24"/>
      <w:szCs w:val="20"/>
    </w:rPr>
  </w:style>
  <w:style w:type="character" w:customStyle="1" w:styleId="ClosingChar">
    <w:name w:val="Closing Char"/>
    <w:basedOn w:val="DefaultParagraphFont"/>
    <w:link w:val="Closing"/>
    <w:rsid w:val="008C2B46"/>
    <w:rPr>
      <w:rFonts w:ascii="Cirilica Times" w:eastAsia="Times New Roman" w:hAnsi="Cirilica Times" w:cs="Times New Roman"/>
      <w:sz w:val="24"/>
      <w:szCs w:val="20"/>
    </w:rPr>
  </w:style>
  <w:style w:type="paragraph" w:styleId="EndnoteText">
    <w:name w:val="endnote text"/>
    <w:basedOn w:val="Normal"/>
    <w:link w:val="EndnoteTextChar"/>
    <w:uiPriority w:val="99"/>
    <w:semiHidden/>
    <w:rsid w:val="008C2B46"/>
    <w:pPr>
      <w:spacing w:after="0" w:line="240" w:lineRule="auto"/>
    </w:pPr>
    <w:rPr>
      <w:rFonts w:ascii="Cirilica Times" w:eastAsia="Times New Roman" w:hAnsi="Cirilica Times" w:cs="Times New Roman"/>
      <w:sz w:val="24"/>
      <w:szCs w:val="20"/>
    </w:rPr>
  </w:style>
  <w:style w:type="character" w:customStyle="1" w:styleId="EndnoteTextChar">
    <w:name w:val="Endnote Text Char"/>
    <w:basedOn w:val="DefaultParagraphFont"/>
    <w:link w:val="EndnoteText"/>
    <w:uiPriority w:val="99"/>
    <w:semiHidden/>
    <w:rsid w:val="008C2B46"/>
    <w:rPr>
      <w:rFonts w:ascii="Cirilica Times" w:eastAsia="Times New Roman" w:hAnsi="Cirilica Times" w:cs="Times New Roman"/>
      <w:sz w:val="24"/>
      <w:szCs w:val="20"/>
    </w:rPr>
  </w:style>
  <w:style w:type="paragraph" w:styleId="EnvelopeAddress">
    <w:name w:val="envelope address"/>
    <w:basedOn w:val="Normal"/>
    <w:rsid w:val="008C2B46"/>
    <w:pPr>
      <w:framePr w:w="7920" w:h="1980" w:hRule="exact" w:hSpace="180" w:wrap="auto" w:hAnchor="page" w:xAlign="center" w:yAlign="bottom"/>
      <w:spacing w:after="0" w:line="240" w:lineRule="auto"/>
      <w:ind w:left="2880"/>
    </w:pPr>
    <w:rPr>
      <w:rFonts w:ascii="Cirilica Times" w:eastAsia="Times New Roman" w:hAnsi="Cirilica Times" w:cs="Times New Roman"/>
      <w:sz w:val="24"/>
      <w:szCs w:val="20"/>
    </w:rPr>
  </w:style>
  <w:style w:type="paragraph" w:styleId="EnvelopeReturn">
    <w:name w:val="envelope return"/>
    <w:basedOn w:val="Normal"/>
    <w:rsid w:val="008C2B46"/>
    <w:pPr>
      <w:spacing w:after="0" w:line="240" w:lineRule="auto"/>
    </w:pPr>
    <w:rPr>
      <w:rFonts w:ascii="Cirilica Times" w:eastAsia="Times New Roman" w:hAnsi="Cirilica Times" w:cs="Times New Roman"/>
      <w:sz w:val="24"/>
      <w:szCs w:val="20"/>
    </w:rPr>
  </w:style>
  <w:style w:type="paragraph" w:styleId="Index1">
    <w:name w:val="index 1"/>
    <w:basedOn w:val="Normal"/>
    <w:next w:val="Normal"/>
    <w:semiHidden/>
    <w:rsid w:val="008C2B46"/>
    <w:pPr>
      <w:tabs>
        <w:tab w:val="right" w:leader="dot" w:pos="8640"/>
      </w:tabs>
      <w:spacing w:after="0" w:line="240" w:lineRule="auto"/>
      <w:ind w:left="200" w:hanging="200"/>
    </w:pPr>
    <w:rPr>
      <w:rFonts w:ascii="Cirilica Times" w:eastAsia="Times New Roman" w:hAnsi="Cirilica Times" w:cs="Times New Roman"/>
      <w:sz w:val="24"/>
      <w:szCs w:val="20"/>
    </w:rPr>
  </w:style>
  <w:style w:type="paragraph" w:styleId="Index2">
    <w:name w:val="index 2"/>
    <w:basedOn w:val="Normal"/>
    <w:next w:val="Normal"/>
    <w:semiHidden/>
    <w:rsid w:val="008C2B46"/>
    <w:pPr>
      <w:tabs>
        <w:tab w:val="right" w:leader="dot" w:pos="8640"/>
      </w:tabs>
      <w:spacing w:after="0" w:line="240" w:lineRule="auto"/>
      <w:ind w:left="400" w:hanging="200"/>
    </w:pPr>
    <w:rPr>
      <w:rFonts w:ascii="Cirilica Times" w:eastAsia="Times New Roman" w:hAnsi="Cirilica Times" w:cs="Times New Roman"/>
      <w:sz w:val="24"/>
      <w:szCs w:val="20"/>
    </w:rPr>
  </w:style>
  <w:style w:type="paragraph" w:styleId="Index3">
    <w:name w:val="index 3"/>
    <w:basedOn w:val="Normal"/>
    <w:next w:val="Normal"/>
    <w:semiHidden/>
    <w:rsid w:val="008C2B46"/>
    <w:pPr>
      <w:tabs>
        <w:tab w:val="right" w:leader="dot" w:pos="8640"/>
      </w:tabs>
      <w:spacing w:after="0" w:line="240" w:lineRule="auto"/>
      <w:ind w:left="600" w:hanging="200"/>
    </w:pPr>
    <w:rPr>
      <w:rFonts w:ascii="Cirilica Times" w:eastAsia="Times New Roman" w:hAnsi="Cirilica Times" w:cs="Times New Roman"/>
      <w:sz w:val="24"/>
      <w:szCs w:val="20"/>
    </w:rPr>
  </w:style>
  <w:style w:type="paragraph" w:styleId="Index4">
    <w:name w:val="index 4"/>
    <w:basedOn w:val="Normal"/>
    <w:next w:val="Normal"/>
    <w:semiHidden/>
    <w:rsid w:val="008C2B46"/>
    <w:pPr>
      <w:tabs>
        <w:tab w:val="right" w:leader="dot" w:pos="8640"/>
      </w:tabs>
      <w:spacing w:after="0" w:line="240" w:lineRule="auto"/>
      <w:ind w:left="800" w:hanging="200"/>
    </w:pPr>
    <w:rPr>
      <w:rFonts w:ascii="Cirilica Times" w:eastAsia="Times New Roman" w:hAnsi="Cirilica Times" w:cs="Times New Roman"/>
      <w:sz w:val="24"/>
      <w:szCs w:val="20"/>
    </w:rPr>
  </w:style>
  <w:style w:type="paragraph" w:styleId="Index5">
    <w:name w:val="index 5"/>
    <w:basedOn w:val="Normal"/>
    <w:next w:val="Normal"/>
    <w:semiHidden/>
    <w:rsid w:val="008C2B46"/>
    <w:pPr>
      <w:tabs>
        <w:tab w:val="right" w:leader="dot" w:pos="8640"/>
      </w:tabs>
      <w:spacing w:after="0" w:line="240" w:lineRule="auto"/>
      <w:ind w:left="1000" w:hanging="200"/>
    </w:pPr>
    <w:rPr>
      <w:rFonts w:ascii="Cirilica Times" w:eastAsia="Times New Roman" w:hAnsi="Cirilica Times" w:cs="Times New Roman"/>
      <w:sz w:val="24"/>
      <w:szCs w:val="20"/>
    </w:rPr>
  </w:style>
  <w:style w:type="paragraph" w:styleId="Index6">
    <w:name w:val="index 6"/>
    <w:basedOn w:val="Normal"/>
    <w:next w:val="Normal"/>
    <w:semiHidden/>
    <w:rsid w:val="008C2B46"/>
    <w:pPr>
      <w:tabs>
        <w:tab w:val="right" w:leader="dot" w:pos="8640"/>
      </w:tabs>
      <w:spacing w:after="0" w:line="240" w:lineRule="auto"/>
      <w:ind w:left="1200" w:hanging="200"/>
    </w:pPr>
    <w:rPr>
      <w:rFonts w:ascii="Cirilica Times" w:eastAsia="Times New Roman" w:hAnsi="Cirilica Times" w:cs="Times New Roman"/>
      <w:sz w:val="24"/>
      <w:szCs w:val="20"/>
    </w:rPr>
  </w:style>
  <w:style w:type="paragraph" w:styleId="Index7">
    <w:name w:val="index 7"/>
    <w:basedOn w:val="Normal"/>
    <w:next w:val="Normal"/>
    <w:semiHidden/>
    <w:rsid w:val="008C2B46"/>
    <w:pPr>
      <w:tabs>
        <w:tab w:val="right" w:leader="dot" w:pos="8640"/>
      </w:tabs>
      <w:spacing w:after="0" w:line="240" w:lineRule="auto"/>
      <w:ind w:left="1400" w:hanging="200"/>
    </w:pPr>
    <w:rPr>
      <w:rFonts w:ascii="Cirilica Times" w:eastAsia="Times New Roman" w:hAnsi="Cirilica Times" w:cs="Times New Roman"/>
      <w:sz w:val="24"/>
      <w:szCs w:val="20"/>
    </w:rPr>
  </w:style>
  <w:style w:type="paragraph" w:styleId="Index8">
    <w:name w:val="index 8"/>
    <w:basedOn w:val="Normal"/>
    <w:next w:val="Normal"/>
    <w:semiHidden/>
    <w:rsid w:val="008C2B46"/>
    <w:pPr>
      <w:tabs>
        <w:tab w:val="right" w:leader="dot" w:pos="8640"/>
      </w:tabs>
      <w:spacing w:after="0" w:line="240" w:lineRule="auto"/>
      <w:ind w:left="1600" w:hanging="200"/>
    </w:pPr>
    <w:rPr>
      <w:rFonts w:ascii="Cirilica Times" w:eastAsia="Times New Roman" w:hAnsi="Cirilica Times" w:cs="Times New Roman"/>
      <w:sz w:val="24"/>
      <w:szCs w:val="20"/>
    </w:rPr>
  </w:style>
  <w:style w:type="paragraph" w:styleId="Index9">
    <w:name w:val="index 9"/>
    <w:basedOn w:val="Normal"/>
    <w:next w:val="Normal"/>
    <w:semiHidden/>
    <w:rsid w:val="008C2B46"/>
    <w:pPr>
      <w:tabs>
        <w:tab w:val="right" w:leader="dot" w:pos="8640"/>
      </w:tabs>
      <w:spacing w:after="0" w:line="240" w:lineRule="auto"/>
      <w:ind w:left="1800" w:hanging="200"/>
    </w:pPr>
    <w:rPr>
      <w:rFonts w:ascii="Cirilica Times" w:eastAsia="Times New Roman" w:hAnsi="Cirilica Times" w:cs="Times New Roman"/>
      <w:sz w:val="24"/>
      <w:szCs w:val="20"/>
    </w:rPr>
  </w:style>
  <w:style w:type="paragraph" w:styleId="IndexHeading">
    <w:name w:val="index heading"/>
    <w:basedOn w:val="Normal"/>
    <w:next w:val="Index1"/>
    <w:semiHidden/>
    <w:rsid w:val="008C2B46"/>
    <w:pPr>
      <w:spacing w:after="0" w:line="240" w:lineRule="auto"/>
    </w:pPr>
    <w:rPr>
      <w:rFonts w:ascii="Cirilica Times" w:eastAsia="Times New Roman" w:hAnsi="Cirilica Times" w:cs="Times New Roman"/>
      <w:sz w:val="24"/>
      <w:szCs w:val="20"/>
    </w:rPr>
  </w:style>
  <w:style w:type="paragraph" w:styleId="List2">
    <w:name w:val="List 2"/>
    <w:basedOn w:val="Normal"/>
    <w:rsid w:val="008C2B46"/>
    <w:pPr>
      <w:spacing w:after="0" w:line="240" w:lineRule="auto"/>
      <w:ind w:left="720" w:hanging="360"/>
    </w:pPr>
    <w:rPr>
      <w:rFonts w:ascii="Cirilica Times" w:eastAsia="Times New Roman" w:hAnsi="Cirilica Times" w:cs="Times New Roman"/>
      <w:sz w:val="24"/>
      <w:szCs w:val="20"/>
    </w:rPr>
  </w:style>
  <w:style w:type="paragraph" w:styleId="List3">
    <w:name w:val="List 3"/>
    <w:basedOn w:val="Normal"/>
    <w:rsid w:val="008C2B46"/>
    <w:pPr>
      <w:spacing w:after="0" w:line="240" w:lineRule="auto"/>
      <w:ind w:left="1080" w:hanging="360"/>
    </w:pPr>
    <w:rPr>
      <w:rFonts w:ascii="Cirilica Times" w:eastAsia="Times New Roman" w:hAnsi="Cirilica Times" w:cs="Times New Roman"/>
      <w:sz w:val="24"/>
      <w:szCs w:val="20"/>
    </w:rPr>
  </w:style>
  <w:style w:type="paragraph" w:styleId="List4">
    <w:name w:val="List 4"/>
    <w:basedOn w:val="Normal"/>
    <w:rsid w:val="008C2B46"/>
    <w:pPr>
      <w:spacing w:after="0" w:line="240" w:lineRule="auto"/>
      <w:ind w:left="1440" w:hanging="360"/>
    </w:pPr>
    <w:rPr>
      <w:rFonts w:ascii="Cirilica Times" w:eastAsia="Times New Roman" w:hAnsi="Cirilica Times" w:cs="Times New Roman"/>
      <w:sz w:val="24"/>
      <w:szCs w:val="20"/>
    </w:rPr>
  </w:style>
  <w:style w:type="paragraph" w:styleId="List5">
    <w:name w:val="List 5"/>
    <w:basedOn w:val="Normal"/>
    <w:rsid w:val="008C2B46"/>
    <w:pPr>
      <w:spacing w:after="0" w:line="240" w:lineRule="auto"/>
      <w:ind w:left="1800" w:hanging="360"/>
    </w:pPr>
    <w:rPr>
      <w:rFonts w:ascii="Cirilica Times" w:eastAsia="Times New Roman" w:hAnsi="Cirilica Times" w:cs="Times New Roman"/>
      <w:sz w:val="24"/>
      <w:szCs w:val="20"/>
    </w:rPr>
  </w:style>
  <w:style w:type="paragraph" w:styleId="ListBullet">
    <w:name w:val="List Bullet"/>
    <w:basedOn w:val="Normal"/>
    <w:rsid w:val="008C2B46"/>
    <w:pPr>
      <w:spacing w:after="0" w:line="240" w:lineRule="auto"/>
      <w:ind w:left="360" w:hanging="360"/>
    </w:pPr>
    <w:rPr>
      <w:rFonts w:ascii="Cirilica Times" w:eastAsia="Times New Roman" w:hAnsi="Cirilica Times" w:cs="Times New Roman"/>
      <w:sz w:val="24"/>
      <w:szCs w:val="20"/>
    </w:rPr>
  </w:style>
  <w:style w:type="paragraph" w:styleId="ListBullet2">
    <w:name w:val="List Bullet 2"/>
    <w:basedOn w:val="Normal"/>
    <w:rsid w:val="008C2B46"/>
    <w:pPr>
      <w:spacing w:after="0" w:line="240" w:lineRule="auto"/>
      <w:ind w:left="720" w:hanging="360"/>
    </w:pPr>
    <w:rPr>
      <w:rFonts w:ascii="Cirilica Times" w:eastAsia="Times New Roman" w:hAnsi="Cirilica Times" w:cs="Times New Roman"/>
      <w:sz w:val="24"/>
      <w:szCs w:val="20"/>
    </w:rPr>
  </w:style>
  <w:style w:type="paragraph" w:styleId="ListBullet3">
    <w:name w:val="List Bullet 3"/>
    <w:basedOn w:val="Normal"/>
    <w:rsid w:val="008C2B46"/>
    <w:pPr>
      <w:spacing w:after="0" w:line="240" w:lineRule="auto"/>
      <w:ind w:left="1080" w:hanging="360"/>
    </w:pPr>
    <w:rPr>
      <w:rFonts w:ascii="Cirilica Times" w:eastAsia="Times New Roman" w:hAnsi="Cirilica Times" w:cs="Times New Roman"/>
      <w:sz w:val="24"/>
      <w:szCs w:val="20"/>
    </w:rPr>
  </w:style>
  <w:style w:type="paragraph" w:styleId="ListBullet4">
    <w:name w:val="List Bullet 4"/>
    <w:basedOn w:val="Normal"/>
    <w:rsid w:val="008C2B46"/>
    <w:pPr>
      <w:spacing w:after="0" w:line="240" w:lineRule="auto"/>
      <w:ind w:left="1440" w:hanging="360"/>
    </w:pPr>
    <w:rPr>
      <w:rFonts w:ascii="Cirilica Times" w:eastAsia="Times New Roman" w:hAnsi="Cirilica Times" w:cs="Times New Roman"/>
      <w:sz w:val="24"/>
      <w:szCs w:val="20"/>
    </w:rPr>
  </w:style>
  <w:style w:type="paragraph" w:styleId="ListBullet5">
    <w:name w:val="List Bullet 5"/>
    <w:basedOn w:val="Normal"/>
    <w:rsid w:val="008C2B46"/>
    <w:pPr>
      <w:spacing w:after="0" w:line="240" w:lineRule="auto"/>
      <w:ind w:left="1800" w:hanging="360"/>
    </w:pPr>
    <w:rPr>
      <w:rFonts w:ascii="Cirilica Times" w:eastAsia="Times New Roman" w:hAnsi="Cirilica Times" w:cs="Times New Roman"/>
      <w:sz w:val="24"/>
      <w:szCs w:val="20"/>
    </w:rPr>
  </w:style>
  <w:style w:type="paragraph" w:styleId="ListContinue">
    <w:name w:val="List Continue"/>
    <w:basedOn w:val="Normal"/>
    <w:rsid w:val="008C2B46"/>
    <w:pPr>
      <w:spacing w:after="120" w:line="240" w:lineRule="auto"/>
      <w:ind w:left="360"/>
    </w:pPr>
    <w:rPr>
      <w:rFonts w:ascii="Cirilica Times" w:eastAsia="Times New Roman" w:hAnsi="Cirilica Times" w:cs="Times New Roman"/>
      <w:sz w:val="24"/>
      <w:szCs w:val="20"/>
    </w:rPr>
  </w:style>
  <w:style w:type="paragraph" w:styleId="MessageHeader">
    <w:name w:val="Message Header"/>
    <w:basedOn w:val="Normal"/>
    <w:link w:val="MessageHeaderChar"/>
    <w:rsid w:val="008C2B46"/>
    <w:pPr>
      <w:spacing w:after="0" w:line="240" w:lineRule="auto"/>
      <w:ind w:left="1080" w:hanging="1080"/>
    </w:pPr>
    <w:rPr>
      <w:rFonts w:ascii="Cirilica Helvetica" w:eastAsia="Times New Roman" w:hAnsi="Cirilica Helvetica" w:cs="Times New Roman"/>
      <w:sz w:val="24"/>
      <w:szCs w:val="20"/>
    </w:rPr>
  </w:style>
  <w:style w:type="character" w:customStyle="1" w:styleId="MessageHeaderChar">
    <w:name w:val="Message Header Char"/>
    <w:basedOn w:val="DefaultParagraphFont"/>
    <w:link w:val="MessageHeader"/>
    <w:rsid w:val="008C2B46"/>
    <w:rPr>
      <w:rFonts w:ascii="Cirilica Helvetica" w:eastAsia="Times New Roman" w:hAnsi="Cirilica Helvetica" w:cs="Times New Roman"/>
      <w:sz w:val="24"/>
      <w:szCs w:val="20"/>
    </w:rPr>
  </w:style>
  <w:style w:type="paragraph" w:styleId="TOAHeading">
    <w:name w:val="toa heading"/>
    <w:basedOn w:val="Normal"/>
    <w:next w:val="Normal"/>
    <w:semiHidden/>
    <w:rsid w:val="008C2B46"/>
    <w:pPr>
      <w:spacing w:before="120" w:after="0" w:line="240" w:lineRule="auto"/>
    </w:pPr>
    <w:rPr>
      <w:rFonts w:ascii="Cirilica Helvetica" w:eastAsia="Times New Roman" w:hAnsi="Cirilica Helvetica" w:cs="Times New Roman"/>
      <w:b/>
      <w:sz w:val="24"/>
      <w:szCs w:val="20"/>
    </w:rPr>
  </w:style>
  <w:style w:type="paragraph" w:styleId="BodyText3">
    <w:name w:val="Body Text 3"/>
    <w:basedOn w:val="Normal"/>
    <w:link w:val="BodyText3Char"/>
    <w:rsid w:val="008C2B46"/>
    <w:pPr>
      <w:spacing w:after="0" w:line="240" w:lineRule="auto"/>
      <w:jc w:val="both"/>
    </w:pPr>
    <w:rPr>
      <w:rFonts w:ascii="Cirilica Times" w:eastAsia="Times New Roman" w:hAnsi="Cirilica Times" w:cs="Times New Roman"/>
      <w:b/>
      <w:sz w:val="28"/>
      <w:szCs w:val="20"/>
    </w:rPr>
  </w:style>
  <w:style w:type="character" w:customStyle="1" w:styleId="BodyText3Char">
    <w:name w:val="Body Text 3 Char"/>
    <w:basedOn w:val="DefaultParagraphFont"/>
    <w:link w:val="BodyText3"/>
    <w:rsid w:val="008C2B46"/>
    <w:rPr>
      <w:rFonts w:ascii="Cirilica Times" w:eastAsia="Times New Roman" w:hAnsi="Cirilica Times" w:cs="Times New Roman"/>
      <w:b/>
      <w:sz w:val="28"/>
      <w:szCs w:val="20"/>
    </w:rPr>
  </w:style>
  <w:style w:type="paragraph" w:customStyle="1" w:styleId="font5">
    <w:name w:val="font5"/>
    <w:basedOn w:val="Normal"/>
    <w:rsid w:val="008C2B46"/>
    <w:pP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font6">
    <w:name w:val="font6"/>
    <w:basedOn w:val="Normal"/>
    <w:rsid w:val="008C2B46"/>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7">
    <w:name w:val="font7"/>
    <w:basedOn w:val="Normal"/>
    <w:rsid w:val="008C2B46"/>
    <w:pPr>
      <w:spacing w:before="100" w:beforeAutospacing="1" w:after="100" w:afterAutospacing="1" w:line="240" w:lineRule="auto"/>
    </w:pPr>
    <w:rPr>
      <w:rFonts w:ascii="Cirilica Times" w:eastAsia="Arial Unicode MS" w:hAnsi="Cirilica Times" w:cs="Arial Unicode MS"/>
      <w:sz w:val="18"/>
      <w:szCs w:val="18"/>
    </w:rPr>
  </w:style>
  <w:style w:type="paragraph" w:customStyle="1" w:styleId="font8">
    <w:name w:val="font8"/>
    <w:basedOn w:val="Normal"/>
    <w:rsid w:val="008C2B46"/>
    <w:pPr>
      <w:spacing w:before="100" w:beforeAutospacing="1" w:after="100" w:afterAutospacing="1" w:line="240" w:lineRule="auto"/>
    </w:pPr>
    <w:rPr>
      <w:rFonts w:ascii="Courier New" w:eastAsia="Arial Unicode MS" w:hAnsi="Courier New" w:cs="Courier New"/>
      <w:sz w:val="18"/>
      <w:szCs w:val="18"/>
    </w:rPr>
  </w:style>
  <w:style w:type="paragraph" w:customStyle="1" w:styleId="font9">
    <w:name w:val="font9"/>
    <w:basedOn w:val="Normal"/>
    <w:rsid w:val="008C2B46"/>
    <w:pPr>
      <w:spacing w:before="100" w:beforeAutospacing="1" w:after="100" w:afterAutospacing="1" w:line="240" w:lineRule="auto"/>
    </w:pPr>
    <w:rPr>
      <w:rFonts w:ascii="Times New Roman" w:eastAsia="Arial Unicode MS" w:hAnsi="Times New Roman" w:cs="Times New Roman"/>
      <w:sz w:val="18"/>
      <w:szCs w:val="18"/>
    </w:rPr>
  </w:style>
  <w:style w:type="paragraph" w:customStyle="1" w:styleId="xl24">
    <w:name w:val="xl24"/>
    <w:basedOn w:val="Normal"/>
    <w:rsid w:val="008C2B4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16"/>
      <w:szCs w:val="16"/>
    </w:rPr>
  </w:style>
  <w:style w:type="paragraph" w:customStyle="1" w:styleId="xl25">
    <w:name w:val="xl25"/>
    <w:basedOn w:val="Normal"/>
    <w:rsid w:val="008C2B46"/>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18"/>
      <w:szCs w:val="18"/>
    </w:rPr>
  </w:style>
  <w:style w:type="paragraph" w:customStyle="1" w:styleId="xl26">
    <w:name w:val="xl26"/>
    <w:basedOn w:val="Normal"/>
    <w:rsid w:val="008C2B46"/>
    <w:pPr>
      <w:pBdr>
        <w:top w:val="single" w:sz="8" w:space="0" w:color="auto"/>
        <w:right w:val="single" w:sz="4" w:space="0" w:color="auto"/>
      </w:pBdr>
      <w:spacing w:before="100" w:beforeAutospacing="1" w:after="100" w:afterAutospacing="1" w:line="240" w:lineRule="auto"/>
      <w:jc w:val="center"/>
      <w:textAlignment w:val="center"/>
    </w:pPr>
    <w:rPr>
      <w:rFonts w:ascii="Cirilica Times" w:eastAsia="Arial Unicode MS" w:hAnsi="Cirilica Times" w:cs="Arial Unicode MS"/>
      <w:b/>
      <w:bCs/>
      <w:sz w:val="18"/>
      <w:szCs w:val="18"/>
    </w:rPr>
  </w:style>
  <w:style w:type="paragraph" w:customStyle="1" w:styleId="xl27">
    <w:name w:val="xl27"/>
    <w:basedOn w:val="Normal"/>
    <w:rsid w:val="008C2B46"/>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Unicode MS" w:eastAsia="Arial Unicode MS" w:hAnsi="Arial Unicode MS" w:cs="Arial Unicode MS"/>
      <w:b/>
      <w:bCs/>
      <w:sz w:val="18"/>
      <w:szCs w:val="18"/>
    </w:rPr>
  </w:style>
  <w:style w:type="paragraph" w:customStyle="1" w:styleId="xl28">
    <w:name w:val="xl28"/>
    <w:basedOn w:val="Normal"/>
    <w:rsid w:val="008C2B46"/>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Unicode MS" w:eastAsia="Arial Unicode MS" w:hAnsi="Arial Unicode MS" w:cs="Arial Unicode MS"/>
      <w:b/>
      <w:bCs/>
      <w:sz w:val="18"/>
      <w:szCs w:val="18"/>
    </w:rPr>
  </w:style>
  <w:style w:type="paragraph" w:customStyle="1" w:styleId="xl29">
    <w:name w:val="xl29"/>
    <w:basedOn w:val="Normal"/>
    <w:rsid w:val="008C2B46"/>
    <w:pPr>
      <w:pBdr>
        <w:top w:val="single" w:sz="8" w:space="0" w:color="auto"/>
        <w:bottom w:val="single" w:sz="4" w:space="0" w:color="auto"/>
      </w:pBdr>
      <w:spacing w:before="100" w:beforeAutospacing="1" w:after="100" w:afterAutospacing="1" w:line="240" w:lineRule="auto"/>
      <w:textAlignment w:val="center"/>
    </w:pPr>
    <w:rPr>
      <w:rFonts w:ascii="Arial Unicode MS" w:eastAsia="Arial Unicode MS" w:hAnsi="Arial Unicode MS" w:cs="Arial Unicode MS"/>
      <w:b/>
      <w:bCs/>
      <w:sz w:val="18"/>
      <w:szCs w:val="18"/>
    </w:rPr>
  </w:style>
  <w:style w:type="paragraph" w:customStyle="1" w:styleId="xl30">
    <w:name w:val="xl30"/>
    <w:basedOn w:val="Normal"/>
    <w:rsid w:val="008C2B46"/>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Arial Unicode MS" w:eastAsia="Arial Unicode MS" w:hAnsi="Arial Unicode MS" w:cs="Arial Unicode MS"/>
      <w:b/>
      <w:bCs/>
      <w:sz w:val="18"/>
      <w:szCs w:val="18"/>
    </w:rPr>
  </w:style>
  <w:style w:type="paragraph" w:customStyle="1" w:styleId="xl31">
    <w:name w:val="xl31"/>
    <w:basedOn w:val="Normal"/>
    <w:rsid w:val="008C2B46"/>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18"/>
      <w:szCs w:val="18"/>
    </w:rPr>
  </w:style>
  <w:style w:type="paragraph" w:customStyle="1" w:styleId="xl32">
    <w:name w:val="xl32"/>
    <w:basedOn w:val="Normal"/>
    <w:rsid w:val="008C2B46"/>
    <w:pPr>
      <w:pBdr>
        <w:bottom w:val="single" w:sz="8"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b/>
      <w:bCs/>
      <w:sz w:val="18"/>
      <w:szCs w:val="18"/>
    </w:rPr>
  </w:style>
  <w:style w:type="paragraph" w:customStyle="1" w:styleId="xl33">
    <w:name w:val="xl33"/>
    <w:basedOn w:val="Normal"/>
    <w:rsid w:val="008C2B46"/>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Unicode MS" w:eastAsia="Arial Unicode MS" w:hAnsi="Arial Unicode MS" w:cs="Arial Unicode MS"/>
      <w:sz w:val="18"/>
      <w:szCs w:val="18"/>
    </w:rPr>
  </w:style>
  <w:style w:type="paragraph" w:customStyle="1" w:styleId="xl34">
    <w:name w:val="xl34"/>
    <w:basedOn w:val="Normal"/>
    <w:rsid w:val="008C2B46"/>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b/>
      <w:bCs/>
      <w:sz w:val="18"/>
      <w:szCs w:val="18"/>
    </w:rPr>
  </w:style>
  <w:style w:type="paragraph" w:customStyle="1" w:styleId="xl35">
    <w:name w:val="xl35"/>
    <w:basedOn w:val="Normal"/>
    <w:rsid w:val="008C2B46"/>
    <w:pPr>
      <w:pBdr>
        <w:bottom w:val="single" w:sz="8" w:space="0" w:color="auto"/>
        <w:right w:val="single" w:sz="8" w:space="0" w:color="auto"/>
      </w:pBdr>
      <w:spacing w:before="100" w:beforeAutospacing="1" w:after="100" w:afterAutospacing="1" w:line="240" w:lineRule="auto"/>
      <w:jc w:val="center"/>
      <w:textAlignment w:val="center"/>
    </w:pPr>
    <w:rPr>
      <w:rFonts w:ascii="Arial Unicode MS" w:eastAsia="Arial Unicode MS" w:hAnsi="Arial Unicode MS" w:cs="Arial Unicode MS"/>
      <w:b/>
      <w:bCs/>
      <w:sz w:val="18"/>
      <w:szCs w:val="18"/>
    </w:rPr>
  </w:style>
  <w:style w:type="paragraph" w:customStyle="1" w:styleId="xl36">
    <w:name w:val="xl36"/>
    <w:basedOn w:val="Normal"/>
    <w:rsid w:val="008C2B46"/>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8"/>
      <w:szCs w:val="18"/>
    </w:rPr>
  </w:style>
  <w:style w:type="paragraph" w:customStyle="1" w:styleId="xl37">
    <w:name w:val="xl37"/>
    <w:basedOn w:val="Normal"/>
    <w:rsid w:val="008C2B46"/>
    <w:pPr>
      <w:pBdr>
        <w:top w:val="single" w:sz="8" w:space="0" w:color="auto"/>
        <w:bottom w:val="single" w:sz="8"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8"/>
      <w:szCs w:val="18"/>
    </w:rPr>
  </w:style>
  <w:style w:type="paragraph" w:customStyle="1" w:styleId="xl38">
    <w:name w:val="xl38"/>
    <w:basedOn w:val="Normal"/>
    <w:rsid w:val="008C2B46"/>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Unicode MS" w:eastAsia="Arial Unicode MS" w:hAnsi="Arial Unicode MS" w:cs="Arial Unicode MS"/>
      <w:sz w:val="18"/>
      <w:szCs w:val="18"/>
    </w:rPr>
  </w:style>
  <w:style w:type="paragraph" w:customStyle="1" w:styleId="xl39">
    <w:name w:val="xl39"/>
    <w:basedOn w:val="Normal"/>
    <w:rsid w:val="008C2B46"/>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8"/>
      <w:szCs w:val="18"/>
    </w:rPr>
  </w:style>
  <w:style w:type="paragraph" w:customStyle="1" w:styleId="xl40">
    <w:name w:val="xl40"/>
    <w:basedOn w:val="Normal"/>
    <w:rsid w:val="008C2B46"/>
    <w:pPr>
      <w:pBdr>
        <w:top w:val="single" w:sz="8"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8"/>
      <w:szCs w:val="18"/>
    </w:rPr>
  </w:style>
  <w:style w:type="paragraph" w:customStyle="1" w:styleId="xl41">
    <w:name w:val="xl41"/>
    <w:basedOn w:val="Normal"/>
    <w:rsid w:val="008C2B46"/>
    <w:pPr>
      <w:pBdr>
        <w:top w:val="single" w:sz="8"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18"/>
      <w:szCs w:val="18"/>
    </w:rPr>
  </w:style>
  <w:style w:type="paragraph" w:customStyle="1" w:styleId="xl42">
    <w:name w:val="xl42"/>
    <w:basedOn w:val="Normal"/>
    <w:rsid w:val="008C2B46"/>
    <w:pPr>
      <w:pBdr>
        <w:left w:val="single" w:sz="8"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8"/>
      <w:szCs w:val="18"/>
    </w:rPr>
  </w:style>
  <w:style w:type="paragraph" w:customStyle="1" w:styleId="xl43">
    <w:name w:val="xl43"/>
    <w:basedOn w:val="Normal"/>
    <w:rsid w:val="008C2B46"/>
    <w:pPr>
      <w:pBdr>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8"/>
      <w:szCs w:val="18"/>
    </w:rPr>
  </w:style>
  <w:style w:type="paragraph" w:customStyle="1" w:styleId="xl44">
    <w:name w:val="xl44"/>
    <w:basedOn w:val="Normal"/>
    <w:rsid w:val="008C2B46"/>
    <w:pPr>
      <w:pBdr>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18"/>
      <w:szCs w:val="18"/>
    </w:rPr>
  </w:style>
  <w:style w:type="paragraph" w:customStyle="1" w:styleId="xl45">
    <w:name w:val="xl45"/>
    <w:basedOn w:val="Normal"/>
    <w:rsid w:val="008C2B46"/>
    <w:pPr>
      <w:pBdr>
        <w:left w:val="single" w:sz="8"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b/>
      <w:bCs/>
      <w:sz w:val="18"/>
      <w:szCs w:val="18"/>
    </w:rPr>
  </w:style>
  <w:style w:type="paragraph" w:customStyle="1" w:styleId="xl46">
    <w:name w:val="xl46"/>
    <w:basedOn w:val="Normal"/>
    <w:rsid w:val="008C2B46"/>
    <w:pPr>
      <w:pBdr>
        <w:left w:val="single" w:sz="8" w:space="0" w:color="auto"/>
        <w:bottom w:val="single" w:sz="8" w:space="0" w:color="auto"/>
        <w:right w:val="single" w:sz="4" w:space="0" w:color="auto"/>
      </w:pBdr>
      <w:spacing w:before="100" w:beforeAutospacing="1" w:after="100" w:afterAutospacing="1" w:line="240" w:lineRule="auto"/>
    </w:pPr>
    <w:rPr>
      <w:rFonts w:ascii="Arial Unicode MS" w:eastAsia="Arial Unicode MS" w:hAnsi="Arial Unicode MS" w:cs="Arial Unicode MS"/>
      <w:sz w:val="18"/>
      <w:szCs w:val="18"/>
    </w:rPr>
  </w:style>
  <w:style w:type="paragraph" w:customStyle="1" w:styleId="xl47">
    <w:name w:val="xl47"/>
    <w:basedOn w:val="Normal"/>
    <w:rsid w:val="008C2B46"/>
    <w:pPr>
      <w:pBdr>
        <w:bottom w:val="single" w:sz="8" w:space="0" w:color="auto"/>
        <w:right w:val="single" w:sz="4" w:space="0" w:color="auto"/>
      </w:pBdr>
      <w:spacing w:before="100" w:beforeAutospacing="1" w:after="100" w:afterAutospacing="1" w:line="240" w:lineRule="auto"/>
    </w:pPr>
    <w:rPr>
      <w:rFonts w:ascii="Arial Unicode MS" w:eastAsia="Arial Unicode MS" w:hAnsi="Arial Unicode MS" w:cs="Arial Unicode MS"/>
      <w:sz w:val="18"/>
      <w:szCs w:val="18"/>
    </w:rPr>
  </w:style>
  <w:style w:type="paragraph" w:customStyle="1" w:styleId="xl48">
    <w:name w:val="xl48"/>
    <w:basedOn w:val="Normal"/>
    <w:rsid w:val="008C2B46"/>
    <w:pPr>
      <w:pBdr>
        <w:bottom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sz w:val="18"/>
      <w:szCs w:val="18"/>
    </w:rPr>
  </w:style>
  <w:style w:type="paragraph" w:customStyle="1" w:styleId="xl49">
    <w:name w:val="xl49"/>
    <w:basedOn w:val="Normal"/>
    <w:rsid w:val="008C2B46"/>
    <w:pPr>
      <w:pBdr>
        <w:left w:val="single" w:sz="8"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8"/>
      <w:szCs w:val="18"/>
    </w:rPr>
  </w:style>
  <w:style w:type="paragraph" w:customStyle="1" w:styleId="xl50">
    <w:name w:val="xl50"/>
    <w:basedOn w:val="Normal"/>
    <w:rsid w:val="008C2B46"/>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b/>
      <w:bCs/>
      <w:sz w:val="18"/>
      <w:szCs w:val="18"/>
    </w:rPr>
  </w:style>
  <w:style w:type="paragraph" w:customStyle="1" w:styleId="xl51">
    <w:name w:val="xl51"/>
    <w:basedOn w:val="Normal"/>
    <w:rsid w:val="008C2B46"/>
    <w:pPr>
      <w:pBdr>
        <w:left w:val="single" w:sz="8" w:space="0" w:color="auto"/>
        <w:bottom w:val="single" w:sz="8" w:space="0" w:color="auto"/>
      </w:pBdr>
      <w:spacing w:before="100" w:beforeAutospacing="1" w:after="100" w:afterAutospacing="1" w:line="240" w:lineRule="auto"/>
    </w:pPr>
    <w:rPr>
      <w:rFonts w:ascii="Arial Unicode MS" w:eastAsia="Arial Unicode MS" w:hAnsi="Arial Unicode MS" w:cs="Arial Unicode MS"/>
      <w:sz w:val="18"/>
      <w:szCs w:val="18"/>
    </w:rPr>
  </w:style>
  <w:style w:type="paragraph" w:customStyle="1" w:styleId="xl52">
    <w:name w:val="xl52"/>
    <w:basedOn w:val="Normal"/>
    <w:rsid w:val="008C2B46"/>
    <w:pPr>
      <w:pBdr>
        <w:left w:val="single" w:sz="8"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b/>
      <w:bCs/>
      <w:sz w:val="18"/>
      <w:szCs w:val="18"/>
    </w:rPr>
  </w:style>
  <w:style w:type="paragraph" w:customStyle="1" w:styleId="xl53">
    <w:name w:val="xl53"/>
    <w:basedOn w:val="Normal"/>
    <w:rsid w:val="008C2B46"/>
    <w:pPr>
      <w:pBdr>
        <w:left w:val="single" w:sz="8" w:space="0" w:color="auto"/>
        <w:bottom w:val="single" w:sz="4" w:space="0" w:color="auto"/>
      </w:pBdr>
      <w:spacing w:before="100" w:beforeAutospacing="1" w:after="100" w:afterAutospacing="1" w:line="240" w:lineRule="auto"/>
    </w:pPr>
    <w:rPr>
      <w:rFonts w:ascii="Courier New" w:eastAsia="Arial Unicode MS" w:hAnsi="Courier New" w:cs="Courier New"/>
      <w:b/>
      <w:bCs/>
      <w:sz w:val="18"/>
      <w:szCs w:val="18"/>
    </w:rPr>
  </w:style>
  <w:style w:type="paragraph" w:customStyle="1" w:styleId="xl54">
    <w:name w:val="xl54"/>
    <w:basedOn w:val="Normal"/>
    <w:rsid w:val="008C2B46"/>
    <w:pPr>
      <w:pBdr>
        <w:left w:val="single" w:sz="8" w:space="0" w:color="auto"/>
        <w:bottom w:val="single" w:sz="4" w:space="0" w:color="auto"/>
        <w:right w:val="single" w:sz="8" w:space="0" w:color="auto"/>
      </w:pBdr>
      <w:spacing w:before="100" w:beforeAutospacing="1" w:after="100" w:afterAutospacing="1" w:line="240" w:lineRule="auto"/>
    </w:pPr>
    <w:rPr>
      <w:rFonts w:ascii="Cirilica Times" w:eastAsia="Arial Unicode MS" w:hAnsi="Cirilica Times" w:cs="Arial Unicode MS"/>
      <w:b/>
      <w:bCs/>
      <w:sz w:val="18"/>
      <w:szCs w:val="18"/>
    </w:rPr>
  </w:style>
  <w:style w:type="paragraph" w:customStyle="1" w:styleId="xl55">
    <w:name w:val="xl55"/>
    <w:basedOn w:val="Normal"/>
    <w:rsid w:val="008C2B46"/>
    <w:pPr>
      <w:pBdr>
        <w:top w:val="single" w:sz="8" w:space="0" w:color="auto"/>
        <w:left w:val="single" w:sz="8" w:space="0" w:color="auto"/>
        <w:bottom w:val="single" w:sz="8" w:space="0" w:color="auto"/>
      </w:pBdr>
      <w:spacing w:before="100" w:beforeAutospacing="1" w:after="100" w:afterAutospacing="1" w:line="240" w:lineRule="auto"/>
    </w:pPr>
    <w:rPr>
      <w:rFonts w:ascii="Arial Unicode MS" w:eastAsia="Arial Unicode MS" w:hAnsi="Arial Unicode MS" w:cs="Arial Unicode MS"/>
      <w:sz w:val="18"/>
      <w:szCs w:val="18"/>
    </w:rPr>
  </w:style>
  <w:style w:type="paragraph" w:customStyle="1" w:styleId="xl56">
    <w:name w:val="xl56"/>
    <w:basedOn w:val="Normal"/>
    <w:rsid w:val="008C2B46"/>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sz w:val="18"/>
      <w:szCs w:val="18"/>
    </w:rPr>
  </w:style>
  <w:style w:type="paragraph" w:customStyle="1" w:styleId="xl57">
    <w:name w:val="xl57"/>
    <w:basedOn w:val="Normal"/>
    <w:rsid w:val="008C2B46"/>
    <w:pPr>
      <w:pBdr>
        <w:top w:val="single" w:sz="8" w:space="0" w:color="auto"/>
        <w:bottom w:val="single" w:sz="4"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58">
    <w:name w:val="xl58"/>
    <w:basedOn w:val="Normal"/>
    <w:rsid w:val="008C2B46"/>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59">
    <w:name w:val="xl59"/>
    <w:basedOn w:val="Normal"/>
    <w:rsid w:val="008C2B46"/>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60">
    <w:name w:val="xl60"/>
    <w:basedOn w:val="Normal"/>
    <w:rsid w:val="008C2B46"/>
    <w:pPr>
      <w:pBdr>
        <w:top w:val="single" w:sz="8" w:space="0" w:color="auto"/>
        <w:bottom w:val="single" w:sz="4"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61">
    <w:name w:val="xl61"/>
    <w:basedOn w:val="Normal"/>
    <w:rsid w:val="008C2B46"/>
    <w:pPr>
      <w:pBdr>
        <w:top w:val="single" w:sz="8" w:space="0" w:color="auto"/>
        <w:bottom w:val="single" w:sz="4"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62">
    <w:name w:val="xl62"/>
    <w:basedOn w:val="Normal"/>
    <w:rsid w:val="008C2B46"/>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63">
    <w:name w:val="xl63"/>
    <w:basedOn w:val="Normal"/>
    <w:rsid w:val="008C2B46"/>
    <w:pPr>
      <w:pBdr>
        <w:left w:val="single" w:sz="8" w:space="0" w:color="auto"/>
        <w:bottom w:val="single" w:sz="4"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64">
    <w:name w:val="xl64"/>
    <w:basedOn w:val="Normal"/>
    <w:rsid w:val="008C2B46"/>
    <w:pPr>
      <w:pBdr>
        <w:bottom w:val="single" w:sz="4"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65">
    <w:name w:val="xl65"/>
    <w:basedOn w:val="Normal"/>
    <w:rsid w:val="008C2B46"/>
    <w:pPr>
      <w:pBdr>
        <w:bottom w:val="single" w:sz="4"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66">
    <w:name w:val="xl66"/>
    <w:basedOn w:val="Normal"/>
    <w:rsid w:val="008C2B46"/>
    <w:pPr>
      <w:pBdr>
        <w:bottom w:val="single" w:sz="4"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67">
    <w:name w:val="xl67"/>
    <w:basedOn w:val="Normal"/>
    <w:rsid w:val="008C2B4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68">
    <w:name w:val="xl68"/>
    <w:basedOn w:val="Normal"/>
    <w:rsid w:val="008C2B4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69">
    <w:name w:val="xl69"/>
    <w:basedOn w:val="Normal"/>
    <w:rsid w:val="008C2B46"/>
    <w:pPr>
      <w:pBdr>
        <w:top w:val="single" w:sz="4" w:space="0" w:color="auto"/>
        <w:bottom w:val="single" w:sz="4"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70">
    <w:name w:val="xl70"/>
    <w:basedOn w:val="Normal"/>
    <w:rsid w:val="008C2B46"/>
    <w:pPr>
      <w:pBdr>
        <w:left w:val="single" w:sz="8" w:space="0" w:color="auto"/>
        <w:bottom w:val="single" w:sz="8"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71">
    <w:name w:val="xl71"/>
    <w:basedOn w:val="Normal"/>
    <w:rsid w:val="008C2B46"/>
    <w:pPr>
      <w:pBdr>
        <w:bottom w:val="single" w:sz="8"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72">
    <w:name w:val="xl72"/>
    <w:basedOn w:val="Normal"/>
    <w:rsid w:val="008C2B46"/>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73">
    <w:name w:val="xl73"/>
    <w:basedOn w:val="Normal"/>
    <w:rsid w:val="008C2B46"/>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74">
    <w:name w:val="xl74"/>
    <w:basedOn w:val="Normal"/>
    <w:rsid w:val="008C2B46"/>
    <w:pPr>
      <w:pBdr>
        <w:left w:val="single" w:sz="4" w:space="0" w:color="auto"/>
        <w:bottom w:val="single" w:sz="4" w:space="0" w:color="auto"/>
        <w:right w:val="single" w:sz="8"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75">
    <w:name w:val="xl75"/>
    <w:basedOn w:val="Normal"/>
    <w:rsid w:val="008C2B46"/>
    <w:pPr>
      <w:pBdr>
        <w:left w:val="single" w:sz="4" w:space="0" w:color="auto"/>
        <w:bottom w:val="single" w:sz="4"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76">
    <w:name w:val="xl76"/>
    <w:basedOn w:val="Normal"/>
    <w:rsid w:val="008C2B46"/>
    <w:pPr>
      <w:pBdr>
        <w:top w:val="single" w:sz="4" w:space="0" w:color="auto"/>
        <w:bottom w:val="single" w:sz="8"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77">
    <w:name w:val="xl77"/>
    <w:basedOn w:val="Normal"/>
    <w:rsid w:val="008C2B46"/>
    <w:pPr>
      <w:pBdr>
        <w:top w:val="single" w:sz="8" w:space="0" w:color="auto"/>
        <w:bottom w:val="single" w:sz="8" w:space="0" w:color="auto"/>
        <w:right w:val="single" w:sz="4" w:space="0" w:color="auto"/>
      </w:pBdr>
      <w:spacing w:before="100" w:beforeAutospacing="1" w:after="100" w:afterAutospacing="1" w:line="240" w:lineRule="auto"/>
    </w:pPr>
    <w:rPr>
      <w:rFonts w:ascii="Cirilica Times" w:eastAsia="Arial Unicode MS" w:hAnsi="Cirilica Times" w:cs="Arial Unicode MS"/>
      <w:b/>
      <w:bCs/>
      <w:sz w:val="16"/>
      <w:szCs w:val="16"/>
    </w:rPr>
  </w:style>
  <w:style w:type="paragraph" w:customStyle="1" w:styleId="xl78">
    <w:name w:val="xl78"/>
    <w:basedOn w:val="Normal"/>
    <w:rsid w:val="008C2B46"/>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79">
    <w:name w:val="xl79"/>
    <w:basedOn w:val="Normal"/>
    <w:rsid w:val="008C2B46"/>
    <w:pPr>
      <w:pBdr>
        <w:left w:val="single" w:sz="4" w:space="0" w:color="auto"/>
        <w:bottom w:val="single" w:sz="8"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80">
    <w:name w:val="xl80"/>
    <w:basedOn w:val="Normal"/>
    <w:rsid w:val="008C2B46"/>
    <w:pPr>
      <w:pBdr>
        <w:left w:val="single" w:sz="4" w:space="0" w:color="auto"/>
        <w:bottom w:val="single" w:sz="8" w:space="0" w:color="auto"/>
        <w:right w:val="single" w:sz="8"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81">
    <w:name w:val="xl81"/>
    <w:basedOn w:val="Normal"/>
    <w:rsid w:val="008C2B46"/>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Cirilica Times" w:eastAsia="Arial Unicode MS" w:hAnsi="Cirilica Times" w:cs="Arial Unicode MS"/>
      <w:sz w:val="16"/>
      <w:szCs w:val="16"/>
    </w:rPr>
  </w:style>
  <w:style w:type="paragraph" w:customStyle="1" w:styleId="xl82">
    <w:name w:val="xl82"/>
    <w:basedOn w:val="Normal"/>
    <w:rsid w:val="008C2B46"/>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83">
    <w:name w:val="xl83"/>
    <w:basedOn w:val="Normal"/>
    <w:rsid w:val="008C2B4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Unicode MS" w:eastAsia="Arial Unicode MS" w:hAnsi="Arial Unicode MS" w:cs="Arial Unicode MS"/>
      <w:sz w:val="18"/>
      <w:szCs w:val="18"/>
    </w:rPr>
  </w:style>
  <w:style w:type="paragraph" w:customStyle="1" w:styleId="xl84">
    <w:name w:val="xl84"/>
    <w:basedOn w:val="Normal"/>
    <w:rsid w:val="008C2B46"/>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18"/>
      <w:szCs w:val="18"/>
    </w:rPr>
  </w:style>
  <w:style w:type="paragraph" w:customStyle="1" w:styleId="xl85">
    <w:name w:val="xl85"/>
    <w:basedOn w:val="Normal"/>
    <w:rsid w:val="008C2B46"/>
    <w:pPr>
      <w:pBdr>
        <w:top w:val="single" w:sz="8" w:space="0" w:color="auto"/>
        <w:left w:val="single" w:sz="8" w:space="0" w:color="auto"/>
        <w:bottom w:val="single" w:sz="4" w:space="0" w:color="auto"/>
      </w:pBdr>
      <w:spacing w:before="100" w:beforeAutospacing="1" w:after="100" w:afterAutospacing="1" w:line="240" w:lineRule="auto"/>
    </w:pPr>
    <w:rPr>
      <w:rFonts w:ascii="Cirilica Times" w:eastAsia="Arial Unicode MS" w:hAnsi="Cirilica Times" w:cs="Arial Unicode MS"/>
      <w:sz w:val="16"/>
      <w:szCs w:val="16"/>
    </w:rPr>
  </w:style>
  <w:style w:type="paragraph" w:customStyle="1" w:styleId="xl113">
    <w:name w:val="xl113"/>
    <w:basedOn w:val="Normal"/>
    <w:rsid w:val="008C2B46"/>
    <w:pPr>
      <w:pBdr>
        <w:bottom w:val="single" w:sz="8" w:space="0" w:color="auto"/>
        <w:right w:val="single" w:sz="8" w:space="0" w:color="auto"/>
      </w:pBdr>
      <w:spacing w:before="100" w:beforeAutospacing="1" w:after="100" w:afterAutospacing="1" w:line="240" w:lineRule="auto"/>
      <w:jc w:val="center"/>
      <w:textAlignment w:val="center"/>
    </w:pPr>
    <w:rPr>
      <w:rFonts w:ascii="Cirilica Times" w:eastAsia="Arial Unicode MS" w:hAnsi="Cirilica Times" w:cs="Arial Unicode MS"/>
      <w:b/>
      <w:bCs/>
      <w:sz w:val="24"/>
      <w:szCs w:val="24"/>
    </w:rPr>
  </w:style>
  <w:style w:type="paragraph" w:customStyle="1" w:styleId="xl86">
    <w:name w:val="xl86"/>
    <w:basedOn w:val="Normal"/>
    <w:rsid w:val="008C2B46"/>
    <w:pPr>
      <w:pBdr>
        <w:left w:val="single" w:sz="4" w:space="0" w:color="auto"/>
        <w:bottom w:val="single" w:sz="4" w:space="0" w:color="auto"/>
        <w:right w:val="single" w:sz="4" w:space="0" w:color="auto"/>
      </w:pBdr>
      <w:shd w:val="clear" w:color="auto" w:fill="EAEAEA"/>
      <w:spacing w:before="100" w:beforeAutospacing="1" w:after="100" w:afterAutospacing="1" w:line="240" w:lineRule="auto"/>
    </w:pPr>
    <w:rPr>
      <w:rFonts w:ascii="Cirilica Times" w:eastAsia="Arial Unicode MS" w:hAnsi="Cirilica Times" w:cs="Arial Unicode MS"/>
      <w:b/>
      <w:bCs/>
      <w:sz w:val="24"/>
      <w:szCs w:val="24"/>
    </w:rPr>
  </w:style>
  <w:style w:type="paragraph" w:customStyle="1" w:styleId="xl87">
    <w:name w:val="xl87"/>
    <w:basedOn w:val="Normal"/>
    <w:rsid w:val="008C2B46"/>
    <w:pPr>
      <w:pBdr>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88">
    <w:name w:val="xl88"/>
    <w:basedOn w:val="Normal"/>
    <w:rsid w:val="008C2B46"/>
    <w:pPr>
      <w:pBdr>
        <w:top w:val="single" w:sz="4"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89">
    <w:name w:val="xl89"/>
    <w:basedOn w:val="Normal"/>
    <w:rsid w:val="008C2B46"/>
    <w:pPr>
      <w:spacing w:before="100" w:beforeAutospacing="1" w:after="100" w:afterAutospacing="1" w:line="240" w:lineRule="auto"/>
    </w:pPr>
    <w:rPr>
      <w:rFonts w:ascii="Cirilica Times" w:eastAsia="Arial Unicode MS" w:hAnsi="Cirilica Times" w:cs="Arial Unicode MS"/>
      <w:b/>
      <w:bCs/>
      <w:sz w:val="24"/>
      <w:szCs w:val="24"/>
    </w:rPr>
  </w:style>
  <w:style w:type="paragraph" w:customStyle="1" w:styleId="xl90">
    <w:name w:val="xl90"/>
    <w:basedOn w:val="Normal"/>
    <w:rsid w:val="008C2B46"/>
    <w:pPr>
      <w:pBdr>
        <w:top w:val="single" w:sz="8" w:space="0" w:color="auto"/>
        <w:left w:val="single" w:sz="8" w:space="0" w:color="auto"/>
        <w:bottom w:val="single" w:sz="8" w:space="0" w:color="auto"/>
      </w:pBdr>
      <w:spacing w:before="100" w:beforeAutospacing="1" w:after="100" w:afterAutospacing="1" w:line="240" w:lineRule="auto"/>
    </w:pPr>
    <w:rPr>
      <w:rFonts w:ascii="Cirilica Times" w:eastAsia="Arial Unicode MS" w:hAnsi="Cirilica Times" w:cs="Arial Unicode MS"/>
      <w:b/>
      <w:bCs/>
      <w:sz w:val="24"/>
      <w:szCs w:val="24"/>
    </w:rPr>
  </w:style>
  <w:style w:type="paragraph" w:customStyle="1" w:styleId="xl91">
    <w:name w:val="xl91"/>
    <w:basedOn w:val="Normal"/>
    <w:rsid w:val="008C2B46"/>
    <w:pPr>
      <w:pBdr>
        <w:top w:val="single" w:sz="8" w:space="0" w:color="auto"/>
        <w:left w:val="single" w:sz="8" w:space="0" w:color="auto"/>
        <w:bottom w:val="single" w:sz="8" w:space="0" w:color="auto"/>
      </w:pBdr>
      <w:spacing w:before="100" w:beforeAutospacing="1" w:after="100" w:afterAutospacing="1" w:line="240" w:lineRule="auto"/>
      <w:jc w:val="right"/>
    </w:pPr>
    <w:rPr>
      <w:rFonts w:ascii="Arial Unicode MS" w:eastAsia="Arial Unicode MS" w:hAnsi="Arial Unicode MS" w:cs="Arial Unicode MS"/>
      <w:sz w:val="24"/>
      <w:szCs w:val="24"/>
    </w:rPr>
  </w:style>
  <w:style w:type="paragraph" w:customStyle="1" w:styleId="xl92">
    <w:name w:val="xl92"/>
    <w:basedOn w:val="Normal"/>
    <w:rsid w:val="008C2B46"/>
    <w:pPr>
      <w:pBdr>
        <w:bottom w:val="single" w:sz="4" w:space="0" w:color="auto"/>
        <w:right w:val="single" w:sz="8" w:space="0" w:color="auto"/>
      </w:pBdr>
      <w:spacing w:before="100" w:beforeAutospacing="1" w:after="100" w:afterAutospacing="1" w:line="240" w:lineRule="auto"/>
      <w:jc w:val="center"/>
    </w:pPr>
    <w:rPr>
      <w:rFonts w:ascii="Times New Roman" w:eastAsia="Arial Unicode MS" w:hAnsi="Times New Roman" w:cs="Times New Roman"/>
      <w:b/>
      <w:bCs/>
      <w:sz w:val="18"/>
      <w:szCs w:val="18"/>
    </w:rPr>
  </w:style>
  <w:style w:type="paragraph" w:customStyle="1" w:styleId="xl93">
    <w:name w:val="xl93"/>
    <w:basedOn w:val="Normal"/>
    <w:rsid w:val="008C2B46"/>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Arial Unicode MS" w:hAnsi="Times New Roman" w:cs="Times New Roman"/>
      <w:b/>
      <w:bCs/>
      <w:sz w:val="18"/>
      <w:szCs w:val="18"/>
    </w:rPr>
  </w:style>
  <w:style w:type="paragraph" w:customStyle="1" w:styleId="xl94">
    <w:name w:val="xl94"/>
    <w:basedOn w:val="Normal"/>
    <w:rsid w:val="008C2B46"/>
    <w:pPr>
      <w:pBdr>
        <w:left w:val="single" w:sz="4" w:space="0" w:color="auto"/>
        <w:right w:val="single" w:sz="4" w:space="0" w:color="auto"/>
      </w:pBdr>
      <w:shd w:val="clear" w:color="auto" w:fill="EAEAEA"/>
      <w:spacing w:before="100" w:beforeAutospacing="1" w:after="100" w:afterAutospacing="1" w:line="240" w:lineRule="auto"/>
    </w:pPr>
    <w:rPr>
      <w:rFonts w:ascii="Cirilica Times" w:eastAsia="Arial Unicode MS" w:hAnsi="Cirilica Times" w:cs="Arial Unicode MS"/>
      <w:b/>
      <w:bCs/>
      <w:sz w:val="24"/>
      <w:szCs w:val="24"/>
    </w:rPr>
  </w:style>
  <w:style w:type="paragraph" w:customStyle="1" w:styleId="xl95">
    <w:name w:val="xl95"/>
    <w:basedOn w:val="Normal"/>
    <w:rsid w:val="008C2B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Unicode MS" w:eastAsia="Arial Unicode MS" w:hAnsi="Arial Unicode MS" w:cs="Arial Unicode MS"/>
      <w:sz w:val="24"/>
      <w:szCs w:val="24"/>
    </w:rPr>
  </w:style>
  <w:style w:type="paragraph" w:customStyle="1" w:styleId="xl96">
    <w:name w:val="xl96"/>
    <w:basedOn w:val="Normal"/>
    <w:rsid w:val="008C2B46"/>
    <w:pPr>
      <w:pBdr>
        <w:top w:val="single" w:sz="4" w:space="0" w:color="auto"/>
        <w:left w:val="single" w:sz="4" w:space="0" w:color="auto"/>
        <w:bottom w:val="single" w:sz="4" w:space="0" w:color="auto"/>
        <w:right w:val="single" w:sz="4" w:space="0" w:color="auto"/>
      </w:pBdr>
      <w:shd w:val="clear" w:color="auto" w:fill="EAEAEA"/>
      <w:spacing w:before="100" w:beforeAutospacing="1" w:after="100" w:afterAutospacing="1" w:line="240" w:lineRule="auto"/>
    </w:pPr>
    <w:rPr>
      <w:rFonts w:ascii="Cirilica Times" w:eastAsia="Arial Unicode MS" w:hAnsi="Cirilica Times" w:cs="Arial Unicode MS"/>
      <w:b/>
      <w:bCs/>
      <w:sz w:val="24"/>
      <w:szCs w:val="24"/>
    </w:rPr>
  </w:style>
  <w:style w:type="paragraph" w:customStyle="1" w:styleId="xl97">
    <w:name w:val="xl97"/>
    <w:basedOn w:val="Normal"/>
    <w:rsid w:val="008C2B46"/>
    <w:pPr>
      <w:pBdr>
        <w:top w:val="single" w:sz="4" w:space="0" w:color="auto"/>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98">
    <w:name w:val="xl98"/>
    <w:basedOn w:val="Normal"/>
    <w:rsid w:val="008C2B46"/>
    <w:pPr>
      <w:pBdr>
        <w:top w:val="single" w:sz="8" w:space="0" w:color="auto"/>
        <w:left w:val="single" w:sz="4" w:space="0" w:color="auto"/>
        <w:bottom w:val="single" w:sz="8" w:space="0" w:color="auto"/>
      </w:pBdr>
      <w:spacing w:before="100" w:beforeAutospacing="1" w:after="100" w:afterAutospacing="1" w:line="240" w:lineRule="auto"/>
    </w:pPr>
    <w:rPr>
      <w:rFonts w:ascii="Arial Unicode MS" w:eastAsia="Arial Unicode MS" w:hAnsi="Arial Unicode MS" w:cs="Arial Unicode MS"/>
      <w:b/>
      <w:bCs/>
      <w:sz w:val="24"/>
      <w:szCs w:val="24"/>
    </w:rPr>
  </w:style>
  <w:style w:type="paragraph" w:customStyle="1" w:styleId="xl99">
    <w:name w:val="xl99"/>
    <w:basedOn w:val="Normal"/>
    <w:rsid w:val="008C2B46"/>
    <w:pPr>
      <w:pBdr>
        <w:top w:val="single" w:sz="8"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b/>
      <w:bCs/>
      <w:sz w:val="24"/>
      <w:szCs w:val="24"/>
    </w:rPr>
  </w:style>
  <w:style w:type="paragraph" w:customStyle="1" w:styleId="xl100">
    <w:name w:val="xl100"/>
    <w:basedOn w:val="Normal"/>
    <w:rsid w:val="008C2B46"/>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101">
    <w:name w:val="xl101"/>
    <w:basedOn w:val="Normal"/>
    <w:rsid w:val="008C2B46"/>
    <w:pPr>
      <w:pBdr>
        <w:top w:val="single" w:sz="8" w:space="0" w:color="auto"/>
      </w:pBdr>
      <w:spacing w:before="100" w:beforeAutospacing="1" w:after="100" w:afterAutospacing="1" w:line="240" w:lineRule="auto"/>
      <w:jc w:val="center"/>
    </w:pPr>
    <w:rPr>
      <w:rFonts w:ascii="Cirilica Times" w:eastAsia="Arial Unicode MS" w:hAnsi="Cirilica Times" w:cs="Arial Unicode MS"/>
      <w:b/>
      <w:bCs/>
      <w:sz w:val="24"/>
      <w:szCs w:val="24"/>
    </w:rPr>
  </w:style>
  <w:style w:type="paragraph" w:customStyle="1" w:styleId="xl102">
    <w:name w:val="xl102"/>
    <w:basedOn w:val="Normal"/>
    <w:rsid w:val="008C2B46"/>
    <w:pPr>
      <w:pBdr>
        <w:bottom w:val="single" w:sz="4" w:space="0" w:color="auto"/>
      </w:pBdr>
      <w:spacing w:before="100" w:beforeAutospacing="1" w:after="100" w:afterAutospacing="1" w:line="240" w:lineRule="auto"/>
    </w:pPr>
    <w:rPr>
      <w:rFonts w:ascii="Times New Roman" w:eastAsia="Arial Unicode MS" w:hAnsi="Times New Roman" w:cs="Times New Roman"/>
      <w:b/>
      <w:bCs/>
      <w:sz w:val="24"/>
      <w:szCs w:val="24"/>
    </w:rPr>
  </w:style>
  <w:style w:type="paragraph" w:customStyle="1" w:styleId="xl103">
    <w:name w:val="xl103"/>
    <w:basedOn w:val="Normal"/>
    <w:rsid w:val="008C2B46"/>
    <w:pPr>
      <w:pBdr>
        <w:top w:val="single" w:sz="8" w:space="0" w:color="auto"/>
        <w:left w:val="single" w:sz="8" w:space="0" w:color="auto"/>
        <w:bottom w:val="single" w:sz="8" w:space="0" w:color="auto"/>
      </w:pBdr>
      <w:spacing w:before="100" w:beforeAutospacing="1" w:after="100" w:afterAutospacing="1" w:line="240" w:lineRule="auto"/>
    </w:pPr>
    <w:rPr>
      <w:rFonts w:ascii="Arial Unicode MS" w:eastAsia="Arial Unicode MS" w:hAnsi="Arial Unicode MS" w:cs="Arial Unicode MS"/>
      <w:b/>
      <w:bCs/>
      <w:sz w:val="24"/>
      <w:szCs w:val="24"/>
    </w:rPr>
  </w:style>
  <w:style w:type="paragraph" w:customStyle="1" w:styleId="xl104">
    <w:name w:val="xl104"/>
    <w:basedOn w:val="Normal"/>
    <w:rsid w:val="008C2B46"/>
    <w:pPr>
      <w:pBdr>
        <w:left w:val="single" w:sz="8"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105">
    <w:name w:val="xl105"/>
    <w:basedOn w:val="Normal"/>
    <w:rsid w:val="008C2B46"/>
    <w:pPr>
      <w:pBdr>
        <w:top w:val="single" w:sz="4" w:space="0" w:color="auto"/>
        <w:left w:val="single" w:sz="8" w:space="0" w:color="auto"/>
      </w:pBdr>
      <w:spacing w:before="100" w:beforeAutospacing="1" w:after="100" w:afterAutospacing="1" w:line="240" w:lineRule="auto"/>
    </w:pPr>
    <w:rPr>
      <w:rFonts w:ascii="Arial Unicode MS" w:eastAsia="Arial Unicode MS" w:hAnsi="Arial Unicode MS" w:cs="Arial Unicode MS"/>
      <w:b/>
      <w:bCs/>
      <w:sz w:val="24"/>
      <w:szCs w:val="24"/>
    </w:rPr>
  </w:style>
  <w:style w:type="paragraph" w:customStyle="1" w:styleId="xl106">
    <w:name w:val="xl106"/>
    <w:basedOn w:val="Normal"/>
    <w:rsid w:val="008C2B46"/>
    <w:pPr>
      <w:pBdr>
        <w:top w:val="single" w:sz="8" w:space="0" w:color="auto"/>
        <w:left w:val="single" w:sz="8" w:space="0" w:color="auto"/>
        <w:bottom w:val="single" w:sz="8" w:space="0" w:color="auto"/>
      </w:pBdr>
      <w:shd w:val="clear" w:color="auto" w:fill="EAEAEA"/>
      <w:spacing w:before="100" w:beforeAutospacing="1" w:after="100" w:afterAutospacing="1" w:line="240" w:lineRule="auto"/>
    </w:pPr>
    <w:rPr>
      <w:rFonts w:ascii="Arial Unicode MS" w:eastAsia="Arial Unicode MS" w:hAnsi="Arial Unicode MS" w:cs="Arial Unicode MS"/>
      <w:b/>
      <w:bCs/>
      <w:sz w:val="24"/>
      <w:szCs w:val="24"/>
    </w:rPr>
  </w:style>
  <w:style w:type="paragraph" w:customStyle="1" w:styleId="xl107">
    <w:name w:val="xl107"/>
    <w:basedOn w:val="Normal"/>
    <w:rsid w:val="008C2B46"/>
    <w:pPr>
      <w:pBdr>
        <w:left w:val="single" w:sz="8" w:space="0" w:color="auto"/>
        <w:bottom w:val="single" w:sz="4" w:space="0" w:color="auto"/>
      </w:pBdr>
      <w:shd w:val="clear" w:color="auto" w:fill="EAEAEA"/>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108">
    <w:name w:val="xl108"/>
    <w:basedOn w:val="Normal"/>
    <w:rsid w:val="008C2B46"/>
    <w:pPr>
      <w:pBdr>
        <w:left w:val="single" w:sz="8" w:space="0" w:color="auto"/>
      </w:pBdr>
      <w:shd w:val="clear" w:color="auto" w:fill="EAEAEA"/>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109">
    <w:name w:val="xl109"/>
    <w:basedOn w:val="Normal"/>
    <w:rsid w:val="008C2B46"/>
    <w:pPr>
      <w:pBdr>
        <w:top w:val="single" w:sz="8" w:space="0" w:color="auto"/>
        <w:left w:val="single" w:sz="8" w:space="0" w:color="auto"/>
        <w:bottom w:val="single" w:sz="8" w:space="0" w:color="auto"/>
      </w:pBdr>
      <w:shd w:val="clear" w:color="auto" w:fill="EAEAEA"/>
      <w:spacing w:before="100" w:beforeAutospacing="1" w:after="100" w:afterAutospacing="1" w:line="240" w:lineRule="auto"/>
    </w:pPr>
    <w:rPr>
      <w:rFonts w:ascii="Cirilica Times" w:eastAsia="Arial Unicode MS" w:hAnsi="Cirilica Times" w:cs="Arial Unicode MS"/>
      <w:b/>
      <w:bCs/>
      <w:sz w:val="24"/>
      <w:szCs w:val="24"/>
    </w:rPr>
  </w:style>
  <w:style w:type="paragraph" w:customStyle="1" w:styleId="xl110">
    <w:name w:val="xl110"/>
    <w:basedOn w:val="Normal"/>
    <w:rsid w:val="008C2B46"/>
    <w:pPr>
      <w:pBdr>
        <w:top w:val="single" w:sz="4" w:space="0" w:color="auto"/>
        <w:left w:val="single" w:sz="4" w:space="0" w:color="auto"/>
        <w:bottom w:val="single" w:sz="4" w:space="0" w:color="auto"/>
      </w:pBdr>
      <w:shd w:val="clear" w:color="auto" w:fill="EAEAEA"/>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111">
    <w:name w:val="xl111"/>
    <w:basedOn w:val="Normal"/>
    <w:rsid w:val="008C2B46"/>
    <w:pPr>
      <w:pBdr>
        <w:left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112">
    <w:name w:val="xl112"/>
    <w:basedOn w:val="Normal"/>
    <w:rsid w:val="008C2B46"/>
    <w:pPr>
      <w:pBdr>
        <w:left w:val="single" w:sz="8" w:space="0" w:color="auto"/>
        <w:bottom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114">
    <w:name w:val="xl114"/>
    <w:basedOn w:val="Normal"/>
    <w:rsid w:val="008C2B46"/>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115">
    <w:name w:val="xl115"/>
    <w:basedOn w:val="Normal"/>
    <w:rsid w:val="008C2B46"/>
    <w:pPr>
      <w:pBdr>
        <w:left w:val="single" w:sz="4" w:space="0" w:color="auto"/>
        <w:bottom w:val="single" w:sz="4" w:space="0" w:color="auto"/>
        <w:right w:val="single" w:sz="8" w:space="0" w:color="auto"/>
      </w:pBdr>
      <w:spacing w:before="100" w:beforeAutospacing="1" w:after="100" w:afterAutospacing="1" w:line="240" w:lineRule="auto"/>
    </w:pPr>
    <w:rPr>
      <w:rFonts w:ascii="Cirilica Times" w:eastAsia="Arial Unicode MS" w:hAnsi="Cirilica Times" w:cs="Arial Unicode MS"/>
      <w:b/>
      <w:bCs/>
      <w:sz w:val="24"/>
      <w:szCs w:val="24"/>
    </w:rPr>
  </w:style>
  <w:style w:type="paragraph" w:customStyle="1" w:styleId="xl116">
    <w:name w:val="xl116"/>
    <w:basedOn w:val="Normal"/>
    <w:rsid w:val="008C2B46"/>
    <w:pPr>
      <w:pBdr>
        <w:left w:val="single" w:sz="4" w:space="0" w:color="auto"/>
        <w:right w:val="single" w:sz="8" w:space="0" w:color="auto"/>
      </w:pBdr>
      <w:spacing w:before="100" w:beforeAutospacing="1" w:after="100" w:afterAutospacing="1" w:line="240" w:lineRule="auto"/>
    </w:pPr>
    <w:rPr>
      <w:rFonts w:ascii="Cirilica Times" w:eastAsia="Arial Unicode MS" w:hAnsi="Cirilica Times" w:cs="Arial Unicode MS"/>
      <w:b/>
      <w:bCs/>
      <w:sz w:val="24"/>
      <w:szCs w:val="24"/>
    </w:rPr>
  </w:style>
  <w:style w:type="paragraph" w:customStyle="1" w:styleId="xl117">
    <w:name w:val="xl117"/>
    <w:basedOn w:val="Normal"/>
    <w:rsid w:val="008C2B46"/>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b/>
      <w:bCs/>
      <w:sz w:val="24"/>
      <w:szCs w:val="24"/>
    </w:rPr>
  </w:style>
  <w:style w:type="paragraph" w:customStyle="1" w:styleId="xl118">
    <w:name w:val="xl118"/>
    <w:basedOn w:val="Normal"/>
    <w:rsid w:val="008C2B4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irilica Times" w:eastAsia="Arial Unicode MS" w:hAnsi="Cirilica Times" w:cs="Arial Unicode MS"/>
      <w:b/>
      <w:bCs/>
      <w:sz w:val="24"/>
      <w:szCs w:val="24"/>
    </w:rPr>
  </w:style>
  <w:style w:type="paragraph" w:customStyle="1" w:styleId="xl119">
    <w:name w:val="xl119"/>
    <w:basedOn w:val="Normal"/>
    <w:rsid w:val="008C2B46"/>
    <w:pPr>
      <w:pBdr>
        <w:left w:val="single" w:sz="4" w:space="0" w:color="auto"/>
        <w:bottom w:val="single" w:sz="8" w:space="0" w:color="auto"/>
        <w:right w:val="single" w:sz="8" w:space="0" w:color="auto"/>
      </w:pBdr>
      <w:spacing w:before="100" w:beforeAutospacing="1" w:after="100" w:afterAutospacing="1" w:line="240" w:lineRule="auto"/>
    </w:pPr>
    <w:rPr>
      <w:rFonts w:ascii="Cirilica Times" w:eastAsia="Arial Unicode MS" w:hAnsi="Cirilica Times" w:cs="Arial Unicode MS"/>
      <w:b/>
      <w:bCs/>
      <w:sz w:val="24"/>
      <w:szCs w:val="24"/>
    </w:rPr>
  </w:style>
  <w:style w:type="paragraph" w:customStyle="1" w:styleId="xl120">
    <w:name w:val="xl120"/>
    <w:basedOn w:val="Normal"/>
    <w:rsid w:val="008C2B46"/>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121">
    <w:name w:val="xl121"/>
    <w:basedOn w:val="Normal"/>
    <w:rsid w:val="008C2B46"/>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122">
    <w:name w:val="xl122"/>
    <w:basedOn w:val="Normal"/>
    <w:rsid w:val="008C2B46"/>
    <w:pPr>
      <w:pBdr>
        <w:right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123">
    <w:name w:val="xl123"/>
    <w:basedOn w:val="Normal"/>
    <w:rsid w:val="008C2B46"/>
    <w:pPr>
      <w:pBdr>
        <w:top w:val="single" w:sz="8" w:space="0" w:color="auto"/>
        <w:left w:val="single" w:sz="8" w:space="0" w:color="auto"/>
        <w:bottom w:val="single" w:sz="8" w:space="0" w:color="auto"/>
      </w:pBdr>
      <w:spacing w:before="100" w:beforeAutospacing="1" w:after="100" w:afterAutospacing="1" w:line="240" w:lineRule="auto"/>
      <w:jc w:val="center"/>
    </w:pPr>
    <w:rPr>
      <w:rFonts w:ascii="Arial Unicode MS" w:eastAsia="Arial Unicode MS" w:hAnsi="Arial Unicode MS" w:cs="Arial Unicode MS"/>
      <w:sz w:val="24"/>
      <w:szCs w:val="24"/>
    </w:rPr>
  </w:style>
  <w:style w:type="paragraph" w:customStyle="1" w:styleId="xl124">
    <w:name w:val="xl124"/>
    <w:basedOn w:val="Normal"/>
    <w:rsid w:val="008C2B46"/>
    <w:pPr>
      <w:pBdr>
        <w:left w:val="single" w:sz="4" w:space="0" w:color="auto"/>
        <w:right w:val="single" w:sz="4" w:space="0" w:color="auto"/>
      </w:pBdr>
      <w:spacing w:before="100" w:beforeAutospacing="1" w:after="100" w:afterAutospacing="1" w:line="240" w:lineRule="auto"/>
    </w:pPr>
    <w:rPr>
      <w:rFonts w:ascii="Cirilica Times" w:eastAsia="Arial Unicode MS" w:hAnsi="Cirilica Times" w:cs="Arial Unicode MS"/>
      <w:b/>
      <w:bCs/>
      <w:sz w:val="24"/>
      <w:szCs w:val="24"/>
    </w:rPr>
  </w:style>
  <w:style w:type="paragraph" w:customStyle="1" w:styleId="xl125">
    <w:name w:val="xl125"/>
    <w:basedOn w:val="Normal"/>
    <w:rsid w:val="008C2B46"/>
    <w:pPr>
      <w:pBdr>
        <w:bottom w:val="single" w:sz="4" w:space="0" w:color="auto"/>
      </w:pBdr>
      <w:spacing w:before="100" w:beforeAutospacing="1" w:after="100" w:afterAutospacing="1" w:line="240" w:lineRule="auto"/>
    </w:pPr>
    <w:rPr>
      <w:rFonts w:ascii="Cirilica Times" w:eastAsia="Arial Unicode MS" w:hAnsi="Cirilica Times" w:cs="Arial Unicode MS"/>
      <w:b/>
      <w:bCs/>
      <w:sz w:val="24"/>
      <w:szCs w:val="24"/>
    </w:rPr>
  </w:style>
  <w:style w:type="paragraph" w:customStyle="1" w:styleId="xl126">
    <w:name w:val="xl126"/>
    <w:basedOn w:val="Normal"/>
    <w:rsid w:val="008C2B46"/>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b/>
      <w:bCs/>
      <w:sz w:val="24"/>
      <w:szCs w:val="24"/>
    </w:rPr>
  </w:style>
  <w:style w:type="paragraph" w:customStyle="1" w:styleId="xl127">
    <w:name w:val="xl127"/>
    <w:basedOn w:val="Normal"/>
    <w:rsid w:val="008C2B46"/>
    <w:pPr>
      <w:pBdr>
        <w:top w:val="single" w:sz="8"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128">
    <w:name w:val="xl128"/>
    <w:basedOn w:val="Normal"/>
    <w:rsid w:val="008C2B46"/>
    <w:pPr>
      <w:pBdr>
        <w:top w:val="single" w:sz="8" w:space="0" w:color="auto"/>
        <w:left w:val="single" w:sz="8" w:space="0" w:color="auto"/>
        <w:bottom w:val="single" w:sz="8" w:space="0" w:color="auto"/>
      </w:pBdr>
      <w:spacing w:before="100" w:beforeAutospacing="1" w:after="100" w:afterAutospacing="1" w:line="240" w:lineRule="auto"/>
      <w:jc w:val="center"/>
    </w:pPr>
    <w:rPr>
      <w:rFonts w:ascii="Cirilica Times" w:eastAsia="Arial Unicode MS" w:hAnsi="Cirilica Times" w:cs="Arial Unicode MS"/>
      <w:b/>
      <w:bCs/>
      <w:sz w:val="24"/>
      <w:szCs w:val="24"/>
    </w:rPr>
  </w:style>
  <w:style w:type="paragraph" w:customStyle="1" w:styleId="xl129">
    <w:name w:val="xl129"/>
    <w:basedOn w:val="Normal"/>
    <w:rsid w:val="008C2B46"/>
    <w:pPr>
      <w:pBdr>
        <w:top w:val="single" w:sz="8" w:space="0" w:color="auto"/>
        <w:bottom w:val="single" w:sz="8" w:space="0" w:color="auto"/>
      </w:pBdr>
      <w:spacing w:before="100" w:beforeAutospacing="1" w:after="100" w:afterAutospacing="1" w:line="240" w:lineRule="auto"/>
      <w:jc w:val="center"/>
    </w:pPr>
    <w:rPr>
      <w:rFonts w:ascii="Cirilica Times" w:eastAsia="Arial Unicode MS" w:hAnsi="Cirilica Times" w:cs="Arial Unicode MS"/>
      <w:b/>
      <w:bCs/>
      <w:sz w:val="24"/>
      <w:szCs w:val="24"/>
    </w:rPr>
  </w:style>
  <w:style w:type="paragraph" w:customStyle="1" w:styleId="xl130">
    <w:name w:val="xl130"/>
    <w:basedOn w:val="Normal"/>
    <w:rsid w:val="008C2B46"/>
    <w:pPr>
      <w:pBdr>
        <w:top w:val="single" w:sz="8" w:space="0" w:color="auto"/>
        <w:left w:val="single" w:sz="8" w:space="0" w:color="auto"/>
        <w:bottom w:val="single" w:sz="8" w:space="0" w:color="auto"/>
      </w:pBdr>
      <w:spacing w:before="100" w:beforeAutospacing="1" w:after="100" w:afterAutospacing="1" w:line="240" w:lineRule="auto"/>
      <w:jc w:val="center"/>
    </w:pPr>
    <w:rPr>
      <w:rFonts w:ascii="Arial Unicode MS" w:eastAsia="Arial Unicode MS" w:hAnsi="Arial Unicode MS" w:cs="Arial Unicode MS"/>
      <w:b/>
      <w:bCs/>
      <w:sz w:val="24"/>
      <w:szCs w:val="24"/>
    </w:rPr>
  </w:style>
  <w:style w:type="paragraph" w:customStyle="1" w:styleId="xl131">
    <w:name w:val="xl131"/>
    <w:basedOn w:val="Normal"/>
    <w:rsid w:val="008C2B46"/>
    <w:pPr>
      <w:pBdr>
        <w:top w:val="single" w:sz="8" w:space="0" w:color="auto"/>
        <w:bottom w:val="single" w:sz="8" w:space="0" w:color="auto"/>
      </w:pBdr>
      <w:spacing w:before="100" w:beforeAutospacing="1" w:after="100" w:afterAutospacing="1" w:line="240" w:lineRule="auto"/>
      <w:jc w:val="center"/>
    </w:pPr>
    <w:rPr>
      <w:rFonts w:ascii="Arial Unicode MS" w:eastAsia="Arial Unicode MS" w:hAnsi="Arial Unicode MS" w:cs="Arial Unicode MS"/>
      <w:b/>
      <w:bCs/>
      <w:sz w:val="24"/>
      <w:szCs w:val="24"/>
    </w:rPr>
  </w:style>
  <w:style w:type="paragraph" w:customStyle="1" w:styleId="xl132">
    <w:name w:val="xl132"/>
    <w:basedOn w:val="Normal"/>
    <w:rsid w:val="008C2B46"/>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Unicode MS" w:eastAsia="Arial Unicode MS" w:hAnsi="Arial Unicode MS" w:cs="Arial Unicode MS"/>
      <w:b/>
      <w:bCs/>
      <w:sz w:val="24"/>
      <w:szCs w:val="24"/>
    </w:rPr>
  </w:style>
  <w:style w:type="paragraph" w:styleId="BlockText">
    <w:name w:val="Block Text"/>
    <w:basedOn w:val="Normal"/>
    <w:rsid w:val="008C2B46"/>
    <w:pPr>
      <w:autoSpaceDE w:val="0"/>
      <w:autoSpaceDN w:val="0"/>
      <w:spacing w:after="0" w:line="240" w:lineRule="auto"/>
      <w:ind w:left="360" w:right="276" w:hanging="360"/>
      <w:jc w:val="both"/>
    </w:pPr>
    <w:rPr>
      <w:rFonts w:ascii="Cirilica Times" w:eastAsia="Times New Roman" w:hAnsi="Cirilica Times" w:cs="Times New Roman"/>
    </w:rPr>
  </w:style>
  <w:style w:type="table" w:styleId="LightShading">
    <w:name w:val="Light Shading"/>
    <w:basedOn w:val="TableNormal"/>
    <w:uiPriority w:val="60"/>
    <w:rsid w:val="008C2B46"/>
    <w:pPr>
      <w:spacing w:after="0" w:line="240" w:lineRule="auto"/>
    </w:pPr>
    <w:rPr>
      <w:rFonts w:ascii="Times New Roman" w:eastAsia="Times New Roman" w:hAnsi="Times New Roman" w:cs="Times New Roman"/>
      <w:color w:val="000000" w:themeColor="text1" w:themeShade="BF"/>
      <w:sz w:val="20"/>
      <w:szCs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1">
    <w:name w:val="Medium List 1 Accent 1"/>
    <w:basedOn w:val="TableNormal"/>
    <w:uiPriority w:val="65"/>
    <w:rsid w:val="008C2B46"/>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ghtList-Accent5">
    <w:name w:val="Light List Accent 5"/>
    <w:basedOn w:val="TableNormal"/>
    <w:uiPriority w:val="61"/>
    <w:rsid w:val="008C2B46"/>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MediumList1-Accent1121">
    <w:name w:val="Medium List 1 - Accent 1121"/>
    <w:basedOn w:val="TableNormal"/>
    <w:uiPriority w:val="65"/>
    <w:rsid w:val="00F728BF"/>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PlainText">
    <w:name w:val="Plain Text"/>
    <w:basedOn w:val="Normal"/>
    <w:link w:val="PlainTextChar"/>
    <w:uiPriority w:val="99"/>
    <w:semiHidden/>
    <w:unhideWhenUsed/>
    <w:rsid w:val="006C0D6C"/>
    <w:pPr>
      <w:spacing w:after="0" w:line="240" w:lineRule="auto"/>
    </w:pPr>
    <w:rPr>
      <w:rFonts w:ascii="Verdana" w:hAnsi="Verdana" w:cs="Times New Roman"/>
      <w:sz w:val="20"/>
      <w:szCs w:val="20"/>
    </w:rPr>
  </w:style>
  <w:style w:type="character" w:customStyle="1" w:styleId="PlainTextChar">
    <w:name w:val="Plain Text Char"/>
    <w:basedOn w:val="DefaultParagraphFont"/>
    <w:link w:val="PlainText"/>
    <w:uiPriority w:val="99"/>
    <w:semiHidden/>
    <w:rsid w:val="006C0D6C"/>
    <w:rPr>
      <w:rFonts w:ascii="Verdana" w:hAnsi="Verdana" w:cs="Times New Roman"/>
      <w:sz w:val="20"/>
      <w:szCs w:val="20"/>
    </w:rPr>
  </w:style>
  <w:style w:type="character" w:styleId="EndnoteReference">
    <w:name w:val="endnote reference"/>
    <w:basedOn w:val="DefaultParagraphFont"/>
    <w:uiPriority w:val="99"/>
    <w:semiHidden/>
    <w:unhideWhenUsed/>
    <w:rsid w:val="006C0D6C"/>
    <w:rPr>
      <w:vertAlign w:val="superscript"/>
    </w:rPr>
  </w:style>
  <w:style w:type="paragraph" w:styleId="Revision">
    <w:name w:val="Revision"/>
    <w:hidden/>
    <w:uiPriority w:val="99"/>
    <w:semiHidden/>
    <w:rsid w:val="00DB37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39748">
      <w:bodyDiv w:val="1"/>
      <w:marLeft w:val="0"/>
      <w:marRight w:val="0"/>
      <w:marTop w:val="0"/>
      <w:marBottom w:val="0"/>
      <w:divBdr>
        <w:top w:val="none" w:sz="0" w:space="0" w:color="auto"/>
        <w:left w:val="none" w:sz="0" w:space="0" w:color="auto"/>
        <w:bottom w:val="none" w:sz="0" w:space="0" w:color="auto"/>
        <w:right w:val="none" w:sz="0" w:space="0" w:color="auto"/>
      </w:divBdr>
    </w:div>
    <w:div w:id="28801093">
      <w:bodyDiv w:val="1"/>
      <w:marLeft w:val="0"/>
      <w:marRight w:val="0"/>
      <w:marTop w:val="0"/>
      <w:marBottom w:val="0"/>
      <w:divBdr>
        <w:top w:val="none" w:sz="0" w:space="0" w:color="auto"/>
        <w:left w:val="none" w:sz="0" w:space="0" w:color="auto"/>
        <w:bottom w:val="none" w:sz="0" w:space="0" w:color="auto"/>
        <w:right w:val="none" w:sz="0" w:space="0" w:color="auto"/>
      </w:divBdr>
    </w:div>
    <w:div w:id="39062176">
      <w:bodyDiv w:val="1"/>
      <w:marLeft w:val="0"/>
      <w:marRight w:val="0"/>
      <w:marTop w:val="0"/>
      <w:marBottom w:val="0"/>
      <w:divBdr>
        <w:top w:val="none" w:sz="0" w:space="0" w:color="auto"/>
        <w:left w:val="none" w:sz="0" w:space="0" w:color="auto"/>
        <w:bottom w:val="none" w:sz="0" w:space="0" w:color="auto"/>
        <w:right w:val="none" w:sz="0" w:space="0" w:color="auto"/>
      </w:divBdr>
    </w:div>
    <w:div w:id="46298859">
      <w:bodyDiv w:val="1"/>
      <w:marLeft w:val="0"/>
      <w:marRight w:val="0"/>
      <w:marTop w:val="0"/>
      <w:marBottom w:val="0"/>
      <w:divBdr>
        <w:top w:val="none" w:sz="0" w:space="0" w:color="auto"/>
        <w:left w:val="none" w:sz="0" w:space="0" w:color="auto"/>
        <w:bottom w:val="none" w:sz="0" w:space="0" w:color="auto"/>
        <w:right w:val="none" w:sz="0" w:space="0" w:color="auto"/>
      </w:divBdr>
    </w:div>
    <w:div w:id="46299388">
      <w:bodyDiv w:val="1"/>
      <w:marLeft w:val="0"/>
      <w:marRight w:val="0"/>
      <w:marTop w:val="0"/>
      <w:marBottom w:val="0"/>
      <w:divBdr>
        <w:top w:val="none" w:sz="0" w:space="0" w:color="auto"/>
        <w:left w:val="none" w:sz="0" w:space="0" w:color="auto"/>
        <w:bottom w:val="none" w:sz="0" w:space="0" w:color="auto"/>
        <w:right w:val="none" w:sz="0" w:space="0" w:color="auto"/>
      </w:divBdr>
    </w:div>
    <w:div w:id="49232032">
      <w:bodyDiv w:val="1"/>
      <w:marLeft w:val="0"/>
      <w:marRight w:val="0"/>
      <w:marTop w:val="0"/>
      <w:marBottom w:val="0"/>
      <w:divBdr>
        <w:top w:val="none" w:sz="0" w:space="0" w:color="auto"/>
        <w:left w:val="none" w:sz="0" w:space="0" w:color="auto"/>
        <w:bottom w:val="none" w:sz="0" w:space="0" w:color="auto"/>
        <w:right w:val="none" w:sz="0" w:space="0" w:color="auto"/>
      </w:divBdr>
    </w:div>
    <w:div w:id="76751852">
      <w:bodyDiv w:val="1"/>
      <w:marLeft w:val="0"/>
      <w:marRight w:val="0"/>
      <w:marTop w:val="0"/>
      <w:marBottom w:val="0"/>
      <w:divBdr>
        <w:top w:val="none" w:sz="0" w:space="0" w:color="auto"/>
        <w:left w:val="none" w:sz="0" w:space="0" w:color="auto"/>
        <w:bottom w:val="none" w:sz="0" w:space="0" w:color="auto"/>
        <w:right w:val="none" w:sz="0" w:space="0" w:color="auto"/>
      </w:divBdr>
    </w:div>
    <w:div w:id="85537543">
      <w:bodyDiv w:val="1"/>
      <w:marLeft w:val="0"/>
      <w:marRight w:val="0"/>
      <w:marTop w:val="0"/>
      <w:marBottom w:val="0"/>
      <w:divBdr>
        <w:top w:val="none" w:sz="0" w:space="0" w:color="auto"/>
        <w:left w:val="none" w:sz="0" w:space="0" w:color="auto"/>
        <w:bottom w:val="none" w:sz="0" w:space="0" w:color="auto"/>
        <w:right w:val="none" w:sz="0" w:space="0" w:color="auto"/>
      </w:divBdr>
    </w:div>
    <w:div w:id="85732720">
      <w:bodyDiv w:val="1"/>
      <w:marLeft w:val="0"/>
      <w:marRight w:val="0"/>
      <w:marTop w:val="0"/>
      <w:marBottom w:val="0"/>
      <w:divBdr>
        <w:top w:val="none" w:sz="0" w:space="0" w:color="auto"/>
        <w:left w:val="none" w:sz="0" w:space="0" w:color="auto"/>
        <w:bottom w:val="none" w:sz="0" w:space="0" w:color="auto"/>
        <w:right w:val="none" w:sz="0" w:space="0" w:color="auto"/>
      </w:divBdr>
    </w:div>
    <w:div w:id="92822069">
      <w:bodyDiv w:val="1"/>
      <w:marLeft w:val="0"/>
      <w:marRight w:val="0"/>
      <w:marTop w:val="0"/>
      <w:marBottom w:val="0"/>
      <w:divBdr>
        <w:top w:val="none" w:sz="0" w:space="0" w:color="auto"/>
        <w:left w:val="none" w:sz="0" w:space="0" w:color="auto"/>
        <w:bottom w:val="none" w:sz="0" w:space="0" w:color="auto"/>
        <w:right w:val="none" w:sz="0" w:space="0" w:color="auto"/>
      </w:divBdr>
    </w:div>
    <w:div w:id="110589118">
      <w:bodyDiv w:val="1"/>
      <w:marLeft w:val="0"/>
      <w:marRight w:val="0"/>
      <w:marTop w:val="0"/>
      <w:marBottom w:val="0"/>
      <w:divBdr>
        <w:top w:val="none" w:sz="0" w:space="0" w:color="auto"/>
        <w:left w:val="none" w:sz="0" w:space="0" w:color="auto"/>
        <w:bottom w:val="none" w:sz="0" w:space="0" w:color="auto"/>
        <w:right w:val="none" w:sz="0" w:space="0" w:color="auto"/>
      </w:divBdr>
    </w:div>
    <w:div w:id="152140050">
      <w:bodyDiv w:val="1"/>
      <w:marLeft w:val="0"/>
      <w:marRight w:val="0"/>
      <w:marTop w:val="0"/>
      <w:marBottom w:val="0"/>
      <w:divBdr>
        <w:top w:val="none" w:sz="0" w:space="0" w:color="auto"/>
        <w:left w:val="none" w:sz="0" w:space="0" w:color="auto"/>
        <w:bottom w:val="none" w:sz="0" w:space="0" w:color="auto"/>
        <w:right w:val="none" w:sz="0" w:space="0" w:color="auto"/>
      </w:divBdr>
    </w:div>
    <w:div w:id="179124271">
      <w:bodyDiv w:val="1"/>
      <w:marLeft w:val="0"/>
      <w:marRight w:val="0"/>
      <w:marTop w:val="0"/>
      <w:marBottom w:val="0"/>
      <w:divBdr>
        <w:top w:val="none" w:sz="0" w:space="0" w:color="auto"/>
        <w:left w:val="none" w:sz="0" w:space="0" w:color="auto"/>
        <w:bottom w:val="none" w:sz="0" w:space="0" w:color="auto"/>
        <w:right w:val="none" w:sz="0" w:space="0" w:color="auto"/>
      </w:divBdr>
    </w:div>
    <w:div w:id="188489609">
      <w:bodyDiv w:val="1"/>
      <w:marLeft w:val="0"/>
      <w:marRight w:val="0"/>
      <w:marTop w:val="0"/>
      <w:marBottom w:val="0"/>
      <w:divBdr>
        <w:top w:val="none" w:sz="0" w:space="0" w:color="auto"/>
        <w:left w:val="none" w:sz="0" w:space="0" w:color="auto"/>
        <w:bottom w:val="none" w:sz="0" w:space="0" w:color="auto"/>
        <w:right w:val="none" w:sz="0" w:space="0" w:color="auto"/>
      </w:divBdr>
    </w:div>
    <w:div w:id="196627797">
      <w:bodyDiv w:val="1"/>
      <w:marLeft w:val="0"/>
      <w:marRight w:val="0"/>
      <w:marTop w:val="0"/>
      <w:marBottom w:val="0"/>
      <w:divBdr>
        <w:top w:val="none" w:sz="0" w:space="0" w:color="auto"/>
        <w:left w:val="none" w:sz="0" w:space="0" w:color="auto"/>
        <w:bottom w:val="none" w:sz="0" w:space="0" w:color="auto"/>
        <w:right w:val="none" w:sz="0" w:space="0" w:color="auto"/>
      </w:divBdr>
    </w:div>
    <w:div w:id="211040454">
      <w:bodyDiv w:val="1"/>
      <w:marLeft w:val="0"/>
      <w:marRight w:val="0"/>
      <w:marTop w:val="0"/>
      <w:marBottom w:val="0"/>
      <w:divBdr>
        <w:top w:val="none" w:sz="0" w:space="0" w:color="auto"/>
        <w:left w:val="none" w:sz="0" w:space="0" w:color="auto"/>
        <w:bottom w:val="none" w:sz="0" w:space="0" w:color="auto"/>
        <w:right w:val="none" w:sz="0" w:space="0" w:color="auto"/>
      </w:divBdr>
    </w:div>
    <w:div w:id="219563073">
      <w:bodyDiv w:val="1"/>
      <w:marLeft w:val="0"/>
      <w:marRight w:val="0"/>
      <w:marTop w:val="0"/>
      <w:marBottom w:val="0"/>
      <w:divBdr>
        <w:top w:val="none" w:sz="0" w:space="0" w:color="auto"/>
        <w:left w:val="none" w:sz="0" w:space="0" w:color="auto"/>
        <w:bottom w:val="none" w:sz="0" w:space="0" w:color="auto"/>
        <w:right w:val="none" w:sz="0" w:space="0" w:color="auto"/>
      </w:divBdr>
    </w:div>
    <w:div w:id="240530531">
      <w:bodyDiv w:val="1"/>
      <w:marLeft w:val="0"/>
      <w:marRight w:val="0"/>
      <w:marTop w:val="0"/>
      <w:marBottom w:val="0"/>
      <w:divBdr>
        <w:top w:val="none" w:sz="0" w:space="0" w:color="auto"/>
        <w:left w:val="none" w:sz="0" w:space="0" w:color="auto"/>
        <w:bottom w:val="none" w:sz="0" w:space="0" w:color="auto"/>
        <w:right w:val="none" w:sz="0" w:space="0" w:color="auto"/>
      </w:divBdr>
    </w:div>
    <w:div w:id="252327484">
      <w:bodyDiv w:val="1"/>
      <w:marLeft w:val="0"/>
      <w:marRight w:val="0"/>
      <w:marTop w:val="0"/>
      <w:marBottom w:val="0"/>
      <w:divBdr>
        <w:top w:val="none" w:sz="0" w:space="0" w:color="auto"/>
        <w:left w:val="none" w:sz="0" w:space="0" w:color="auto"/>
        <w:bottom w:val="none" w:sz="0" w:space="0" w:color="auto"/>
        <w:right w:val="none" w:sz="0" w:space="0" w:color="auto"/>
      </w:divBdr>
    </w:div>
    <w:div w:id="281960192">
      <w:bodyDiv w:val="1"/>
      <w:marLeft w:val="0"/>
      <w:marRight w:val="0"/>
      <w:marTop w:val="0"/>
      <w:marBottom w:val="0"/>
      <w:divBdr>
        <w:top w:val="none" w:sz="0" w:space="0" w:color="auto"/>
        <w:left w:val="none" w:sz="0" w:space="0" w:color="auto"/>
        <w:bottom w:val="none" w:sz="0" w:space="0" w:color="auto"/>
        <w:right w:val="none" w:sz="0" w:space="0" w:color="auto"/>
      </w:divBdr>
    </w:div>
    <w:div w:id="285695682">
      <w:bodyDiv w:val="1"/>
      <w:marLeft w:val="0"/>
      <w:marRight w:val="0"/>
      <w:marTop w:val="0"/>
      <w:marBottom w:val="0"/>
      <w:divBdr>
        <w:top w:val="none" w:sz="0" w:space="0" w:color="auto"/>
        <w:left w:val="none" w:sz="0" w:space="0" w:color="auto"/>
        <w:bottom w:val="none" w:sz="0" w:space="0" w:color="auto"/>
        <w:right w:val="none" w:sz="0" w:space="0" w:color="auto"/>
      </w:divBdr>
    </w:div>
    <w:div w:id="302778280">
      <w:bodyDiv w:val="1"/>
      <w:marLeft w:val="0"/>
      <w:marRight w:val="0"/>
      <w:marTop w:val="0"/>
      <w:marBottom w:val="0"/>
      <w:divBdr>
        <w:top w:val="none" w:sz="0" w:space="0" w:color="auto"/>
        <w:left w:val="none" w:sz="0" w:space="0" w:color="auto"/>
        <w:bottom w:val="none" w:sz="0" w:space="0" w:color="auto"/>
        <w:right w:val="none" w:sz="0" w:space="0" w:color="auto"/>
      </w:divBdr>
    </w:div>
    <w:div w:id="324819008">
      <w:bodyDiv w:val="1"/>
      <w:marLeft w:val="0"/>
      <w:marRight w:val="0"/>
      <w:marTop w:val="0"/>
      <w:marBottom w:val="0"/>
      <w:divBdr>
        <w:top w:val="none" w:sz="0" w:space="0" w:color="auto"/>
        <w:left w:val="none" w:sz="0" w:space="0" w:color="auto"/>
        <w:bottom w:val="none" w:sz="0" w:space="0" w:color="auto"/>
        <w:right w:val="none" w:sz="0" w:space="0" w:color="auto"/>
      </w:divBdr>
    </w:div>
    <w:div w:id="330570447">
      <w:bodyDiv w:val="1"/>
      <w:marLeft w:val="0"/>
      <w:marRight w:val="0"/>
      <w:marTop w:val="0"/>
      <w:marBottom w:val="0"/>
      <w:divBdr>
        <w:top w:val="none" w:sz="0" w:space="0" w:color="auto"/>
        <w:left w:val="none" w:sz="0" w:space="0" w:color="auto"/>
        <w:bottom w:val="none" w:sz="0" w:space="0" w:color="auto"/>
        <w:right w:val="none" w:sz="0" w:space="0" w:color="auto"/>
      </w:divBdr>
    </w:div>
    <w:div w:id="374432079">
      <w:bodyDiv w:val="1"/>
      <w:marLeft w:val="0"/>
      <w:marRight w:val="0"/>
      <w:marTop w:val="0"/>
      <w:marBottom w:val="0"/>
      <w:divBdr>
        <w:top w:val="none" w:sz="0" w:space="0" w:color="auto"/>
        <w:left w:val="none" w:sz="0" w:space="0" w:color="auto"/>
        <w:bottom w:val="none" w:sz="0" w:space="0" w:color="auto"/>
        <w:right w:val="none" w:sz="0" w:space="0" w:color="auto"/>
      </w:divBdr>
    </w:div>
    <w:div w:id="389498186">
      <w:bodyDiv w:val="1"/>
      <w:marLeft w:val="0"/>
      <w:marRight w:val="0"/>
      <w:marTop w:val="0"/>
      <w:marBottom w:val="0"/>
      <w:divBdr>
        <w:top w:val="none" w:sz="0" w:space="0" w:color="auto"/>
        <w:left w:val="none" w:sz="0" w:space="0" w:color="auto"/>
        <w:bottom w:val="none" w:sz="0" w:space="0" w:color="auto"/>
        <w:right w:val="none" w:sz="0" w:space="0" w:color="auto"/>
      </w:divBdr>
    </w:div>
    <w:div w:id="400643416">
      <w:bodyDiv w:val="1"/>
      <w:marLeft w:val="0"/>
      <w:marRight w:val="0"/>
      <w:marTop w:val="0"/>
      <w:marBottom w:val="0"/>
      <w:divBdr>
        <w:top w:val="none" w:sz="0" w:space="0" w:color="auto"/>
        <w:left w:val="none" w:sz="0" w:space="0" w:color="auto"/>
        <w:bottom w:val="none" w:sz="0" w:space="0" w:color="auto"/>
        <w:right w:val="none" w:sz="0" w:space="0" w:color="auto"/>
      </w:divBdr>
    </w:div>
    <w:div w:id="404038184">
      <w:bodyDiv w:val="1"/>
      <w:marLeft w:val="0"/>
      <w:marRight w:val="0"/>
      <w:marTop w:val="0"/>
      <w:marBottom w:val="0"/>
      <w:divBdr>
        <w:top w:val="none" w:sz="0" w:space="0" w:color="auto"/>
        <w:left w:val="none" w:sz="0" w:space="0" w:color="auto"/>
        <w:bottom w:val="none" w:sz="0" w:space="0" w:color="auto"/>
        <w:right w:val="none" w:sz="0" w:space="0" w:color="auto"/>
      </w:divBdr>
    </w:div>
    <w:div w:id="406732050">
      <w:bodyDiv w:val="1"/>
      <w:marLeft w:val="0"/>
      <w:marRight w:val="0"/>
      <w:marTop w:val="0"/>
      <w:marBottom w:val="0"/>
      <w:divBdr>
        <w:top w:val="none" w:sz="0" w:space="0" w:color="auto"/>
        <w:left w:val="none" w:sz="0" w:space="0" w:color="auto"/>
        <w:bottom w:val="none" w:sz="0" w:space="0" w:color="auto"/>
        <w:right w:val="none" w:sz="0" w:space="0" w:color="auto"/>
      </w:divBdr>
    </w:div>
    <w:div w:id="418405496">
      <w:bodyDiv w:val="1"/>
      <w:marLeft w:val="0"/>
      <w:marRight w:val="0"/>
      <w:marTop w:val="0"/>
      <w:marBottom w:val="0"/>
      <w:divBdr>
        <w:top w:val="none" w:sz="0" w:space="0" w:color="auto"/>
        <w:left w:val="none" w:sz="0" w:space="0" w:color="auto"/>
        <w:bottom w:val="none" w:sz="0" w:space="0" w:color="auto"/>
        <w:right w:val="none" w:sz="0" w:space="0" w:color="auto"/>
      </w:divBdr>
    </w:div>
    <w:div w:id="419567953">
      <w:bodyDiv w:val="1"/>
      <w:marLeft w:val="0"/>
      <w:marRight w:val="0"/>
      <w:marTop w:val="0"/>
      <w:marBottom w:val="0"/>
      <w:divBdr>
        <w:top w:val="none" w:sz="0" w:space="0" w:color="auto"/>
        <w:left w:val="none" w:sz="0" w:space="0" w:color="auto"/>
        <w:bottom w:val="none" w:sz="0" w:space="0" w:color="auto"/>
        <w:right w:val="none" w:sz="0" w:space="0" w:color="auto"/>
      </w:divBdr>
    </w:div>
    <w:div w:id="429593952">
      <w:bodyDiv w:val="1"/>
      <w:marLeft w:val="0"/>
      <w:marRight w:val="0"/>
      <w:marTop w:val="0"/>
      <w:marBottom w:val="0"/>
      <w:divBdr>
        <w:top w:val="none" w:sz="0" w:space="0" w:color="auto"/>
        <w:left w:val="none" w:sz="0" w:space="0" w:color="auto"/>
        <w:bottom w:val="none" w:sz="0" w:space="0" w:color="auto"/>
        <w:right w:val="none" w:sz="0" w:space="0" w:color="auto"/>
      </w:divBdr>
    </w:div>
    <w:div w:id="449982068">
      <w:bodyDiv w:val="1"/>
      <w:marLeft w:val="0"/>
      <w:marRight w:val="0"/>
      <w:marTop w:val="0"/>
      <w:marBottom w:val="0"/>
      <w:divBdr>
        <w:top w:val="none" w:sz="0" w:space="0" w:color="auto"/>
        <w:left w:val="none" w:sz="0" w:space="0" w:color="auto"/>
        <w:bottom w:val="none" w:sz="0" w:space="0" w:color="auto"/>
        <w:right w:val="none" w:sz="0" w:space="0" w:color="auto"/>
      </w:divBdr>
    </w:div>
    <w:div w:id="468591494">
      <w:bodyDiv w:val="1"/>
      <w:marLeft w:val="0"/>
      <w:marRight w:val="0"/>
      <w:marTop w:val="0"/>
      <w:marBottom w:val="0"/>
      <w:divBdr>
        <w:top w:val="none" w:sz="0" w:space="0" w:color="auto"/>
        <w:left w:val="none" w:sz="0" w:space="0" w:color="auto"/>
        <w:bottom w:val="none" w:sz="0" w:space="0" w:color="auto"/>
        <w:right w:val="none" w:sz="0" w:space="0" w:color="auto"/>
      </w:divBdr>
    </w:div>
    <w:div w:id="472139491">
      <w:bodyDiv w:val="1"/>
      <w:marLeft w:val="0"/>
      <w:marRight w:val="0"/>
      <w:marTop w:val="0"/>
      <w:marBottom w:val="0"/>
      <w:divBdr>
        <w:top w:val="none" w:sz="0" w:space="0" w:color="auto"/>
        <w:left w:val="none" w:sz="0" w:space="0" w:color="auto"/>
        <w:bottom w:val="none" w:sz="0" w:space="0" w:color="auto"/>
        <w:right w:val="none" w:sz="0" w:space="0" w:color="auto"/>
      </w:divBdr>
    </w:div>
    <w:div w:id="473379322">
      <w:bodyDiv w:val="1"/>
      <w:marLeft w:val="0"/>
      <w:marRight w:val="0"/>
      <w:marTop w:val="0"/>
      <w:marBottom w:val="0"/>
      <w:divBdr>
        <w:top w:val="none" w:sz="0" w:space="0" w:color="auto"/>
        <w:left w:val="none" w:sz="0" w:space="0" w:color="auto"/>
        <w:bottom w:val="none" w:sz="0" w:space="0" w:color="auto"/>
        <w:right w:val="none" w:sz="0" w:space="0" w:color="auto"/>
      </w:divBdr>
    </w:div>
    <w:div w:id="481971550">
      <w:bodyDiv w:val="1"/>
      <w:marLeft w:val="0"/>
      <w:marRight w:val="0"/>
      <w:marTop w:val="0"/>
      <w:marBottom w:val="0"/>
      <w:divBdr>
        <w:top w:val="none" w:sz="0" w:space="0" w:color="auto"/>
        <w:left w:val="none" w:sz="0" w:space="0" w:color="auto"/>
        <w:bottom w:val="none" w:sz="0" w:space="0" w:color="auto"/>
        <w:right w:val="none" w:sz="0" w:space="0" w:color="auto"/>
      </w:divBdr>
    </w:div>
    <w:div w:id="492641876">
      <w:bodyDiv w:val="1"/>
      <w:marLeft w:val="0"/>
      <w:marRight w:val="0"/>
      <w:marTop w:val="0"/>
      <w:marBottom w:val="0"/>
      <w:divBdr>
        <w:top w:val="none" w:sz="0" w:space="0" w:color="auto"/>
        <w:left w:val="none" w:sz="0" w:space="0" w:color="auto"/>
        <w:bottom w:val="none" w:sz="0" w:space="0" w:color="auto"/>
        <w:right w:val="none" w:sz="0" w:space="0" w:color="auto"/>
      </w:divBdr>
    </w:div>
    <w:div w:id="503475819">
      <w:bodyDiv w:val="1"/>
      <w:marLeft w:val="0"/>
      <w:marRight w:val="0"/>
      <w:marTop w:val="0"/>
      <w:marBottom w:val="0"/>
      <w:divBdr>
        <w:top w:val="none" w:sz="0" w:space="0" w:color="auto"/>
        <w:left w:val="none" w:sz="0" w:space="0" w:color="auto"/>
        <w:bottom w:val="none" w:sz="0" w:space="0" w:color="auto"/>
        <w:right w:val="none" w:sz="0" w:space="0" w:color="auto"/>
      </w:divBdr>
    </w:div>
    <w:div w:id="508644556">
      <w:bodyDiv w:val="1"/>
      <w:marLeft w:val="0"/>
      <w:marRight w:val="0"/>
      <w:marTop w:val="0"/>
      <w:marBottom w:val="0"/>
      <w:divBdr>
        <w:top w:val="none" w:sz="0" w:space="0" w:color="auto"/>
        <w:left w:val="none" w:sz="0" w:space="0" w:color="auto"/>
        <w:bottom w:val="none" w:sz="0" w:space="0" w:color="auto"/>
        <w:right w:val="none" w:sz="0" w:space="0" w:color="auto"/>
      </w:divBdr>
    </w:div>
    <w:div w:id="517156632">
      <w:bodyDiv w:val="1"/>
      <w:marLeft w:val="0"/>
      <w:marRight w:val="0"/>
      <w:marTop w:val="0"/>
      <w:marBottom w:val="0"/>
      <w:divBdr>
        <w:top w:val="none" w:sz="0" w:space="0" w:color="auto"/>
        <w:left w:val="none" w:sz="0" w:space="0" w:color="auto"/>
        <w:bottom w:val="none" w:sz="0" w:space="0" w:color="auto"/>
        <w:right w:val="none" w:sz="0" w:space="0" w:color="auto"/>
      </w:divBdr>
    </w:div>
    <w:div w:id="538129959">
      <w:bodyDiv w:val="1"/>
      <w:marLeft w:val="0"/>
      <w:marRight w:val="0"/>
      <w:marTop w:val="0"/>
      <w:marBottom w:val="0"/>
      <w:divBdr>
        <w:top w:val="none" w:sz="0" w:space="0" w:color="auto"/>
        <w:left w:val="none" w:sz="0" w:space="0" w:color="auto"/>
        <w:bottom w:val="none" w:sz="0" w:space="0" w:color="auto"/>
        <w:right w:val="none" w:sz="0" w:space="0" w:color="auto"/>
      </w:divBdr>
    </w:div>
    <w:div w:id="539972291">
      <w:bodyDiv w:val="1"/>
      <w:marLeft w:val="0"/>
      <w:marRight w:val="0"/>
      <w:marTop w:val="0"/>
      <w:marBottom w:val="0"/>
      <w:divBdr>
        <w:top w:val="none" w:sz="0" w:space="0" w:color="auto"/>
        <w:left w:val="none" w:sz="0" w:space="0" w:color="auto"/>
        <w:bottom w:val="none" w:sz="0" w:space="0" w:color="auto"/>
        <w:right w:val="none" w:sz="0" w:space="0" w:color="auto"/>
      </w:divBdr>
    </w:div>
    <w:div w:id="558513628">
      <w:bodyDiv w:val="1"/>
      <w:marLeft w:val="0"/>
      <w:marRight w:val="0"/>
      <w:marTop w:val="0"/>
      <w:marBottom w:val="0"/>
      <w:divBdr>
        <w:top w:val="none" w:sz="0" w:space="0" w:color="auto"/>
        <w:left w:val="none" w:sz="0" w:space="0" w:color="auto"/>
        <w:bottom w:val="none" w:sz="0" w:space="0" w:color="auto"/>
        <w:right w:val="none" w:sz="0" w:space="0" w:color="auto"/>
      </w:divBdr>
    </w:div>
    <w:div w:id="580022804">
      <w:bodyDiv w:val="1"/>
      <w:marLeft w:val="0"/>
      <w:marRight w:val="0"/>
      <w:marTop w:val="0"/>
      <w:marBottom w:val="0"/>
      <w:divBdr>
        <w:top w:val="none" w:sz="0" w:space="0" w:color="auto"/>
        <w:left w:val="none" w:sz="0" w:space="0" w:color="auto"/>
        <w:bottom w:val="none" w:sz="0" w:space="0" w:color="auto"/>
        <w:right w:val="none" w:sz="0" w:space="0" w:color="auto"/>
      </w:divBdr>
    </w:div>
    <w:div w:id="582842041">
      <w:bodyDiv w:val="1"/>
      <w:marLeft w:val="0"/>
      <w:marRight w:val="0"/>
      <w:marTop w:val="0"/>
      <w:marBottom w:val="0"/>
      <w:divBdr>
        <w:top w:val="none" w:sz="0" w:space="0" w:color="auto"/>
        <w:left w:val="none" w:sz="0" w:space="0" w:color="auto"/>
        <w:bottom w:val="none" w:sz="0" w:space="0" w:color="auto"/>
        <w:right w:val="none" w:sz="0" w:space="0" w:color="auto"/>
      </w:divBdr>
    </w:div>
    <w:div w:id="626202176">
      <w:bodyDiv w:val="1"/>
      <w:marLeft w:val="0"/>
      <w:marRight w:val="0"/>
      <w:marTop w:val="0"/>
      <w:marBottom w:val="0"/>
      <w:divBdr>
        <w:top w:val="none" w:sz="0" w:space="0" w:color="auto"/>
        <w:left w:val="none" w:sz="0" w:space="0" w:color="auto"/>
        <w:bottom w:val="none" w:sz="0" w:space="0" w:color="auto"/>
        <w:right w:val="none" w:sz="0" w:space="0" w:color="auto"/>
      </w:divBdr>
    </w:div>
    <w:div w:id="626811878">
      <w:bodyDiv w:val="1"/>
      <w:marLeft w:val="0"/>
      <w:marRight w:val="0"/>
      <w:marTop w:val="0"/>
      <w:marBottom w:val="0"/>
      <w:divBdr>
        <w:top w:val="none" w:sz="0" w:space="0" w:color="auto"/>
        <w:left w:val="none" w:sz="0" w:space="0" w:color="auto"/>
        <w:bottom w:val="none" w:sz="0" w:space="0" w:color="auto"/>
        <w:right w:val="none" w:sz="0" w:space="0" w:color="auto"/>
      </w:divBdr>
    </w:div>
    <w:div w:id="635060924">
      <w:bodyDiv w:val="1"/>
      <w:marLeft w:val="0"/>
      <w:marRight w:val="0"/>
      <w:marTop w:val="0"/>
      <w:marBottom w:val="0"/>
      <w:divBdr>
        <w:top w:val="none" w:sz="0" w:space="0" w:color="auto"/>
        <w:left w:val="none" w:sz="0" w:space="0" w:color="auto"/>
        <w:bottom w:val="none" w:sz="0" w:space="0" w:color="auto"/>
        <w:right w:val="none" w:sz="0" w:space="0" w:color="auto"/>
      </w:divBdr>
    </w:div>
    <w:div w:id="637809011">
      <w:bodyDiv w:val="1"/>
      <w:marLeft w:val="0"/>
      <w:marRight w:val="0"/>
      <w:marTop w:val="0"/>
      <w:marBottom w:val="0"/>
      <w:divBdr>
        <w:top w:val="none" w:sz="0" w:space="0" w:color="auto"/>
        <w:left w:val="none" w:sz="0" w:space="0" w:color="auto"/>
        <w:bottom w:val="none" w:sz="0" w:space="0" w:color="auto"/>
        <w:right w:val="none" w:sz="0" w:space="0" w:color="auto"/>
      </w:divBdr>
    </w:div>
    <w:div w:id="639190198">
      <w:bodyDiv w:val="1"/>
      <w:marLeft w:val="0"/>
      <w:marRight w:val="0"/>
      <w:marTop w:val="0"/>
      <w:marBottom w:val="0"/>
      <w:divBdr>
        <w:top w:val="none" w:sz="0" w:space="0" w:color="auto"/>
        <w:left w:val="none" w:sz="0" w:space="0" w:color="auto"/>
        <w:bottom w:val="none" w:sz="0" w:space="0" w:color="auto"/>
        <w:right w:val="none" w:sz="0" w:space="0" w:color="auto"/>
      </w:divBdr>
    </w:div>
    <w:div w:id="639264799">
      <w:bodyDiv w:val="1"/>
      <w:marLeft w:val="0"/>
      <w:marRight w:val="0"/>
      <w:marTop w:val="0"/>
      <w:marBottom w:val="0"/>
      <w:divBdr>
        <w:top w:val="none" w:sz="0" w:space="0" w:color="auto"/>
        <w:left w:val="none" w:sz="0" w:space="0" w:color="auto"/>
        <w:bottom w:val="none" w:sz="0" w:space="0" w:color="auto"/>
        <w:right w:val="none" w:sz="0" w:space="0" w:color="auto"/>
      </w:divBdr>
    </w:div>
    <w:div w:id="642731348">
      <w:bodyDiv w:val="1"/>
      <w:marLeft w:val="0"/>
      <w:marRight w:val="0"/>
      <w:marTop w:val="0"/>
      <w:marBottom w:val="0"/>
      <w:divBdr>
        <w:top w:val="none" w:sz="0" w:space="0" w:color="auto"/>
        <w:left w:val="none" w:sz="0" w:space="0" w:color="auto"/>
        <w:bottom w:val="none" w:sz="0" w:space="0" w:color="auto"/>
        <w:right w:val="none" w:sz="0" w:space="0" w:color="auto"/>
      </w:divBdr>
    </w:div>
    <w:div w:id="668992045">
      <w:bodyDiv w:val="1"/>
      <w:marLeft w:val="0"/>
      <w:marRight w:val="0"/>
      <w:marTop w:val="0"/>
      <w:marBottom w:val="0"/>
      <w:divBdr>
        <w:top w:val="none" w:sz="0" w:space="0" w:color="auto"/>
        <w:left w:val="none" w:sz="0" w:space="0" w:color="auto"/>
        <w:bottom w:val="none" w:sz="0" w:space="0" w:color="auto"/>
        <w:right w:val="none" w:sz="0" w:space="0" w:color="auto"/>
      </w:divBdr>
    </w:div>
    <w:div w:id="680162974">
      <w:bodyDiv w:val="1"/>
      <w:marLeft w:val="0"/>
      <w:marRight w:val="0"/>
      <w:marTop w:val="0"/>
      <w:marBottom w:val="0"/>
      <w:divBdr>
        <w:top w:val="none" w:sz="0" w:space="0" w:color="auto"/>
        <w:left w:val="none" w:sz="0" w:space="0" w:color="auto"/>
        <w:bottom w:val="none" w:sz="0" w:space="0" w:color="auto"/>
        <w:right w:val="none" w:sz="0" w:space="0" w:color="auto"/>
      </w:divBdr>
    </w:div>
    <w:div w:id="699012486">
      <w:bodyDiv w:val="1"/>
      <w:marLeft w:val="0"/>
      <w:marRight w:val="0"/>
      <w:marTop w:val="0"/>
      <w:marBottom w:val="0"/>
      <w:divBdr>
        <w:top w:val="none" w:sz="0" w:space="0" w:color="auto"/>
        <w:left w:val="none" w:sz="0" w:space="0" w:color="auto"/>
        <w:bottom w:val="none" w:sz="0" w:space="0" w:color="auto"/>
        <w:right w:val="none" w:sz="0" w:space="0" w:color="auto"/>
      </w:divBdr>
    </w:div>
    <w:div w:id="720129798">
      <w:bodyDiv w:val="1"/>
      <w:marLeft w:val="0"/>
      <w:marRight w:val="0"/>
      <w:marTop w:val="0"/>
      <w:marBottom w:val="0"/>
      <w:divBdr>
        <w:top w:val="none" w:sz="0" w:space="0" w:color="auto"/>
        <w:left w:val="none" w:sz="0" w:space="0" w:color="auto"/>
        <w:bottom w:val="none" w:sz="0" w:space="0" w:color="auto"/>
        <w:right w:val="none" w:sz="0" w:space="0" w:color="auto"/>
      </w:divBdr>
    </w:div>
    <w:div w:id="728848065">
      <w:bodyDiv w:val="1"/>
      <w:marLeft w:val="0"/>
      <w:marRight w:val="0"/>
      <w:marTop w:val="0"/>
      <w:marBottom w:val="0"/>
      <w:divBdr>
        <w:top w:val="none" w:sz="0" w:space="0" w:color="auto"/>
        <w:left w:val="none" w:sz="0" w:space="0" w:color="auto"/>
        <w:bottom w:val="none" w:sz="0" w:space="0" w:color="auto"/>
        <w:right w:val="none" w:sz="0" w:space="0" w:color="auto"/>
      </w:divBdr>
    </w:div>
    <w:div w:id="731805611">
      <w:bodyDiv w:val="1"/>
      <w:marLeft w:val="0"/>
      <w:marRight w:val="0"/>
      <w:marTop w:val="0"/>
      <w:marBottom w:val="0"/>
      <w:divBdr>
        <w:top w:val="none" w:sz="0" w:space="0" w:color="auto"/>
        <w:left w:val="none" w:sz="0" w:space="0" w:color="auto"/>
        <w:bottom w:val="none" w:sz="0" w:space="0" w:color="auto"/>
        <w:right w:val="none" w:sz="0" w:space="0" w:color="auto"/>
      </w:divBdr>
    </w:div>
    <w:div w:id="758647397">
      <w:bodyDiv w:val="1"/>
      <w:marLeft w:val="0"/>
      <w:marRight w:val="0"/>
      <w:marTop w:val="0"/>
      <w:marBottom w:val="0"/>
      <w:divBdr>
        <w:top w:val="none" w:sz="0" w:space="0" w:color="auto"/>
        <w:left w:val="none" w:sz="0" w:space="0" w:color="auto"/>
        <w:bottom w:val="none" w:sz="0" w:space="0" w:color="auto"/>
        <w:right w:val="none" w:sz="0" w:space="0" w:color="auto"/>
      </w:divBdr>
    </w:div>
    <w:div w:id="777261701">
      <w:bodyDiv w:val="1"/>
      <w:marLeft w:val="0"/>
      <w:marRight w:val="0"/>
      <w:marTop w:val="0"/>
      <w:marBottom w:val="0"/>
      <w:divBdr>
        <w:top w:val="none" w:sz="0" w:space="0" w:color="auto"/>
        <w:left w:val="none" w:sz="0" w:space="0" w:color="auto"/>
        <w:bottom w:val="none" w:sz="0" w:space="0" w:color="auto"/>
        <w:right w:val="none" w:sz="0" w:space="0" w:color="auto"/>
      </w:divBdr>
    </w:div>
    <w:div w:id="784926996">
      <w:bodyDiv w:val="1"/>
      <w:marLeft w:val="0"/>
      <w:marRight w:val="0"/>
      <w:marTop w:val="0"/>
      <w:marBottom w:val="0"/>
      <w:divBdr>
        <w:top w:val="none" w:sz="0" w:space="0" w:color="auto"/>
        <w:left w:val="none" w:sz="0" w:space="0" w:color="auto"/>
        <w:bottom w:val="none" w:sz="0" w:space="0" w:color="auto"/>
        <w:right w:val="none" w:sz="0" w:space="0" w:color="auto"/>
      </w:divBdr>
    </w:div>
    <w:div w:id="815533701">
      <w:bodyDiv w:val="1"/>
      <w:marLeft w:val="0"/>
      <w:marRight w:val="0"/>
      <w:marTop w:val="0"/>
      <w:marBottom w:val="0"/>
      <w:divBdr>
        <w:top w:val="none" w:sz="0" w:space="0" w:color="auto"/>
        <w:left w:val="none" w:sz="0" w:space="0" w:color="auto"/>
        <w:bottom w:val="none" w:sz="0" w:space="0" w:color="auto"/>
        <w:right w:val="none" w:sz="0" w:space="0" w:color="auto"/>
      </w:divBdr>
    </w:div>
    <w:div w:id="823132537">
      <w:bodyDiv w:val="1"/>
      <w:marLeft w:val="0"/>
      <w:marRight w:val="0"/>
      <w:marTop w:val="0"/>
      <w:marBottom w:val="0"/>
      <w:divBdr>
        <w:top w:val="none" w:sz="0" w:space="0" w:color="auto"/>
        <w:left w:val="none" w:sz="0" w:space="0" w:color="auto"/>
        <w:bottom w:val="none" w:sz="0" w:space="0" w:color="auto"/>
        <w:right w:val="none" w:sz="0" w:space="0" w:color="auto"/>
      </w:divBdr>
    </w:div>
    <w:div w:id="826556235">
      <w:bodyDiv w:val="1"/>
      <w:marLeft w:val="0"/>
      <w:marRight w:val="0"/>
      <w:marTop w:val="0"/>
      <w:marBottom w:val="0"/>
      <w:divBdr>
        <w:top w:val="none" w:sz="0" w:space="0" w:color="auto"/>
        <w:left w:val="none" w:sz="0" w:space="0" w:color="auto"/>
        <w:bottom w:val="none" w:sz="0" w:space="0" w:color="auto"/>
        <w:right w:val="none" w:sz="0" w:space="0" w:color="auto"/>
      </w:divBdr>
    </w:div>
    <w:div w:id="843932345">
      <w:bodyDiv w:val="1"/>
      <w:marLeft w:val="0"/>
      <w:marRight w:val="0"/>
      <w:marTop w:val="0"/>
      <w:marBottom w:val="0"/>
      <w:divBdr>
        <w:top w:val="none" w:sz="0" w:space="0" w:color="auto"/>
        <w:left w:val="none" w:sz="0" w:space="0" w:color="auto"/>
        <w:bottom w:val="none" w:sz="0" w:space="0" w:color="auto"/>
        <w:right w:val="none" w:sz="0" w:space="0" w:color="auto"/>
      </w:divBdr>
    </w:div>
    <w:div w:id="859777499">
      <w:bodyDiv w:val="1"/>
      <w:marLeft w:val="0"/>
      <w:marRight w:val="0"/>
      <w:marTop w:val="0"/>
      <w:marBottom w:val="0"/>
      <w:divBdr>
        <w:top w:val="none" w:sz="0" w:space="0" w:color="auto"/>
        <w:left w:val="none" w:sz="0" w:space="0" w:color="auto"/>
        <w:bottom w:val="none" w:sz="0" w:space="0" w:color="auto"/>
        <w:right w:val="none" w:sz="0" w:space="0" w:color="auto"/>
      </w:divBdr>
    </w:div>
    <w:div w:id="862786765">
      <w:bodyDiv w:val="1"/>
      <w:marLeft w:val="0"/>
      <w:marRight w:val="0"/>
      <w:marTop w:val="0"/>
      <w:marBottom w:val="0"/>
      <w:divBdr>
        <w:top w:val="none" w:sz="0" w:space="0" w:color="auto"/>
        <w:left w:val="none" w:sz="0" w:space="0" w:color="auto"/>
        <w:bottom w:val="none" w:sz="0" w:space="0" w:color="auto"/>
        <w:right w:val="none" w:sz="0" w:space="0" w:color="auto"/>
      </w:divBdr>
    </w:div>
    <w:div w:id="871845392">
      <w:bodyDiv w:val="1"/>
      <w:marLeft w:val="0"/>
      <w:marRight w:val="0"/>
      <w:marTop w:val="0"/>
      <w:marBottom w:val="0"/>
      <w:divBdr>
        <w:top w:val="none" w:sz="0" w:space="0" w:color="auto"/>
        <w:left w:val="none" w:sz="0" w:space="0" w:color="auto"/>
        <w:bottom w:val="none" w:sz="0" w:space="0" w:color="auto"/>
        <w:right w:val="none" w:sz="0" w:space="0" w:color="auto"/>
      </w:divBdr>
    </w:div>
    <w:div w:id="905803458">
      <w:bodyDiv w:val="1"/>
      <w:marLeft w:val="0"/>
      <w:marRight w:val="0"/>
      <w:marTop w:val="0"/>
      <w:marBottom w:val="0"/>
      <w:divBdr>
        <w:top w:val="none" w:sz="0" w:space="0" w:color="auto"/>
        <w:left w:val="none" w:sz="0" w:space="0" w:color="auto"/>
        <w:bottom w:val="none" w:sz="0" w:space="0" w:color="auto"/>
        <w:right w:val="none" w:sz="0" w:space="0" w:color="auto"/>
      </w:divBdr>
    </w:div>
    <w:div w:id="908610710">
      <w:bodyDiv w:val="1"/>
      <w:marLeft w:val="0"/>
      <w:marRight w:val="0"/>
      <w:marTop w:val="0"/>
      <w:marBottom w:val="0"/>
      <w:divBdr>
        <w:top w:val="none" w:sz="0" w:space="0" w:color="auto"/>
        <w:left w:val="none" w:sz="0" w:space="0" w:color="auto"/>
        <w:bottom w:val="none" w:sz="0" w:space="0" w:color="auto"/>
        <w:right w:val="none" w:sz="0" w:space="0" w:color="auto"/>
      </w:divBdr>
    </w:div>
    <w:div w:id="931091702">
      <w:bodyDiv w:val="1"/>
      <w:marLeft w:val="0"/>
      <w:marRight w:val="0"/>
      <w:marTop w:val="0"/>
      <w:marBottom w:val="0"/>
      <w:divBdr>
        <w:top w:val="none" w:sz="0" w:space="0" w:color="auto"/>
        <w:left w:val="none" w:sz="0" w:space="0" w:color="auto"/>
        <w:bottom w:val="none" w:sz="0" w:space="0" w:color="auto"/>
        <w:right w:val="none" w:sz="0" w:space="0" w:color="auto"/>
      </w:divBdr>
    </w:div>
    <w:div w:id="932322275">
      <w:bodyDiv w:val="1"/>
      <w:marLeft w:val="0"/>
      <w:marRight w:val="0"/>
      <w:marTop w:val="0"/>
      <w:marBottom w:val="0"/>
      <w:divBdr>
        <w:top w:val="none" w:sz="0" w:space="0" w:color="auto"/>
        <w:left w:val="none" w:sz="0" w:space="0" w:color="auto"/>
        <w:bottom w:val="none" w:sz="0" w:space="0" w:color="auto"/>
        <w:right w:val="none" w:sz="0" w:space="0" w:color="auto"/>
      </w:divBdr>
    </w:div>
    <w:div w:id="934510347">
      <w:bodyDiv w:val="1"/>
      <w:marLeft w:val="0"/>
      <w:marRight w:val="0"/>
      <w:marTop w:val="0"/>
      <w:marBottom w:val="0"/>
      <w:divBdr>
        <w:top w:val="none" w:sz="0" w:space="0" w:color="auto"/>
        <w:left w:val="none" w:sz="0" w:space="0" w:color="auto"/>
        <w:bottom w:val="none" w:sz="0" w:space="0" w:color="auto"/>
        <w:right w:val="none" w:sz="0" w:space="0" w:color="auto"/>
      </w:divBdr>
    </w:div>
    <w:div w:id="940450933">
      <w:bodyDiv w:val="1"/>
      <w:marLeft w:val="0"/>
      <w:marRight w:val="0"/>
      <w:marTop w:val="0"/>
      <w:marBottom w:val="0"/>
      <w:divBdr>
        <w:top w:val="none" w:sz="0" w:space="0" w:color="auto"/>
        <w:left w:val="none" w:sz="0" w:space="0" w:color="auto"/>
        <w:bottom w:val="none" w:sz="0" w:space="0" w:color="auto"/>
        <w:right w:val="none" w:sz="0" w:space="0" w:color="auto"/>
      </w:divBdr>
    </w:div>
    <w:div w:id="952054935">
      <w:bodyDiv w:val="1"/>
      <w:marLeft w:val="0"/>
      <w:marRight w:val="0"/>
      <w:marTop w:val="0"/>
      <w:marBottom w:val="0"/>
      <w:divBdr>
        <w:top w:val="none" w:sz="0" w:space="0" w:color="auto"/>
        <w:left w:val="none" w:sz="0" w:space="0" w:color="auto"/>
        <w:bottom w:val="none" w:sz="0" w:space="0" w:color="auto"/>
        <w:right w:val="none" w:sz="0" w:space="0" w:color="auto"/>
      </w:divBdr>
    </w:div>
    <w:div w:id="956522170">
      <w:bodyDiv w:val="1"/>
      <w:marLeft w:val="0"/>
      <w:marRight w:val="0"/>
      <w:marTop w:val="0"/>
      <w:marBottom w:val="0"/>
      <w:divBdr>
        <w:top w:val="none" w:sz="0" w:space="0" w:color="auto"/>
        <w:left w:val="none" w:sz="0" w:space="0" w:color="auto"/>
        <w:bottom w:val="none" w:sz="0" w:space="0" w:color="auto"/>
        <w:right w:val="none" w:sz="0" w:space="0" w:color="auto"/>
      </w:divBdr>
    </w:div>
    <w:div w:id="958950678">
      <w:bodyDiv w:val="1"/>
      <w:marLeft w:val="0"/>
      <w:marRight w:val="0"/>
      <w:marTop w:val="0"/>
      <w:marBottom w:val="0"/>
      <w:divBdr>
        <w:top w:val="none" w:sz="0" w:space="0" w:color="auto"/>
        <w:left w:val="none" w:sz="0" w:space="0" w:color="auto"/>
        <w:bottom w:val="none" w:sz="0" w:space="0" w:color="auto"/>
        <w:right w:val="none" w:sz="0" w:space="0" w:color="auto"/>
      </w:divBdr>
    </w:div>
    <w:div w:id="970089259">
      <w:bodyDiv w:val="1"/>
      <w:marLeft w:val="0"/>
      <w:marRight w:val="0"/>
      <w:marTop w:val="0"/>
      <w:marBottom w:val="0"/>
      <w:divBdr>
        <w:top w:val="none" w:sz="0" w:space="0" w:color="auto"/>
        <w:left w:val="none" w:sz="0" w:space="0" w:color="auto"/>
        <w:bottom w:val="none" w:sz="0" w:space="0" w:color="auto"/>
        <w:right w:val="none" w:sz="0" w:space="0" w:color="auto"/>
      </w:divBdr>
    </w:div>
    <w:div w:id="992484210">
      <w:bodyDiv w:val="1"/>
      <w:marLeft w:val="0"/>
      <w:marRight w:val="0"/>
      <w:marTop w:val="0"/>
      <w:marBottom w:val="0"/>
      <w:divBdr>
        <w:top w:val="none" w:sz="0" w:space="0" w:color="auto"/>
        <w:left w:val="none" w:sz="0" w:space="0" w:color="auto"/>
        <w:bottom w:val="none" w:sz="0" w:space="0" w:color="auto"/>
        <w:right w:val="none" w:sz="0" w:space="0" w:color="auto"/>
      </w:divBdr>
    </w:div>
    <w:div w:id="1037202679">
      <w:bodyDiv w:val="1"/>
      <w:marLeft w:val="0"/>
      <w:marRight w:val="0"/>
      <w:marTop w:val="0"/>
      <w:marBottom w:val="0"/>
      <w:divBdr>
        <w:top w:val="none" w:sz="0" w:space="0" w:color="auto"/>
        <w:left w:val="none" w:sz="0" w:space="0" w:color="auto"/>
        <w:bottom w:val="none" w:sz="0" w:space="0" w:color="auto"/>
        <w:right w:val="none" w:sz="0" w:space="0" w:color="auto"/>
      </w:divBdr>
    </w:div>
    <w:div w:id="1051198581">
      <w:bodyDiv w:val="1"/>
      <w:marLeft w:val="0"/>
      <w:marRight w:val="0"/>
      <w:marTop w:val="0"/>
      <w:marBottom w:val="0"/>
      <w:divBdr>
        <w:top w:val="none" w:sz="0" w:space="0" w:color="auto"/>
        <w:left w:val="none" w:sz="0" w:space="0" w:color="auto"/>
        <w:bottom w:val="none" w:sz="0" w:space="0" w:color="auto"/>
        <w:right w:val="none" w:sz="0" w:space="0" w:color="auto"/>
      </w:divBdr>
    </w:div>
    <w:div w:id="1056317697">
      <w:bodyDiv w:val="1"/>
      <w:marLeft w:val="0"/>
      <w:marRight w:val="0"/>
      <w:marTop w:val="0"/>
      <w:marBottom w:val="0"/>
      <w:divBdr>
        <w:top w:val="none" w:sz="0" w:space="0" w:color="auto"/>
        <w:left w:val="none" w:sz="0" w:space="0" w:color="auto"/>
        <w:bottom w:val="none" w:sz="0" w:space="0" w:color="auto"/>
        <w:right w:val="none" w:sz="0" w:space="0" w:color="auto"/>
      </w:divBdr>
    </w:div>
    <w:div w:id="1061947560">
      <w:bodyDiv w:val="1"/>
      <w:marLeft w:val="0"/>
      <w:marRight w:val="0"/>
      <w:marTop w:val="0"/>
      <w:marBottom w:val="0"/>
      <w:divBdr>
        <w:top w:val="none" w:sz="0" w:space="0" w:color="auto"/>
        <w:left w:val="none" w:sz="0" w:space="0" w:color="auto"/>
        <w:bottom w:val="none" w:sz="0" w:space="0" w:color="auto"/>
        <w:right w:val="none" w:sz="0" w:space="0" w:color="auto"/>
      </w:divBdr>
    </w:div>
    <w:div w:id="1106345122">
      <w:bodyDiv w:val="1"/>
      <w:marLeft w:val="0"/>
      <w:marRight w:val="0"/>
      <w:marTop w:val="0"/>
      <w:marBottom w:val="0"/>
      <w:divBdr>
        <w:top w:val="none" w:sz="0" w:space="0" w:color="auto"/>
        <w:left w:val="none" w:sz="0" w:space="0" w:color="auto"/>
        <w:bottom w:val="none" w:sz="0" w:space="0" w:color="auto"/>
        <w:right w:val="none" w:sz="0" w:space="0" w:color="auto"/>
      </w:divBdr>
    </w:div>
    <w:div w:id="1115639219">
      <w:bodyDiv w:val="1"/>
      <w:marLeft w:val="0"/>
      <w:marRight w:val="0"/>
      <w:marTop w:val="0"/>
      <w:marBottom w:val="0"/>
      <w:divBdr>
        <w:top w:val="none" w:sz="0" w:space="0" w:color="auto"/>
        <w:left w:val="none" w:sz="0" w:space="0" w:color="auto"/>
        <w:bottom w:val="none" w:sz="0" w:space="0" w:color="auto"/>
        <w:right w:val="none" w:sz="0" w:space="0" w:color="auto"/>
      </w:divBdr>
    </w:div>
    <w:div w:id="1116632388">
      <w:bodyDiv w:val="1"/>
      <w:marLeft w:val="0"/>
      <w:marRight w:val="0"/>
      <w:marTop w:val="0"/>
      <w:marBottom w:val="0"/>
      <w:divBdr>
        <w:top w:val="none" w:sz="0" w:space="0" w:color="auto"/>
        <w:left w:val="none" w:sz="0" w:space="0" w:color="auto"/>
        <w:bottom w:val="none" w:sz="0" w:space="0" w:color="auto"/>
        <w:right w:val="none" w:sz="0" w:space="0" w:color="auto"/>
      </w:divBdr>
    </w:div>
    <w:div w:id="1119296604">
      <w:bodyDiv w:val="1"/>
      <w:marLeft w:val="0"/>
      <w:marRight w:val="0"/>
      <w:marTop w:val="0"/>
      <w:marBottom w:val="0"/>
      <w:divBdr>
        <w:top w:val="none" w:sz="0" w:space="0" w:color="auto"/>
        <w:left w:val="none" w:sz="0" w:space="0" w:color="auto"/>
        <w:bottom w:val="none" w:sz="0" w:space="0" w:color="auto"/>
        <w:right w:val="none" w:sz="0" w:space="0" w:color="auto"/>
      </w:divBdr>
    </w:div>
    <w:div w:id="1141001676">
      <w:bodyDiv w:val="1"/>
      <w:marLeft w:val="0"/>
      <w:marRight w:val="0"/>
      <w:marTop w:val="0"/>
      <w:marBottom w:val="0"/>
      <w:divBdr>
        <w:top w:val="none" w:sz="0" w:space="0" w:color="auto"/>
        <w:left w:val="none" w:sz="0" w:space="0" w:color="auto"/>
        <w:bottom w:val="none" w:sz="0" w:space="0" w:color="auto"/>
        <w:right w:val="none" w:sz="0" w:space="0" w:color="auto"/>
      </w:divBdr>
    </w:div>
    <w:div w:id="1150169766">
      <w:bodyDiv w:val="1"/>
      <w:marLeft w:val="0"/>
      <w:marRight w:val="0"/>
      <w:marTop w:val="0"/>
      <w:marBottom w:val="0"/>
      <w:divBdr>
        <w:top w:val="none" w:sz="0" w:space="0" w:color="auto"/>
        <w:left w:val="none" w:sz="0" w:space="0" w:color="auto"/>
        <w:bottom w:val="none" w:sz="0" w:space="0" w:color="auto"/>
        <w:right w:val="none" w:sz="0" w:space="0" w:color="auto"/>
      </w:divBdr>
    </w:div>
    <w:div w:id="1151218468">
      <w:bodyDiv w:val="1"/>
      <w:marLeft w:val="0"/>
      <w:marRight w:val="0"/>
      <w:marTop w:val="0"/>
      <w:marBottom w:val="0"/>
      <w:divBdr>
        <w:top w:val="none" w:sz="0" w:space="0" w:color="auto"/>
        <w:left w:val="none" w:sz="0" w:space="0" w:color="auto"/>
        <w:bottom w:val="none" w:sz="0" w:space="0" w:color="auto"/>
        <w:right w:val="none" w:sz="0" w:space="0" w:color="auto"/>
      </w:divBdr>
    </w:div>
    <w:div w:id="1171604862">
      <w:bodyDiv w:val="1"/>
      <w:marLeft w:val="0"/>
      <w:marRight w:val="0"/>
      <w:marTop w:val="0"/>
      <w:marBottom w:val="0"/>
      <w:divBdr>
        <w:top w:val="none" w:sz="0" w:space="0" w:color="auto"/>
        <w:left w:val="none" w:sz="0" w:space="0" w:color="auto"/>
        <w:bottom w:val="none" w:sz="0" w:space="0" w:color="auto"/>
        <w:right w:val="none" w:sz="0" w:space="0" w:color="auto"/>
      </w:divBdr>
    </w:div>
    <w:div w:id="1176191438">
      <w:bodyDiv w:val="1"/>
      <w:marLeft w:val="0"/>
      <w:marRight w:val="0"/>
      <w:marTop w:val="0"/>
      <w:marBottom w:val="0"/>
      <w:divBdr>
        <w:top w:val="none" w:sz="0" w:space="0" w:color="auto"/>
        <w:left w:val="none" w:sz="0" w:space="0" w:color="auto"/>
        <w:bottom w:val="none" w:sz="0" w:space="0" w:color="auto"/>
        <w:right w:val="none" w:sz="0" w:space="0" w:color="auto"/>
      </w:divBdr>
    </w:div>
    <w:div w:id="1179546778">
      <w:bodyDiv w:val="1"/>
      <w:marLeft w:val="0"/>
      <w:marRight w:val="0"/>
      <w:marTop w:val="0"/>
      <w:marBottom w:val="0"/>
      <w:divBdr>
        <w:top w:val="none" w:sz="0" w:space="0" w:color="auto"/>
        <w:left w:val="none" w:sz="0" w:space="0" w:color="auto"/>
        <w:bottom w:val="none" w:sz="0" w:space="0" w:color="auto"/>
        <w:right w:val="none" w:sz="0" w:space="0" w:color="auto"/>
      </w:divBdr>
    </w:div>
    <w:div w:id="1186476848">
      <w:bodyDiv w:val="1"/>
      <w:marLeft w:val="0"/>
      <w:marRight w:val="0"/>
      <w:marTop w:val="0"/>
      <w:marBottom w:val="0"/>
      <w:divBdr>
        <w:top w:val="none" w:sz="0" w:space="0" w:color="auto"/>
        <w:left w:val="none" w:sz="0" w:space="0" w:color="auto"/>
        <w:bottom w:val="none" w:sz="0" w:space="0" w:color="auto"/>
        <w:right w:val="none" w:sz="0" w:space="0" w:color="auto"/>
      </w:divBdr>
    </w:div>
    <w:div w:id="1190682899">
      <w:bodyDiv w:val="1"/>
      <w:marLeft w:val="0"/>
      <w:marRight w:val="0"/>
      <w:marTop w:val="0"/>
      <w:marBottom w:val="0"/>
      <w:divBdr>
        <w:top w:val="none" w:sz="0" w:space="0" w:color="auto"/>
        <w:left w:val="none" w:sz="0" w:space="0" w:color="auto"/>
        <w:bottom w:val="none" w:sz="0" w:space="0" w:color="auto"/>
        <w:right w:val="none" w:sz="0" w:space="0" w:color="auto"/>
      </w:divBdr>
    </w:div>
    <w:div w:id="1207714704">
      <w:bodyDiv w:val="1"/>
      <w:marLeft w:val="0"/>
      <w:marRight w:val="0"/>
      <w:marTop w:val="0"/>
      <w:marBottom w:val="0"/>
      <w:divBdr>
        <w:top w:val="none" w:sz="0" w:space="0" w:color="auto"/>
        <w:left w:val="none" w:sz="0" w:space="0" w:color="auto"/>
        <w:bottom w:val="none" w:sz="0" w:space="0" w:color="auto"/>
        <w:right w:val="none" w:sz="0" w:space="0" w:color="auto"/>
      </w:divBdr>
    </w:div>
    <w:div w:id="1216549829">
      <w:bodyDiv w:val="1"/>
      <w:marLeft w:val="0"/>
      <w:marRight w:val="0"/>
      <w:marTop w:val="0"/>
      <w:marBottom w:val="0"/>
      <w:divBdr>
        <w:top w:val="none" w:sz="0" w:space="0" w:color="auto"/>
        <w:left w:val="none" w:sz="0" w:space="0" w:color="auto"/>
        <w:bottom w:val="none" w:sz="0" w:space="0" w:color="auto"/>
        <w:right w:val="none" w:sz="0" w:space="0" w:color="auto"/>
      </w:divBdr>
    </w:div>
    <w:div w:id="1220479772">
      <w:bodyDiv w:val="1"/>
      <w:marLeft w:val="0"/>
      <w:marRight w:val="0"/>
      <w:marTop w:val="0"/>
      <w:marBottom w:val="0"/>
      <w:divBdr>
        <w:top w:val="none" w:sz="0" w:space="0" w:color="auto"/>
        <w:left w:val="none" w:sz="0" w:space="0" w:color="auto"/>
        <w:bottom w:val="none" w:sz="0" w:space="0" w:color="auto"/>
        <w:right w:val="none" w:sz="0" w:space="0" w:color="auto"/>
      </w:divBdr>
    </w:div>
    <w:div w:id="1225528374">
      <w:bodyDiv w:val="1"/>
      <w:marLeft w:val="0"/>
      <w:marRight w:val="0"/>
      <w:marTop w:val="0"/>
      <w:marBottom w:val="0"/>
      <w:divBdr>
        <w:top w:val="none" w:sz="0" w:space="0" w:color="auto"/>
        <w:left w:val="none" w:sz="0" w:space="0" w:color="auto"/>
        <w:bottom w:val="none" w:sz="0" w:space="0" w:color="auto"/>
        <w:right w:val="none" w:sz="0" w:space="0" w:color="auto"/>
      </w:divBdr>
    </w:div>
    <w:div w:id="1237398202">
      <w:bodyDiv w:val="1"/>
      <w:marLeft w:val="0"/>
      <w:marRight w:val="0"/>
      <w:marTop w:val="0"/>
      <w:marBottom w:val="0"/>
      <w:divBdr>
        <w:top w:val="none" w:sz="0" w:space="0" w:color="auto"/>
        <w:left w:val="none" w:sz="0" w:space="0" w:color="auto"/>
        <w:bottom w:val="none" w:sz="0" w:space="0" w:color="auto"/>
        <w:right w:val="none" w:sz="0" w:space="0" w:color="auto"/>
      </w:divBdr>
    </w:div>
    <w:div w:id="1244223471">
      <w:bodyDiv w:val="1"/>
      <w:marLeft w:val="0"/>
      <w:marRight w:val="0"/>
      <w:marTop w:val="0"/>
      <w:marBottom w:val="0"/>
      <w:divBdr>
        <w:top w:val="none" w:sz="0" w:space="0" w:color="auto"/>
        <w:left w:val="none" w:sz="0" w:space="0" w:color="auto"/>
        <w:bottom w:val="none" w:sz="0" w:space="0" w:color="auto"/>
        <w:right w:val="none" w:sz="0" w:space="0" w:color="auto"/>
      </w:divBdr>
    </w:div>
    <w:div w:id="1256667338">
      <w:bodyDiv w:val="1"/>
      <w:marLeft w:val="0"/>
      <w:marRight w:val="0"/>
      <w:marTop w:val="0"/>
      <w:marBottom w:val="0"/>
      <w:divBdr>
        <w:top w:val="none" w:sz="0" w:space="0" w:color="auto"/>
        <w:left w:val="none" w:sz="0" w:space="0" w:color="auto"/>
        <w:bottom w:val="none" w:sz="0" w:space="0" w:color="auto"/>
        <w:right w:val="none" w:sz="0" w:space="0" w:color="auto"/>
      </w:divBdr>
    </w:div>
    <w:div w:id="1260067197">
      <w:bodyDiv w:val="1"/>
      <w:marLeft w:val="0"/>
      <w:marRight w:val="0"/>
      <w:marTop w:val="0"/>
      <w:marBottom w:val="0"/>
      <w:divBdr>
        <w:top w:val="none" w:sz="0" w:space="0" w:color="auto"/>
        <w:left w:val="none" w:sz="0" w:space="0" w:color="auto"/>
        <w:bottom w:val="none" w:sz="0" w:space="0" w:color="auto"/>
        <w:right w:val="none" w:sz="0" w:space="0" w:color="auto"/>
      </w:divBdr>
    </w:div>
    <w:div w:id="1264921285">
      <w:bodyDiv w:val="1"/>
      <w:marLeft w:val="0"/>
      <w:marRight w:val="0"/>
      <w:marTop w:val="0"/>
      <w:marBottom w:val="0"/>
      <w:divBdr>
        <w:top w:val="none" w:sz="0" w:space="0" w:color="auto"/>
        <w:left w:val="none" w:sz="0" w:space="0" w:color="auto"/>
        <w:bottom w:val="none" w:sz="0" w:space="0" w:color="auto"/>
        <w:right w:val="none" w:sz="0" w:space="0" w:color="auto"/>
      </w:divBdr>
    </w:div>
    <w:div w:id="1265304522">
      <w:bodyDiv w:val="1"/>
      <w:marLeft w:val="0"/>
      <w:marRight w:val="0"/>
      <w:marTop w:val="0"/>
      <w:marBottom w:val="0"/>
      <w:divBdr>
        <w:top w:val="none" w:sz="0" w:space="0" w:color="auto"/>
        <w:left w:val="none" w:sz="0" w:space="0" w:color="auto"/>
        <w:bottom w:val="none" w:sz="0" w:space="0" w:color="auto"/>
        <w:right w:val="none" w:sz="0" w:space="0" w:color="auto"/>
      </w:divBdr>
    </w:div>
    <w:div w:id="1276912926">
      <w:bodyDiv w:val="1"/>
      <w:marLeft w:val="0"/>
      <w:marRight w:val="0"/>
      <w:marTop w:val="0"/>
      <w:marBottom w:val="0"/>
      <w:divBdr>
        <w:top w:val="none" w:sz="0" w:space="0" w:color="auto"/>
        <w:left w:val="none" w:sz="0" w:space="0" w:color="auto"/>
        <w:bottom w:val="none" w:sz="0" w:space="0" w:color="auto"/>
        <w:right w:val="none" w:sz="0" w:space="0" w:color="auto"/>
      </w:divBdr>
    </w:div>
    <w:div w:id="1281260787">
      <w:bodyDiv w:val="1"/>
      <w:marLeft w:val="0"/>
      <w:marRight w:val="0"/>
      <w:marTop w:val="0"/>
      <w:marBottom w:val="0"/>
      <w:divBdr>
        <w:top w:val="none" w:sz="0" w:space="0" w:color="auto"/>
        <w:left w:val="none" w:sz="0" w:space="0" w:color="auto"/>
        <w:bottom w:val="none" w:sz="0" w:space="0" w:color="auto"/>
        <w:right w:val="none" w:sz="0" w:space="0" w:color="auto"/>
      </w:divBdr>
    </w:div>
    <w:div w:id="1292788659">
      <w:bodyDiv w:val="1"/>
      <w:marLeft w:val="0"/>
      <w:marRight w:val="0"/>
      <w:marTop w:val="0"/>
      <w:marBottom w:val="0"/>
      <w:divBdr>
        <w:top w:val="none" w:sz="0" w:space="0" w:color="auto"/>
        <w:left w:val="none" w:sz="0" w:space="0" w:color="auto"/>
        <w:bottom w:val="none" w:sz="0" w:space="0" w:color="auto"/>
        <w:right w:val="none" w:sz="0" w:space="0" w:color="auto"/>
      </w:divBdr>
    </w:div>
    <w:div w:id="1319916276">
      <w:bodyDiv w:val="1"/>
      <w:marLeft w:val="0"/>
      <w:marRight w:val="0"/>
      <w:marTop w:val="0"/>
      <w:marBottom w:val="0"/>
      <w:divBdr>
        <w:top w:val="none" w:sz="0" w:space="0" w:color="auto"/>
        <w:left w:val="none" w:sz="0" w:space="0" w:color="auto"/>
        <w:bottom w:val="none" w:sz="0" w:space="0" w:color="auto"/>
        <w:right w:val="none" w:sz="0" w:space="0" w:color="auto"/>
      </w:divBdr>
    </w:div>
    <w:div w:id="1348286050">
      <w:bodyDiv w:val="1"/>
      <w:marLeft w:val="0"/>
      <w:marRight w:val="0"/>
      <w:marTop w:val="0"/>
      <w:marBottom w:val="0"/>
      <w:divBdr>
        <w:top w:val="none" w:sz="0" w:space="0" w:color="auto"/>
        <w:left w:val="none" w:sz="0" w:space="0" w:color="auto"/>
        <w:bottom w:val="none" w:sz="0" w:space="0" w:color="auto"/>
        <w:right w:val="none" w:sz="0" w:space="0" w:color="auto"/>
      </w:divBdr>
    </w:div>
    <w:div w:id="1365983135">
      <w:bodyDiv w:val="1"/>
      <w:marLeft w:val="0"/>
      <w:marRight w:val="0"/>
      <w:marTop w:val="0"/>
      <w:marBottom w:val="0"/>
      <w:divBdr>
        <w:top w:val="none" w:sz="0" w:space="0" w:color="auto"/>
        <w:left w:val="none" w:sz="0" w:space="0" w:color="auto"/>
        <w:bottom w:val="none" w:sz="0" w:space="0" w:color="auto"/>
        <w:right w:val="none" w:sz="0" w:space="0" w:color="auto"/>
      </w:divBdr>
    </w:div>
    <w:div w:id="1367871716">
      <w:bodyDiv w:val="1"/>
      <w:marLeft w:val="0"/>
      <w:marRight w:val="0"/>
      <w:marTop w:val="0"/>
      <w:marBottom w:val="0"/>
      <w:divBdr>
        <w:top w:val="none" w:sz="0" w:space="0" w:color="auto"/>
        <w:left w:val="none" w:sz="0" w:space="0" w:color="auto"/>
        <w:bottom w:val="none" w:sz="0" w:space="0" w:color="auto"/>
        <w:right w:val="none" w:sz="0" w:space="0" w:color="auto"/>
      </w:divBdr>
    </w:div>
    <w:div w:id="1398090977">
      <w:bodyDiv w:val="1"/>
      <w:marLeft w:val="0"/>
      <w:marRight w:val="0"/>
      <w:marTop w:val="0"/>
      <w:marBottom w:val="0"/>
      <w:divBdr>
        <w:top w:val="none" w:sz="0" w:space="0" w:color="auto"/>
        <w:left w:val="none" w:sz="0" w:space="0" w:color="auto"/>
        <w:bottom w:val="none" w:sz="0" w:space="0" w:color="auto"/>
        <w:right w:val="none" w:sz="0" w:space="0" w:color="auto"/>
      </w:divBdr>
    </w:div>
    <w:div w:id="1413115099">
      <w:bodyDiv w:val="1"/>
      <w:marLeft w:val="0"/>
      <w:marRight w:val="0"/>
      <w:marTop w:val="0"/>
      <w:marBottom w:val="0"/>
      <w:divBdr>
        <w:top w:val="none" w:sz="0" w:space="0" w:color="auto"/>
        <w:left w:val="none" w:sz="0" w:space="0" w:color="auto"/>
        <w:bottom w:val="none" w:sz="0" w:space="0" w:color="auto"/>
        <w:right w:val="none" w:sz="0" w:space="0" w:color="auto"/>
      </w:divBdr>
    </w:div>
    <w:div w:id="1420831949">
      <w:bodyDiv w:val="1"/>
      <w:marLeft w:val="0"/>
      <w:marRight w:val="0"/>
      <w:marTop w:val="0"/>
      <w:marBottom w:val="0"/>
      <w:divBdr>
        <w:top w:val="none" w:sz="0" w:space="0" w:color="auto"/>
        <w:left w:val="none" w:sz="0" w:space="0" w:color="auto"/>
        <w:bottom w:val="none" w:sz="0" w:space="0" w:color="auto"/>
        <w:right w:val="none" w:sz="0" w:space="0" w:color="auto"/>
      </w:divBdr>
    </w:div>
    <w:div w:id="1431273460">
      <w:bodyDiv w:val="1"/>
      <w:marLeft w:val="0"/>
      <w:marRight w:val="0"/>
      <w:marTop w:val="0"/>
      <w:marBottom w:val="0"/>
      <w:divBdr>
        <w:top w:val="none" w:sz="0" w:space="0" w:color="auto"/>
        <w:left w:val="none" w:sz="0" w:space="0" w:color="auto"/>
        <w:bottom w:val="none" w:sz="0" w:space="0" w:color="auto"/>
        <w:right w:val="none" w:sz="0" w:space="0" w:color="auto"/>
      </w:divBdr>
    </w:div>
    <w:div w:id="1436637071">
      <w:bodyDiv w:val="1"/>
      <w:marLeft w:val="0"/>
      <w:marRight w:val="0"/>
      <w:marTop w:val="0"/>
      <w:marBottom w:val="0"/>
      <w:divBdr>
        <w:top w:val="none" w:sz="0" w:space="0" w:color="auto"/>
        <w:left w:val="none" w:sz="0" w:space="0" w:color="auto"/>
        <w:bottom w:val="none" w:sz="0" w:space="0" w:color="auto"/>
        <w:right w:val="none" w:sz="0" w:space="0" w:color="auto"/>
      </w:divBdr>
    </w:div>
    <w:div w:id="1442870576">
      <w:bodyDiv w:val="1"/>
      <w:marLeft w:val="0"/>
      <w:marRight w:val="0"/>
      <w:marTop w:val="0"/>
      <w:marBottom w:val="0"/>
      <w:divBdr>
        <w:top w:val="none" w:sz="0" w:space="0" w:color="auto"/>
        <w:left w:val="none" w:sz="0" w:space="0" w:color="auto"/>
        <w:bottom w:val="none" w:sz="0" w:space="0" w:color="auto"/>
        <w:right w:val="none" w:sz="0" w:space="0" w:color="auto"/>
      </w:divBdr>
    </w:div>
    <w:div w:id="1471365718">
      <w:bodyDiv w:val="1"/>
      <w:marLeft w:val="0"/>
      <w:marRight w:val="0"/>
      <w:marTop w:val="0"/>
      <w:marBottom w:val="0"/>
      <w:divBdr>
        <w:top w:val="none" w:sz="0" w:space="0" w:color="auto"/>
        <w:left w:val="none" w:sz="0" w:space="0" w:color="auto"/>
        <w:bottom w:val="none" w:sz="0" w:space="0" w:color="auto"/>
        <w:right w:val="none" w:sz="0" w:space="0" w:color="auto"/>
      </w:divBdr>
    </w:div>
    <w:div w:id="1478955435">
      <w:bodyDiv w:val="1"/>
      <w:marLeft w:val="0"/>
      <w:marRight w:val="0"/>
      <w:marTop w:val="0"/>
      <w:marBottom w:val="0"/>
      <w:divBdr>
        <w:top w:val="none" w:sz="0" w:space="0" w:color="auto"/>
        <w:left w:val="none" w:sz="0" w:space="0" w:color="auto"/>
        <w:bottom w:val="none" w:sz="0" w:space="0" w:color="auto"/>
        <w:right w:val="none" w:sz="0" w:space="0" w:color="auto"/>
      </w:divBdr>
    </w:div>
    <w:div w:id="1480074246">
      <w:bodyDiv w:val="1"/>
      <w:marLeft w:val="0"/>
      <w:marRight w:val="0"/>
      <w:marTop w:val="0"/>
      <w:marBottom w:val="0"/>
      <w:divBdr>
        <w:top w:val="none" w:sz="0" w:space="0" w:color="auto"/>
        <w:left w:val="none" w:sz="0" w:space="0" w:color="auto"/>
        <w:bottom w:val="none" w:sz="0" w:space="0" w:color="auto"/>
        <w:right w:val="none" w:sz="0" w:space="0" w:color="auto"/>
      </w:divBdr>
    </w:div>
    <w:div w:id="1495300391">
      <w:bodyDiv w:val="1"/>
      <w:marLeft w:val="0"/>
      <w:marRight w:val="0"/>
      <w:marTop w:val="0"/>
      <w:marBottom w:val="0"/>
      <w:divBdr>
        <w:top w:val="none" w:sz="0" w:space="0" w:color="auto"/>
        <w:left w:val="none" w:sz="0" w:space="0" w:color="auto"/>
        <w:bottom w:val="none" w:sz="0" w:space="0" w:color="auto"/>
        <w:right w:val="none" w:sz="0" w:space="0" w:color="auto"/>
      </w:divBdr>
    </w:div>
    <w:div w:id="1499543197">
      <w:bodyDiv w:val="1"/>
      <w:marLeft w:val="0"/>
      <w:marRight w:val="0"/>
      <w:marTop w:val="0"/>
      <w:marBottom w:val="0"/>
      <w:divBdr>
        <w:top w:val="none" w:sz="0" w:space="0" w:color="auto"/>
        <w:left w:val="none" w:sz="0" w:space="0" w:color="auto"/>
        <w:bottom w:val="none" w:sz="0" w:space="0" w:color="auto"/>
        <w:right w:val="none" w:sz="0" w:space="0" w:color="auto"/>
      </w:divBdr>
    </w:div>
    <w:div w:id="1528564101">
      <w:bodyDiv w:val="1"/>
      <w:marLeft w:val="0"/>
      <w:marRight w:val="0"/>
      <w:marTop w:val="0"/>
      <w:marBottom w:val="0"/>
      <w:divBdr>
        <w:top w:val="none" w:sz="0" w:space="0" w:color="auto"/>
        <w:left w:val="none" w:sz="0" w:space="0" w:color="auto"/>
        <w:bottom w:val="none" w:sz="0" w:space="0" w:color="auto"/>
        <w:right w:val="none" w:sz="0" w:space="0" w:color="auto"/>
      </w:divBdr>
    </w:div>
    <w:div w:id="1543252898">
      <w:bodyDiv w:val="1"/>
      <w:marLeft w:val="0"/>
      <w:marRight w:val="0"/>
      <w:marTop w:val="0"/>
      <w:marBottom w:val="0"/>
      <w:divBdr>
        <w:top w:val="none" w:sz="0" w:space="0" w:color="auto"/>
        <w:left w:val="none" w:sz="0" w:space="0" w:color="auto"/>
        <w:bottom w:val="none" w:sz="0" w:space="0" w:color="auto"/>
        <w:right w:val="none" w:sz="0" w:space="0" w:color="auto"/>
      </w:divBdr>
    </w:div>
    <w:div w:id="1545602333">
      <w:bodyDiv w:val="1"/>
      <w:marLeft w:val="0"/>
      <w:marRight w:val="0"/>
      <w:marTop w:val="0"/>
      <w:marBottom w:val="0"/>
      <w:divBdr>
        <w:top w:val="none" w:sz="0" w:space="0" w:color="auto"/>
        <w:left w:val="none" w:sz="0" w:space="0" w:color="auto"/>
        <w:bottom w:val="none" w:sz="0" w:space="0" w:color="auto"/>
        <w:right w:val="none" w:sz="0" w:space="0" w:color="auto"/>
      </w:divBdr>
    </w:div>
    <w:div w:id="1549222446">
      <w:bodyDiv w:val="1"/>
      <w:marLeft w:val="0"/>
      <w:marRight w:val="0"/>
      <w:marTop w:val="0"/>
      <w:marBottom w:val="0"/>
      <w:divBdr>
        <w:top w:val="none" w:sz="0" w:space="0" w:color="auto"/>
        <w:left w:val="none" w:sz="0" w:space="0" w:color="auto"/>
        <w:bottom w:val="none" w:sz="0" w:space="0" w:color="auto"/>
        <w:right w:val="none" w:sz="0" w:space="0" w:color="auto"/>
      </w:divBdr>
    </w:div>
    <w:div w:id="1550609941">
      <w:bodyDiv w:val="1"/>
      <w:marLeft w:val="0"/>
      <w:marRight w:val="0"/>
      <w:marTop w:val="0"/>
      <w:marBottom w:val="0"/>
      <w:divBdr>
        <w:top w:val="none" w:sz="0" w:space="0" w:color="auto"/>
        <w:left w:val="none" w:sz="0" w:space="0" w:color="auto"/>
        <w:bottom w:val="none" w:sz="0" w:space="0" w:color="auto"/>
        <w:right w:val="none" w:sz="0" w:space="0" w:color="auto"/>
      </w:divBdr>
    </w:div>
    <w:div w:id="1556355753">
      <w:bodyDiv w:val="1"/>
      <w:marLeft w:val="0"/>
      <w:marRight w:val="0"/>
      <w:marTop w:val="0"/>
      <w:marBottom w:val="0"/>
      <w:divBdr>
        <w:top w:val="none" w:sz="0" w:space="0" w:color="auto"/>
        <w:left w:val="none" w:sz="0" w:space="0" w:color="auto"/>
        <w:bottom w:val="none" w:sz="0" w:space="0" w:color="auto"/>
        <w:right w:val="none" w:sz="0" w:space="0" w:color="auto"/>
      </w:divBdr>
    </w:div>
    <w:div w:id="1565673952">
      <w:bodyDiv w:val="1"/>
      <w:marLeft w:val="0"/>
      <w:marRight w:val="0"/>
      <w:marTop w:val="0"/>
      <w:marBottom w:val="0"/>
      <w:divBdr>
        <w:top w:val="none" w:sz="0" w:space="0" w:color="auto"/>
        <w:left w:val="none" w:sz="0" w:space="0" w:color="auto"/>
        <w:bottom w:val="none" w:sz="0" w:space="0" w:color="auto"/>
        <w:right w:val="none" w:sz="0" w:space="0" w:color="auto"/>
      </w:divBdr>
    </w:div>
    <w:div w:id="1572040326">
      <w:bodyDiv w:val="1"/>
      <w:marLeft w:val="0"/>
      <w:marRight w:val="0"/>
      <w:marTop w:val="0"/>
      <w:marBottom w:val="0"/>
      <w:divBdr>
        <w:top w:val="none" w:sz="0" w:space="0" w:color="auto"/>
        <w:left w:val="none" w:sz="0" w:space="0" w:color="auto"/>
        <w:bottom w:val="none" w:sz="0" w:space="0" w:color="auto"/>
        <w:right w:val="none" w:sz="0" w:space="0" w:color="auto"/>
      </w:divBdr>
    </w:div>
    <w:div w:id="1638610094">
      <w:bodyDiv w:val="1"/>
      <w:marLeft w:val="0"/>
      <w:marRight w:val="0"/>
      <w:marTop w:val="0"/>
      <w:marBottom w:val="0"/>
      <w:divBdr>
        <w:top w:val="none" w:sz="0" w:space="0" w:color="auto"/>
        <w:left w:val="none" w:sz="0" w:space="0" w:color="auto"/>
        <w:bottom w:val="none" w:sz="0" w:space="0" w:color="auto"/>
        <w:right w:val="none" w:sz="0" w:space="0" w:color="auto"/>
      </w:divBdr>
    </w:div>
    <w:div w:id="1639606081">
      <w:bodyDiv w:val="1"/>
      <w:marLeft w:val="0"/>
      <w:marRight w:val="0"/>
      <w:marTop w:val="0"/>
      <w:marBottom w:val="0"/>
      <w:divBdr>
        <w:top w:val="none" w:sz="0" w:space="0" w:color="auto"/>
        <w:left w:val="none" w:sz="0" w:space="0" w:color="auto"/>
        <w:bottom w:val="none" w:sz="0" w:space="0" w:color="auto"/>
        <w:right w:val="none" w:sz="0" w:space="0" w:color="auto"/>
      </w:divBdr>
    </w:div>
    <w:div w:id="1647660555">
      <w:bodyDiv w:val="1"/>
      <w:marLeft w:val="0"/>
      <w:marRight w:val="0"/>
      <w:marTop w:val="0"/>
      <w:marBottom w:val="0"/>
      <w:divBdr>
        <w:top w:val="none" w:sz="0" w:space="0" w:color="auto"/>
        <w:left w:val="none" w:sz="0" w:space="0" w:color="auto"/>
        <w:bottom w:val="none" w:sz="0" w:space="0" w:color="auto"/>
        <w:right w:val="none" w:sz="0" w:space="0" w:color="auto"/>
      </w:divBdr>
    </w:div>
    <w:div w:id="1665666020">
      <w:bodyDiv w:val="1"/>
      <w:marLeft w:val="0"/>
      <w:marRight w:val="0"/>
      <w:marTop w:val="0"/>
      <w:marBottom w:val="0"/>
      <w:divBdr>
        <w:top w:val="none" w:sz="0" w:space="0" w:color="auto"/>
        <w:left w:val="none" w:sz="0" w:space="0" w:color="auto"/>
        <w:bottom w:val="none" w:sz="0" w:space="0" w:color="auto"/>
        <w:right w:val="none" w:sz="0" w:space="0" w:color="auto"/>
      </w:divBdr>
    </w:div>
    <w:div w:id="1666321454">
      <w:bodyDiv w:val="1"/>
      <w:marLeft w:val="0"/>
      <w:marRight w:val="0"/>
      <w:marTop w:val="0"/>
      <w:marBottom w:val="0"/>
      <w:divBdr>
        <w:top w:val="none" w:sz="0" w:space="0" w:color="auto"/>
        <w:left w:val="none" w:sz="0" w:space="0" w:color="auto"/>
        <w:bottom w:val="none" w:sz="0" w:space="0" w:color="auto"/>
        <w:right w:val="none" w:sz="0" w:space="0" w:color="auto"/>
      </w:divBdr>
    </w:div>
    <w:div w:id="1667828933">
      <w:bodyDiv w:val="1"/>
      <w:marLeft w:val="0"/>
      <w:marRight w:val="0"/>
      <w:marTop w:val="0"/>
      <w:marBottom w:val="0"/>
      <w:divBdr>
        <w:top w:val="none" w:sz="0" w:space="0" w:color="auto"/>
        <w:left w:val="none" w:sz="0" w:space="0" w:color="auto"/>
        <w:bottom w:val="none" w:sz="0" w:space="0" w:color="auto"/>
        <w:right w:val="none" w:sz="0" w:space="0" w:color="auto"/>
      </w:divBdr>
    </w:div>
    <w:div w:id="1713923064">
      <w:bodyDiv w:val="1"/>
      <w:marLeft w:val="0"/>
      <w:marRight w:val="0"/>
      <w:marTop w:val="0"/>
      <w:marBottom w:val="0"/>
      <w:divBdr>
        <w:top w:val="none" w:sz="0" w:space="0" w:color="auto"/>
        <w:left w:val="none" w:sz="0" w:space="0" w:color="auto"/>
        <w:bottom w:val="none" w:sz="0" w:space="0" w:color="auto"/>
        <w:right w:val="none" w:sz="0" w:space="0" w:color="auto"/>
      </w:divBdr>
    </w:div>
    <w:div w:id="1731609850">
      <w:bodyDiv w:val="1"/>
      <w:marLeft w:val="0"/>
      <w:marRight w:val="0"/>
      <w:marTop w:val="0"/>
      <w:marBottom w:val="0"/>
      <w:divBdr>
        <w:top w:val="none" w:sz="0" w:space="0" w:color="auto"/>
        <w:left w:val="none" w:sz="0" w:space="0" w:color="auto"/>
        <w:bottom w:val="none" w:sz="0" w:space="0" w:color="auto"/>
        <w:right w:val="none" w:sz="0" w:space="0" w:color="auto"/>
      </w:divBdr>
    </w:div>
    <w:div w:id="1731810768">
      <w:bodyDiv w:val="1"/>
      <w:marLeft w:val="0"/>
      <w:marRight w:val="0"/>
      <w:marTop w:val="0"/>
      <w:marBottom w:val="0"/>
      <w:divBdr>
        <w:top w:val="none" w:sz="0" w:space="0" w:color="auto"/>
        <w:left w:val="none" w:sz="0" w:space="0" w:color="auto"/>
        <w:bottom w:val="none" w:sz="0" w:space="0" w:color="auto"/>
        <w:right w:val="none" w:sz="0" w:space="0" w:color="auto"/>
      </w:divBdr>
    </w:div>
    <w:div w:id="1751074375">
      <w:bodyDiv w:val="1"/>
      <w:marLeft w:val="0"/>
      <w:marRight w:val="0"/>
      <w:marTop w:val="0"/>
      <w:marBottom w:val="0"/>
      <w:divBdr>
        <w:top w:val="none" w:sz="0" w:space="0" w:color="auto"/>
        <w:left w:val="none" w:sz="0" w:space="0" w:color="auto"/>
        <w:bottom w:val="none" w:sz="0" w:space="0" w:color="auto"/>
        <w:right w:val="none" w:sz="0" w:space="0" w:color="auto"/>
      </w:divBdr>
    </w:div>
    <w:div w:id="1752773563">
      <w:bodyDiv w:val="1"/>
      <w:marLeft w:val="0"/>
      <w:marRight w:val="0"/>
      <w:marTop w:val="0"/>
      <w:marBottom w:val="0"/>
      <w:divBdr>
        <w:top w:val="none" w:sz="0" w:space="0" w:color="auto"/>
        <w:left w:val="none" w:sz="0" w:space="0" w:color="auto"/>
        <w:bottom w:val="none" w:sz="0" w:space="0" w:color="auto"/>
        <w:right w:val="none" w:sz="0" w:space="0" w:color="auto"/>
      </w:divBdr>
    </w:div>
    <w:div w:id="1761366622">
      <w:bodyDiv w:val="1"/>
      <w:marLeft w:val="0"/>
      <w:marRight w:val="0"/>
      <w:marTop w:val="0"/>
      <w:marBottom w:val="0"/>
      <w:divBdr>
        <w:top w:val="none" w:sz="0" w:space="0" w:color="auto"/>
        <w:left w:val="none" w:sz="0" w:space="0" w:color="auto"/>
        <w:bottom w:val="none" w:sz="0" w:space="0" w:color="auto"/>
        <w:right w:val="none" w:sz="0" w:space="0" w:color="auto"/>
      </w:divBdr>
    </w:div>
    <w:div w:id="1766997916">
      <w:bodyDiv w:val="1"/>
      <w:marLeft w:val="0"/>
      <w:marRight w:val="0"/>
      <w:marTop w:val="0"/>
      <w:marBottom w:val="0"/>
      <w:divBdr>
        <w:top w:val="none" w:sz="0" w:space="0" w:color="auto"/>
        <w:left w:val="none" w:sz="0" w:space="0" w:color="auto"/>
        <w:bottom w:val="none" w:sz="0" w:space="0" w:color="auto"/>
        <w:right w:val="none" w:sz="0" w:space="0" w:color="auto"/>
      </w:divBdr>
    </w:div>
    <w:div w:id="1785495353">
      <w:bodyDiv w:val="1"/>
      <w:marLeft w:val="0"/>
      <w:marRight w:val="0"/>
      <w:marTop w:val="0"/>
      <w:marBottom w:val="0"/>
      <w:divBdr>
        <w:top w:val="none" w:sz="0" w:space="0" w:color="auto"/>
        <w:left w:val="none" w:sz="0" w:space="0" w:color="auto"/>
        <w:bottom w:val="none" w:sz="0" w:space="0" w:color="auto"/>
        <w:right w:val="none" w:sz="0" w:space="0" w:color="auto"/>
      </w:divBdr>
    </w:div>
    <w:div w:id="1790660866">
      <w:bodyDiv w:val="1"/>
      <w:marLeft w:val="0"/>
      <w:marRight w:val="0"/>
      <w:marTop w:val="0"/>
      <w:marBottom w:val="0"/>
      <w:divBdr>
        <w:top w:val="none" w:sz="0" w:space="0" w:color="auto"/>
        <w:left w:val="none" w:sz="0" w:space="0" w:color="auto"/>
        <w:bottom w:val="none" w:sz="0" w:space="0" w:color="auto"/>
        <w:right w:val="none" w:sz="0" w:space="0" w:color="auto"/>
      </w:divBdr>
    </w:div>
    <w:div w:id="1790854887">
      <w:bodyDiv w:val="1"/>
      <w:marLeft w:val="0"/>
      <w:marRight w:val="0"/>
      <w:marTop w:val="0"/>
      <w:marBottom w:val="0"/>
      <w:divBdr>
        <w:top w:val="none" w:sz="0" w:space="0" w:color="auto"/>
        <w:left w:val="none" w:sz="0" w:space="0" w:color="auto"/>
        <w:bottom w:val="none" w:sz="0" w:space="0" w:color="auto"/>
        <w:right w:val="none" w:sz="0" w:space="0" w:color="auto"/>
      </w:divBdr>
    </w:div>
    <w:div w:id="1800688264">
      <w:bodyDiv w:val="1"/>
      <w:marLeft w:val="0"/>
      <w:marRight w:val="0"/>
      <w:marTop w:val="0"/>
      <w:marBottom w:val="0"/>
      <w:divBdr>
        <w:top w:val="none" w:sz="0" w:space="0" w:color="auto"/>
        <w:left w:val="none" w:sz="0" w:space="0" w:color="auto"/>
        <w:bottom w:val="none" w:sz="0" w:space="0" w:color="auto"/>
        <w:right w:val="none" w:sz="0" w:space="0" w:color="auto"/>
      </w:divBdr>
    </w:div>
    <w:div w:id="1835416082">
      <w:bodyDiv w:val="1"/>
      <w:marLeft w:val="0"/>
      <w:marRight w:val="0"/>
      <w:marTop w:val="0"/>
      <w:marBottom w:val="0"/>
      <w:divBdr>
        <w:top w:val="none" w:sz="0" w:space="0" w:color="auto"/>
        <w:left w:val="none" w:sz="0" w:space="0" w:color="auto"/>
        <w:bottom w:val="none" w:sz="0" w:space="0" w:color="auto"/>
        <w:right w:val="none" w:sz="0" w:space="0" w:color="auto"/>
      </w:divBdr>
    </w:div>
    <w:div w:id="1837989490">
      <w:bodyDiv w:val="1"/>
      <w:marLeft w:val="0"/>
      <w:marRight w:val="0"/>
      <w:marTop w:val="0"/>
      <w:marBottom w:val="0"/>
      <w:divBdr>
        <w:top w:val="none" w:sz="0" w:space="0" w:color="auto"/>
        <w:left w:val="none" w:sz="0" w:space="0" w:color="auto"/>
        <w:bottom w:val="none" w:sz="0" w:space="0" w:color="auto"/>
        <w:right w:val="none" w:sz="0" w:space="0" w:color="auto"/>
      </w:divBdr>
    </w:div>
    <w:div w:id="1848397923">
      <w:bodyDiv w:val="1"/>
      <w:marLeft w:val="0"/>
      <w:marRight w:val="0"/>
      <w:marTop w:val="0"/>
      <w:marBottom w:val="0"/>
      <w:divBdr>
        <w:top w:val="none" w:sz="0" w:space="0" w:color="auto"/>
        <w:left w:val="none" w:sz="0" w:space="0" w:color="auto"/>
        <w:bottom w:val="none" w:sz="0" w:space="0" w:color="auto"/>
        <w:right w:val="none" w:sz="0" w:space="0" w:color="auto"/>
      </w:divBdr>
    </w:div>
    <w:div w:id="1849169730">
      <w:bodyDiv w:val="1"/>
      <w:marLeft w:val="0"/>
      <w:marRight w:val="0"/>
      <w:marTop w:val="0"/>
      <w:marBottom w:val="0"/>
      <w:divBdr>
        <w:top w:val="none" w:sz="0" w:space="0" w:color="auto"/>
        <w:left w:val="none" w:sz="0" w:space="0" w:color="auto"/>
        <w:bottom w:val="none" w:sz="0" w:space="0" w:color="auto"/>
        <w:right w:val="none" w:sz="0" w:space="0" w:color="auto"/>
      </w:divBdr>
    </w:div>
    <w:div w:id="1853454283">
      <w:bodyDiv w:val="1"/>
      <w:marLeft w:val="0"/>
      <w:marRight w:val="0"/>
      <w:marTop w:val="0"/>
      <w:marBottom w:val="0"/>
      <w:divBdr>
        <w:top w:val="none" w:sz="0" w:space="0" w:color="auto"/>
        <w:left w:val="none" w:sz="0" w:space="0" w:color="auto"/>
        <w:bottom w:val="none" w:sz="0" w:space="0" w:color="auto"/>
        <w:right w:val="none" w:sz="0" w:space="0" w:color="auto"/>
      </w:divBdr>
    </w:div>
    <w:div w:id="1866168962">
      <w:bodyDiv w:val="1"/>
      <w:marLeft w:val="0"/>
      <w:marRight w:val="0"/>
      <w:marTop w:val="0"/>
      <w:marBottom w:val="0"/>
      <w:divBdr>
        <w:top w:val="none" w:sz="0" w:space="0" w:color="auto"/>
        <w:left w:val="none" w:sz="0" w:space="0" w:color="auto"/>
        <w:bottom w:val="none" w:sz="0" w:space="0" w:color="auto"/>
        <w:right w:val="none" w:sz="0" w:space="0" w:color="auto"/>
      </w:divBdr>
    </w:div>
    <w:div w:id="1907640855">
      <w:bodyDiv w:val="1"/>
      <w:marLeft w:val="0"/>
      <w:marRight w:val="0"/>
      <w:marTop w:val="0"/>
      <w:marBottom w:val="0"/>
      <w:divBdr>
        <w:top w:val="none" w:sz="0" w:space="0" w:color="auto"/>
        <w:left w:val="none" w:sz="0" w:space="0" w:color="auto"/>
        <w:bottom w:val="none" w:sz="0" w:space="0" w:color="auto"/>
        <w:right w:val="none" w:sz="0" w:space="0" w:color="auto"/>
      </w:divBdr>
    </w:div>
    <w:div w:id="1908224555">
      <w:bodyDiv w:val="1"/>
      <w:marLeft w:val="0"/>
      <w:marRight w:val="0"/>
      <w:marTop w:val="0"/>
      <w:marBottom w:val="0"/>
      <w:divBdr>
        <w:top w:val="none" w:sz="0" w:space="0" w:color="auto"/>
        <w:left w:val="none" w:sz="0" w:space="0" w:color="auto"/>
        <w:bottom w:val="none" w:sz="0" w:space="0" w:color="auto"/>
        <w:right w:val="none" w:sz="0" w:space="0" w:color="auto"/>
      </w:divBdr>
    </w:div>
    <w:div w:id="1915972034">
      <w:bodyDiv w:val="1"/>
      <w:marLeft w:val="0"/>
      <w:marRight w:val="0"/>
      <w:marTop w:val="0"/>
      <w:marBottom w:val="0"/>
      <w:divBdr>
        <w:top w:val="none" w:sz="0" w:space="0" w:color="auto"/>
        <w:left w:val="none" w:sz="0" w:space="0" w:color="auto"/>
        <w:bottom w:val="none" w:sz="0" w:space="0" w:color="auto"/>
        <w:right w:val="none" w:sz="0" w:space="0" w:color="auto"/>
      </w:divBdr>
    </w:div>
    <w:div w:id="1932272317">
      <w:bodyDiv w:val="1"/>
      <w:marLeft w:val="0"/>
      <w:marRight w:val="0"/>
      <w:marTop w:val="0"/>
      <w:marBottom w:val="0"/>
      <w:divBdr>
        <w:top w:val="none" w:sz="0" w:space="0" w:color="auto"/>
        <w:left w:val="none" w:sz="0" w:space="0" w:color="auto"/>
        <w:bottom w:val="none" w:sz="0" w:space="0" w:color="auto"/>
        <w:right w:val="none" w:sz="0" w:space="0" w:color="auto"/>
      </w:divBdr>
    </w:div>
    <w:div w:id="1934361513">
      <w:bodyDiv w:val="1"/>
      <w:marLeft w:val="0"/>
      <w:marRight w:val="0"/>
      <w:marTop w:val="0"/>
      <w:marBottom w:val="0"/>
      <w:divBdr>
        <w:top w:val="none" w:sz="0" w:space="0" w:color="auto"/>
        <w:left w:val="none" w:sz="0" w:space="0" w:color="auto"/>
        <w:bottom w:val="none" w:sz="0" w:space="0" w:color="auto"/>
        <w:right w:val="none" w:sz="0" w:space="0" w:color="auto"/>
      </w:divBdr>
    </w:div>
    <w:div w:id="1946226683">
      <w:bodyDiv w:val="1"/>
      <w:marLeft w:val="0"/>
      <w:marRight w:val="0"/>
      <w:marTop w:val="0"/>
      <w:marBottom w:val="0"/>
      <w:divBdr>
        <w:top w:val="none" w:sz="0" w:space="0" w:color="auto"/>
        <w:left w:val="none" w:sz="0" w:space="0" w:color="auto"/>
        <w:bottom w:val="none" w:sz="0" w:space="0" w:color="auto"/>
        <w:right w:val="none" w:sz="0" w:space="0" w:color="auto"/>
      </w:divBdr>
    </w:div>
    <w:div w:id="1952055722">
      <w:bodyDiv w:val="1"/>
      <w:marLeft w:val="0"/>
      <w:marRight w:val="0"/>
      <w:marTop w:val="0"/>
      <w:marBottom w:val="0"/>
      <w:divBdr>
        <w:top w:val="none" w:sz="0" w:space="0" w:color="auto"/>
        <w:left w:val="none" w:sz="0" w:space="0" w:color="auto"/>
        <w:bottom w:val="none" w:sz="0" w:space="0" w:color="auto"/>
        <w:right w:val="none" w:sz="0" w:space="0" w:color="auto"/>
      </w:divBdr>
    </w:div>
    <w:div w:id="1955165151">
      <w:bodyDiv w:val="1"/>
      <w:marLeft w:val="0"/>
      <w:marRight w:val="0"/>
      <w:marTop w:val="0"/>
      <w:marBottom w:val="0"/>
      <w:divBdr>
        <w:top w:val="none" w:sz="0" w:space="0" w:color="auto"/>
        <w:left w:val="none" w:sz="0" w:space="0" w:color="auto"/>
        <w:bottom w:val="none" w:sz="0" w:space="0" w:color="auto"/>
        <w:right w:val="none" w:sz="0" w:space="0" w:color="auto"/>
      </w:divBdr>
    </w:div>
    <w:div w:id="1959943832">
      <w:bodyDiv w:val="1"/>
      <w:marLeft w:val="0"/>
      <w:marRight w:val="0"/>
      <w:marTop w:val="0"/>
      <w:marBottom w:val="0"/>
      <w:divBdr>
        <w:top w:val="none" w:sz="0" w:space="0" w:color="auto"/>
        <w:left w:val="none" w:sz="0" w:space="0" w:color="auto"/>
        <w:bottom w:val="none" w:sz="0" w:space="0" w:color="auto"/>
        <w:right w:val="none" w:sz="0" w:space="0" w:color="auto"/>
      </w:divBdr>
    </w:div>
    <w:div w:id="1964847273">
      <w:bodyDiv w:val="1"/>
      <w:marLeft w:val="0"/>
      <w:marRight w:val="0"/>
      <w:marTop w:val="0"/>
      <w:marBottom w:val="0"/>
      <w:divBdr>
        <w:top w:val="none" w:sz="0" w:space="0" w:color="auto"/>
        <w:left w:val="none" w:sz="0" w:space="0" w:color="auto"/>
        <w:bottom w:val="none" w:sz="0" w:space="0" w:color="auto"/>
        <w:right w:val="none" w:sz="0" w:space="0" w:color="auto"/>
      </w:divBdr>
    </w:div>
    <w:div w:id="1965497960">
      <w:bodyDiv w:val="1"/>
      <w:marLeft w:val="0"/>
      <w:marRight w:val="0"/>
      <w:marTop w:val="0"/>
      <w:marBottom w:val="0"/>
      <w:divBdr>
        <w:top w:val="none" w:sz="0" w:space="0" w:color="auto"/>
        <w:left w:val="none" w:sz="0" w:space="0" w:color="auto"/>
        <w:bottom w:val="none" w:sz="0" w:space="0" w:color="auto"/>
        <w:right w:val="none" w:sz="0" w:space="0" w:color="auto"/>
      </w:divBdr>
    </w:div>
    <w:div w:id="1971324171">
      <w:bodyDiv w:val="1"/>
      <w:marLeft w:val="0"/>
      <w:marRight w:val="0"/>
      <w:marTop w:val="0"/>
      <w:marBottom w:val="0"/>
      <w:divBdr>
        <w:top w:val="none" w:sz="0" w:space="0" w:color="auto"/>
        <w:left w:val="none" w:sz="0" w:space="0" w:color="auto"/>
        <w:bottom w:val="none" w:sz="0" w:space="0" w:color="auto"/>
        <w:right w:val="none" w:sz="0" w:space="0" w:color="auto"/>
      </w:divBdr>
    </w:div>
    <w:div w:id="1978876481">
      <w:bodyDiv w:val="1"/>
      <w:marLeft w:val="0"/>
      <w:marRight w:val="0"/>
      <w:marTop w:val="0"/>
      <w:marBottom w:val="0"/>
      <w:divBdr>
        <w:top w:val="none" w:sz="0" w:space="0" w:color="auto"/>
        <w:left w:val="none" w:sz="0" w:space="0" w:color="auto"/>
        <w:bottom w:val="none" w:sz="0" w:space="0" w:color="auto"/>
        <w:right w:val="none" w:sz="0" w:space="0" w:color="auto"/>
      </w:divBdr>
    </w:div>
    <w:div w:id="1979265526">
      <w:bodyDiv w:val="1"/>
      <w:marLeft w:val="0"/>
      <w:marRight w:val="0"/>
      <w:marTop w:val="0"/>
      <w:marBottom w:val="0"/>
      <w:divBdr>
        <w:top w:val="none" w:sz="0" w:space="0" w:color="auto"/>
        <w:left w:val="none" w:sz="0" w:space="0" w:color="auto"/>
        <w:bottom w:val="none" w:sz="0" w:space="0" w:color="auto"/>
        <w:right w:val="none" w:sz="0" w:space="0" w:color="auto"/>
      </w:divBdr>
    </w:div>
    <w:div w:id="1990018056">
      <w:bodyDiv w:val="1"/>
      <w:marLeft w:val="0"/>
      <w:marRight w:val="0"/>
      <w:marTop w:val="0"/>
      <w:marBottom w:val="0"/>
      <w:divBdr>
        <w:top w:val="none" w:sz="0" w:space="0" w:color="auto"/>
        <w:left w:val="none" w:sz="0" w:space="0" w:color="auto"/>
        <w:bottom w:val="none" w:sz="0" w:space="0" w:color="auto"/>
        <w:right w:val="none" w:sz="0" w:space="0" w:color="auto"/>
      </w:divBdr>
    </w:div>
    <w:div w:id="1996911045">
      <w:bodyDiv w:val="1"/>
      <w:marLeft w:val="0"/>
      <w:marRight w:val="0"/>
      <w:marTop w:val="0"/>
      <w:marBottom w:val="0"/>
      <w:divBdr>
        <w:top w:val="none" w:sz="0" w:space="0" w:color="auto"/>
        <w:left w:val="none" w:sz="0" w:space="0" w:color="auto"/>
        <w:bottom w:val="none" w:sz="0" w:space="0" w:color="auto"/>
        <w:right w:val="none" w:sz="0" w:space="0" w:color="auto"/>
      </w:divBdr>
    </w:div>
    <w:div w:id="1997295398">
      <w:bodyDiv w:val="1"/>
      <w:marLeft w:val="0"/>
      <w:marRight w:val="0"/>
      <w:marTop w:val="0"/>
      <w:marBottom w:val="0"/>
      <w:divBdr>
        <w:top w:val="none" w:sz="0" w:space="0" w:color="auto"/>
        <w:left w:val="none" w:sz="0" w:space="0" w:color="auto"/>
        <w:bottom w:val="none" w:sz="0" w:space="0" w:color="auto"/>
        <w:right w:val="none" w:sz="0" w:space="0" w:color="auto"/>
      </w:divBdr>
    </w:div>
    <w:div w:id="2013295074">
      <w:bodyDiv w:val="1"/>
      <w:marLeft w:val="0"/>
      <w:marRight w:val="0"/>
      <w:marTop w:val="0"/>
      <w:marBottom w:val="0"/>
      <w:divBdr>
        <w:top w:val="none" w:sz="0" w:space="0" w:color="auto"/>
        <w:left w:val="none" w:sz="0" w:space="0" w:color="auto"/>
        <w:bottom w:val="none" w:sz="0" w:space="0" w:color="auto"/>
        <w:right w:val="none" w:sz="0" w:space="0" w:color="auto"/>
      </w:divBdr>
    </w:div>
    <w:div w:id="2014525680">
      <w:bodyDiv w:val="1"/>
      <w:marLeft w:val="0"/>
      <w:marRight w:val="0"/>
      <w:marTop w:val="0"/>
      <w:marBottom w:val="0"/>
      <w:divBdr>
        <w:top w:val="none" w:sz="0" w:space="0" w:color="auto"/>
        <w:left w:val="none" w:sz="0" w:space="0" w:color="auto"/>
        <w:bottom w:val="none" w:sz="0" w:space="0" w:color="auto"/>
        <w:right w:val="none" w:sz="0" w:space="0" w:color="auto"/>
      </w:divBdr>
    </w:div>
    <w:div w:id="2057506027">
      <w:bodyDiv w:val="1"/>
      <w:marLeft w:val="0"/>
      <w:marRight w:val="0"/>
      <w:marTop w:val="0"/>
      <w:marBottom w:val="0"/>
      <w:divBdr>
        <w:top w:val="none" w:sz="0" w:space="0" w:color="auto"/>
        <w:left w:val="none" w:sz="0" w:space="0" w:color="auto"/>
        <w:bottom w:val="none" w:sz="0" w:space="0" w:color="auto"/>
        <w:right w:val="none" w:sz="0" w:space="0" w:color="auto"/>
      </w:divBdr>
    </w:div>
    <w:div w:id="2058359351">
      <w:bodyDiv w:val="1"/>
      <w:marLeft w:val="0"/>
      <w:marRight w:val="0"/>
      <w:marTop w:val="0"/>
      <w:marBottom w:val="0"/>
      <w:divBdr>
        <w:top w:val="none" w:sz="0" w:space="0" w:color="auto"/>
        <w:left w:val="none" w:sz="0" w:space="0" w:color="auto"/>
        <w:bottom w:val="none" w:sz="0" w:space="0" w:color="auto"/>
        <w:right w:val="none" w:sz="0" w:space="0" w:color="auto"/>
      </w:divBdr>
    </w:div>
    <w:div w:id="2085636498">
      <w:bodyDiv w:val="1"/>
      <w:marLeft w:val="0"/>
      <w:marRight w:val="0"/>
      <w:marTop w:val="0"/>
      <w:marBottom w:val="0"/>
      <w:divBdr>
        <w:top w:val="none" w:sz="0" w:space="0" w:color="auto"/>
        <w:left w:val="none" w:sz="0" w:space="0" w:color="auto"/>
        <w:bottom w:val="none" w:sz="0" w:space="0" w:color="auto"/>
        <w:right w:val="none" w:sz="0" w:space="0" w:color="auto"/>
      </w:divBdr>
    </w:div>
    <w:div w:id="2121143741">
      <w:bodyDiv w:val="1"/>
      <w:marLeft w:val="0"/>
      <w:marRight w:val="0"/>
      <w:marTop w:val="0"/>
      <w:marBottom w:val="0"/>
      <w:divBdr>
        <w:top w:val="none" w:sz="0" w:space="0" w:color="auto"/>
        <w:left w:val="none" w:sz="0" w:space="0" w:color="auto"/>
        <w:bottom w:val="none" w:sz="0" w:space="0" w:color="auto"/>
        <w:right w:val="none" w:sz="0" w:space="0" w:color="auto"/>
      </w:divBdr>
    </w:div>
    <w:div w:id="2142334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chart" Target="charts/chart7.xml"/><Relationship Id="rId26" Type="http://schemas.openxmlformats.org/officeDocument/2006/relationships/chart" Target="charts/chart15.xml"/><Relationship Id="rId3" Type="http://schemas.openxmlformats.org/officeDocument/2006/relationships/styles" Target="styles.xml"/><Relationship Id="rId21" Type="http://schemas.openxmlformats.org/officeDocument/2006/relationships/chart" Target="charts/chart10.xml"/><Relationship Id="rId34" Type="http://schemas.openxmlformats.org/officeDocument/2006/relationships/theme" Target="theme/theme1.xml"/><Relationship Id="rId42"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chart" Target="charts/chart6.xml"/><Relationship Id="rId25" Type="http://schemas.openxmlformats.org/officeDocument/2006/relationships/chart" Target="charts/chart14.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hart" Target="charts/chart9.xml"/><Relationship Id="rId29" Type="http://schemas.openxmlformats.org/officeDocument/2006/relationships/chart" Target="charts/chart18.xm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chart" Target="charts/chart13.xm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hart" Target="charts/chart4.xml"/><Relationship Id="rId23" Type="http://schemas.openxmlformats.org/officeDocument/2006/relationships/chart" Target="charts/chart12.xml"/><Relationship Id="rId28" Type="http://schemas.openxmlformats.org/officeDocument/2006/relationships/chart" Target="charts/chart17.xml"/><Relationship Id="rId10" Type="http://schemas.openxmlformats.org/officeDocument/2006/relationships/image" Target="media/image2.png"/><Relationship Id="rId19" Type="http://schemas.openxmlformats.org/officeDocument/2006/relationships/chart" Target="charts/chart8.xm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chart" Target="charts/chart3.xml"/><Relationship Id="rId22" Type="http://schemas.openxmlformats.org/officeDocument/2006/relationships/chart" Target="charts/chart11.xml"/><Relationship Id="rId27" Type="http://schemas.openxmlformats.org/officeDocument/2006/relationships/chart" Target="charts/chart16.xml"/><Relationship Id="rId30"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s.stoiljkovic.INTERNAL\Documents\IZVESTAJI\Izvestaj%20o%20poslovanju\IZVESTAJI\IZVESTAJ%2031.12.2014\Slike%20izvestaj%2031.12.2014.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C:\Users\s.stoiljkovic.INTERNAL\Documents\IZVESTAJI\Izvestaj%20o%20poslovanju\IZVESTAJI\IZVESTAJ%2031.12.2014\Slike%20izvestaj%2031.12.2014.xlsx" TargetMode="External"/><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1" Type="http://schemas.openxmlformats.org/officeDocument/2006/relationships/oleObject" Target="file:///C:\Users\s.stoiljkovic.INTERNAL\AppData\Local\Microsoft\Windows\Temporary%20Internet%20Files\Content.Outlook\XU11Q4DN\_OSTVARENJA%202009_2014.xlsx" TargetMode="External"/></Relationships>
</file>

<file path=word/charts/_rels/chart12.xml.rels><?xml version="1.0" encoding="UTF-8" standalone="yes"?>
<Relationships xmlns="http://schemas.openxmlformats.org/package/2006/relationships"><Relationship Id="rId2" Type="http://schemas.openxmlformats.org/officeDocument/2006/relationships/oleObject" Target="file:///C:\Users\s.stoiljkovic.INTERNAL\Documents\IZVESTAJI\Izvestaj%20o%20poslovanju\IZVESTAJI\IZVESTAJ%2031.12.2014\Slike%20izvestaj%2031.12.2014.xlsx" TargetMode="External"/><Relationship Id="rId1" Type="http://schemas.openxmlformats.org/officeDocument/2006/relationships/themeOverride" Target="../theme/themeOverride11.xml"/></Relationships>
</file>

<file path=word/charts/_rels/chart13.xml.rels><?xml version="1.0" encoding="UTF-8" standalone="yes"?>
<Relationships xmlns="http://schemas.openxmlformats.org/package/2006/relationships"><Relationship Id="rId1" Type="http://schemas.openxmlformats.org/officeDocument/2006/relationships/oleObject" Target="Book2"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d.blecic.INTERNAL\Desktop\Book1.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d.blecic.INTERNAL\Desktop\Interna%20revizija%202014\Izve&#353;taji\Godi&#353;nji\Book1.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Book2"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Book2"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d.blecic.INTERNAL\Desktop\Copy%20of%20investicioni%20portfolio.xlsx"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file:///C:\Users\s.stoiljkovic.INTERNAL\Documents\IZVESTAJI\Izvestaj%20o%20poslovanju\IZVESTAJI\IZVESTAJ%2031.12.2014\Slike%20izvestaj%2031.12.2014.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s.stoiljkovic.INTERNAL\Documents\IZVESTAJI\Izvestaj%20o%20poslovanju\IZVESTAJI\IZVESTAJ%2031.12.2014\Slike%20izvestaj%2031.12.2014.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C:\Users\s.stoiljkovic.INTERNAL\Documents\IZVESTAJI\Izvestaj%20o%20poslovanju\IZVESTAJI\IZVESTAJ%2031.12.2014\Slike%20izvestaj%2031.12.2014.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C:\Users\s.stoiljkovic.INTERNAL\Documents\IZVESTAJI\Izvestaj%20o%20poslovanju\IZVESTAJI\IZVESTAJ%2031.12.2014\Slike%20izvestaj%2031.12.2014.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C:\Users\s.stoiljkovic.INTERNAL\Documents\IZVESTAJI\Izvestaj%20o%20poslovanju\IZVESTAJI\IZVESTAJ%2031.12.2014\Slike%20izvestaj%2031.12.2014.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C:\Users\s.stoiljkovic.INTERNAL\Documents\IZVESTAJI\Izvestaj%20o%20poslovanju\IZVESTAJI\IZVESTAJ%2031.12.2014\Slike%20izvestaj%2031.12.2014.xlsx"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file:///C:\Users\s.stoiljkovic.INTERNAL\Documents\IZVESTAJI\Izvestaj%20o%20poslovanju\IZVESTAJI\IZVESTAJ%2031.12.2014\Slike%20izvestaj%2031.12.2014.xlsx" TargetMode="External"/><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oleObject" Target="file:///C:\Users\s.stoiljkovic.INTERNAL\Documents\IZVESTAJI\Izvestaj%20o%20poslovanju\IZVESTAJI\IZVESTAJ%2031.12.2014\Slike%20izvestaj%2031.12.2014.xlsx"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sr-Cyrl-RS" sz="1200">
                <a:latin typeface="Verdana" panose="020B0604030504040204" pitchFamily="34" charset="0"/>
                <a:ea typeface="Verdana" panose="020B0604030504040204" pitchFamily="34" charset="0"/>
                <a:cs typeface="Verdana" panose="020B0604030504040204" pitchFamily="34" charset="0"/>
              </a:rPr>
              <a:t>Активна премија по Цедентима - Србија</a:t>
            </a:r>
            <a:endParaRPr lang="en-US" sz="1200">
              <a:latin typeface="Verdana" panose="020B0604030504040204" pitchFamily="34" charset="0"/>
              <a:ea typeface="Verdana" panose="020B0604030504040204" pitchFamily="34" charset="0"/>
              <a:cs typeface="Verdana" panose="020B0604030504040204" pitchFamily="34" charset="0"/>
            </a:endParaRPr>
          </a:p>
        </c:rich>
      </c:tx>
      <c:layout>
        <c:manualLayout>
          <c:xMode val="edge"/>
          <c:yMode val="edge"/>
          <c:x val="0.11967790251621052"/>
          <c:y val="2.0788504378129204E-2"/>
        </c:manualLayout>
      </c:layout>
      <c:overlay val="1"/>
    </c:title>
    <c:autoTitleDeleted val="0"/>
    <c:view3D>
      <c:rotX val="30"/>
      <c:rotY val="190"/>
      <c:rAngAx val="0"/>
      <c:perspective val="30"/>
    </c:view3D>
    <c:floor>
      <c:thickness val="0"/>
    </c:floor>
    <c:sideWall>
      <c:thickness val="0"/>
    </c:sideWall>
    <c:backWall>
      <c:thickness val="0"/>
    </c:backWall>
    <c:plotArea>
      <c:layout>
        <c:manualLayout>
          <c:layoutTarget val="inner"/>
          <c:xMode val="edge"/>
          <c:yMode val="edge"/>
          <c:x val="7.1539081704074955E-2"/>
          <c:y val="7.1816763223503659E-4"/>
          <c:w val="0.88111121501736289"/>
          <c:h val="0.8764835375076977"/>
        </c:manualLayout>
      </c:layout>
      <c:pie3DChart>
        <c:varyColors val="1"/>
        <c:ser>
          <c:idx val="0"/>
          <c:order val="0"/>
          <c:explosion val="13"/>
          <c:dLbls>
            <c:dLbl>
              <c:idx val="0"/>
              <c:layout>
                <c:manualLayout>
                  <c:x val="0"/>
                  <c:y val="-0.18840576126787606"/>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1"/>
              <c:layout>
                <c:manualLayout>
                  <c:x val="1.6696481812760882E-2"/>
                  <c:y val="-3.623187716689924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2"/>
              <c:layout>
                <c:manualLayout>
                  <c:x val="-8.6109188845456071E-4"/>
                  <c:y val="-5.4884221476871144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3"/>
              <c:layout>
                <c:manualLayout>
                  <c:x val="0"/>
                  <c:y val="-9.1116173120728925E-3"/>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4"/>
              <c:layout>
                <c:manualLayout>
                  <c:x val="4.2933810375670928E-2"/>
                  <c:y val="4.8309169555865658E-3"/>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5"/>
              <c:layout>
                <c:manualLayout>
                  <c:x val="0.11449016100178891"/>
                  <c:y val="3.8647335644692526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6"/>
              <c:layout>
                <c:manualLayout>
                  <c:x val="0.17412045319022063"/>
                  <c:y val="7.0048295856005111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7"/>
              <c:layout>
                <c:manualLayout>
                  <c:x val="0.23375074537865237"/>
                  <c:y val="0.10144925606731788"/>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8"/>
              <c:layout>
                <c:manualLayout>
                  <c:x val="0.26475849731663692"/>
                  <c:y val="0.13768113323421713"/>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9"/>
              <c:layout>
                <c:manualLayout>
                  <c:x val="0.28861061419200956"/>
                  <c:y val="0.17874392735670291"/>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10"/>
              <c:layout>
                <c:manualLayout>
                  <c:x val="0.11210494931425163"/>
                  <c:y val="0.10144925606731788"/>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11"/>
              <c:layout>
                <c:manualLayout>
                  <c:x val="0.13595706618962433"/>
                  <c:y val="0.13768113323421713"/>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12"/>
              <c:layout>
                <c:manualLayout>
                  <c:x val="0.14311270125223613"/>
                  <c:y val="0.18599030279008277"/>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13"/>
              <c:layout>
                <c:manualLayout>
                  <c:x val="0.12880143112701242"/>
                  <c:y val="0.24525320962786629"/>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14"/>
              <c:layout>
                <c:manualLayout>
                  <c:x val="-7.1556350626118065E-2"/>
                  <c:y val="0.23693971393110744"/>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15"/>
              <c:layout>
                <c:manualLayout>
                  <c:x val="-7.1556350626118065E-2"/>
                  <c:y val="0.19655069279130807"/>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16"/>
              <c:layout>
                <c:manualLayout>
                  <c:x val="-8.825283243887895E-2"/>
                  <c:y val="0.14515229201001037"/>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17"/>
              <c:layout>
                <c:manualLayout>
                  <c:x val="-0.1073345259391771"/>
                  <c:y val="9.9370689128975065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18"/>
              <c:layout>
                <c:manualLayout>
                  <c:x val="-0.11449016100178891"/>
                  <c:y val="6.2913996215589324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19"/>
              <c:layout>
                <c:manualLayout>
                  <c:x val="-0.12880143112701253"/>
                  <c:y val="1.5503875968992343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20"/>
              <c:layout>
                <c:manualLayout>
                  <c:x val="-0.1526535480023852"/>
                  <c:y val="-3.3591731266149873E-2"/>
                </c:manualLayout>
              </c:layout>
              <c:dLblPos val="bestFit"/>
              <c:showLegendKey val="1"/>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800"/>
                </a:pPr>
                <a:endParaRPr lang="sr-Latn-RS"/>
              </a:p>
            </c:txPr>
            <c:dLblPos val="outEnd"/>
            <c:showLegendKey val="1"/>
            <c:showVal val="1"/>
            <c:showCatName val="0"/>
            <c:showSerName val="0"/>
            <c:showPercent val="0"/>
            <c:showBubbleSize val="0"/>
            <c:showLeaderLines val="1"/>
            <c:extLst>
              <c:ext xmlns:c15="http://schemas.microsoft.com/office/drawing/2012/chart" uri="{CE6537A1-D6FC-4f65-9D91-7224C49458BB}"/>
            </c:extLst>
          </c:dLbls>
          <c:cat>
            <c:strRef>
              <c:f>'aktivna premija Srbija'!$C$30:$C$50</c:f>
              <c:strCache>
                <c:ptCount val="21"/>
                <c:pt idx="0">
                  <c:v>DUNAV OSIGURANJE</c:v>
                </c:pt>
                <c:pt idx="1">
                  <c:v>SOGAZ</c:v>
                </c:pt>
                <c:pt idx="2">
                  <c:v>TRIGLAV OSIGURANJE</c:v>
                </c:pt>
                <c:pt idx="3">
                  <c:v>SAVA OSIGURANJE</c:v>
                </c:pt>
                <c:pt idx="4">
                  <c:v>UNIQA NEŽIVOTNO OSIGURANJE</c:v>
                </c:pt>
                <c:pt idx="5">
                  <c:v>GRAWE OSIGURANJE</c:v>
                </c:pt>
                <c:pt idx="6">
                  <c:v>UDRUŽENJE OSIGURAVAČA SRBIJE</c:v>
                </c:pt>
                <c:pt idx="7">
                  <c:v>MERKUR OSIGURANJE</c:v>
                </c:pt>
                <c:pt idx="8">
                  <c:v>WIENER RE</c:v>
                </c:pt>
                <c:pt idx="9">
                  <c:v>UNIQA ŽIVOTNO OSIGURANJE</c:v>
                </c:pt>
                <c:pt idx="10">
                  <c:v>MILENIJUM OSIGURANJE</c:v>
                </c:pt>
                <c:pt idx="11">
                  <c:v>AS OSIGURANJE</c:v>
                </c:pt>
                <c:pt idx="12">
                  <c:v>AMS OSIGURANJE</c:v>
                </c:pt>
                <c:pt idx="13">
                  <c:v>ENEROPROJEKT GARANT OSIGURANJE</c:v>
                </c:pt>
                <c:pt idx="14">
                  <c:v>GLOBOS OSIGURANJE</c:v>
                </c:pt>
                <c:pt idx="15">
                  <c:v>NEŽIVOTNO OSIGURANJE BASLER</c:v>
                </c:pt>
                <c:pt idx="16">
                  <c:v>ŽIVOTNO OSIGURANJE BASLER</c:v>
                </c:pt>
                <c:pt idx="17">
                  <c:v>SOCIETE GENERALE OSIGURANJE</c:v>
                </c:pt>
                <c:pt idx="18">
                  <c:v>METLIFE ŽIVOTNO OSIGURANJE</c:v>
                </c:pt>
                <c:pt idx="19">
                  <c:v>SAVA ŽIVOTNO OSIGURANJE</c:v>
                </c:pt>
                <c:pt idx="20">
                  <c:v>GENERALI OSIGURANJE</c:v>
                </c:pt>
              </c:strCache>
            </c:strRef>
          </c:cat>
          <c:val>
            <c:numRef>
              <c:f>'aktivna premija Srbija'!$D$30:$D$50</c:f>
              <c:numCache>
                <c:formatCode>0.00%</c:formatCode>
                <c:ptCount val="21"/>
                <c:pt idx="0">
                  <c:v>0.39715124307345445</c:v>
                </c:pt>
                <c:pt idx="1">
                  <c:v>0.21463112774579862</c:v>
                </c:pt>
                <c:pt idx="2">
                  <c:v>7.9566775942008131E-2</c:v>
                </c:pt>
                <c:pt idx="3">
                  <c:v>4.8786318635166692E-2</c:v>
                </c:pt>
                <c:pt idx="4">
                  <c:v>4.0651088202758763E-2</c:v>
                </c:pt>
                <c:pt idx="5">
                  <c:v>3.5795260081074302E-2</c:v>
                </c:pt>
                <c:pt idx="6">
                  <c:v>2.9617627933143442E-2</c:v>
                </c:pt>
                <c:pt idx="7">
                  <c:v>2.0731262741077252E-2</c:v>
                </c:pt>
                <c:pt idx="8">
                  <c:v>7.412025574462789E-3</c:v>
                </c:pt>
                <c:pt idx="9">
                  <c:v>6.5096836757878238E-3</c:v>
                </c:pt>
                <c:pt idx="10">
                  <c:v>6.1114779689808345E-3</c:v>
                </c:pt>
                <c:pt idx="11">
                  <c:v>5.024919606019927E-3</c:v>
                </c:pt>
                <c:pt idx="12">
                  <c:v>3.4018767515751592E-3</c:v>
                </c:pt>
                <c:pt idx="13">
                  <c:v>3.0829400143431366E-3</c:v>
                </c:pt>
                <c:pt idx="14">
                  <c:v>2.5445274492302467E-3</c:v>
                </c:pt>
                <c:pt idx="15">
                  <c:v>1.0853618979921871E-3</c:v>
                </c:pt>
                <c:pt idx="16">
                  <c:v>7.3915335553014102E-4</c:v>
                </c:pt>
                <c:pt idx="17">
                  <c:v>2.729445873101421E-4</c:v>
                </c:pt>
                <c:pt idx="18">
                  <c:v>1.9981487305019264E-4</c:v>
                </c:pt>
                <c:pt idx="19">
                  <c:v>1.6235397552735809E-4</c:v>
                </c:pt>
                <c:pt idx="20">
                  <c:v>5.7404304369762258E-5</c:v>
                </c:pt>
              </c:numCache>
            </c:numRef>
          </c:val>
        </c:ser>
        <c:dLbls>
          <c:showLegendKey val="0"/>
          <c:showVal val="1"/>
          <c:showCatName val="1"/>
          <c:showSerName val="0"/>
          <c:showPercent val="0"/>
          <c:showBubbleSize val="0"/>
          <c:showLeaderLines val="1"/>
        </c:dLbls>
      </c:pie3DChart>
    </c:plotArea>
    <c:plotVisOnly val="1"/>
    <c:dispBlanksAs val="gap"/>
    <c:showDLblsOverMax val="0"/>
  </c:chart>
  <c:spPr>
    <a:ln>
      <a:noFill/>
    </a:ln>
  </c:sp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sz="1200">
                <a:latin typeface="Verdana" panose="020B0604030504040204" pitchFamily="34" charset="0"/>
                <a:ea typeface="Verdana" panose="020B0604030504040204" pitchFamily="34" charset="0"/>
                <a:cs typeface="Verdana" panose="020B0604030504040204" pitchFamily="34" charset="0"/>
              </a:defRPr>
            </a:pPr>
            <a:r>
              <a:rPr lang="sr-Cyrl-RS" sz="1200">
                <a:latin typeface="Verdana" panose="020B0604030504040204" pitchFamily="34" charset="0"/>
                <a:ea typeface="Verdana" panose="020B0604030504040204" pitchFamily="34" charset="0"/>
                <a:cs typeface="Verdana" panose="020B0604030504040204" pitchFamily="34" charset="0"/>
              </a:rPr>
              <a:t>Резервисане</a:t>
            </a:r>
            <a:r>
              <a:rPr lang="sr-Cyrl-RS" sz="1200" baseline="0">
                <a:latin typeface="Verdana" panose="020B0604030504040204" pitchFamily="34" charset="0"/>
                <a:ea typeface="Verdana" panose="020B0604030504040204" pitchFamily="34" charset="0"/>
                <a:cs typeface="Verdana" panose="020B0604030504040204" pitchFamily="34" charset="0"/>
              </a:rPr>
              <a:t> штете у хиљадама динара</a:t>
            </a:r>
            <a:endParaRPr lang="en-US" sz="1200">
              <a:latin typeface="Verdana" panose="020B0604030504040204" pitchFamily="34" charset="0"/>
              <a:ea typeface="Verdana" panose="020B0604030504040204" pitchFamily="34" charset="0"/>
              <a:cs typeface="Verdana" panose="020B0604030504040204" pitchFamily="34" charset="0"/>
            </a:endParaRPr>
          </a:p>
        </c:rich>
      </c:tx>
      <c:overlay val="0"/>
    </c:title>
    <c:autoTitleDeleted val="0"/>
    <c:plotArea>
      <c:layout/>
      <c:barChart>
        <c:barDir val="col"/>
        <c:grouping val="clustered"/>
        <c:varyColors val="0"/>
        <c:ser>
          <c:idx val="0"/>
          <c:order val="0"/>
          <c:tx>
            <c:strRef>
              <c:f>'rezervisane stete 31.12.2014'!$B$32</c:f>
              <c:strCache>
                <c:ptCount val="1"/>
                <c:pt idx="0">
                  <c:v>Активнe</c:v>
                </c:pt>
              </c:strCache>
            </c:strRef>
          </c:tx>
          <c:invertIfNegative val="0"/>
          <c:cat>
            <c:numRef>
              <c:f>'rezervisane stete 31.12.2014'!$C$31:$I$31</c:f>
              <c:numCache>
                <c:formatCode>General</c:formatCode>
                <c:ptCount val="7"/>
                <c:pt idx="0">
                  <c:v>2008</c:v>
                </c:pt>
                <c:pt idx="1">
                  <c:v>2009</c:v>
                </c:pt>
                <c:pt idx="2">
                  <c:v>2010</c:v>
                </c:pt>
                <c:pt idx="3">
                  <c:v>2011</c:v>
                </c:pt>
                <c:pt idx="4">
                  <c:v>2012</c:v>
                </c:pt>
                <c:pt idx="5">
                  <c:v>2013</c:v>
                </c:pt>
                <c:pt idx="6">
                  <c:v>2014</c:v>
                </c:pt>
              </c:numCache>
            </c:numRef>
          </c:cat>
          <c:val>
            <c:numRef>
              <c:f>'rezervisane stete 31.12.2014'!$C$32:$I$32</c:f>
              <c:numCache>
                <c:formatCode>#,##0</c:formatCode>
                <c:ptCount val="7"/>
                <c:pt idx="0">
                  <c:v>1045473</c:v>
                </c:pt>
                <c:pt idx="1">
                  <c:v>899987</c:v>
                </c:pt>
                <c:pt idx="2">
                  <c:v>1349403</c:v>
                </c:pt>
                <c:pt idx="3">
                  <c:v>1106117</c:v>
                </c:pt>
                <c:pt idx="4">
                  <c:v>1134163</c:v>
                </c:pt>
                <c:pt idx="5">
                  <c:v>777170</c:v>
                </c:pt>
                <c:pt idx="6">
                  <c:v>1420647</c:v>
                </c:pt>
              </c:numCache>
            </c:numRef>
          </c:val>
        </c:ser>
        <c:ser>
          <c:idx val="1"/>
          <c:order val="1"/>
          <c:tx>
            <c:strRef>
              <c:f>'rezervisane stete 31.12.2014'!$B$33</c:f>
              <c:strCache>
                <c:ptCount val="1"/>
                <c:pt idx="0">
                  <c:v>Пасивнe</c:v>
                </c:pt>
              </c:strCache>
            </c:strRef>
          </c:tx>
          <c:invertIfNegative val="0"/>
          <c:cat>
            <c:numRef>
              <c:f>'rezervisane stete 31.12.2014'!$C$31:$I$31</c:f>
              <c:numCache>
                <c:formatCode>General</c:formatCode>
                <c:ptCount val="7"/>
                <c:pt idx="0">
                  <c:v>2008</c:v>
                </c:pt>
                <c:pt idx="1">
                  <c:v>2009</c:v>
                </c:pt>
                <c:pt idx="2">
                  <c:v>2010</c:v>
                </c:pt>
                <c:pt idx="3">
                  <c:v>2011</c:v>
                </c:pt>
                <c:pt idx="4">
                  <c:v>2012</c:v>
                </c:pt>
                <c:pt idx="5">
                  <c:v>2013</c:v>
                </c:pt>
                <c:pt idx="6">
                  <c:v>2014</c:v>
                </c:pt>
              </c:numCache>
            </c:numRef>
          </c:cat>
          <c:val>
            <c:numRef>
              <c:f>'rezervisane stete 31.12.2014'!$C$33:$I$33</c:f>
              <c:numCache>
                <c:formatCode>#,##0</c:formatCode>
                <c:ptCount val="7"/>
                <c:pt idx="0">
                  <c:v>303833</c:v>
                </c:pt>
                <c:pt idx="1">
                  <c:v>545023</c:v>
                </c:pt>
                <c:pt idx="2">
                  <c:v>492086</c:v>
                </c:pt>
                <c:pt idx="3">
                  <c:v>713481</c:v>
                </c:pt>
                <c:pt idx="4">
                  <c:v>691299</c:v>
                </c:pt>
                <c:pt idx="5">
                  <c:v>491238</c:v>
                </c:pt>
                <c:pt idx="6">
                  <c:v>1009578</c:v>
                </c:pt>
              </c:numCache>
            </c:numRef>
          </c:val>
        </c:ser>
        <c:ser>
          <c:idx val="2"/>
          <c:order val="2"/>
          <c:tx>
            <c:strRef>
              <c:f>'rezervisane stete 31.12.2014'!$B$34</c:f>
              <c:strCache>
                <c:ptCount val="1"/>
                <c:pt idx="0">
                  <c:v>Самопридржај</c:v>
                </c:pt>
              </c:strCache>
            </c:strRef>
          </c:tx>
          <c:invertIfNegative val="0"/>
          <c:cat>
            <c:numRef>
              <c:f>'rezervisane stete 31.12.2014'!$C$31:$I$31</c:f>
              <c:numCache>
                <c:formatCode>General</c:formatCode>
                <c:ptCount val="7"/>
                <c:pt idx="0">
                  <c:v>2008</c:v>
                </c:pt>
                <c:pt idx="1">
                  <c:v>2009</c:v>
                </c:pt>
                <c:pt idx="2">
                  <c:v>2010</c:v>
                </c:pt>
                <c:pt idx="3">
                  <c:v>2011</c:v>
                </c:pt>
                <c:pt idx="4">
                  <c:v>2012</c:v>
                </c:pt>
                <c:pt idx="5">
                  <c:v>2013</c:v>
                </c:pt>
                <c:pt idx="6">
                  <c:v>2014</c:v>
                </c:pt>
              </c:numCache>
            </c:numRef>
          </c:cat>
          <c:val>
            <c:numRef>
              <c:f>'rezervisane stete 31.12.2014'!$C$34:$I$34</c:f>
              <c:numCache>
                <c:formatCode>#,##0</c:formatCode>
                <c:ptCount val="7"/>
                <c:pt idx="0">
                  <c:v>303833</c:v>
                </c:pt>
                <c:pt idx="1">
                  <c:v>354964</c:v>
                </c:pt>
                <c:pt idx="2">
                  <c:v>492086</c:v>
                </c:pt>
                <c:pt idx="3">
                  <c:v>392636</c:v>
                </c:pt>
                <c:pt idx="4">
                  <c:v>442864</c:v>
                </c:pt>
                <c:pt idx="5">
                  <c:v>285932</c:v>
                </c:pt>
                <c:pt idx="6">
                  <c:v>411069</c:v>
                </c:pt>
              </c:numCache>
            </c:numRef>
          </c:val>
        </c:ser>
        <c:dLbls>
          <c:showLegendKey val="0"/>
          <c:showVal val="0"/>
          <c:showCatName val="0"/>
          <c:showSerName val="0"/>
          <c:showPercent val="0"/>
          <c:showBubbleSize val="0"/>
        </c:dLbls>
        <c:gapWidth val="150"/>
        <c:axId val="154944256"/>
        <c:axId val="154945792"/>
      </c:barChart>
      <c:catAx>
        <c:axId val="154944256"/>
        <c:scaling>
          <c:orientation val="minMax"/>
        </c:scaling>
        <c:delete val="0"/>
        <c:axPos val="b"/>
        <c:numFmt formatCode="General" sourceLinked="0"/>
        <c:majorTickMark val="none"/>
        <c:minorTickMark val="none"/>
        <c:tickLblPos val="nextTo"/>
        <c:txPr>
          <a:bodyPr/>
          <a:lstStyle/>
          <a:p>
            <a:pPr>
              <a:defRPr sz="900">
                <a:latin typeface="Verdana" panose="020B0604030504040204" pitchFamily="34" charset="0"/>
                <a:ea typeface="Verdana" panose="020B0604030504040204" pitchFamily="34" charset="0"/>
                <a:cs typeface="Verdana" panose="020B0604030504040204" pitchFamily="34" charset="0"/>
              </a:defRPr>
            </a:pPr>
            <a:endParaRPr lang="sr-Latn-RS"/>
          </a:p>
        </c:txPr>
        <c:crossAx val="154945792"/>
        <c:crosses val="autoZero"/>
        <c:auto val="1"/>
        <c:lblAlgn val="ctr"/>
        <c:lblOffset val="100"/>
        <c:noMultiLvlLbl val="0"/>
      </c:catAx>
      <c:valAx>
        <c:axId val="154945792"/>
        <c:scaling>
          <c:orientation val="minMax"/>
          <c:max val="1500000"/>
        </c:scaling>
        <c:delete val="0"/>
        <c:axPos val="l"/>
        <c:majorGridlines/>
        <c:numFmt formatCode="#,##0" sourceLinked="1"/>
        <c:majorTickMark val="none"/>
        <c:minorTickMark val="none"/>
        <c:tickLblPos val="nextTo"/>
        <c:txPr>
          <a:bodyPr/>
          <a:lstStyle/>
          <a:p>
            <a:pPr>
              <a:defRPr sz="900">
                <a:latin typeface="Verdana" panose="020B0604030504040204" pitchFamily="34" charset="0"/>
                <a:ea typeface="Verdana" panose="020B0604030504040204" pitchFamily="34" charset="0"/>
                <a:cs typeface="Verdana" panose="020B0604030504040204" pitchFamily="34" charset="0"/>
              </a:defRPr>
            </a:pPr>
            <a:endParaRPr lang="sr-Latn-RS"/>
          </a:p>
        </c:txPr>
        <c:crossAx val="154944256"/>
        <c:crosses val="autoZero"/>
        <c:crossBetween val="between"/>
        <c:majorUnit val="300000"/>
      </c:valAx>
    </c:plotArea>
    <c:legend>
      <c:legendPos val="b"/>
      <c:overlay val="0"/>
      <c:txPr>
        <a:bodyPr/>
        <a:lstStyle/>
        <a:p>
          <a:pPr>
            <a:defRPr sz="800">
              <a:latin typeface="Verdana" panose="020B0604030504040204" pitchFamily="34" charset="0"/>
              <a:ea typeface="Verdana" panose="020B0604030504040204" pitchFamily="34" charset="0"/>
              <a:cs typeface="Verdana" panose="020B0604030504040204" pitchFamily="34" charset="0"/>
            </a:defRPr>
          </a:pPr>
          <a:endParaRPr lang="sr-Latn-RS"/>
        </a:p>
      </c:txPr>
    </c:legend>
    <c:plotVisOnly val="1"/>
    <c:dispBlanksAs val="gap"/>
    <c:showDLblsOverMax val="0"/>
  </c:chart>
  <c:spPr>
    <a:ln>
      <a:noFill/>
    </a:ln>
  </c:sp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28"/>
    </mc:Choice>
    <mc:Fallback>
      <c:style val="28"/>
    </mc:Fallback>
  </mc:AlternateContent>
  <c:chart>
    <c:title>
      <c:tx>
        <c:rich>
          <a:bodyPr/>
          <a:lstStyle/>
          <a:p>
            <a:pPr>
              <a:defRPr/>
            </a:pPr>
            <a:r>
              <a:rPr lang="en-US" sz="1200">
                <a:latin typeface="Verdana" panose="020B0604030504040204" pitchFamily="34" charset="0"/>
                <a:ea typeface="Verdana" panose="020B0604030504040204" pitchFamily="34" charset="0"/>
                <a:cs typeface="Verdana" panose="020B0604030504040204" pitchFamily="34" charset="0"/>
              </a:rPr>
              <a:t>Merodavni tehnički</a:t>
            </a:r>
            <a:r>
              <a:rPr lang="sr-Latn-RS" sz="1200">
                <a:latin typeface="Verdana" panose="020B0604030504040204" pitchFamily="34" charset="0"/>
                <a:ea typeface="Verdana" panose="020B0604030504040204" pitchFamily="34" charset="0"/>
                <a:cs typeface="Verdana" panose="020B0604030504040204" pitchFamily="34" charset="0"/>
              </a:rPr>
              <a:t> </a:t>
            </a:r>
            <a:r>
              <a:rPr lang="en-US" sz="1200">
                <a:latin typeface="Verdana" panose="020B0604030504040204" pitchFamily="34" charset="0"/>
                <a:ea typeface="Verdana" panose="020B0604030504040204" pitchFamily="34" charset="0"/>
                <a:cs typeface="Verdana" panose="020B0604030504040204" pitchFamily="34" charset="0"/>
              </a:rPr>
              <a:t>rezultat </a:t>
            </a:r>
          </a:p>
          <a:p>
            <a:pPr>
              <a:defRPr/>
            </a:pPr>
            <a:r>
              <a:rPr lang="en-US" sz="1200">
                <a:latin typeface="Verdana" panose="020B0604030504040204" pitchFamily="34" charset="0"/>
                <a:ea typeface="Verdana" panose="020B0604030504040204" pitchFamily="34" charset="0"/>
                <a:cs typeface="Verdana" panose="020B0604030504040204" pitchFamily="34" charset="0"/>
              </a:rPr>
              <a:t>u samopridržaju 2008 - 2014.</a:t>
            </a:r>
          </a:p>
        </c:rich>
      </c:tx>
      <c:overlay val="1"/>
    </c:title>
    <c:autoTitleDeleted val="0"/>
    <c:plotArea>
      <c:layout>
        <c:manualLayout>
          <c:layoutTarget val="inner"/>
          <c:xMode val="edge"/>
          <c:yMode val="edge"/>
          <c:x val="0.1097256472847831"/>
          <c:y val="2.037197348781512E-2"/>
          <c:w val="0.85462615784138096"/>
          <c:h val="0.88003004859994582"/>
        </c:manualLayout>
      </c:layout>
      <c:scatterChart>
        <c:scatterStyle val="lineMarker"/>
        <c:varyColors val="0"/>
        <c:ser>
          <c:idx val="0"/>
          <c:order val="0"/>
          <c:spPr>
            <a:ln w="88900">
              <a:noFill/>
            </a:ln>
          </c:spPr>
          <c:dPt>
            <c:idx val="4"/>
            <c:marker>
              <c:spPr>
                <a:solidFill>
                  <a:srgbClr val="FF0000"/>
                </a:solidFill>
                <a:ln>
                  <a:noFill/>
                </a:ln>
              </c:spPr>
            </c:marker>
            <c:bubble3D val="0"/>
          </c:dPt>
          <c:dPt>
            <c:idx val="5"/>
            <c:marker>
              <c:spPr>
                <a:solidFill>
                  <a:srgbClr val="FF0000"/>
                </a:solidFill>
                <a:ln>
                  <a:noFill/>
                </a:ln>
              </c:spPr>
            </c:marker>
            <c:bubble3D val="0"/>
          </c:dPt>
          <c:dPt>
            <c:idx val="6"/>
            <c:marker>
              <c:spPr>
                <a:solidFill>
                  <a:srgbClr val="FF0000"/>
                </a:solidFill>
                <a:ln>
                  <a:noFill/>
                </a:ln>
              </c:spPr>
            </c:marker>
            <c:bubble3D val="0"/>
          </c:dPt>
          <c:dLbls>
            <c:dLbl>
              <c:idx val="0"/>
              <c:layout>
                <c:manualLayout>
                  <c:x val="0"/>
                  <c:y val="2.0365311071536076E-2"/>
                </c:manualLayout>
              </c:layout>
              <c:tx>
                <c:rich>
                  <a:bodyPr/>
                  <a:lstStyle/>
                  <a:p>
                    <a:r>
                      <a:rPr lang="en-US" sz="800" b="1">
                        <a:latin typeface="Verdana" panose="020B0604030504040204" pitchFamily="34" charset="0"/>
                        <a:ea typeface="Verdana" panose="020B0604030504040204" pitchFamily="34" charset="0"/>
                        <a:cs typeface="Verdana" panose="020B0604030504040204" pitchFamily="34" charset="0"/>
                      </a:rPr>
                      <a:t>58,57%</a:t>
                    </a:r>
                    <a:endParaRPr lang="en-US" sz="1000"/>
                  </a:p>
                </c:rich>
              </c:tx>
              <c:showLegendKey val="0"/>
              <c:showVal val="1"/>
              <c:showCatName val="0"/>
              <c:showSerName val="0"/>
              <c:showPercent val="0"/>
              <c:showBubbleSize val="0"/>
              <c:extLst>
                <c:ext xmlns:c15="http://schemas.microsoft.com/office/drawing/2012/chart" uri="{CE6537A1-D6FC-4f65-9D91-7224C49458BB}"/>
              </c:extLst>
            </c:dLbl>
            <c:dLbl>
              <c:idx val="1"/>
              <c:layout>
                <c:manualLayout>
                  <c:x val="0"/>
                  <c:y val="1.7455980918459495E-2"/>
                </c:manualLayout>
              </c:layout>
              <c:showLegendKey val="0"/>
              <c:showVal val="1"/>
              <c:showCatName val="0"/>
              <c:showSerName val="0"/>
              <c:showPercent val="0"/>
              <c:showBubbleSize val="0"/>
              <c:extLst>
                <c:ext xmlns:c15="http://schemas.microsoft.com/office/drawing/2012/chart" uri="{CE6537A1-D6FC-4f65-9D91-7224C49458BB}"/>
              </c:extLst>
            </c:dLbl>
            <c:dLbl>
              <c:idx val="4"/>
              <c:tx>
                <c:rich>
                  <a:bodyPr/>
                  <a:lstStyle/>
                  <a:p>
                    <a:r>
                      <a:rPr lang="en-US">
                        <a:solidFill>
                          <a:srgbClr val="FF0000"/>
                        </a:solidFill>
                      </a:rPr>
                      <a:t>121.77%</a:t>
                    </a:r>
                  </a:p>
                </c:rich>
              </c:tx>
              <c:showLegendKey val="0"/>
              <c:showVal val="1"/>
              <c:showCatName val="0"/>
              <c:showSerName val="0"/>
              <c:showPercent val="0"/>
              <c:showBubbleSize val="0"/>
              <c:extLst>
                <c:ext xmlns:c15="http://schemas.microsoft.com/office/drawing/2012/chart" uri="{CE6537A1-D6FC-4f65-9D91-7224C49458BB}"/>
              </c:extLst>
            </c:dLbl>
            <c:dLbl>
              <c:idx val="5"/>
              <c:tx>
                <c:rich>
                  <a:bodyPr/>
                  <a:lstStyle/>
                  <a:p>
                    <a:r>
                      <a:rPr lang="en-US">
                        <a:solidFill>
                          <a:srgbClr val="FF0000"/>
                        </a:solidFill>
                      </a:rPr>
                      <a:t>103.98%</a:t>
                    </a:r>
                  </a:p>
                </c:rich>
              </c:tx>
              <c:showLegendKey val="0"/>
              <c:showVal val="1"/>
              <c:showCatName val="0"/>
              <c:showSerName val="0"/>
              <c:showPercent val="0"/>
              <c:showBubbleSize val="0"/>
              <c:extLst>
                <c:ext xmlns:c15="http://schemas.microsoft.com/office/drawing/2012/chart" uri="{CE6537A1-D6FC-4f65-9D91-7224C49458BB}"/>
              </c:extLst>
            </c:dLbl>
            <c:dLbl>
              <c:idx val="6"/>
              <c:tx>
                <c:rich>
                  <a:bodyPr/>
                  <a:lstStyle/>
                  <a:p>
                    <a:r>
                      <a:rPr lang="en-US">
                        <a:solidFill>
                          <a:srgbClr val="FF0000"/>
                        </a:solidFill>
                      </a:rPr>
                      <a:t>149.06%</a:t>
                    </a:r>
                  </a:p>
                </c:rich>
              </c:tx>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800" b="1">
                    <a:latin typeface="Verdana" panose="020B0604030504040204" pitchFamily="34" charset="0"/>
                    <a:ea typeface="Verdana" panose="020B0604030504040204" pitchFamily="34" charset="0"/>
                    <a:cs typeface="Verdana" panose="020B0604030504040204" pitchFamily="34"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xVal>
            <c:numRef>
              <c:f>'2009_2014 (5)'!$B$128:$H$128</c:f>
              <c:numCache>
                <c:formatCode>General</c:formatCode>
                <c:ptCount val="7"/>
                <c:pt idx="0">
                  <c:v>2008</c:v>
                </c:pt>
                <c:pt idx="1">
                  <c:v>2009</c:v>
                </c:pt>
                <c:pt idx="2">
                  <c:v>2010</c:v>
                </c:pt>
                <c:pt idx="3">
                  <c:v>2011</c:v>
                </c:pt>
                <c:pt idx="4">
                  <c:v>2012</c:v>
                </c:pt>
                <c:pt idx="5">
                  <c:v>2013</c:v>
                </c:pt>
                <c:pt idx="6">
                  <c:v>2014</c:v>
                </c:pt>
              </c:numCache>
            </c:numRef>
          </c:xVal>
          <c:yVal>
            <c:numRef>
              <c:f>'2009_2014 (5)'!$B$129:$H$129</c:f>
              <c:numCache>
                <c:formatCode>0.00%</c:formatCode>
                <c:ptCount val="7"/>
                <c:pt idx="0">
                  <c:v>0.5857</c:v>
                </c:pt>
                <c:pt idx="1">
                  <c:v>0.78847795387438735</c:v>
                </c:pt>
                <c:pt idx="2">
                  <c:v>0.8405810741361015</c:v>
                </c:pt>
                <c:pt idx="3">
                  <c:v>0.70539019334781616</c:v>
                </c:pt>
                <c:pt idx="4">
                  <c:v>1.2177243268634257</c:v>
                </c:pt>
                <c:pt idx="5">
                  <c:v>1.0398271077540826</c:v>
                </c:pt>
                <c:pt idx="6">
                  <c:v>1.4905999999999999</c:v>
                </c:pt>
              </c:numCache>
            </c:numRef>
          </c:yVal>
          <c:smooth val="0"/>
        </c:ser>
        <c:dLbls>
          <c:showLegendKey val="0"/>
          <c:showVal val="0"/>
          <c:showCatName val="0"/>
          <c:showSerName val="0"/>
          <c:showPercent val="0"/>
          <c:showBubbleSize val="0"/>
        </c:dLbls>
        <c:axId val="155066368"/>
        <c:axId val="155067904"/>
      </c:scatterChart>
      <c:valAx>
        <c:axId val="155066368"/>
        <c:scaling>
          <c:orientation val="minMax"/>
        </c:scaling>
        <c:delete val="0"/>
        <c:axPos val="b"/>
        <c:numFmt formatCode="General" sourceLinked="1"/>
        <c:majorTickMark val="out"/>
        <c:minorTickMark val="none"/>
        <c:tickLblPos val="nextTo"/>
        <c:txPr>
          <a:bodyPr/>
          <a:lstStyle/>
          <a:p>
            <a:pPr>
              <a:defRPr sz="800"/>
            </a:pPr>
            <a:endParaRPr lang="sr-Latn-RS"/>
          </a:p>
        </c:txPr>
        <c:crossAx val="155067904"/>
        <c:crosses val="autoZero"/>
        <c:crossBetween val="midCat"/>
      </c:valAx>
      <c:valAx>
        <c:axId val="155067904"/>
        <c:scaling>
          <c:orientation val="minMax"/>
        </c:scaling>
        <c:delete val="0"/>
        <c:axPos val="l"/>
        <c:majorGridlines/>
        <c:numFmt formatCode="0.00%" sourceLinked="1"/>
        <c:majorTickMark val="out"/>
        <c:minorTickMark val="none"/>
        <c:tickLblPos val="nextTo"/>
        <c:txPr>
          <a:bodyPr/>
          <a:lstStyle/>
          <a:p>
            <a:pPr>
              <a:defRPr sz="800">
                <a:latin typeface="Verdana" panose="020B0604030504040204" pitchFamily="34" charset="0"/>
                <a:ea typeface="Verdana" panose="020B0604030504040204" pitchFamily="34" charset="0"/>
                <a:cs typeface="Verdana" panose="020B0604030504040204" pitchFamily="34" charset="0"/>
              </a:defRPr>
            </a:pPr>
            <a:endParaRPr lang="sr-Latn-RS"/>
          </a:p>
        </c:txPr>
        <c:crossAx val="155066368"/>
        <c:crosses val="autoZero"/>
        <c:crossBetween val="midCat"/>
      </c:valAx>
    </c:plotArea>
    <c:plotVisOnly val="1"/>
    <c:dispBlanksAs val="gap"/>
    <c:showDLblsOverMax val="0"/>
  </c:chart>
  <c:spPr>
    <a:ln>
      <a:noFill/>
    </a:ln>
  </c:sp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a:pPr>
            <a:r>
              <a:rPr lang="sr-Cyrl-RS"/>
              <a:t>Приказ</a:t>
            </a:r>
            <a:r>
              <a:rPr lang="sr-Cyrl-RS" baseline="0"/>
              <a:t> премије и штета у самопридржају Друштва у хиљадама динара </a:t>
            </a:r>
          </a:p>
          <a:p>
            <a:pPr>
              <a:defRPr/>
            </a:pPr>
            <a:r>
              <a:rPr lang="en-US" baseline="0"/>
              <a:t>2008 - 2014</a:t>
            </a:r>
            <a:r>
              <a:rPr lang="sr-Cyrl-RS" baseline="0"/>
              <a:t>.</a:t>
            </a:r>
            <a:endParaRPr lang="en-US"/>
          </a:p>
        </c:rich>
      </c:tx>
      <c:layout>
        <c:manualLayout>
          <c:xMode val="edge"/>
          <c:yMode val="edge"/>
          <c:x val="0.14389128889997602"/>
          <c:y val="1.9385478690582297E-2"/>
        </c:manualLayout>
      </c:layout>
      <c:overlay val="0"/>
    </c:title>
    <c:autoTitleDeleted val="0"/>
    <c:plotArea>
      <c:layout/>
      <c:barChart>
        <c:barDir val="col"/>
        <c:grouping val="clustered"/>
        <c:varyColors val="0"/>
        <c:ser>
          <c:idx val="0"/>
          <c:order val="0"/>
          <c:tx>
            <c:strRef>
              <c:f>'MTR samopridrzaj'!$B$31</c:f>
              <c:strCache>
                <c:ptCount val="1"/>
                <c:pt idx="0">
                  <c:v>Премија</c:v>
                </c:pt>
              </c:strCache>
            </c:strRef>
          </c:tx>
          <c:invertIfNegative val="0"/>
          <c:cat>
            <c:numRef>
              <c:f>'MTR samopridrzaj'!$C$30:$I$30</c:f>
              <c:numCache>
                <c:formatCode>General</c:formatCode>
                <c:ptCount val="7"/>
                <c:pt idx="0">
                  <c:v>2008</c:v>
                </c:pt>
                <c:pt idx="1">
                  <c:v>2009</c:v>
                </c:pt>
                <c:pt idx="2">
                  <c:v>2010</c:v>
                </c:pt>
                <c:pt idx="3">
                  <c:v>2011</c:v>
                </c:pt>
                <c:pt idx="4">
                  <c:v>2012</c:v>
                </c:pt>
                <c:pt idx="5">
                  <c:v>2013</c:v>
                </c:pt>
                <c:pt idx="6">
                  <c:v>2014</c:v>
                </c:pt>
              </c:numCache>
            </c:numRef>
          </c:cat>
          <c:val>
            <c:numRef>
              <c:f>'MTR samopridrzaj'!$C$31:$I$31</c:f>
              <c:numCache>
                <c:formatCode>#,##0</c:formatCode>
                <c:ptCount val="7"/>
                <c:pt idx="0">
                  <c:v>991288</c:v>
                </c:pt>
                <c:pt idx="1">
                  <c:v>1320269</c:v>
                </c:pt>
                <c:pt idx="2">
                  <c:v>1306407</c:v>
                </c:pt>
                <c:pt idx="3">
                  <c:v>1073017</c:v>
                </c:pt>
                <c:pt idx="4">
                  <c:v>780991</c:v>
                </c:pt>
                <c:pt idx="5">
                  <c:v>423857</c:v>
                </c:pt>
                <c:pt idx="6">
                  <c:v>367254</c:v>
                </c:pt>
              </c:numCache>
            </c:numRef>
          </c:val>
        </c:ser>
        <c:ser>
          <c:idx val="1"/>
          <c:order val="1"/>
          <c:tx>
            <c:strRef>
              <c:f>'MTR samopridrzaj'!$B$32</c:f>
              <c:strCache>
                <c:ptCount val="1"/>
                <c:pt idx="0">
                  <c:v>Штете</c:v>
                </c:pt>
              </c:strCache>
            </c:strRef>
          </c:tx>
          <c:invertIfNegative val="0"/>
          <c:cat>
            <c:numRef>
              <c:f>'MTR samopridrzaj'!$C$30:$I$30</c:f>
              <c:numCache>
                <c:formatCode>General</c:formatCode>
                <c:ptCount val="7"/>
                <c:pt idx="0">
                  <c:v>2008</c:v>
                </c:pt>
                <c:pt idx="1">
                  <c:v>2009</c:v>
                </c:pt>
                <c:pt idx="2">
                  <c:v>2010</c:v>
                </c:pt>
                <c:pt idx="3">
                  <c:v>2011</c:v>
                </c:pt>
                <c:pt idx="4">
                  <c:v>2012</c:v>
                </c:pt>
                <c:pt idx="5">
                  <c:v>2013</c:v>
                </c:pt>
                <c:pt idx="6">
                  <c:v>2014</c:v>
                </c:pt>
              </c:numCache>
            </c:numRef>
          </c:cat>
          <c:val>
            <c:numRef>
              <c:f>'MTR samopridrzaj'!$C$32:$I$32</c:f>
              <c:numCache>
                <c:formatCode>#,##0</c:formatCode>
                <c:ptCount val="7"/>
                <c:pt idx="0">
                  <c:v>643837</c:v>
                </c:pt>
                <c:pt idx="1">
                  <c:v>1104528</c:v>
                </c:pt>
                <c:pt idx="2">
                  <c:v>1347488</c:v>
                </c:pt>
                <c:pt idx="3">
                  <c:v>1146973</c:v>
                </c:pt>
                <c:pt idx="4">
                  <c:v>1101506</c:v>
                </c:pt>
                <c:pt idx="5">
                  <c:v>809658</c:v>
                </c:pt>
                <c:pt idx="6">
                  <c:v>863959</c:v>
                </c:pt>
              </c:numCache>
            </c:numRef>
          </c:val>
        </c:ser>
        <c:dLbls>
          <c:showLegendKey val="0"/>
          <c:showVal val="0"/>
          <c:showCatName val="0"/>
          <c:showSerName val="0"/>
          <c:showPercent val="0"/>
          <c:showBubbleSize val="0"/>
        </c:dLbls>
        <c:gapWidth val="150"/>
        <c:axId val="155117440"/>
        <c:axId val="155118976"/>
      </c:barChart>
      <c:catAx>
        <c:axId val="155117440"/>
        <c:scaling>
          <c:orientation val="minMax"/>
        </c:scaling>
        <c:delete val="0"/>
        <c:axPos val="b"/>
        <c:numFmt formatCode="General" sourceLinked="1"/>
        <c:majorTickMark val="none"/>
        <c:minorTickMark val="none"/>
        <c:tickLblPos val="nextTo"/>
        <c:txPr>
          <a:bodyPr/>
          <a:lstStyle/>
          <a:p>
            <a:pPr>
              <a:defRPr sz="900">
                <a:latin typeface="Verdana" panose="020B0604030504040204" pitchFamily="34" charset="0"/>
                <a:ea typeface="Verdana" panose="020B0604030504040204" pitchFamily="34" charset="0"/>
                <a:cs typeface="Verdana" panose="020B0604030504040204" pitchFamily="34" charset="0"/>
              </a:defRPr>
            </a:pPr>
            <a:endParaRPr lang="sr-Latn-RS"/>
          </a:p>
        </c:txPr>
        <c:crossAx val="155118976"/>
        <c:crosses val="autoZero"/>
        <c:auto val="1"/>
        <c:lblAlgn val="ctr"/>
        <c:lblOffset val="100"/>
        <c:noMultiLvlLbl val="0"/>
      </c:catAx>
      <c:valAx>
        <c:axId val="155118976"/>
        <c:scaling>
          <c:orientation val="minMax"/>
          <c:max val="1400000"/>
        </c:scaling>
        <c:delete val="0"/>
        <c:axPos val="l"/>
        <c:majorGridlines/>
        <c:numFmt formatCode="#,##0" sourceLinked="1"/>
        <c:majorTickMark val="none"/>
        <c:minorTickMark val="none"/>
        <c:tickLblPos val="nextTo"/>
        <c:txPr>
          <a:bodyPr/>
          <a:lstStyle/>
          <a:p>
            <a:pPr>
              <a:defRPr sz="900">
                <a:latin typeface="Verdana" panose="020B0604030504040204" pitchFamily="34" charset="0"/>
                <a:ea typeface="Verdana" panose="020B0604030504040204" pitchFamily="34" charset="0"/>
                <a:cs typeface="Verdana" panose="020B0604030504040204" pitchFamily="34" charset="0"/>
              </a:defRPr>
            </a:pPr>
            <a:endParaRPr lang="sr-Latn-RS"/>
          </a:p>
        </c:txPr>
        <c:crossAx val="155117440"/>
        <c:crosses val="autoZero"/>
        <c:crossBetween val="between"/>
        <c:majorUnit val="200000"/>
      </c:valAx>
    </c:plotArea>
    <c:legend>
      <c:legendPos val="r"/>
      <c:overlay val="0"/>
      <c:txPr>
        <a:bodyPr/>
        <a:lstStyle/>
        <a:p>
          <a:pPr>
            <a:defRPr sz="900">
              <a:latin typeface="Verdana" panose="020B0604030504040204" pitchFamily="34" charset="0"/>
              <a:ea typeface="Verdana" panose="020B0604030504040204" pitchFamily="34" charset="0"/>
              <a:cs typeface="Verdana" panose="020B0604030504040204" pitchFamily="34" charset="0"/>
            </a:defRPr>
          </a:pPr>
          <a:endParaRPr lang="sr-Latn-RS"/>
        </a:p>
      </c:txPr>
    </c:legend>
    <c:plotVisOnly val="1"/>
    <c:dispBlanksAs val="gap"/>
    <c:showDLblsOverMax val="0"/>
  </c:chart>
  <c:spPr>
    <a:ln>
      <a:noFill/>
    </a:ln>
  </c:sp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0"/>
    <c:plotArea>
      <c:layout>
        <c:manualLayout>
          <c:layoutTarget val="inner"/>
          <c:xMode val="edge"/>
          <c:yMode val="edge"/>
          <c:x val="0.27974411614389788"/>
          <c:y val="5.1740357478833487E-2"/>
          <c:w val="0.63125402959437205"/>
          <c:h val="0.87576424848407841"/>
        </c:manualLayout>
      </c:layout>
      <c:barChart>
        <c:barDir val="bar"/>
        <c:grouping val="clustered"/>
        <c:varyColors val="0"/>
        <c:ser>
          <c:idx val="0"/>
          <c:order val="0"/>
          <c:tx>
            <c:strRef>
              <c:f>Sheet3!$C$3</c:f>
              <c:strCache>
                <c:ptCount val="1"/>
                <c:pt idx="0">
                  <c:v>2013</c:v>
                </c:pt>
              </c:strCache>
            </c:strRef>
          </c:tx>
          <c:invertIfNegative val="0"/>
          <c:dLbls>
            <c:spPr>
              <a:noFill/>
              <a:ln>
                <a:noFill/>
              </a:ln>
              <a:effectLst/>
            </c:spPr>
            <c:txPr>
              <a:bodyPr/>
              <a:lstStyle/>
              <a:p>
                <a:pPr>
                  <a:defRPr sz="800" b="1">
                    <a:solidFill>
                      <a:schemeClr val="accent1">
                        <a:lumMod val="75000"/>
                      </a:schemeClr>
                    </a:solidFill>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(Sheet3!$B$4:$B$5,Sheet3!$B$7:$B$14)</c:f>
              <c:strCache>
                <c:ptCount val="10"/>
                <c:pt idx="0">
                  <c:v>Нематеријална улагања и опрема</c:v>
                </c:pt>
                <c:pt idx="1">
                  <c:v>Дугорочни финансијски пласмани</c:v>
                </c:pt>
                <c:pt idx="2">
                  <c:v>Залихе</c:v>
                </c:pt>
                <c:pt idx="3">
                  <c:v>Потраживања</c:v>
                </c:pt>
                <c:pt idx="4">
                  <c:v>Краткорочни фин. пласмани</c:v>
                </c:pt>
                <c:pt idx="5">
                  <c:v>Готовина и гот. еквиваленти</c:v>
                </c:pt>
                <c:pt idx="6">
                  <c:v>АВР</c:v>
                </c:pt>
                <c:pt idx="7">
                  <c:v>Пасивна преносна премија</c:v>
                </c:pt>
                <c:pt idx="8">
                  <c:v>Пасивне резервисане штете</c:v>
                </c:pt>
                <c:pt idx="9">
                  <c:v>Одложена пореска средства</c:v>
                </c:pt>
              </c:strCache>
            </c:strRef>
          </c:cat>
          <c:val>
            <c:numRef>
              <c:f>(Sheet3!$C$4:$C$5,Sheet3!$C$7:$C$14)</c:f>
              <c:numCache>
                <c:formatCode>_-* #,##0\ _D_i_n_._-;\-* #,##0\ _D_i_n_._-;_-* "-"??\ _D_i_n_._-;_-@_-</c:formatCode>
                <c:ptCount val="10"/>
                <c:pt idx="0">
                  <c:v>43213</c:v>
                </c:pt>
                <c:pt idx="1">
                  <c:v>24560</c:v>
                </c:pt>
                <c:pt idx="2">
                  <c:v>27</c:v>
                </c:pt>
                <c:pt idx="3">
                  <c:v>792694</c:v>
                </c:pt>
                <c:pt idx="4">
                  <c:v>1079013</c:v>
                </c:pt>
                <c:pt idx="5">
                  <c:v>1174545</c:v>
                </c:pt>
                <c:pt idx="6">
                  <c:v>25194</c:v>
                </c:pt>
                <c:pt idx="7">
                  <c:v>197253</c:v>
                </c:pt>
                <c:pt idx="8">
                  <c:v>491238</c:v>
                </c:pt>
                <c:pt idx="9">
                  <c:v>35886</c:v>
                </c:pt>
              </c:numCache>
            </c:numRef>
          </c:val>
        </c:ser>
        <c:ser>
          <c:idx val="1"/>
          <c:order val="1"/>
          <c:tx>
            <c:strRef>
              <c:f>Sheet3!$D$3</c:f>
              <c:strCache>
                <c:ptCount val="1"/>
                <c:pt idx="0">
                  <c:v>2014</c:v>
                </c:pt>
              </c:strCache>
            </c:strRef>
          </c:tx>
          <c:invertIfNegative val="0"/>
          <c:dLbls>
            <c:spPr>
              <a:noFill/>
              <a:ln>
                <a:noFill/>
              </a:ln>
              <a:effectLst/>
            </c:spPr>
            <c:txPr>
              <a:bodyPr/>
              <a:lstStyle/>
              <a:p>
                <a:pPr>
                  <a:defRPr sz="800" b="1">
                    <a:solidFill>
                      <a:schemeClr val="accent2">
                        <a:lumMod val="75000"/>
                      </a:schemeClr>
                    </a:solidFill>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(Sheet3!$B$4:$B$5,Sheet3!$B$7:$B$14)</c:f>
              <c:strCache>
                <c:ptCount val="10"/>
                <c:pt idx="0">
                  <c:v>Нематеријална улагања и опрема</c:v>
                </c:pt>
                <c:pt idx="1">
                  <c:v>Дугорочни финансијски пласмани</c:v>
                </c:pt>
                <c:pt idx="2">
                  <c:v>Залихе</c:v>
                </c:pt>
                <c:pt idx="3">
                  <c:v>Потраживања</c:v>
                </c:pt>
                <c:pt idx="4">
                  <c:v>Краткорочни фин. пласмани</c:v>
                </c:pt>
                <c:pt idx="5">
                  <c:v>Готовина и гот. еквиваленти</c:v>
                </c:pt>
                <c:pt idx="6">
                  <c:v>АВР</c:v>
                </c:pt>
                <c:pt idx="7">
                  <c:v>Пасивна преносна премија</c:v>
                </c:pt>
                <c:pt idx="8">
                  <c:v>Пасивне резервисане штете</c:v>
                </c:pt>
                <c:pt idx="9">
                  <c:v>Одложена пореска средства</c:v>
                </c:pt>
              </c:strCache>
            </c:strRef>
          </c:cat>
          <c:val>
            <c:numRef>
              <c:f>(Sheet3!$D$4:$D$5,Sheet3!$D$7:$D$14)</c:f>
              <c:numCache>
                <c:formatCode>_-* #,##0\ _D_i_n_._-;\-* #,##0\ _D_i_n_._-;_-* "-"??\ _D_i_n_._-;_-@_-</c:formatCode>
                <c:ptCount val="10"/>
                <c:pt idx="0">
                  <c:v>31664</c:v>
                </c:pt>
                <c:pt idx="1">
                  <c:v>276448</c:v>
                </c:pt>
                <c:pt idx="2">
                  <c:v>260</c:v>
                </c:pt>
                <c:pt idx="3">
                  <c:v>672921.26526000001</c:v>
                </c:pt>
                <c:pt idx="4">
                  <c:v>1008490.17105</c:v>
                </c:pt>
                <c:pt idx="5">
                  <c:v>842881</c:v>
                </c:pt>
                <c:pt idx="6">
                  <c:v>26325</c:v>
                </c:pt>
                <c:pt idx="7">
                  <c:v>328031</c:v>
                </c:pt>
                <c:pt idx="8">
                  <c:v>1009578</c:v>
                </c:pt>
              </c:numCache>
            </c:numRef>
          </c:val>
        </c:ser>
        <c:dLbls>
          <c:showLegendKey val="0"/>
          <c:showVal val="0"/>
          <c:showCatName val="0"/>
          <c:showSerName val="0"/>
          <c:showPercent val="0"/>
          <c:showBubbleSize val="0"/>
        </c:dLbls>
        <c:gapWidth val="30"/>
        <c:axId val="155153536"/>
        <c:axId val="155155072"/>
      </c:barChart>
      <c:catAx>
        <c:axId val="155153536"/>
        <c:scaling>
          <c:orientation val="minMax"/>
        </c:scaling>
        <c:delete val="0"/>
        <c:axPos val="l"/>
        <c:numFmt formatCode="General" sourceLinked="1"/>
        <c:majorTickMark val="out"/>
        <c:minorTickMark val="none"/>
        <c:tickLblPos val="nextTo"/>
        <c:txPr>
          <a:bodyPr/>
          <a:lstStyle/>
          <a:p>
            <a:pPr>
              <a:defRPr sz="800"/>
            </a:pPr>
            <a:endParaRPr lang="sr-Latn-RS"/>
          </a:p>
        </c:txPr>
        <c:crossAx val="155155072"/>
        <c:crosses val="autoZero"/>
        <c:auto val="1"/>
        <c:lblAlgn val="r"/>
        <c:lblOffset val="100"/>
        <c:noMultiLvlLbl val="0"/>
      </c:catAx>
      <c:valAx>
        <c:axId val="155155072"/>
        <c:scaling>
          <c:orientation val="minMax"/>
        </c:scaling>
        <c:delete val="0"/>
        <c:axPos val="b"/>
        <c:majorGridlines/>
        <c:numFmt formatCode="_-* #,##0\ _D_i_n_._-;\-* #,##0\ _D_i_n_._-;_-* &quot;-&quot;??\ _D_i_n_._-;_-@_-" sourceLinked="1"/>
        <c:majorTickMark val="out"/>
        <c:minorTickMark val="none"/>
        <c:tickLblPos val="nextTo"/>
        <c:txPr>
          <a:bodyPr/>
          <a:lstStyle/>
          <a:p>
            <a:pPr>
              <a:defRPr sz="900"/>
            </a:pPr>
            <a:endParaRPr lang="sr-Latn-RS"/>
          </a:p>
        </c:txPr>
        <c:crossAx val="155153536"/>
        <c:crosses val="autoZero"/>
        <c:crossBetween val="between"/>
      </c:valAx>
    </c:plotArea>
    <c:legend>
      <c:legendPos val="r"/>
      <c:layout>
        <c:manualLayout>
          <c:xMode val="edge"/>
          <c:yMode val="edge"/>
          <c:x val="0.81733696192626071"/>
          <c:y val="0.24849560582501634"/>
          <c:w val="7.525145630225108E-2"/>
          <c:h val="0.12598072497376797"/>
        </c:manualLayout>
      </c:layout>
      <c:overlay val="1"/>
      <c:txPr>
        <a:bodyPr/>
        <a:lstStyle/>
        <a:p>
          <a:pPr>
            <a:defRPr sz="900" b="1"/>
          </a:pPr>
          <a:endParaRPr lang="sr-Latn-RS"/>
        </a:p>
      </c:txPr>
    </c:legend>
    <c:plotVisOnly val="1"/>
    <c:dispBlanksAs val="gap"/>
    <c:showDLblsOverMax val="0"/>
  </c:chart>
  <c:spPr>
    <a:ln>
      <a:noFill/>
    </a:ln>
  </c:sp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11"/>
    </mc:Choice>
    <mc:Fallback>
      <c:style val="11"/>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0.18084508149056219"/>
          <c:y val="0"/>
          <c:w val="0.76581985635029159"/>
          <c:h val="0.94524595293800873"/>
        </c:manualLayout>
      </c:layout>
      <c:bar3DChart>
        <c:barDir val="bar"/>
        <c:grouping val="clustered"/>
        <c:varyColors val="0"/>
        <c:ser>
          <c:idx val="0"/>
          <c:order val="0"/>
          <c:tx>
            <c:strRef>
              <c:f>Sheet4!$C$3</c:f>
              <c:strCache>
                <c:ptCount val="1"/>
                <c:pt idx="0">
                  <c:v>2013</c:v>
                </c:pt>
              </c:strCache>
            </c:strRef>
          </c:tx>
          <c:invertIfNegative val="0"/>
          <c:dLbls>
            <c:spPr>
              <a:noFill/>
              <a:ln>
                <a:noFill/>
              </a:ln>
              <a:effectLst/>
            </c:spPr>
            <c:txPr>
              <a:bodyPr/>
              <a:lstStyle/>
              <a:p>
                <a:pPr>
                  <a:defRPr sz="800" b="1">
                    <a:solidFill>
                      <a:schemeClr val="accent1"/>
                    </a:solidFill>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Sheet4!$B$4:$B$11</c:f>
              <c:strCache>
                <c:ptCount val="8"/>
                <c:pt idx="0">
                  <c:v>Капитал и резерве</c:v>
                </c:pt>
                <c:pt idx="1">
                  <c:v>Дуг. резервисања</c:v>
                </c:pt>
                <c:pt idx="2">
                  <c:v>Дуг. обавезе</c:v>
                </c:pt>
                <c:pt idx="3">
                  <c:v>Кратк. обавезе</c:v>
                </c:pt>
                <c:pt idx="4">
                  <c:v>Преносна премија</c:v>
                </c:pt>
                <c:pt idx="5">
                  <c:v>Резервисане штете</c:v>
                </c:pt>
                <c:pt idx="6">
                  <c:v>ПВР</c:v>
                </c:pt>
                <c:pt idx="7">
                  <c:v>Одл. пореске обав.</c:v>
                </c:pt>
              </c:strCache>
            </c:strRef>
          </c:cat>
          <c:val>
            <c:numRef>
              <c:f>Sheet4!$C$4:$C$11</c:f>
              <c:numCache>
                <c:formatCode>#,##0</c:formatCode>
                <c:ptCount val="8"/>
                <c:pt idx="0">
                  <c:v>1233043</c:v>
                </c:pt>
                <c:pt idx="1">
                  <c:v>226378</c:v>
                </c:pt>
                <c:pt idx="2" formatCode="General">
                  <c:v>0</c:v>
                </c:pt>
                <c:pt idx="3">
                  <c:v>1038903</c:v>
                </c:pt>
                <c:pt idx="4">
                  <c:v>211058</c:v>
                </c:pt>
                <c:pt idx="5">
                  <c:v>1002683</c:v>
                </c:pt>
                <c:pt idx="6">
                  <c:v>148965</c:v>
                </c:pt>
                <c:pt idx="7">
                  <c:v>2593</c:v>
                </c:pt>
              </c:numCache>
            </c:numRef>
          </c:val>
        </c:ser>
        <c:ser>
          <c:idx val="1"/>
          <c:order val="1"/>
          <c:tx>
            <c:strRef>
              <c:f>Sheet4!$D$3</c:f>
              <c:strCache>
                <c:ptCount val="1"/>
                <c:pt idx="0">
                  <c:v>2014</c:v>
                </c:pt>
              </c:strCache>
            </c:strRef>
          </c:tx>
          <c:spPr>
            <a:solidFill>
              <a:schemeClr val="accent2"/>
            </a:solidFill>
          </c:spPr>
          <c:invertIfNegative val="0"/>
          <c:dLbls>
            <c:dLbl>
              <c:idx val="0"/>
              <c:layout>
                <c:manualLayout>
                  <c:x val="0"/>
                  <c:y val="-1.7094017094017096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0"/>
                  <c:y val="-1.7094017094017148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2.5948103792415168E-2"/>
                  <c:y val="5.6980056980056981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0"/>
                  <c:y val="-1.7094017094017106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0"/>
                  <c:y val="-1.1396011396011395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800" b="1">
                    <a:solidFill>
                      <a:schemeClr val="accent2"/>
                    </a:solidFill>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Sheet4!$B$4:$B$11</c:f>
              <c:strCache>
                <c:ptCount val="8"/>
                <c:pt idx="0">
                  <c:v>Капитал и резерве</c:v>
                </c:pt>
                <c:pt idx="1">
                  <c:v>Дуг. резервисања</c:v>
                </c:pt>
                <c:pt idx="2">
                  <c:v>Дуг. обавезе</c:v>
                </c:pt>
                <c:pt idx="3">
                  <c:v>Кратк. обавезе</c:v>
                </c:pt>
                <c:pt idx="4">
                  <c:v>Преносна премија</c:v>
                </c:pt>
                <c:pt idx="5">
                  <c:v>Резервисане штете</c:v>
                </c:pt>
                <c:pt idx="6">
                  <c:v>ПВР</c:v>
                </c:pt>
                <c:pt idx="7">
                  <c:v>Одл. пореске обав.</c:v>
                </c:pt>
              </c:strCache>
            </c:strRef>
          </c:cat>
          <c:val>
            <c:numRef>
              <c:f>Sheet4!$D$4:$D$11</c:f>
              <c:numCache>
                <c:formatCode>#,##0</c:formatCode>
                <c:ptCount val="8"/>
                <c:pt idx="0">
                  <c:v>1183632</c:v>
                </c:pt>
                <c:pt idx="1">
                  <c:v>249543</c:v>
                </c:pt>
                <c:pt idx="2">
                  <c:v>1457</c:v>
                </c:pt>
                <c:pt idx="3">
                  <c:v>804930</c:v>
                </c:pt>
                <c:pt idx="4">
                  <c:v>341696</c:v>
                </c:pt>
                <c:pt idx="5">
                  <c:v>1577705</c:v>
                </c:pt>
                <c:pt idx="6">
                  <c:v>33151</c:v>
                </c:pt>
                <c:pt idx="7">
                  <c:v>4484</c:v>
                </c:pt>
              </c:numCache>
            </c:numRef>
          </c:val>
        </c:ser>
        <c:dLbls>
          <c:showLegendKey val="0"/>
          <c:showVal val="0"/>
          <c:showCatName val="0"/>
          <c:showSerName val="0"/>
          <c:showPercent val="0"/>
          <c:showBubbleSize val="0"/>
        </c:dLbls>
        <c:gapWidth val="31"/>
        <c:gapDepth val="27"/>
        <c:shape val="box"/>
        <c:axId val="155545984"/>
        <c:axId val="155547520"/>
        <c:axId val="0"/>
      </c:bar3DChart>
      <c:catAx>
        <c:axId val="155545984"/>
        <c:scaling>
          <c:orientation val="minMax"/>
        </c:scaling>
        <c:delete val="0"/>
        <c:axPos val="l"/>
        <c:numFmt formatCode="General" sourceLinked="1"/>
        <c:majorTickMark val="out"/>
        <c:minorTickMark val="none"/>
        <c:tickLblPos val="nextTo"/>
        <c:txPr>
          <a:bodyPr/>
          <a:lstStyle/>
          <a:p>
            <a:pPr>
              <a:defRPr sz="800"/>
            </a:pPr>
            <a:endParaRPr lang="sr-Latn-RS"/>
          </a:p>
        </c:txPr>
        <c:crossAx val="155547520"/>
        <c:crosses val="autoZero"/>
        <c:auto val="1"/>
        <c:lblAlgn val="ctr"/>
        <c:lblOffset val="100"/>
        <c:noMultiLvlLbl val="0"/>
      </c:catAx>
      <c:valAx>
        <c:axId val="155547520"/>
        <c:scaling>
          <c:orientation val="minMax"/>
        </c:scaling>
        <c:delete val="0"/>
        <c:axPos val="b"/>
        <c:majorGridlines/>
        <c:numFmt formatCode="#,##0" sourceLinked="1"/>
        <c:majorTickMark val="out"/>
        <c:minorTickMark val="none"/>
        <c:tickLblPos val="nextTo"/>
        <c:txPr>
          <a:bodyPr/>
          <a:lstStyle/>
          <a:p>
            <a:pPr>
              <a:defRPr sz="800"/>
            </a:pPr>
            <a:endParaRPr lang="sr-Latn-RS"/>
          </a:p>
        </c:txPr>
        <c:crossAx val="155545984"/>
        <c:crosses val="autoZero"/>
        <c:crossBetween val="between"/>
      </c:valAx>
    </c:plotArea>
    <c:legend>
      <c:legendPos val="r"/>
      <c:layout>
        <c:manualLayout>
          <c:xMode val="edge"/>
          <c:yMode val="edge"/>
          <c:x val="0.83875886023229129"/>
          <c:y val="4.3843237544024943E-3"/>
          <c:w val="8.4550269539660841E-2"/>
          <c:h val="0.20550956771429213"/>
        </c:manualLayout>
      </c:layout>
      <c:overlay val="1"/>
    </c:legend>
    <c:plotVisOnly val="1"/>
    <c:dispBlanksAs val="gap"/>
    <c:showDLblsOverMax val="0"/>
  </c:chart>
  <c:spPr>
    <a:ln>
      <a:noFill/>
    </a:ln>
  </c:spPr>
  <c:txPr>
    <a:bodyPr/>
    <a:lstStyle/>
    <a:p>
      <a:pPr>
        <a:defRPr>
          <a:latin typeface="Verdana" pitchFamily="34" charset="0"/>
          <a:ea typeface="Verdana" pitchFamily="34" charset="0"/>
          <a:cs typeface="Verdana" pitchFamily="34" charset="0"/>
        </a:defRPr>
      </a:pPr>
      <a:endParaRPr lang="sr-Latn-RS"/>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11"/>
    </mc:Choice>
    <mc:Fallback>
      <c:style val="11"/>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0.18084508149056219"/>
          <c:y val="0"/>
          <c:w val="0.79195435899853839"/>
          <c:h val="0.90547950736927119"/>
        </c:manualLayout>
      </c:layout>
      <c:bar3DChart>
        <c:barDir val="bar"/>
        <c:grouping val="clustered"/>
        <c:varyColors val="0"/>
        <c:ser>
          <c:idx val="1"/>
          <c:order val="0"/>
          <c:tx>
            <c:strRef>
              <c:f>Sheet5!$C$29</c:f>
              <c:strCache>
                <c:ptCount val="1"/>
                <c:pt idx="0">
                  <c:v>2013</c:v>
                </c:pt>
              </c:strCache>
            </c:strRef>
          </c:tx>
          <c:spPr>
            <a:solidFill>
              <a:schemeClr val="accent1"/>
            </a:solidFill>
          </c:spPr>
          <c:invertIfNegative val="0"/>
          <c:dLbls>
            <c:spPr>
              <a:noFill/>
              <a:ln>
                <a:noFill/>
              </a:ln>
              <a:effectLst/>
            </c:spPr>
            <c:txPr>
              <a:bodyPr/>
              <a:lstStyle/>
              <a:p>
                <a:pPr>
                  <a:defRPr b="1">
                    <a:solidFill>
                      <a:schemeClr val="accent1"/>
                    </a:solidFill>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Sheet5!$A$30:$A$34</c:f>
              <c:strCache>
                <c:ptCount val="5"/>
                <c:pt idx="0">
                  <c:v>Остале обавезе</c:v>
                </c:pt>
                <c:pt idx="1">
                  <c:v>штете</c:v>
                </c:pt>
                <c:pt idx="2">
                  <c:v>Премија</c:v>
                </c:pt>
                <c:pt idx="3">
                  <c:v>Зараде и друго</c:v>
                </c:pt>
                <c:pt idx="4">
                  <c:v>порез из резултата</c:v>
                </c:pt>
              </c:strCache>
            </c:strRef>
          </c:cat>
          <c:val>
            <c:numRef>
              <c:f>Sheet5!$C$30:$C$34</c:f>
              <c:numCache>
                <c:formatCode>#,##0</c:formatCode>
                <c:ptCount val="5"/>
                <c:pt idx="1">
                  <c:v>317106</c:v>
                </c:pt>
                <c:pt idx="2">
                  <c:v>664292</c:v>
                </c:pt>
                <c:pt idx="3">
                  <c:v>57505</c:v>
                </c:pt>
              </c:numCache>
            </c:numRef>
          </c:val>
        </c:ser>
        <c:ser>
          <c:idx val="0"/>
          <c:order val="1"/>
          <c:tx>
            <c:strRef>
              <c:f>Sheet5!$B$29</c:f>
              <c:strCache>
                <c:ptCount val="1"/>
                <c:pt idx="0">
                  <c:v>2014</c:v>
                </c:pt>
              </c:strCache>
            </c:strRef>
          </c:tx>
          <c:spPr>
            <a:solidFill>
              <a:schemeClr val="accent2"/>
            </a:solidFill>
          </c:spPr>
          <c:invertIfNegative val="0"/>
          <c:dLbls>
            <c:spPr>
              <a:noFill/>
              <a:ln>
                <a:noFill/>
              </a:ln>
              <a:effectLst/>
            </c:spPr>
            <c:txPr>
              <a:bodyPr/>
              <a:lstStyle/>
              <a:p>
                <a:pPr>
                  <a:defRPr b="1">
                    <a:solidFill>
                      <a:schemeClr val="accent2"/>
                    </a:solidFill>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Sheet5!$A$30:$A$34</c:f>
              <c:strCache>
                <c:ptCount val="5"/>
                <c:pt idx="0">
                  <c:v>Остале обавезе</c:v>
                </c:pt>
                <c:pt idx="1">
                  <c:v>штете</c:v>
                </c:pt>
                <c:pt idx="2">
                  <c:v>Премија</c:v>
                </c:pt>
                <c:pt idx="3">
                  <c:v>Зараде и друго</c:v>
                </c:pt>
                <c:pt idx="4">
                  <c:v>порез из резултата</c:v>
                </c:pt>
              </c:strCache>
            </c:strRef>
          </c:cat>
          <c:val>
            <c:numRef>
              <c:f>Sheet5!$B$30:$B$34</c:f>
              <c:numCache>
                <c:formatCode>#,##0</c:formatCode>
                <c:ptCount val="5"/>
                <c:pt idx="0">
                  <c:v>1457</c:v>
                </c:pt>
                <c:pt idx="1">
                  <c:v>407230</c:v>
                </c:pt>
                <c:pt idx="2">
                  <c:v>396243</c:v>
                </c:pt>
                <c:pt idx="3">
                  <c:v>54226</c:v>
                </c:pt>
              </c:numCache>
            </c:numRef>
          </c:val>
        </c:ser>
        <c:dLbls>
          <c:showLegendKey val="0"/>
          <c:showVal val="1"/>
          <c:showCatName val="0"/>
          <c:showSerName val="0"/>
          <c:showPercent val="0"/>
          <c:showBubbleSize val="0"/>
        </c:dLbls>
        <c:gapWidth val="31"/>
        <c:gapDepth val="27"/>
        <c:shape val="box"/>
        <c:axId val="161820032"/>
        <c:axId val="161846400"/>
        <c:axId val="0"/>
      </c:bar3DChart>
      <c:catAx>
        <c:axId val="161820032"/>
        <c:scaling>
          <c:orientation val="minMax"/>
        </c:scaling>
        <c:delete val="0"/>
        <c:axPos val="l"/>
        <c:numFmt formatCode="General" sourceLinked="1"/>
        <c:majorTickMark val="out"/>
        <c:minorTickMark val="none"/>
        <c:tickLblPos val="nextTo"/>
        <c:txPr>
          <a:bodyPr/>
          <a:lstStyle/>
          <a:p>
            <a:pPr>
              <a:defRPr sz="800"/>
            </a:pPr>
            <a:endParaRPr lang="sr-Latn-RS"/>
          </a:p>
        </c:txPr>
        <c:crossAx val="161846400"/>
        <c:crosses val="autoZero"/>
        <c:auto val="1"/>
        <c:lblAlgn val="ctr"/>
        <c:lblOffset val="100"/>
        <c:noMultiLvlLbl val="0"/>
      </c:catAx>
      <c:valAx>
        <c:axId val="161846400"/>
        <c:scaling>
          <c:orientation val="minMax"/>
        </c:scaling>
        <c:delete val="0"/>
        <c:axPos val="b"/>
        <c:majorGridlines/>
        <c:numFmt formatCode="#,##0" sourceLinked="1"/>
        <c:majorTickMark val="out"/>
        <c:minorTickMark val="none"/>
        <c:tickLblPos val="nextTo"/>
        <c:txPr>
          <a:bodyPr/>
          <a:lstStyle/>
          <a:p>
            <a:pPr>
              <a:defRPr sz="800"/>
            </a:pPr>
            <a:endParaRPr lang="sr-Latn-RS"/>
          </a:p>
        </c:txPr>
        <c:crossAx val="161820032"/>
        <c:crosses val="autoZero"/>
        <c:crossBetween val="between"/>
      </c:valAx>
    </c:plotArea>
    <c:legend>
      <c:legendPos val="r"/>
      <c:layout>
        <c:manualLayout>
          <c:xMode val="edge"/>
          <c:yMode val="edge"/>
          <c:x val="0.83875886023229129"/>
          <c:y val="4.3843237544024943E-3"/>
          <c:w val="8.4550269539660841E-2"/>
          <c:h val="0.20550956771429213"/>
        </c:manualLayout>
      </c:layout>
      <c:overlay val="1"/>
    </c:legend>
    <c:plotVisOnly val="1"/>
    <c:dispBlanksAs val="gap"/>
    <c:showDLblsOverMax val="0"/>
  </c:chart>
  <c:spPr>
    <a:ln>
      <a:noFill/>
    </a:ln>
  </c:spPr>
  <c:txPr>
    <a:bodyPr/>
    <a:lstStyle/>
    <a:p>
      <a:pPr>
        <a:defRPr>
          <a:latin typeface="Verdana" pitchFamily="34" charset="0"/>
          <a:ea typeface="Verdana" pitchFamily="34" charset="0"/>
          <a:cs typeface="Verdana" pitchFamily="34" charset="0"/>
        </a:defRPr>
      </a:pPr>
      <a:endParaRPr lang="sr-Latn-RS"/>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0"/>
    <c:plotArea>
      <c:layout>
        <c:manualLayout>
          <c:layoutTarget val="inner"/>
          <c:xMode val="edge"/>
          <c:yMode val="edge"/>
          <c:x val="0.40162729658792645"/>
          <c:y val="3.2407407407407406E-2"/>
          <c:w val="0.54425832601106194"/>
          <c:h val="0.78143732033495816"/>
        </c:manualLayout>
      </c:layout>
      <c:barChart>
        <c:barDir val="bar"/>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Sheet2!$A$4:$A$9</c:f>
              <c:strCache>
                <c:ptCount val="6"/>
                <c:pt idx="0">
                  <c:v>Депозити код банка</c:v>
                </c:pt>
                <c:pt idx="1">
                  <c:v>Акције ван листинга А у земљи</c:v>
                </c:pt>
                <c:pt idx="2">
                  <c:v>Акције на листингу А у иностранству </c:v>
                </c:pt>
                <c:pt idx="3">
                  <c:v>Акције ван листинга А у иностранству</c:v>
                </c:pt>
                <c:pt idx="4">
                  <c:v>Обвезнице и дужничке ХоВ </c:v>
                </c:pt>
                <c:pt idx="5">
                  <c:v>Готовина</c:v>
                </c:pt>
              </c:strCache>
            </c:strRef>
          </c:cat>
          <c:val>
            <c:numRef>
              <c:f>Sheet2!$B$4:$B$9</c:f>
              <c:numCache>
                <c:formatCode>General</c:formatCode>
                <c:ptCount val="6"/>
                <c:pt idx="0">
                  <c:v>244.19</c:v>
                </c:pt>
                <c:pt idx="1">
                  <c:v>95.141000000000005</c:v>
                </c:pt>
                <c:pt idx="2">
                  <c:v>13.297000000000001</c:v>
                </c:pt>
                <c:pt idx="3">
                  <c:v>6.8330000000000002</c:v>
                </c:pt>
                <c:pt idx="4">
                  <c:v>125.795</c:v>
                </c:pt>
                <c:pt idx="5">
                  <c:v>516.89800000000002</c:v>
                </c:pt>
              </c:numCache>
            </c:numRef>
          </c:val>
        </c:ser>
        <c:dLbls>
          <c:dLblPos val="outEnd"/>
          <c:showLegendKey val="0"/>
          <c:showVal val="1"/>
          <c:showCatName val="0"/>
          <c:showSerName val="0"/>
          <c:showPercent val="0"/>
          <c:showBubbleSize val="0"/>
        </c:dLbls>
        <c:gapWidth val="25"/>
        <c:axId val="161878016"/>
        <c:axId val="161880704"/>
      </c:barChart>
      <c:catAx>
        <c:axId val="161878016"/>
        <c:scaling>
          <c:orientation val="minMax"/>
        </c:scaling>
        <c:delete val="0"/>
        <c:axPos val="l"/>
        <c:numFmt formatCode="General" sourceLinked="1"/>
        <c:majorTickMark val="out"/>
        <c:minorTickMark val="none"/>
        <c:tickLblPos val="nextTo"/>
        <c:crossAx val="161880704"/>
        <c:crosses val="autoZero"/>
        <c:auto val="1"/>
        <c:lblAlgn val="ctr"/>
        <c:lblOffset val="100"/>
        <c:noMultiLvlLbl val="0"/>
      </c:catAx>
      <c:valAx>
        <c:axId val="161880704"/>
        <c:scaling>
          <c:orientation val="minMax"/>
        </c:scaling>
        <c:delete val="0"/>
        <c:axPos val="b"/>
        <c:majorGridlines/>
        <c:numFmt formatCode="General" sourceLinked="1"/>
        <c:majorTickMark val="out"/>
        <c:minorTickMark val="none"/>
        <c:tickLblPos val="nextTo"/>
        <c:crossAx val="161878016"/>
        <c:crosses val="autoZero"/>
        <c:crossBetween val="between"/>
      </c:valAx>
    </c:plotArea>
    <c:plotVisOnly val="1"/>
    <c:dispBlanksAs val="gap"/>
    <c:showDLblsOverMax val="0"/>
  </c:chart>
  <c:spPr>
    <a:ln>
      <a:noFill/>
    </a:ln>
  </c:sp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0"/>
    <c:plotArea>
      <c:layout>
        <c:manualLayout>
          <c:layoutTarget val="inner"/>
          <c:xMode val="edge"/>
          <c:yMode val="edge"/>
          <c:x val="0.40162729658792645"/>
          <c:y val="3.2407407407407406E-2"/>
          <c:w val="0.48918581468876493"/>
          <c:h val="0.80291175127804804"/>
        </c:manualLayout>
      </c:layout>
      <c:barChart>
        <c:barDir val="bar"/>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Sheet2!$A$16:$A$21</c:f>
              <c:strCache>
                <c:ptCount val="6"/>
                <c:pt idx="0">
                  <c:v>Депозити код банка</c:v>
                </c:pt>
                <c:pt idx="1">
                  <c:v>Акције на листи А београдске берзе</c:v>
                </c:pt>
                <c:pt idx="2">
                  <c:v>Акције ван лисе А београдске берзе</c:v>
                </c:pt>
                <c:pt idx="3">
                  <c:v>Записи РС</c:v>
                </c:pt>
                <c:pt idx="4">
                  <c:v>Сreдства на рачуну</c:v>
                </c:pt>
                <c:pt idx="5">
                  <c:v>Средства у прен. премијама и резер.штет.</c:v>
                </c:pt>
              </c:strCache>
            </c:strRef>
          </c:cat>
          <c:val>
            <c:numRef>
              <c:f>Sheet2!$B$16:$B$21</c:f>
              <c:numCache>
                <c:formatCode>_-* #,##0\ _D_i_n_._-;\-* #,##0\ _D_i_n_._-;_-* "-"??\ _D_i_n_._-;_-@_-</c:formatCode>
                <c:ptCount val="6"/>
                <c:pt idx="0">
                  <c:v>133054</c:v>
                </c:pt>
                <c:pt idx="1">
                  <c:v>13296</c:v>
                </c:pt>
                <c:pt idx="2">
                  <c:v>18951</c:v>
                </c:pt>
                <c:pt idx="3">
                  <c:v>632152</c:v>
                </c:pt>
                <c:pt idx="4">
                  <c:v>9554</c:v>
                </c:pt>
                <c:pt idx="5">
                  <c:v>1354675</c:v>
                </c:pt>
              </c:numCache>
            </c:numRef>
          </c:val>
        </c:ser>
        <c:dLbls>
          <c:dLblPos val="outEnd"/>
          <c:showLegendKey val="0"/>
          <c:showVal val="1"/>
          <c:showCatName val="0"/>
          <c:showSerName val="0"/>
          <c:showPercent val="0"/>
          <c:showBubbleSize val="0"/>
        </c:dLbls>
        <c:gapWidth val="25"/>
        <c:axId val="161899648"/>
        <c:axId val="161996800"/>
      </c:barChart>
      <c:catAx>
        <c:axId val="161899648"/>
        <c:scaling>
          <c:orientation val="minMax"/>
        </c:scaling>
        <c:delete val="0"/>
        <c:axPos val="l"/>
        <c:numFmt formatCode="General" sourceLinked="1"/>
        <c:majorTickMark val="out"/>
        <c:minorTickMark val="none"/>
        <c:tickLblPos val="nextTo"/>
        <c:txPr>
          <a:bodyPr/>
          <a:lstStyle/>
          <a:p>
            <a:pPr>
              <a:defRPr sz="1000"/>
            </a:pPr>
            <a:endParaRPr lang="sr-Latn-RS"/>
          </a:p>
        </c:txPr>
        <c:crossAx val="161996800"/>
        <c:crosses val="autoZero"/>
        <c:auto val="1"/>
        <c:lblAlgn val="ctr"/>
        <c:lblOffset val="100"/>
        <c:noMultiLvlLbl val="0"/>
      </c:catAx>
      <c:valAx>
        <c:axId val="161996800"/>
        <c:scaling>
          <c:orientation val="minMax"/>
        </c:scaling>
        <c:delete val="0"/>
        <c:axPos val="b"/>
        <c:majorGridlines/>
        <c:numFmt formatCode="_-* #,##0\ _D_i_n_._-;\-* #,##0\ _D_i_n_._-;_-* &quot;-&quot;??\ _D_i_n_._-;_-@_-" sourceLinked="1"/>
        <c:majorTickMark val="out"/>
        <c:minorTickMark val="none"/>
        <c:tickLblPos val="nextTo"/>
        <c:crossAx val="161899648"/>
        <c:crosses val="autoZero"/>
        <c:crossBetween val="between"/>
      </c:valAx>
    </c:plotArea>
    <c:plotVisOnly val="1"/>
    <c:dispBlanksAs val="gap"/>
    <c:showDLblsOverMax val="0"/>
  </c:chart>
  <c:spPr>
    <a:ln>
      <a:noFill/>
    </a:ln>
  </c:sp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11"/>
    </mc:Choice>
    <mc:Fallback>
      <c:style val="11"/>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0.16113281522837442"/>
          <c:y val="3.2997855139415937E-3"/>
          <c:w val="0.78553201991087607"/>
          <c:h val="0.94194611995889543"/>
        </c:manualLayout>
      </c:layout>
      <c:bar3DChart>
        <c:barDir val="bar"/>
        <c:grouping val="clustered"/>
        <c:varyColors val="0"/>
        <c:ser>
          <c:idx val="1"/>
          <c:order val="0"/>
          <c:tx>
            <c:strRef>
              <c:f>Sheet2!$D$2</c:f>
              <c:strCache>
                <c:ptCount val="1"/>
                <c:pt idx="0">
                  <c:v>2013</c:v>
                </c:pt>
              </c:strCache>
            </c:strRef>
          </c:tx>
          <c:spPr>
            <a:solidFill>
              <a:schemeClr val="accent1"/>
            </a:solidFill>
          </c:spPr>
          <c:invertIfNegative val="0"/>
          <c:dLbls>
            <c:dLbl>
              <c:idx val="0"/>
              <c:layout>
                <c:manualLayout>
                  <c:x val="9.8561009264734878E-3"/>
                  <c:y val="-1.7093928264741532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3798541297062882E-2"/>
                  <c:y val="-9.899356541824781E-3"/>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1.1827321111768185E-2"/>
                  <c:y val="0"/>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9.8559457122856329E-3"/>
                  <c:y val="-7.1945717229167502E-3"/>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9.8561009264734878E-3"/>
                  <c:y val="-6.5995710278831873E-3"/>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2.5948103792415168E-2"/>
                  <c:y val="5.6980056980056981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0"/>
                  <c:y val="-1.7094017094017106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0"/>
                  <c:y val="-1.1396011396011395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800" b="1">
                    <a:solidFill>
                      <a:schemeClr val="accent1"/>
                    </a:solidFill>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Sheet2!$B$4:$B$9</c:f>
              <c:strCache>
                <c:ptCount val="6"/>
                <c:pt idx="0">
                  <c:v>ХоВ које се држе до доспећа</c:v>
                </c:pt>
                <c:pt idx="1">
                  <c:v>Дужничке ХоВ расположиве за продају</c:v>
                </c:pt>
                <c:pt idx="2">
                  <c:v>Власничке ХоВ расположиве за продају</c:v>
                </c:pt>
                <c:pt idx="3">
                  <c:v>ХоВ намењене трговању</c:v>
                </c:pt>
                <c:pt idx="4">
                  <c:v>Краткорочни депозити</c:v>
                </c:pt>
                <c:pt idx="5">
                  <c:v>Депозити по виђењу</c:v>
                </c:pt>
              </c:strCache>
            </c:strRef>
          </c:cat>
          <c:val>
            <c:numRef>
              <c:f>Sheet2!$D$4:$D$9</c:f>
              <c:numCache>
                <c:formatCode>#,##0</c:formatCode>
                <c:ptCount val="6"/>
                <c:pt idx="0">
                  <c:v>24560</c:v>
                </c:pt>
                <c:pt idx="1">
                  <c:v>0</c:v>
                </c:pt>
                <c:pt idx="2">
                  <c:v>300505</c:v>
                </c:pt>
                <c:pt idx="3">
                  <c:v>115114</c:v>
                </c:pt>
                <c:pt idx="4">
                  <c:v>657079</c:v>
                </c:pt>
                <c:pt idx="5">
                  <c:v>1174545</c:v>
                </c:pt>
              </c:numCache>
            </c:numRef>
          </c:val>
        </c:ser>
        <c:ser>
          <c:idx val="0"/>
          <c:order val="1"/>
          <c:tx>
            <c:strRef>
              <c:f>Sheet2!$C$2</c:f>
              <c:strCache>
                <c:ptCount val="1"/>
                <c:pt idx="0">
                  <c:v>2014</c:v>
                </c:pt>
              </c:strCache>
            </c:strRef>
          </c:tx>
          <c:spPr>
            <a:solidFill>
              <a:schemeClr val="accent2"/>
            </a:solidFill>
          </c:spPr>
          <c:invertIfNegative val="0"/>
          <c:dLbls>
            <c:dLbl>
              <c:idx val="0"/>
              <c:layout>
                <c:manualLayout>
                  <c:x val="1.1827321111768185E-2"/>
                  <c:y val="-9.8993565418246596E-3"/>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9.8561009264734878E-3"/>
                  <c:y val="0"/>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1.3798541297062882E-2"/>
                  <c:y val="0"/>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5.9136605558840561E-3"/>
                  <c:y val="-6.5995710278831873E-3"/>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5.9136605558840925E-3"/>
                  <c:y val="0"/>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1.1827321111768185E-2"/>
                  <c:y val="-3.2997855139415937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800" b="1">
                    <a:solidFill>
                      <a:schemeClr val="accent2"/>
                    </a:solidFill>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Sheet2!$B$4:$B$9</c:f>
              <c:strCache>
                <c:ptCount val="6"/>
                <c:pt idx="0">
                  <c:v>ХоВ које се држе до доспећа</c:v>
                </c:pt>
                <c:pt idx="1">
                  <c:v>Дужничке ХоВ расположиве за продају</c:v>
                </c:pt>
                <c:pt idx="2">
                  <c:v>Власничке ХоВ расположиве за продају</c:v>
                </c:pt>
                <c:pt idx="3">
                  <c:v>ХоВ намењене трговању</c:v>
                </c:pt>
                <c:pt idx="4">
                  <c:v>Краткорочни депозити</c:v>
                </c:pt>
                <c:pt idx="5">
                  <c:v>Депозити по виђењу</c:v>
                </c:pt>
              </c:strCache>
            </c:strRef>
          </c:cat>
          <c:val>
            <c:numRef>
              <c:f>Sheet2!$C$4:$C$9</c:f>
              <c:numCache>
                <c:formatCode>#,##0</c:formatCode>
                <c:ptCount val="6"/>
                <c:pt idx="0">
                  <c:v>275284</c:v>
                </c:pt>
                <c:pt idx="1">
                  <c:v>357933</c:v>
                </c:pt>
                <c:pt idx="2">
                  <c:v>147518</c:v>
                </c:pt>
                <c:pt idx="3">
                  <c:v>125795</c:v>
                </c:pt>
                <c:pt idx="4">
                  <c:v>377244</c:v>
                </c:pt>
                <c:pt idx="5">
                  <c:v>842881</c:v>
                </c:pt>
              </c:numCache>
            </c:numRef>
          </c:val>
        </c:ser>
        <c:dLbls>
          <c:showLegendKey val="0"/>
          <c:showVal val="0"/>
          <c:showCatName val="0"/>
          <c:showSerName val="0"/>
          <c:showPercent val="0"/>
          <c:showBubbleSize val="0"/>
        </c:dLbls>
        <c:gapWidth val="31"/>
        <c:gapDepth val="27"/>
        <c:shape val="box"/>
        <c:axId val="162010240"/>
        <c:axId val="162011776"/>
        <c:axId val="0"/>
      </c:bar3DChart>
      <c:catAx>
        <c:axId val="162010240"/>
        <c:scaling>
          <c:orientation val="minMax"/>
        </c:scaling>
        <c:delete val="0"/>
        <c:axPos val="l"/>
        <c:numFmt formatCode="General" sourceLinked="1"/>
        <c:majorTickMark val="out"/>
        <c:minorTickMark val="none"/>
        <c:tickLblPos val="nextTo"/>
        <c:txPr>
          <a:bodyPr/>
          <a:lstStyle/>
          <a:p>
            <a:pPr>
              <a:defRPr sz="800"/>
            </a:pPr>
            <a:endParaRPr lang="sr-Latn-RS"/>
          </a:p>
        </c:txPr>
        <c:crossAx val="162011776"/>
        <c:crosses val="autoZero"/>
        <c:auto val="1"/>
        <c:lblAlgn val="ctr"/>
        <c:lblOffset val="100"/>
        <c:noMultiLvlLbl val="0"/>
      </c:catAx>
      <c:valAx>
        <c:axId val="162011776"/>
        <c:scaling>
          <c:orientation val="minMax"/>
        </c:scaling>
        <c:delete val="0"/>
        <c:axPos val="b"/>
        <c:majorGridlines/>
        <c:numFmt formatCode="#,##0" sourceLinked="1"/>
        <c:majorTickMark val="out"/>
        <c:minorTickMark val="none"/>
        <c:tickLblPos val="nextTo"/>
        <c:txPr>
          <a:bodyPr/>
          <a:lstStyle/>
          <a:p>
            <a:pPr>
              <a:defRPr sz="800"/>
            </a:pPr>
            <a:endParaRPr lang="sr-Latn-RS"/>
          </a:p>
        </c:txPr>
        <c:crossAx val="162010240"/>
        <c:crosses val="autoZero"/>
        <c:crossBetween val="between"/>
      </c:valAx>
    </c:plotArea>
    <c:legend>
      <c:legendPos val="r"/>
      <c:layout>
        <c:manualLayout>
          <c:xMode val="edge"/>
          <c:yMode val="edge"/>
          <c:x val="0.84861494619500177"/>
          <c:y val="0.26176756778525934"/>
          <c:w val="8.3500266192332112E-2"/>
          <c:h val="0.11901313028826355"/>
        </c:manualLayout>
      </c:layout>
      <c:overlay val="1"/>
    </c:legend>
    <c:plotVisOnly val="1"/>
    <c:dispBlanksAs val="gap"/>
    <c:showDLblsOverMax val="0"/>
  </c:chart>
  <c:spPr>
    <a:ln>
      <a:noFill/>
    </a:ln>
  </c:spPr>
  <c:txPr>
    <a:bodyPr/>
    <a:lstStyle/>
    <a:p>
      <a:pPr>
        <a:defRPr>
          <a:latin typeface="Verdana" pitchFamily="34" charset="0"/>
          <a:ea typeface="Verdana" pitchFamily="34" charset="0"/>
          <a:cs typeface="Verdana" pitchFamily="34" charset="0"/>
        </a:defRPr>
      </a:pPr>
      <a:endParaRPr lang="sr-Latn-R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sr-Cyrl-RS" sz="1100" b="1" i="0" baseline="0">
                <a:effectLst/>
                <a:latin typeface="Verdana" panose="020B0604030504040204" pitchFamily="34" charset="0"/>
                <a:ea typeface="Verdana" panose="020B0604030504040204" pitchFamily="34" charset="0"/>
                <a:cs typeface="Verdana" panose="020B0604030504040204" pitchFamily="34" charset="0"/>
              </a:rPr>
              <a:t>Активна премија по инопартнерима</a:t>
            </a:r>
            <a:endParaRPr lang="en-US" sz="1100">
              <a:effectLst/>
              <a:latin typeface="Verdana" panose="020B0604030504040204" pitchFamily="34" charset="0"/>
              <a:ea typeface="Verdana" panose="020B0604030504040204" pitchFamily="34" charset="0"/>
              <a:cs typeface="Verdana" panose="020B0604030504040204" pitchFamily="34" charset="0"/>
            </a:endParaRPr>
          </a:p>
        </c:rich>
      </c:tx>
      <c:overlay val="1"/>
    </c:title>
    <c:autoTitleDeleted val="0"/>
    <c:view3D>
      <c:rotX val="40"/>
      <c:rotY val="210"/>
      <c:rAngAx val="0"/>
      <c:perspective val="30"/>
    </c:view3D>
    <c:floor>
      <c:thickness val="0"/>
    </c:floor>
    <c:sideWall>
      <c:thickness val="0"/>
    </c:sideWall>
    <c:backWall>
      <c:thickness val="0"/>
    </c:backWall>
    <c:plotArea>
      <c:layout>
        <c:manualLayout>
          <c:layoutTarget val="inner"/>
          <c:xMode val="edge"/>
          <c:yMode val="edge"/>
          <c:x val="8.6155786978240639E-2"/>
          <c:y val="9.8657995028486434E-2"/>
          <c:w val="0.82768842604351878"/>
          <c:h val="0.80871037457652328"/>
        </c:manualLayout>
      </c:layout>
      <c:pie3DChart>
        <c:varyColors val="1"/>
        <c:ser>
          <c:idx val="0"/>
          <c:order val="0"/>
          <c:explosion val="15"/>
          <c:dLbls>
            <c:dLbl>
              <c:idx val="0"/>
              <c:layout>
                <c:manualLayout>
                  <c:x val="0"/>
                  <c:y val="-2.4228528752800668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1"/>
              <c:layout>
                <c:manualLayout>
                  <c:x val="-1.0752688172043012E-2"/>
                  <c:y val="1.2052729266992392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2"/>
              <c:layout>
                <c:manualLayout>
                  <c:x val="1.5053763440860216E-2"/>
                  <c:y val="1.8079093900488587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3"/>
              <c:layout>
                <c:manualLayout>
                  <c:x val="-1.5666282622167776E-2"/>
                  <c:y val="-6.5057505601194915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4"/>
              <c:layout>
                <c:manualLayout>
                  <c:x val="-1.0149807720483759E-3"/>
                  <c:y val="-2.6557132188200151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5"/>
              <c:layout>
                <c:manualLayout>
                  <c:x val="1.5053763440860216E-2"/>
                  <c:y val="0"/>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6"/>
              <c:layout>
                <c:manualLayout>
                  <c:x val="0.12813580560494453"/>
                  <c:y val="0"/>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7"/>
              <c:layout>
                <c:manualLayout>
                  <c:x val="0.16883837101007534"/>
                  <c:y val="5.7250464018213855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8"/>
              <c:layout>
                <c:manualLayout>
                  <c:x val="6.0541793750137594E-2"/>
                  <c:y val="7.7130694548170273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9"/>
              <c:layout>
                <c:manualLayout>
                  <c:x val="-3.4041458080231304E-2"/>
                  <c:y val="0.10344764749813294"/>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10"/>
              <c:layout>
                <c:manualLayout>
                  <c:x val="-6.9419862839725677E-2"/>
                  <c:y val="6.6289954879483026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11"/>
              <c:layout>
                <c:manualLayout>
                  <c:x val="-0.16774193548387095"/>
                  <c:y val="2.7118640850732879E-2"/>
                </c:manualLayout>
              </c:layout>
              <c:tx>
                <c:rich>
                  <a:bodyPr/>
                  <a:lstStyle/>
                  <a:p>
                    <a:pPr>
                      <a:defRPr sz="800"/>
                    </a:pPr>
                    <a:r>
                      <a:rPr lang="en-US" sz="800"/>
                      <a:t>0,005%</a:t>
                    </a:r>
                    <a:endParaRPr lang="en-US"/>
                  </a:p>
                </c:rich>
              </c:tx>
              <c:numFmt formatCode="0.000%" sourceLinked="0"/>
              <c:spPr/>
              <c:dLblPos val="bestFit"/>
              <c:showLegendKey val="1"/>
              <c:showVal val="1"/>
              <c:showCatName val="0"/>
              <c:showSerName val="0"/>
              <c:showPercent val="0"/>
              <c:showBubbleSize val="0"/>
              <c:extLst>
                <c:ext xmlns:c15="http://schemas.microsoft.com/office/drawing/2012/chart" uri="{CE6537A1-D6FC-4f65-9D91-7224C49458BB}"/>
              </c:extLst>
            </c:dLbl>
            <c:dLbl>
              <c:idx val="12"/>
              <c:layout>
                <c:manualLayout>
                  <c:x val="-0.21290322580645163"/>
                  <c:y val="-2.4105458533984783E-2"/>
                </c:manualLayout>
              </c:layout>
              <c:tx>
                <c:rich>
                  <a:bodyPr/>
                  <a:lstStyle/>
                  <a:p>
                    <a:pPr>
                      <a:defRPr sz="800"/>
                    </a:pPr>
                    <a:r>
                      <a:rPr lang="en-US" sz="800"/>
                      <a:t>0,0001%</a:t>
                    </a:r>
                    <a:endParaRPr lang="en-US"/>
                  </a:p>
                </c:rich>
              </c:tx>
              <c:numFmt formatCode="0.0000%" sourceLinked="0"/>
              <c:spPr/>
              <c:dLblPos val="bestFit"/>
              <c:showLegendKey val="1"/>
              <c:showVal val="1"/>
              <c:showCatName val="0"/>
              <c:showSerName val="0"/>
              <c:showPercent val="0"/>
              <c:showBubbleSize val="0"/>
              <c:extLst>
                <c:ext xmlns:c15="http://schemas.microsoft.com/office/drawing/2012/chart" uri="{CE6537A1-D6FC-4f65-9D91-7224C49458BB}"/>
              </c:extLst>
            </c:dLbl>
            <c:dLbl>
              <c:idx val="13"/>
              <c:layout>
                <c:manualLayout>
                  <c:x val="-0.2021505376344086"/>
                  <c:y val="-7.8342740235450542E-2"/>
                </c:manualLayout>
              </c:layout>
              <c:tx>
                <c:rich>
                  <a:bodyPr/>
                  <a:lstStyle/>
                  <a:p>
                    <a:pPr>
                      <a:defRPr sz="800"/>
                    </a:pPr>
                    <a:r>
                      <a:rPr lang="en-US" sz="800"/>
                      <a:t>0,00003%</a:t>
                    </a:r>
                    <a:endParaRPr lang="en-US"/>
                  </a:p>
                </c:rich>
              </c:tx>
              <c:numFmt formatCode="0.00000%" sourceLinked="0"/>
              <c:spPr/>
              <c:dLblPos val="bestFit"/>
              <c:showLegendKey val="1"/>
              <c:showVal val="1"/>
              <c:showCatName val="0"/>
              <c:showSerName val="0"/>
              <c:showPercent val="0"/>
              <c:showBubbleSize val="0"/>
              <c:extLst>
                <c:ext xmlns:c15="http://schemas.microsoft.com/office/drawing/2012/chart" uri="{CE6537A1-D6FC-4f65-9D91-7224C49458BB}"/>
              </c:extLst>
            </c:dLbl>
            <c:dLbl>
              <c:idx val="14"/>
              <c:delete val="1"/>
              <c:extLst>
                <c:ext xmlns:c15="http://schemas.microsoft.com/office/drawing/2012/chart" uri="{CE6537A1-D6FC-4f65-9D91-7224C49458BB}"/>
              </c:extLst>
            </c:dLbl>
            <c:spPr>
              <a:noFill/>
              <a:ln>
                <a:noFill/>
              </a:ln>
              <a:effectLst/>
            </c:spPr>
            <c:txPr>
              <a:bodyPr/>
              <a:lstStyle/>
              <a:p>
                <a:pPr>
                  <a:defRPr sz="800"/>
                </a:pPr>
                <a:endParaRPr lang="sr-Latn-RS"/>
              </a:p>
            </c:txPr>
            <c:dLblPos val="outEnd"/>
            <c:showLegendKey val="1"/>
            <c:showVal val="1"/>
            <c:showCatName val="0"/>
            <c:showSerName val="0"/>
            <c:showPercent val="0"/>
            <c:showBubbleSize val="0"/>
            <c:showLeaderLines val="1"/>
            <c:extLst>
              <c:ext xmlns:c15="http://schemas.microsoft.com/office/drawing/2012/chart" uri="{CE6537A1-D6FC-4f65-9D91-7224C49458BB}"/>
            </c:extLst>
          </c:dLbls>
          <c:cat>
            <c:strRef>
              <c:f>'aktivna premija inopartneri'!$C$25:$C$39</c:f>
              <c:strCache>
                <c:ptCount val="15"/>
                <c:pt idx="0">
                  <c:v>DUNAV OSIGURANJE BANJA LUKA</c:v>
                </c:pt>
                <c:pt idx="1">
                  <c:v>TRIGLAV RE</c:v>
                </c:pt>
                <c:pt idx="2">
                  <c:v>DEVK VERSICHERUNGEN</c:v>
                </c:pt>
                <c:pt idx="3">
                  <c:v>BOSNA RE</c:v>
                </c:pt>
                <c:pt idx="4">
                  <c:v>SAVA RE</c:v>
                </c:pt>
                <c:pt idx="5">
                  <c:v>CROATIA LLOYDS</c:v>
                </c:pt>
                <c:pt idx="6">
                  <c:v>KOREAN RE</c:v>
                </c:pt>
                <c:pt idx="7">
                  <c:v>BRČKO GAS OSIGURANJE</c:v>
                </c:pt>
                <c:pt idx="8">
                  <c:v>KAPITAL INSURANCE</c:v>
                </c:pt>
                <c:pt idx="9">
                  <c:v>BOBAR OSIGURANJE</c:v>
                </c:pt>
                <c:pt idx="10">
                  <c:v>UNITY RE</c:v>
                </c:pt>
                <c:pt idx="11">
                  <c:v>OMAN </c:v>
                </c:pt>
                <c:pt idx="12">
                  <c:v>ORIENTAL INSURANCE</c:v>
                </c:pt>
                <c:pt idx="13">
                  <c:v>AL KHAZNA</c:v>
                </c:pt>
                <c:pt idx="14">
                  <c:v>POLISH RE</c:v>
                </c:pt>
              </c:strCache>
            </c:strRef>
          </c:cat>
          <c:val>
            <c:numRef>
              <c:f>'aktivna premija inopartneri'!$D$25:$D$39</c:f>
              <c:numCache>
                <c:formatCode>0.00%</c:formatCode>
                <c:ptCount val="15"/>
                <c:pt idx="0">
                  <c:v>2.1074229337657267E-2</c:v>
                </c:pt>
                <c:pt idx="1">
                  <c:v>1.9071278365736237E-2</c:v>
                </c:pt>
                <c:pt idx="2">
                  <c:v>1.7327991851396295E-2</c:v>
                </c:pt>
                <c:pt idx="3">
                  <c:v>1.2776422274570983E-2</c:v>
                </c:pt>
                <c:pt idx="4">
                  <c:v>1.0881547233323276E-2</c:v>
                </c:pt>
                <c:pt idx="5">
                  <c:v>9.0238622233203194E-3</c:v>
                </c:pt>
                <c:pt idx="6">
                  <c:v>2.0147835498526049E-3</c:v>
                </c:pt>
                <c:pt idx="7">
                  <c:v>1.448109142274407E-3</c:v>
                </c:pt>
                <c:pt idx="8">
                  <c:v>1.4002576626838115E-3</c:v>
                </c:pt>
                <c:pt idx="9">
                  <c:v>1.2216062077903839E-3</c:v>
                </c:pt>
                <c:pt idx="10">
                  <c:v>1.1577567746289565E-4</c:v>
                </c:pt>
                <c:pt idx="11">
                  <c:v>6.2065533888458111E-5</c:v>
                </c:pt>
                <c:pt idx="12" formatCode="0,000%">
                  <c:v>4.6004044167112068E-5</c:v>
                </c:pt>
                <c:pt idx="13" formatCode="00,000%">
                  <c:v>6.029146128961537E-7</c:v>
                </c:pt>
                <c:pt idx="14" formatCode="000,000%">
                  <c:v>2.7559260191646827E-7</c:v>
                </c:pt>
              </c:numCache>
            </c:numRef>
          </c:val>
        </c:ser>
        <c:dLbls>
          <c:showLegendKey val="0"/>
          <c:showVal val="1"/>
          <c:showCatName val="1"/>
          <c:showSerName val="0"/>
          <c:showPercent val="0"/>
          <c:showBubbleSize val="0"/>
          <c:showLeaderLines val="1"/>
        </c:dLbls>
      </c:pie3DChart>
    </c:plotArea>
    <c:plotVisOnly val="1"/>
    <c:dispBlanksAs val="gap"/>
    <c:showDLblsOverMax val="0"/>
  </c:chart>
  <c:spPr>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a:pPr>
            <a:r>
              <a:rPr lang="sr-Cyrl-RS" b="1"/>
              <a:t>Активана премија по врстама</a:t>
            </a:r>
          </a:p>
        </c:rich>
      </c:tx>
      <c:overlay val="1"/>
    </c:title>
    <c:autoTitleDeleted val="0"/>
    <c:view3D>
      <c:rotX val="40"/>
      <c:rotY val="100"/>
      <c:rAngAx val="0"/>
      <c:perspective val="30"/>
    </c:view3D>
    <c:floor>
      <c:thickness val="0"/>
    </c:floor>
    <c:sideWall>
      <c:thickness val="0"/>
    </c:sideWall>
    <c:backWall>
      <c:thickness val="0"/>
    </c:backWall>
    <c:plotArea>
      <c:layout>
        <c:manualLayout>
          <c:layoutTarget val="inner"/>
          <c:xMode val="edge"/>
          <c:yMode val="edge"/>
          <c:x val="1.6956241125597039E-3"/>
          <c:y val="2.0085420356938167E-3"/>
          <c:w val="0.76054300589475499"/>
          <c:h val="0.70311262816285891"/>
        </c:manualLayout>
      </c:layout>
      <c:pie3DChart>
        <c:varyColors val="1"/>
        <c:ser>
          <c:idx val="0"/>
          <c:order val="0"/>
          <c:tx>
            <c:strRef>
              <c:f>'aktivna premija po vrstama'!$D$4</c:f>
              <c:strCache>
                <c:ptCount val="1"/>
                <c:pt idx="0">
                  <c:v>Активана премија</c:v>
                </c:pt>
              </c:strCache>
            </c:strRef>
          </c:tx>
          <c:dPt>
            <c:idx val="0"/>
            <c:bubble3D val="0"/>
          </c:dPt>
          <c:dPt>
            <c:idx val="1"/>
            <c:bubble3D val="0"/>
          </c:dPt>
          <c:dPt>
            <c:idx val="2"/>
            <c:bubble3D val="0"/>
          </c:dPt>
          <c:dPt>
            <c:idx val="3"/>
            <c:bubble3D val="0"/>
          </c:dPt>
          <c:dPt>
            <c:idx val="4"/>
            <c:bubble3D val="0"/>
          </c:dPt>
          <c:dPt>
            <c:idx val="5"/>
            <c:bubble3D val="0"/>
          </c:dPt>
          <c:dPt>
            <c:idx val="6"/>
            <c:bubble3D val="0"/>
          </c:dPt>
          <c:dPt>
            <c:idx val="7"/>
            <c:bubble3D val="0"/>
          </c:dPt>
          <c:dPt>
            <c:idx val="8"/>
            <c:bubble3D val="0"/>
          </c:dPt>
          <c:dPt>
            <c:idx val="9"/>
            <c:bubble3D val="0"/>
          </c:dPt>
          <c:dPt>
            <c:idx val="10"/>
            <c:bubble3D val="0"/>
          </c:dPt>
          <c:dPt>
            <c:idx val="11"/>
            <c:bubble3D val="0"/>
          </c:dPt>
          <c:dPt>
            <c:idx val="12"/>
            <c:bubble3D val="0"/>
          </c:dPt>
          <c:dPt>
            <c:idx val="13"/>
            <c:bubble3D val="0"/>
          </c:dPt>
          <c:dPt>
            <c:idx val="14"/>
            <c:bubble3D val="0"/>
          </c:dPt>
          <c:dPt>
            <c:idx val="15"/>
            <c:bubble3D val="0"/>
          </c:dPt>
          <c:dPt>
            <c:idx val="16"/>
            <c:bubble3D val="0"/>
          </c:dPt>
          <c:dLbls>
            <c:dLbl>
              <c:idx val="0"/>
              <c:layout>
                <c:manualLayout>
                  <c:x val="5.2526655479540468E-2"/>
                  <c:y val="-8.3967607497338698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1"/>
              <c:layout>
                <c:manualLayout>
                  <c:x val="5.1931672475366807E-2"/>
                  <c:y val="-5.0451796973654157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2"/>
              <c:layout>
                <c:manualLayout>
                  <c:x val="6.5411126887827548E-2"/>
                  <c:y val="-3.9142348585737126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3"/>
              <c:layout>
                <c:manualLayout>
                  <c:x val="7.9034464954175807E-2"/>
                  <c:y val="-2.139629098086877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4"/>
              <c:layout>
                <c:manualLayout>
                  <c:x val="9.6879996557807324E-2"/>
                  <c:y val="2.6426007093940844E-3"/>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5"/>
              <c:layout>
                <c:manualLayout>
                  <c:x val="0.11700081752076072"/>
                  <c:y val="1.7257153200677503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6"/>
              <c:layout>
                <c:manualLayout>
                  <c:x val="0.11986954089755174"/>
                  <c:y val="-0.13054712988462649"/>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7"/>
              <c:layout>
                <c:manualLayout>
                  <c:x val="6.0157480314961429E-3"/>
                  <c:y val="0.10352137017355589"/>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8"/>
              <c:layout>
                <c:manualLayout>
                  <c:x val="-8.6339486252743E-2"/>
                  <c:y val="6.6782169470195538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9"/>
              <c:layout>
                <c:manualLayout>
                  <c:x val="-3.8689557247966952E-2"/>
                  <c:y val="-2.7145399928457218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10"/>
              <c:layout>
                <c:manualLayout>
                  <c:x val="-0.13496648164881028"/>
                  <c:y val="5.1014312866064157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11"/>
              <c:layout>
                <c:manualLayout>
                  <c:x val="6.8833871175939074E-2"/>
                  <c:y val="-0.14406492291911788"/>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12"/>
              <c:layout>
                <c:manualLayout>
                  <c:x val="6.3393141431091607E-2"/>
                  <c:y val="-0.11214305108413175"/>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13"/>
              <c:layout>
                <c:manualLayout>
                  <c:x val="6.3269394604362983E-2"/>
                  <c:y val="-7.3876455098285124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14"/>
              <c:layout>
                <c:manualLayout>
                  <c:x val="4.4527860246977323E-2"/>
                  <c:y val="-3.3666998521736505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15"/>
              <c:layout>
                <c:manualLayout>
                  <c:x val="4.7584699453551912E-2"/>
                  <c:y val="-9.2341905537669855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16"/>
              <c:layout>
                <c:manualLayout>
                  <c:x val="4.42631556301364E-2"/>
                  <c:y val="-4.4858358222463569E-2"/>
                </c:manualLayout>
              </c:layout>
              <c:dLblPos val="bestFit"/>
              <c:showLegendKey val="1"/>
              <c:showVal val="0"/>
              <c:showCatName val="0"/>
              <c:showSerName val="0"/>
              <c:showPercent val="1"/>
              <c:showBubbleSize val="0"/>
              <c:extLst>
                <c:ext xmlns:c15="http://schemas.microsoft.com/office/drawing/2012/chart" uri="{CE6537A1-D6FC-4f65-9D91-7224C49458BB}"/>
              </c:extLst>
            </c:dLbl>
            <c:numFmt formatCode="0.00%" sourceLinked="0"/>
            <c:spPr>
              <a:noFill/>
              <a:ln>
                <a:noFill/>
              </a:ln>
              <a:effectLst/>
            </c:spPr>
            <c:txPr>
              <a:bodyPr/>
              <a:lstStyle/>
              <a:p>
                <a:pPr>
                  <a:defRPr sz="800" b="0" i="0" u="none" strike="noStrike" baseline="0">
                    <a:solidFill>
                      <a:srgbClr val="000000"/>
                    </a:solidFill>
                    <a:latin typeface="Verdana" panose="020B0604030504040204" pitchFamily="34" charset="0"/>
                    <a:ea typeface="Verdana" panose="020B0604030504040204" pitchFamily="34" charset="0"/>
                    <a:cs typeface="Verdana" panose="020B0604030504040204" pitchFamily="34" charset="0"/>
                  </a:defRPr>
                </a:pPr>
                <a:endParaRPr lang="sr-Latn-RS"/>
              </a:p>
            </c:txPr>
            <c:showLegendKey val="1"/>
            <c:showVal val="0"/>
            <c:showCatName val="0"/>
            <c:showSerName val="0"/>
            <c:showPercent val="1"/>
            <c:showBubbleSize val="0"/>
            <c:showLeaderLines val="1"/>
            <c:extLst>
              <c:ext xmlns:c15="http://schemas.microsoft.com/office/drawing/2012/chart" uri="{CE6537A1-D6FC-4f65-9D91-7224C49458BB}"/>
            </c:extLst>
          </c:dLbls>
          <c:cat>
            <c:multiLvlStrRef>
              <c:f>'aktivna premija po vrstama'!$B$5:$C$21</c:f>
              <c:multiLvlStrCache>
                <c:ptCount val="17"/>
                <c:lvl>
                  <c:pt idx="0">
                    <c:v>Осигурање од последица незгоде</c:v>
                  </c:pt>
                  <c:pt idx="1">
                    <c:v>Осигурање моторних возила</c:v>
                  </c:pt>
                  <c:pt idx="2">
                    <c:v>Осигурање шинских возила</c:v>
                  </c:pt>
                  <c:pt idx="3">
                    <c:v>Осигурање ваздухоплова</c:v>
                  </c:pt>
                  <c:pt idx="4">
                    <c:v>Осигурање пловних објеката</c:v>
                  </c:pt>
                  <c:pt idx="5">
                    <c:v>Осигурање робе у превозу</c:v>
                  </c:pt>
                  <c:pt idx="6">
                    <c:v>Осигурање имовине од пожара и др. опасности</c:v>
                  </c:pt>
                  <c:pt idx="7">
                    <c:v>Остала осигурања имовине                </c:v>
                  </c:pt>
                  <c:pt idx="8">
                    <c:v>Осигурање од одговорности због употребе моторних возила  </c:v>
                  </c:pt>
                  <c:pt idx="9">
                    <c:v>Осигурање од одговорности због употребе ваздухоплова</c:v>
                  </c:pt>
                  <c:pt idx="10">
                    <c:v>Осигурање од опште одговорности</c:v>
                  </c:pt>
                  <c:pt idx="11">
                    <c:v>Осигурање јемства</c:v>
                  </c:pt>
                  <c:pt idx="12">
                    <c:v>Осигурање финансијских губитака</c:v>
                  </c:pt>
                  <c:pt idx="13">
                    <c:v>Осигурање трошкова правне заштите</c:v>
                  </c:pt>
                  <c:pt idx="14">
                    <c:v>Осигурање живота</c:v>
                  </c:pt>
                  <c:pt idx="15">
                    <c:v>Oсигурање од последица незгоде, допунско уз осигурање живота</c:v>
                  </c:pt>
                  <c:pt idx="16">
                    <c:v>Остало</c:v>
                  </c:pt>
                </c:lvl>
                <c:lvl>
                  <c:pt idx="0">
                    <c:v>01</c:v>
                  </c:pt>
                  <c:pt idx="1">
                    <c:v>03</c:v>
                  </c:pt>
                  <c:pt idx="2">
                    <c:v>04</c:v>
                  </c:pt>
                  <c:pt idx="3">
                    <c:v>05</c:v>
                  </c:pt>
                  <c:pt idx="4">
                    <c:v>06</c:v>
                  </c:pt>
                  <c:pt idx="5">
                    <c:v>07</c:v>
                  </c:pt>
                  <c:pt idx="6">
                    <c:v>08</c:v>
                  </c:pt>
                  <c:pt idx="7">
                    <c:v>09</c:v>
                  </c:pt>
                  <c:pt idx="8">
                    <c:v>10</c:v>
                  </c:pt>
                  <c:pt idx="9">
                    <c:v>11</c:v>
                  </c:pt>
                  <c:pt idx="10">
                    <c:v>13</c:v>
                  </c:pt>
                  <c:pt idx="11">
                    <c:v>15</c:v>
                  </c:pt>
                  <c:pt idx="12">
                    <c:v>16</c:v>
                  </c:pt>
                  <c:pt idx="13">
                    <c:v>17</c:v>
                  </c:pt>
                  <c:pt idx="14">
                    <c:v>20</c:v>
                  </c:pt>
                  <c:pt idx="15">
                    <c:v>22.01</c:v>
                  </c:pt>
                </c:lvl>
              </c:multiLvlStrCache>
            </c:multiLvlStrRef>
          </c:cat>
          <c:val>
            <c:numRef>
              <c:f>'aktivna premija po vrstama'!$D$5:$D$21</c:f>
              <c:numCache>
                <c:formatCode>#,##0.00</c:formatCode>
                <c:ptCount val="17"/>
                <c:pt idx="0">
                  <c:v>19373698.719999999</c:v>
                </c:pt>
                <c:pt idx="1">
                  <c:v>103396885.68000001</c:v>
                </c:pt>
                <c:pt idx="2">
                  <c:v>12056602.449999999</c:v>
                </c:pt>
                <c:pt idx="3">
                  <c:v>56857700.32</c:v>
                </c:pt>
                <c:pt idx="4">
                  <c:v>1123014.6399999999</c:v>
                </c:pt>
                <c:pt idx="5">
                  <c:v>74152065.430000007</c:v>
                </c:pt>
                <c:pt idx="6">
                  <c:v>585517703.00999999</c:v>
                </c:pt>
                <c:pt idx="7">
                  <c:v>833830755.91999996</c:v>
                </c:pt>
                <c:pt idx="8">
                  <c:v>138446933.69</c:v>
                </c:pt>
                <c:pt idx="9">
                  <c:v>75921045.659999996</c:v>
                </c:pt>
                <c:pt idx="10">
                  <c:v>250093355.09999999</c:v>
                </c:pt>
                <c:pt idx="11">
                  <c:v>18812182.370000001</c:v>
                </c:pt>
                <c:pt idx="12">
                  <c:v>35834589.509999998</c:v>
                </c:pt>
                <c:pt idx="13">
                  <c:v>1597314.73</c:v>
                </c:pt>
                <c:pt idx="14">
                  <c:v>53171703.5</c:v>
                </c:pt>
                <c:pt idx="15">
                  <c:v>64271027.530000001</c:v>
                </c:pt>
                <c:pt idx="16">
                  <c:v>433888.86</c:v>
                </c:pt>
              </c:numCache>
            </c:numRef>
          </c:val>
        </c:ser>
        <c:ser>
          <c:idx val="1"/>
          <c:order val="1"/>
          <c:tx>
            <c:strRef>
              <c:f>'C:\Users\s.stoiljkovic.INTERNAL\AppData\Local\Microsoft\Windows\Temporary Internet Files\Content.Outlook\XU11Q4DN\[PREMIJA PO CEDENTIMA 01 01 -30 09 2013.xls]2013'!#REF!</c:f>
              <c:strCache>
                <c:ptCount val="1"/>
                <c:pt idx="0">
                  <c:v>#REF!</c:v>
                </c:pt>
              </c:strCache>
            </c:strRef>
          </c:tx>
          <c:dPt>
            <c:idx val="0"/>
            <c:bubble3D val="0"/>
          </c:dPt>
          <c:dPt>
            <c:idx val="1"/>
            <c:bubble3D val="0"/>
          </c:dPt>
          <c:dPt>
            <c:idx val="2"/>
            <c:bubble3D val="0"/>
          </c:dPt>
          <c:dPt>
            <c:idx val="3"/>
            <c:bubble3D val="0"/>
          </c:dPt>
          <c:dPt>
            <c:idx val="4"/>
            <c:bubble3D val="0"/>
          </c:dPt>
          <c:dPt>
            <c:idx val="5"/>
            <c:bubble3D val="0"/>
          </c:dPt>
          <c:dPt>
            <c:idx val="6"/>
            <c:bubble3D val="0"/>
          </c:dPt>
          <c:dPt>
            <c:idx val="7"/>
            <c:bubble3D val="0"/>
          </c:dPt>
          <c:dPt>
            <c:idx val="8"/>
            <c:bubble3D val="0"/>
          </c:dPt>
          <c:dPt>
            <c:idx val="9"/>
            <c:bubble3D val="0"/>
          </c:dPt>
          <c:dPt>
            <c:idx val="10"/>
            <c:bubble3D val="0"/>
          </c:dPt>
          <c:dPt>
            <c:idx val="11"/>
            <c:bubble3D val="0"/>
          </c:dPt>
          <c:dPt>
            <c:idx val="12"/>
            <c:bubble3D val="0"/>
          </c:dPt>
          <c:dPt>
            <c:idx val="13"/>
            <c:bubble3D val="0"/>
          </c:dPt>
          <c:dPt>
            <c:idx val="14"/>
            <c:bubble3D val="0"/>
          </c:dPt>
          <c:dPt>
            <c:idx val="15"/>
            <c:bubble3D val="0"/>
          </c:dPt>
          <c:dPt>
            <c:idx val="16"/>
            <c:bubble3D val="0"/>
          </c:dPt>
          <c:dLbls>
            <c:spPr>
              <a:noFill/>
              <a:ln>
                <a:noFill/>
              </a:ln>
              <a:effectLst/>
            </c:spPr>
            <c:txPr>
              <a:bodyPr/>
              <a:lstStyle/>
              <a:p>
                <a:pPr>
                  <a:defRPr sz="1000" b="0" i="0" u="none" strike="noStrike" baseline="0">
                    <a:solidFill>
                      <a:srgbClr val="000000"/>
                    </a:solidFill>
                    <a:latin typeface="Calibri"/>
                    <a:ea typeface="Calibri"/>
                    <a:cs typeface="Calibri"/>
                  </a:defRPr>
                </a:pPr>
                <a:endParaRPr lang="sr-Latn-RS"/>
              </a:p>
            </c:txPr>
            <c:showLegendKey val="0"/>
            <c:showVal val="0"/>
            <c:showCatName val="0"/>
            <c:showSerName val="0"/>
            <c:showPercent val="1"/>
            <c:showBubbleSize val="0"/>
            <c:showLeaderLines val="1"/>
            <c:extLst>
              <c:ext xmlns:c15="http://schemas.microsoft.com/office/drawing/2012/chart" uri="{CE6537A1-D6FC-4f65-9D91-7224C49458BB}"/>
            </c:extLst>
          </c:dLbls>
          <c:cat>
            <c:multiLvlStrRef>
              <c:f>'aktivna premija po vrstama'!$B$5:$C$21</c:f>
              <c:multiLvlStrCache>
                <c:ptCount val="17"/>
                <c:lvl>
                  <c:pt idx="0">
                    <c:v>Осигурање од последица незгоде</c:v>
                  </c:pt>
                  <c:pt idx="1">
                    <c:v>Осигурање моторних возила</c:v>
                  </c:pt>
                  <c:pt idx="2">
                    <c:v>Осигурање шинских возила</c:v>
                  </c:pt>
                  <c:pt idx="3">
                    <c:v>Осигурање ваздухоплова</c:v>
                  </c:pt>
                  <c:pt idx="4">
                    <c:v>Осигурање пловних објеката</c:v>
                  </c:pt>
                  <c:pt idx="5">
                    <c:v>Осигурање робе у превозу</c:v>
                  </c:pt>
                  <c:pt idx="6">
                    <c:v>Осигурање имовине од пожара и др. опасности</c:v>
                  </c:pt>
                  <c:pt idx="7">
                    <c:v>Остала осигурања имовине                </c:v>
                  </c:pt>
                  <c:pt idx="8">
                    <c:v>Осигурање од одговорности због употребе моторних возила  </c:v>
                  </c:pt>
                  <c:pt idx="9">
                    <c:v>Осигурање од одговорности због употребе ваздухоплова</c:v>
                  </c:pt>
                  <c:pt idx="10">
                    <c:v>Осигурање од опште одговорности</c:v>
                  </c:pt>
                  <c:pt idx="11">
                    <c:v>Осигурање јемства</c:v>
                  </c:pt>
                  <c:pt idx="12">
                    <c:v>Осигурање финансијских губитака</c:v>
                  </c:pt>
                  <c:pt idx="13">
                    <c:v>Осигурање трошкова правне заштите</c:v>
                  </c:pt>
                  <c:pt idx="14">
                    <c:v>Осигурање живота</c:v>
                  </c:pt>
                  <c:pt idx="15">
                    <c:v>Oсигурање од последица незгоде, допунско уз осигурање живота</c:v>
                  </c:pt>
                  <c:pt idx="16">
                    <c:v>Остало</c:v>
                  </c:pt>
                </c:lvl>
                <c:lvl>
                  <c:pt idx="0">
                    <c:v>01</c:v>
                  </c:pt>
                  <c:pt idx="1">
                    <c:v>03</c:v>
                  </c:pt>
                  <c:pt idx="2">
                    <c:v>04</c:v>
                  </c:pt>
                  <c:pt idx="3">
                    <c:v>05</c:v>
                  </c:pt>
                  <c:pt idx="4">
                    <c:v>06</c:v>
                  </c:pt>
                  <c:pt idx="5">
                    <c:v>07</c:v>
                  </c:pt>
                  <c:pt idx="6">
                    <c:v>08</c:v>
                  </c:pt>
                  <c:pt idx="7">
                    <c:v>09</c:v>
                  </c:pt>
                  <c:pt idx="8">
                    <c:v>10</c:v>
                  </c:pt>
                  <c:pt idx="9">
                    <c:v>11</c:v>
                  </c:pt>
                  <c:pt idx="10">
                    <c:v>13</c:v>
                  </c:pt>
                  <c:pt idx="11">
                    <c:v>15</c:v>
                  </c:pt>
                  <c:pt idx="12">
                    <c:v>16</c:v>
                  </c:pt>
                  <c:pt idx="13">
                    <c:v>17</c:v>
                  </c:pt>
                  <c:pt idx="14">
                    <c:v>20</c:v>
                  </c:pt>
                  <c:pt idx="15">
                    <c:v>22.01</c:v>
                  </c:pt>
                </c:lvl>
              </c:multiLvlStrCache>
            </c:multiLvlStrRef>
          </c:cat>
          <c:val>
            <c:numRef>
              <c:f>'C:\Users\s.stoiljkovic.INTERNAL\AppData\Local\Microsoft\Windows\Temporary Internet Files\Content.Outlook\XU11Q4DN\[PREMIJA PO CEDENTIMA 01 01 -30 09 2013.xls]2013'!#REF!</c:f>
              <c:numCache>
                <c:formatCode>General</c:formatCode>
                <c:ptCount val="1"/>
                <c:pt idx="0">
                  <c:v>1</c:v>
                </c:pt>
              </c:numCache>
            </c:numRef>
          </c:val>
        </c:ser>
        <c:ser>
          <c:idx val="2"/>
          <c:order val="2"/>
          <c:tx>
            <c:strRef>
              <c:f>'C:\Users\s.stoiljkovic.INTERNAL\AppData\Local\Microsoft\Windows\Temporary Internet Files\Content.Outlook\XU11Q4DN\[PREMIJA PO CEDENTIMA 01 01 -30 09 2013.xls]2013'!#REF!</c:f>
              <c:strCache>
                <c:ptCount val="1"/>
                <c:pt idx="0">
                  <c:v>#REF!</c:v>
                </c:pt>
              </c:strCache>
            </c:strRef>
          </c:tx>
          <c:dPt>
            <c:idx val="0"/>
            <c:bubble3D val="0"/>
          </c:dPt>
          <c:dPt>
            <c:idx val="1"/>
            <c:bubble3D val="0"/>
          </c:dPt>
          <c:dPt>
            <c:idx val="2"/>
            <c:bubble3D val="0"/>
          </c:dPt>
          <c:dPt>
            <c:idx val="3"/>
            <c:bubble3D val="0"/>
          </c:dPt>
          <c:dPt>
            <c:idx val="4"/>
            <c:bubble3D val="0"/>
          </c:dPt>
          <c:dPt>
            <c:idx val="5"/>
            <c:bubble3D val="0"/>
          </c:dPt>
          <c:dPt>
            <c:idx val="6"/>
            <c:bubble3D val="0"/>
          </c:dPt>
          <c:dPt>
            <c:idx val="7"/>
            <c:bubble3D val="0"/>
          </c:dPt>
          <c:dPt>
            <c:idx val="8"/>
            <c:bubble3D val="0"/>
          </c:dPt>
          <c:dPt>
            <c:idx val="9"/>
            <c:bubble3D val="0"/>
          </c:dPt>
          <c:dPt>
            <c:idx val="10"/>
            <c:bubble3D val="0"/>
          </c:dPt>
          <c:dPt>
            <c:idx val="11"/>
            <c:bubble3D val="0"/>
          </c:dPt>
          <c:dPt>
            <c:idx val="12"/>
            <c:bubble3D val="0"/>
          </c:dPt>
          <c:dPt>
            <c:idx val="13"/>
            <c:bubble3D val="0"/>
          </c:dPt>
          <c:dPt>
            <c:idx val="14"/>
            <c:bubble3D val="0"/>
          </c:dPt>
          <c:dPt>
            <c:idx val="15"/>
            <c:bubble3D val="0"/>
          </c:dPt>
          <c:dPt>
            <c:idx val="16"/>
            <c:bubble3D val="0"/>
          </c:dPt>
          <c:dLbls>
            <c:spPr>
              <a:noFill/>
              <a:ln>
                <a:noFill/>
              </a:ln>
              <a:effectLst/>
            </c:spPr>
            <c:txPr>
              <a:bodyPr/>
              <a:lstStyle/>
              <a:p>
                <a:pPr>
                  <a:defRPr sz="1000" b="0" i="0" u="none" strike="noStrike" baseline="0">
                    <a:solidFill>
                      <a:srgbClr val="000000"/>
                    </a:solidFill>
                    <a:latin typeface="Calibri"/>
                    <a:ea typeface="Calibri"/>
                    <a:cs typeface="Calibri"/>
                  </a:defRPr>
                </a:pPr>
                <a:endParaRPr lang="sr-Latn-RS"/>
              </a:p>
            </c:txPr>
            <c:showLegendKey val="0"/>
            <c:showVal val="0"/>
            <c:showCatName val="0"/>
            <c:showSerName val="0"/>
            <c:showPercent val="1"/>
            <c:showBubbleSize val="0"/>
            <c:showLeaderLines val="1"/>
            <c:extLst>
              <c:ext xmlns:c15="http://schemas.microsoft.com/office/drawing/2012/chart" uri="{CE6537A1-D6FC-4f65-9D91-7224C49458BB}"/>
            </c:extLst>
          </c:dLbls>
          <c:cat>
            <c:multiLvlStrRef>
              <c:f>'aktivna premija po vrstama'!$B$5:$C$21</c:f>
              <c:multiLvlStrCache>
                <c:ptCount val="17"/>
                <c:lvl>
                  <c:pt idx="0">
                    <c:v>Осигурање од последица незгоде</c:v>
                  </c:pt>
                  <c:pt idx="1">
                    <c:v>Осигурање моторних возила</c:v>
                  </c:pt>
                  <c:pt idx="2">
                    <c:v>Осигурање шинских возила</c:v>
                  </c:pt>
                  <c:pt idx="3">
                    <c:v>Осигурање ваздухоплова</c:v>
                  </c:pt>
                  <c:pt idx="4">
                    <c:v>Осигурање пловних објеката</c:v>
                  </c:pt>
                  <c:pt idx="5">
                    <c:v>Осигурање робе у превозу</c:v>
                  </c:pt>
                  <c:pt idx="6">
                    <c:v>Осигурање имовине од пожара и др. опасности</c:v>
                  </c:pt>
                  <c:pt idx="7">
                    <c:v>Остала осигурања имовине                </c:v>
                  </c:pt>
                  <c:pt idx="8">
                    <c:v>Осигурање од одговорности због употребе моторних возила  </c:v>
                  </c:pt>
                  <c:pt idx="9">
                    <c:v>Осигурање од одговорности због употребе ваздухоплова</c:v>
                  </c:pt>
                  <c:pt idx="10">
                    <c:v>Осигурање од опште одговорности</c:v>
                  </c:pt>
                  <c:pt idx="11">
                    <c:v>Осигурање јемства</c:v>
                  </c:pt>
                  <c:pt idx="12">
                    <c:v>Осигурање финансијских губитака</c:v>
                  </c:pt>
                  <c:pt idx="13">
                    <c:v>Осигурање трошкова правне заштите</c:v>
                  </c:pt>
                  <c:pt idx="14">
                    <c:v>Осигурање живота</c:v>
                  </c:pt>
                  <c:pt idx="15">
                    <c:v>Oсигурање од последица незгоде, допунско уз осигурање живота</c:v>
                  </c:pt>
                  <c:pt idx="16">
                    <c:v>Остало</c:v>
                  </c:pt>
                </c:lvl>
                <c:lvl>
                  <c:pt idx="0">
                    <c:v>01</c:v>
                  </c:pt>
                  <c:pt idx="1">
                    <c:v>03</c:v>
                  </c:pt>
                  <c:pt idx="2">
                    <c:v>04</c:v>
                  </c:pt>
                  <c:pt idx="3">
                    <c:v>05</c:v>
                  </c:pt>
                  <c:pt idx="4">
                    <c:v>06</c:v>
                  </c:pt>
                  <c:pt idx="5">
                    <c:v>07</c:v>
                  </c:pt>
                  <c:pt idx="6">
                    <c:v>08</c:v>
                  </c:pt>
                  <c:pt idx="7">
                    <c:v>09</c:v>
                  </c:pt>
                  <c:pt idx="8">
                    <c:v>10</c:v>
                  </c:pt>
                  <c:pt idx="9">
                    <c:v>11</c:v>
                  </c:pt>
                  <c:pt idx="10">
                    <c:v>13</c:v>
                  </c:pt>
                  <c:pt idx="11">
                    <c:v>15</c:v>
                  </c:pt>
                  <c:pt idx="12">
                    <c:v>16</c:v>
                  </c:pt>
                  <c:pt idx="13">
                    <c:v>17</c:v>
                  </c:pt>
                  <c:pt idx="14">
                    <c:v>20</c:v>
                  </c:pt>
                  <c:pt idx="15">
                    <c:v>22.01</c:v>
                  </c:pt>
                </c:lvl>
              </c:multiLvlStrCache>
            </c:multiLvlStrRef>
          </c:cat>
          <c:val>
            <c:numRef>
              <c:f>'C:\Users\s.stoiljkovic.INTERNAL\AppData\Local\Microsoft\Windows\Temporary Internet Files\Content.Outlook\XU11Q4DN\[PREMIJA PO CEDENTIMA 01 01 -30 09 2013.xls]2013'!#REF!</c:f>
              <c:numCache>
                <c:formatCode>General</c:formatCode>
                <c:ptCount val="1"/>
                <c:pt idx="0">
                  <c:v>1</c:v>
                </c:pt>
              </c:numCache>
            </c:numRef>
          </c:val>
        </c:ser>
        <c:dLbls>
          <c:showLegendKey val="0"/>
          <c:showVal val="0"/>
          <c:showCatName val="0"/>
          <c:showSerName val="0"/>
          <c:showPercent val="0"/>
          <c:showBubbleSize val="0"/>
          <c:showLeaderLines val="1"/>
        </c:dLbls>
      </c:pie3DChart>
      <c:spPr>
        <a:noFill/>
        <a:ln w="25400">
          <a:noFill/>
        </a:ln>
      </c:spPr>
    </c:plotArea>
    <c:legend>
      <c:legendPos val="b"/>
      <c:layout>
        <c:manualLayout>
          <c:xMode val="edge"/>
          <c:yMode val="edge"/>
          <c:x val="0"/>
          <c:y val="0.59588861737110443"/>
          <c:w val="0.99986781980121342"/>
          <c:h val="0.40411138262889551"/>
        </c:manualLayout>
      </c:layout>
      <c:overlay val="0"/>
    </c:legend>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sr-Latn-R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sr-Cyrl-RS" sz="1100">
                <a:latin typeface="Verdana" panose="020B0604030504040204" pitchFamily="34" charset="0"/>
                <a:ea typeface="Verdana" panose="020B0604030504040204" pitchFamily="34" charset="0"/>
                <a:cs typeface="Verdana" panose="020B0604030504040204" pitchFamily="34" charset="0"/>
              </a:rPr>
              <a:t>Премија у самопридржају по Цедентима - Србија</a:t>
            </a:r>
            <a:endParaRPr lang="en-US" sz="1100">
              <a:latin typeface="Verdana" panose="020B0604030504040204" pitchFamily="34" charset="0"/>
              <a:ea typeface="Verdana" panose="020B0604030504040204" pitchFamily="34" charset="0"/>
              <a:cs typeface="Verdana" panose="020B0604030504040204" pitchFamily="34" charset="0"/>
            </a:endParaRPr>
          </a:p>
        </c:rich>
      </c:tx>
      <c:layout>
        <c:manualLayout>
          <c:xMode val="edge"/>
          <c:yMode val="edge"/>
          <c:x val="0.10059620901591236"/>
          <c:y val="1.0055361636496469E-2"/>
        </c:manualLayout>
      </c:layout>
      <c:overlay val="1"/>
    </c:title>
    <c:autoTitleDeleted val="0"/>
    <c:view3D>
      <c:rotX val="30"/>
      <c:rotY val="230"/>
      <c:rAngAx val="0"/>
      <c:perspective val="30"/>
    </c:view3D>
    <c:floor>
      <c:thickness val="0"/>
    </c:floor>
    <c:sideWall>
      <c:thickness val="0"/>
    </c:sideWall>
    <c:backWall>
      <c:thickness val="0"/>
    </c:backWall>
    <c:plotArea>
      <c:layout>
        <c:manualLayout>
          <c:layoutTarget val="inner"/>
          <c:xMode val="edge"/>
          <c:yMode val="edge"/>
          <c:x val="0.11974495138018303"/>
          <c:y val="4.5760248582931207E-2"/>
          <c:w val="0.78674742580254386"/>
          <c:h val="0.78562825028942707"/>
        </c:manualLayout>
      </c:layout>
      <c:pie3DChart>
        <c:varyColors val="1"/>
        <c:ser>
          <c:idx val="0"/>
          <c:order val="0"/>
          <c:explosion val="13"/>
          <c:dLbls>
            <c:dLbl>
              <c:idx val="0"/>
              <c:layout>
                <c:manualLayout>
                  <c:x val="-3.3392963625521757E-2"/>
                  <c:y val="-4.8199583299510268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1"/>
              <c:layout>
                <c:manualLayout>
                  <c:x val="5.4859868813357186E-2"/>
                  <c:y val="-2.1580756013745706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2"/>
              <c:layout>
                <c:manualLayout>
                  <c:x val="-1.4311270125223614E-2"/>
                  <c:y val="-3.6883712889182263E-3"/>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3"/>
              <c:layout>
                <c:manualLayout>
                  <c:x val="4.0548598688133569E-2"/>
                  <c:y val="1.0969072164948454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4"/>
              <c:layout>
                <c:manualLayout>
                  <c:x val="4.2933810375670928E-2"/>
                  <c:y val="4.8309169555865658E-3"/>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5"/>
              <c:layout>
                <c:manualLayout>
                  <c:x val="3.0527892421318533E-2"/>
                  <c:y val="4.0498530498058998E-3"/>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6"/>
              <c:layout>
                <c:manualLayout>
                  <c:x val="5.222355255682485E-2"/>
                  <c:y val="1.6821370382594392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7"/>
              <c:layout>
                <c:manualLayout>
                  <c:x val="7.2669512017616761E-2"/>
                  <c:y val="4.0238263630219873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8"/>
              <c:layout>
                <c:manualLayout>
                  <c:x val="9.3058001023575088E-2"/>
                  <c:y val="6.8486229640456614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9"/>
              <c:layout>
                <c:manualLayout>
                  <c:x val="0.11043962080768527"/>
                  <c:y val="9.0919473389179647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10"/>
              <c:layout>
                <c:manualLayout>
                  <c:x val="0.12641621943947526"/>
                  <c:y val="0.11741702945814408"/>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11"/>
              <c:layout>
                <c:manualLayout>
                  <c:x val="0.12880143112701253"/>
                  <c:y val="0.1509878929804433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12"/>
              <c:layout>
                <c:manualLayout>
                  <c:x val="0.12287568269540025"/>
                  <c:y val="0.20075453523840103"/>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13"/>
              <c:layout>
                <c:manualLayout>
                  <c:x val="3.3820039936241698E-2"/>
                  <c:y val="0.2509332440030995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14"/>
              <c:layout>
                <c:manualLayout>
                  <c:x val="-9.2269115914043201E-2"/>
                  <c:y val="0.2277634077938697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15"/>
              <c:layout>
                <c:manualLayout>
                  <c:x val="-0.12403100775193798"/>
                  <c:y val="0.19651992602721066"/>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16"/>
              <c:layout>
                <c:manualLayout>
                  <c:x val="-0.17173524150268335"/>
                  <c:y val="0.15013448061260384"/>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17"/>
              <c:layout>
                <c:manualLayout>
                  <c:x val="-0.1693500298151461"/>
                  <c:y val="0.11250436994344779"/>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18"/>
              <c:layout>
                <c:manualLayout>
                  <c:x val="-0.18843172331544425"/>
                  <c:y val="7.08293422085126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19"/>
              <c:layout>
                <c:manualLayout>
                  <c:x val="-0.1836612999403697"/>
                  <c:y val="3.3895175474199749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20"/>
              <c:layout>
                <c:manualLayout>
                  <c:x val="-0.17889087656529518"/>
                  <c:y val="-8.2474226804123713E-3"/>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21"/>
              <c:layout>
                <c:manualLayout>
                  <c:x val="-0.10733452593917711"/>
                  <c:y val="-4.6735395189003437E-2"/>
                </c:manualLayout>
              </c:layout>
              <c:dLblPos val="bestFit"/>
              <c:showLegendKey val="1"/>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800"/>
                </a:pPr>
                <a:endParaRPr lang="sr-Latn-RS"/>
              </a:p>
            </c:txPr>
            <c:dLblPos val="outEnd"/>
            <c:showLegendKey val="1"/>
            <c:showVal val="1"/>
            <c:showCatName val="0"/>
            <c:showSerName val="0"/>
            <c:showPercent val="0"/>
            <c:showBubbleSize val="0"/>
            <c:showLeaderLines val="1"/>
            <c:extLst>
              <c:ext xmlns:c15="http://schemas.microsoft.com/office/drawing/2012/chart" uri="{CE6537A1-D6FC-4f65-9D91-7224C49458BB}"/>
            </c:extLst>
          </c:dLbls>
          <c:cat>
            <c:strRef>
              <c:f>'premija samopridrzaj Srbija'!$C$31:$C$52</c:f>
              <c:strCache>
                <c:ptCount val="22"/>
                <c:pt idx="0">
                  <c:v>DUNAV OSIGURANJE</c:v>
                </c:pt>
                <c:pt idx="1">
                  <c:v>SAVA OSIGURANJE</c:v>
                </c:pt>
                <c:pt idx="2">
                  <c:v>WIENER RE</c:v>
                </c:pt>
                <c:pt idx="3">
                  <c:v>MERKUR OSIGURANJE</c:v>
                </c:pt>
                <c:pt idx="4">
                  <c:v>ENEROPROJEKT GARANT OSIGURANJE</c:v>
                </c:pt>
                <c:pt idx="5">
                  <c:v>AS OSIGURANJE</c:v>
                </c:pt>
                <c:pt idx="6">
                  <c:v>UDRUŽENJE OSIGURAVAČA SRBIJE</c:v>
                </c:pt>
                <c:pt idx="7">
                  <c:v>GRAWE OSIGURANJE</c:v>
                </c:pt>
                <c:pt idx="8">
                  <c:v>GLOBOS OSIGURANJE</c:v>
                </c:pt>
                <c:pt idx="9">
                  <c:v>UNIQA ŽIVOTNO OSIGURANJE</c:v>
                </c:pt>
                <c:pt idx="10">
                  <c:v>MILENIJUM OSIGURANJE</c:v>
                </c:pt>
                <c:pt idx="11">
                  <c:v>SOGAZ</c:v>
                </c:pt>
                <c:pt idx="12">
                  <c:v>TRIGLAV OSIGURANJE</c:v>
                </c:pt>
                <c:pt idx="13">
                  <c:v>UNIQA NEŽIVOTNO OSIGURANJE</c:v>
                </c:pt>
                <c:pt idx="14">
                  <c:v>NEŽIVOTNO OSIGURANJE BASLER</c:v>
                </c:pt>
                <c:pt idx="15">
                  <c:v>AMS OSIGURANJE</c:v>
                </c:pt>
                <c:pt idx="16">
                  <c:v>ŽIVOTNO OSIGURANJE BASLER</c:v>
                </c:pt>
                <c:pt idx="17">
                  <c:v>SOCIETE GENERALE OSIGURANJE</c:v>
                </c:pt>
                <c:pt idx="18">
                  <c:v>METLIFE ŽIVOTNO OSIGURANJE</c:v>
                </c:pt>
                <c:pt idx="19">
                  <c:v>SAVA ŽIVOTNO OSIGURANJE</c:v>
                </c:pt>
                <c:pt idx="20">
                  <c:v>GENERALI OSIGURANJE</c:v>
                </c:pt>
                <c:pt idx="21">
                  <c:v>DUNAV RE</c:v>
                </c:pt>
              </c:strCache>
            </c:strRef>
          </c:cat>
          <c:val>
            <c:numRef>
              <c:f>'premija samopridrzaj Srbija'!$D$31:$D$52</c:f>
              <c:numCache>
                <c:formatCode>0.00%</c:formatCode>
                <c:ptCount val="22"/>
                <c:pt idx="0">
                  <c:v>0.21721161852978788</c:v>
                </c:pt>
                <c:pt idx="1">
                  <c:v>0.16582890557979779</c:v>
                </c:pt>
                <c:pt idx="2">
                  <c:v>4.6921636464893522E-2</c:v>
                </c:pt>
                <c:pt idx="3">
                  <c:v>2.6297128744277056E-2</c:v>
                </c:pt>
                <c:pt idx="4">
                  <c:v>1.9218662659556796E-2</c:v>
                </c:pt>
                <c:pt idx="5">
                  <c:v>1.6709162865868613E-2</c:v>
                </c:pt>
                <c:pt idx="6">
                  <c:v>1.5030398539693523E-2</c:v>
                </c:pt>
                <c:pt idx="7">
                  <c:v>1.286909780327739E-2</c:v>
                </c:pt>
                <c:pt idx="8">
                  <c:v>7.2955955891630883E-3</c:v>
                </c:pt>
                <c:pt idx="9">
                  <c:v>5.7039300545795738E-3</c:v>
                </c:pt>
                <c:pt idx="10">
                  <c:v>5.3346017727038102E-3</c:v>
                </c:pt>
                <c:pt idx="11">
                  <c:v>3.3247313429470809E-3</c:v>
                </c:pt>
                <c:pt idx="12">
                  <c:v>2.4180510377639331E-3</c:v>
                </c:pt>
                <c:pt idx="13">
                  <c:v>2.3216408765795692E-3</c:v>
                </c:pt>
                <c:pt idx="14">
                  <c:v>1.1220182914016537E-3</c:v>
                </c:pt>
                <c:pt idx="15">
                  <c:v>9.3803769726753794E-4</c:v>
                </c:pt>
                <c:pt idx="16">
                  <c:v>3.2832971472115431E-4</c:v>
                </c:pt>
                <c:pt idx="17">
                  <c:v>1.6980291644953295E-4</c:v>
                </c:pt>
                <c:pt idx="18">
                  <c:v>1.1601488300552423E-4</c:v>
                </c:pt>
                <c:pt idx="19">
                  <c:v>1.027698517405839E-4</c:v>
                </c:pt>
                <c:pt idx="20">
                  <c:v>5.4300472753009447E-5</c:v>
                </c:pt>
                <c:pt idx="21">
                  <c:v>-4.8337994865359196E-2</c:v>
                </c:pt>
              </c:numCache>
            </c:numRef>
          </c:val>
        </c:ser>
        <c:dLbls>
          <c:showLegendKey val="0"/>
          <c:showVal val="1"/>
          <c:showCatName val="1"/>
          <c:showSerName val="0"/>
          <c:showPercent val="0"/>
          <c:showBubbleSize val="0"/>
          <c:showLeaderLines val="1"/>
        </c:dLbls>
      </c:pie3DChart>
    </c:plotArea>
    <c:plotVisOnly val="1"/>
    <c:dispBlanksAs val="gap"/>
    <c:showDLblsOverMax val="0"/>
  </c:chart>
  <c:spPr>
    <a:ln>
      <a:noFill/>
    </a:ln>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x-none" sz="1100" b="1" i="0" baseline="0">
                <a:effectLst/>
                <a:latin typeface="Verdana" panose="020B0604030504040204" pitchFamily="34" charset="0"/>
                <a:ea typeface="Verdana" panose="020B0604030504040204" pitchFamily="34" charset="0"/>
                <a:cs typeface="Verdana" panose="020B0604030504040204" pitchFamily="34" charset="0"/>
              </a:rPr>
              <a:t>Премија у самопридржају по инопартнерима - учешће у укупној премији у самопридржају</a:t>
            </a:r>
            <a:endParaRPr lang="en-US" sz="1100">
              <a:effectLst/>
              <a:latin typeface="Verdana" panose="020B0604030504040204" pitchFamily="34" charset="0"/>
              <a:ea typeface="Verdana" panose="020B0604030504040204" pitchFamily="34" charset="0"/>
              <a:cs typeface="Verdana" panose="020B0604030504040204" pitchFamily="34" charset="0"/>
            </a:endParaRPr>
          </a:p>
        </c:rich>
      </c:tx>
      <c:layout>
        <c:manualLayout>
          <c:xMode val="edge"/>
          <c:yMode val="edge"/>
          <c:x val="0.1144461121735883"/>
          <c:y val="0"/>
        </c:manualLayout>
      </c:layout>
      <c:overlay val="1"/>
    </c:title>
    <c:autoTitleDeleted val="0"/>
    <c:view3D>
      <c:rotX val="40"/>
      <c:rotY val="240"/>
      <c:rAngAx val="0"/>
      <c:perspective val="30"/>
    </c:view3D>
    <c:floor>
      <c:thickness val="0"/>
    </c:floor>
    <c:sideWall>
      <c:thickness val="0"/>
    </c:sideWall>
    <c:backWall>
      <c:thickness val="0"/>
    </c:backWall>
    <c:plotArea>
      <c:layout>
        <c:manualLayout>
          <c:layoutTarget val="inner"/>
          <c:xMode val="edge"/>
          <c:yMode val="edge"/>
          <c:x val="8.6155813453464694E-2"/>
          <c:y val="0.10571609038601612"/>
          <c:w val="0.84728619089406165"/>
          <c:h val="0.78010390881234637"/>
        </c:manualLayout>
      </c:layout>
      <c:pie3DChart>
        <c:varyColors val="1"/>
        <c:ser>
          <c:idx val="0"/>
          <c:order val="0"/>
          <c:explosion val="15"/>
          <c:dLbls>
            <c:dLbl>
              <c:idx val="0"/>
              <c:layout>
                <c:manualLayout>
                  <c:x val="1.8826517653035314E-2"/>
                  <c:y val="-2.7277674660075867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1"/>
              <c:layout>
                <c:manualLayout>
                  <c:x val="8.8172043010752682E-2"/>
                  <c:y val="1.8290553539862347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2"/>
              <c:layout>
                <c:manualLayout>
                  <c:x val="-3.0107526881720432E-2"/>
                  <c:y val="-2.2467188842266263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3"/>
              <c:layout>
                <c:manualLayout>
                  <c:x val="-9.2386758106849549E-3"/>
                  <c:y val="-2.0880720678949433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4"/>
              <c:layout>
                <c:manualLayout>
                  <c:x val="1.5053763440860216E-2"/>
                  <c:y val="0"/>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5"/>
              <c:layout>
                <c:manualLayout>
                  <c:x val="4.0689696046058758E-2"/>
                  <c:y val="3.1189079990903593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6"/>
              <c:layout>
                <c:manualLayout>
                  <c:x val="4.7098128862924395E-2"/>
                  <c:y val="8.1091362393042335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7"/>
              <c:layout>
                <c:manualLayout>
                  <c:x val="-3.5929847013570333E-2"/>
                  <c:y val="0.15704270278099333"/>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8"/>
              <c:layout>
                <c:manualLayout>
                  <c:x val="-1.8777898599553314E-2"/>
                  <c:y val="0.14651129236086466"/>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9"/>
              <c:layout>
                <c:manualLayout>
                  <c:x val="-1.2571408584152824E-2"/>
                  <c:y val="0.11723556902951039"/>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10"/>
              <c:layout>
                <c:manualLayout>
                  <c:x val="-9.3164219425603909E-3"/>
                  <c:y val="9.0054186968813468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11"/>
              <c:layout>
                <c:manualLayout>
                  <c:x val="-6.0742947614672955E-3"/>
                  <c:y val="5.7511877239593528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12"/>
              <c:layout>
                <c:manualLayout>
                  <c:x val="-6.0742947614672955E-3"/>
                  <c:y val="2.3447943029052662E-2"/>
                </c:manualLayout>
              </c:layout>
              <c:dLblPos val="bestFit"/>
              <c:showLegendKey val="1"/>
              <c:showVal val="1"/>
              <c:showCatName val="0"/>
              <c:showSerName val="0"/>
              <c:showPercent val="0"/>
              <c:showBubbleSize val="0"/>
              <c:extLst>
                <c:ext xmlns:c15="http://schemas.microsoft.com/office/drawing/2012/chart" uri="{CE6537A1-D6FC-4f65-9D91-7224C49458BB}"/>
              </c:extLst>
            </c:dLbl>
            <c:dLbl>
              <c:idx val="13"/>
              <c:layout>
                <c:manualLayout>
                  <c:x val="0"/>
                  <c:y val="-1.2075700334232211E-2"/>
                </c:manualLayout>
              </c:layout>
              <c:numFmt formatCode="0.0000%" sourceLinked="0"/>
              <c:spPr/>
              <c:txPr>
                <a:bodyPr/>
                <a:lstStyle/>
                <a:p>
                  <a:pPr>
                    <a:defRPr sz="800"/>
                  </a:pPr>
                  <a:endParaRPr lang="sr-Latn-RS"/>
                </a:p>
              </c:txPr>
              <c:dLblPos val="bestFit"/>
              <c:showLegendKey val="1"/>
              <c:showVal val="1"/>
              <c:showCatName val="0"/>
              <c:showSerName val="0"/>
              <c:showPercent val="0"/>
              <c:showBubbleSize val="0"/>
              <c:extLst>
                <c:ext xmlns:c15="http://schemas.microsoft.com/office/drawing/2012/chart" uri="{CE6537A1-D6FC-4f65-9D91-7224C49458BB}"/>
              </c:extLst>
            </c:dLbl>
            <c:dLbl>
              <c:idx val="14"/>
              <c:layout>
                <c:manualLayout>
                  <c:x val="0"/>
                  <c:y val="-5.3340055569007332E-2"/>
                </c:manualLayout>
              </c:layout>
              <c:numFmt formatCode="0.0000%" sourceLinked="0"/>
              <c:spPr/>
              <c:txPr>
                <a:bodyPr/>
                <a:lstStyle/>
                <a:p>
                  <a:pPr>
                    <a:defRPr sz="800"/>
                  </a:pPr>
                  <a:endParaRPr lang="sr-Latn-RS"/>
                </a:p>
              </c:txPr>
              <c:dLblPos val="bestFit"/>
              <c:showLegendKey val="1"/>
              <c:showVal val="1"/>
              <c:showCatName val="0"/>
              <c:showSerName val="0"/>
              <c:showPercent val="0"/>
              <c:showBubbleSize val="0"/>
              <c:extLst>
                <c:ext xmlns:c15="http://schemas.microsoft.com/office/drawing/2012/chart" uri="{CE6537A1-D6FC-4f65-9D91-7224C49458BB}"/>
              </c:extLst>
            </c:dLbl>
            <c:numFmt formatCode="0.00%" sourceLinked="0"/>
            <c:spPr>
              <a:noFill/>
              <a:ln>
                <a:noFill/>
              </a:ln>
              <a:effectLst/>
            </c:spPr>
            <c:txPr>
              <a:bodyPr/>
              <a:lstStyle/>
              <a:p>
                <a:pPr>
                  <a:defRPr sz="800"/>
                </a:pPr>
                <a:endParaRPr lang="sr-Latn-RS"/>
              </a:p>
            </c:txPr>
            <c:dLblPos val="outEnd"/>
            <c:showLegendKey val="1"/>
            <c:showVal val="1"/>
            <c:showCatName val="0"/>
            <c:showSerName val="0"/>
            <c:showPercent val="0"/>
            <c:showBubbleSize val="0"/>
            <c:showLeaderLines val="1"/>
            <c:extLst>
              <c:ext xmlns:c15="http://schemas.microsoft.com/office/drawing/2012/chart" uri="{CE6537A1-D6FC-4f65-9D91-7224C49458BB}"/>
            </c:extLst>
          </c:dLbls>
          <c:cat>
            <c:strRef>
              <c:f>'premija samopridrzaj inopartner'!$C$24:$C$38</c:f>
              <c:strCache>
                <c:ptCount val="15"/>
                <c:pt idx="0">
                  <c:v>TRIGLAV RE</c:v>
                </c:pt>
                <c:pt idx="1">
                  <c:v>DEVK VERSICHERUNGEN</c:v>
                </c:pt>
                <c:pt idx="2">
                  <c:v>BOSNA RE</c:v>
                </c:pt>
                <c:pt idx="3">
                  <c:v>SAVA RE</c:v>
                </c:pt>
                <c:pt idx="4">
                  <c:v>CROATIA LLOYDS</c:v>
                </c:pt>
                <c:pt idx="5">
                  <c:v>DUNAV OSIGURANJE BANJA LUKA</c:v>
                </c:pt>
                <c:pt idx="6">
                  <c:v>KOREAN RE</c:v>
                </c:pt>
                <c:pt idx="7">
                  <c:v>KAPITAL INSURANCE COMPANY</c:v>
                </c:pt>
                <c:pt idx="8">
                  <c:v>BRČKO GAS OSIGURANJE</c:v>
                </c:pt>
                <c:pt idx="9">
                  <c:v>BOBAR OSIGURANJE</c:v>
                </c:pt>
                <c:pt idx="10">
                  <c:v>UNITY RE</c:v>
                </c:pt>
                <c:pt idx="11">
                  <c:v>OMAN</c:v>
                </c:pt>
                <c:pt idx="12">
                  <c:v>ORIENTAL INSURANCE COMPANY</c:v>
                </c:pt>
                <c:pt idx="13">
                  <c:v>AL KHAZNA</c:v>
                </c:pt>
                <c:pt idx="14">
                  <c:v>POLISH RE</c:v>
                </c:pt>
              </c:strCache>
            </c:strRef>
          </c:cat>
          <c:val>
            <c:numRef>
              <c:f>'premija samopridrzaj inopartner'!$D$24:$D$38</c:f>
              <c:numCache>
                <c:formatCode>0.00%</c:formatCode>
                <c:ptCount val="15"/>
                <c:pt idx="0">
                  <c:v>0.12073023513045852</c:v>
                </c:pt>
                <c:pt idx="1">
                  <c:v>0.10969440487619786</c:v>
                </c:pt>
                <c:pt idx="2">
                  <c:v>8.0880811225862215E-2</c:v>
                </c:pt>
                <c:pt idx="3">
                  <c:v>6.8885353717167752E-2</c:v>
                </c:pt>
                <c:pt idx="4">
                  <c:v>5.7125326740741882E-2</c:v>
                </c:pt>
                <c:pt idx="5">
                  <c:v>3.1744750489631067E-2</c:v>
                </c:pt>
                <c:pt idx="6">
                  <c:v>1.2754535225478291E-2</c:v>
                </c:pt>
                <c:pt idx="7">
                  <c:v>8.8642949684362513E-3</c:v>
                </c:pt>
                <c:pt idx="8">
                  <c:v>3.6617106468359731E-3</c:v>
                </c:pt>
                <c:pt idx="9">
                  <c:v>3.2575281803954E-3</c:v>
                </c:pt>
                <c:pt idx="10">
                  <c:v>7.3291493598016705E-4</c:v>
                </c:pt>
                <c:pt idx="11">
                  <c:v>3.9290425928202951E-4</c:v>
                </c:pt>
                <c:pt idx="12">
                  <c:v>2.9122741342950485E-4</c:v>
                </c:pt>
                <c:pt idx="13" formatCode="00,000%">
                  <c:v>3.816735385149521E-6</c:v>
                </c:pt>
                <c:pt idx="14" formatCode="00,000%">
                  <c:v>1.7446318485586008E-6</c:v>
                </c:pt>
              </c:numCache>
            </c:numRef>
          </c:val>
        </c:ser>
        <c:dLbls>
          <c:showLegendKey val="0"/>
          <c:showVal val="1"/>
          <c:showCatName val="1"/>
          <c:showSerName val="0"/>
          <c:showPercent val="0"/>
          <c:showBubbleSize val="0"/>
          <c:showLeaderLines val="1"/>
        </c:dLbls>
      </c:pie3DChart>
    </c:plotArea>
    <c:plotVisOnly val="1"/>
    <c:dispBlanksAs val="gap"/>
    <c:showDLblsOverMax val="0"/>
  </c:chart>
  <c:spPr>
    <a:ln>
      <a:no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rgbClr val="000000"/>
                </a:solidFill>
                <a:latin typeface="Calibri"/>
                <a:ea typeface="Calibri"/>
                <a:cs typeface="Calibri"/>
              </a:defRPr>
            </a:pPr>
            <a:r>
              <a:rPr lang="sr-Cyrl-RS" sz="1000">
                <a:latin typeface="Verdana" panose="020B0604030504040204" pitchFamily="34" charset="0"/>
                <a:ea typeface="Verdana" panose="020B0604030504040204" pitchFamily="34" charset="0"/>
                <a:cs typeface="Verdana" panose="020B0604030504040204" pitchFamily="34" charset="0"/>
              </a:rPr>
              <a:t>Премија у самопридржају по врстама</a:t>
            </a:r>
            <a:endParaRPr lang="en-US" sz="1000">
              <a:latin typeface="Verdana" panose="020B0604030504040204" pitchFamily="34" charset="0"/>
              <a:ea typeface="Verdana" panose="020B0604030504040204" pitchFamily="34" charset="0"/>
              <a:cs typeface="Verdana" panose="020B0604030504040204" pitchFamily="34" charset="0"/>
            </a:endParaRPr>
          </a:p>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rgbClr val="000000"/>
                </a:solidFill>
                <a:latin typeface="Calibri"/>
                <a:ea typeface="Calibri"/>
                <a:cs typeface="Calibri"/>
              </a:defRPr>
            </a:pPr>
            <a:r>
              <a:rPr lang="sr-Cyrl-RS" sz="1000" b="1" i="0" baseline="0">
                <a:effectLst/>
                <a:latin typeface="Verdana" panose="020B0604030504040204" pitchFamily="34" charset="0"/>
                <a:ea typeface="Verdana" panose="020B0604030504040204" pitchFamily="34" charset="0"/>
                <a:cs typeface="Verdana" panose="020B0604030504040204" pitchFamily="34" charset="0"/>
              </a:rPr>
              <a:t>- учешће у укупној премији у самопридржају</a:t>
            </a:r>
            <a:endParaRPr lang="en-US" sz="1000">
              <a:effectLst/>
              <a:latin typeface="Verdana" panose="020B0604030504040204" pitchFamily="34" charset="0"/>
              <a:ea typeface="Verdana" panose="020B0604030504040204" pitchFamily="34" charset="0"/>
              <a:cs typeface="Verdana" panose="020B0604030504040204" pitchFamily="34" charset="0"/>
            </a:endParaRPr>
          </a:p>
        </c:rich>
      </c:tx>
      <c:overlay val="0"/>
    </c:title>
    <c:autoTitleDeleted val="0"/>
    <c:view3D>
      <c:rotX val="70"/>
      <c:rotY val="300"/>
      <c:rAngAx val="0"/>
      <c:perspective val="30"/>
    </c:view3D>
    <c:floor>
      <c:thickness val="0"/>
    </c:floor>
    <c:sideWall>
      <c:thickness val="0"/>
    </c:sideWall>
    <c:backWall>
      <c:thickness val="0"/>
    </c:backWall>
    <c:plotArea>
      <c:layout>
        <c:manualLayout>
          <c:layoutTarget val="inner"/>
          <c:xMode val="edge"/>
          <c:yMode val="edge"/>
          <c:x val="9.0598996323098077E-2"/>
          <c:y val="0.31351840773496742"/>
          <c:w val="0.81313589917147533"/>
          <c:h val="0.6841314202480695"/>
        </c:manualLayout>
      </c:layout>
      <c:pie3DChart>
        <c:varyColors val="1"/>
        <c:ser>
          <c:idx val="0"/>
          <c:order val="0"/>
          <c:tx>
            <c:strRef>
              <c:f>'Premija u samopridrzaju po vrst'!$D$4</c:f>
              <c:strCache>
                <c:ptCount val="1"/>
                <c:pt idx="0">
                  <c:v>Премија у самопридржају</c:v>
                </c:pt>
              </c:strCache>
            </c:strRef>
          </c:tx>
          <c:dPt>
            <c:idx val="0"/>
            <c:bubble3D val="0"/>
          </c:dPt>
          <c:dPt>
            <c:idx val="1"/>
            <c:bubble3D val="0"/>
            <c:spPr>
              <a:solidFill>
                <a:schemeClr val="accent4">
                  <a:lumMod val="60000"/>
                  <a:lumOff val="40000"/>
                </a:schemeClr>
              </a:solidFill>
            </c:spPr>
          </c:dPt>
          <c:dPt>
            <c:idx val="2"/>
            <c:bubble3D val="0"/>
          </c:dPt>
          <c:dPt>
            <c:idx val="3"/>
            <c:bubble3D val="0"/>
          </c:dPt>
          <c:dPt>
            <c:idx val="4"/>
            <c:bubble3D val="0"/>
          </c:dPt>
          <c:dPt>
            <c:idx val="5"/>
            <c:bubble3D val="0"/>
          </c:dPt>
          <c:dPt>
            <c:idx val="6"/>
            <c:bubble3D val="0"/>
          </c:dPt>
          <c:dPt>
            <c:idx val="7"/>
            <c:bubble3D val="0"/>
          </c:dPt>
          <c:dPt>
            <c:idx val="8"/>
            <c:bubble3D val="0"/>
          </c:dPt>
          <c:dPt>
            <c:idx val="9"/>
            <c:bubble3D val="0"/>
          </c:dPt>
          <c:dPt>
            <c:idx val="10"/>
            <c:bubble3D val="0"/>
          </c:dPt>
          <c:dPt>
            <c:idx val="11"/>
            <c:bubble3D val="0"/>
          </c:dPt>
          <c:dPt>
            <c:idx val="12"/>
            <c:bubble3D val="0"/>
          </c:dPt>
          <c:dPt>
            <c:idx val="13"/>
            <c:bubble3D val="0"/>
          </c:dPt>
          <c:dPt>
            <c:idx val="14"/>
            <c:bubble3D val="0"/>
          </c:dPt>
          <c:dPt>
            <c:idx val="15"/>
            <c:bubble3D val="0"/>
          </c:dPt>
          <c:dPt>
            <c:idx val="16"/>
            <c:bubble3D val="0"/>
          </c:dPt>
          <c:dLbls>
            <c:dLbl>
              <c:idx val="0"/>
              <c:layout>
                <c:manualLayout>
                  <c:x val="7.707185022592096E-2"/>
                  <c:y val="-0.13275428218806035"/>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1"/>
              <c:layout>
                <c:manualLayout>
                  <c:x val="2.1566124059140598E-2"/>
                  <c:y val="-1.490171844536039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2"/>
              <c:layout>
                <c:manualLayout>
                  <c:x val="-3.5735690477609112E-2"/>
                  <c:y val="-4.7370946723396513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3"/>
              <c:layout>
                <c:manualLayout>
                  <c:x val="-4.9781471135614069E-2"/>
                  <c:y val="-7.0347758771105454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4"/>
              <c:layout>
                <c:manualLayout>
                  <c:x val="-2.7889075213630009E-2"/>
                  <c:y val="-5.6443269693311475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5"/>
              <c:layout>
                <c:manualLayout>
                  <c:x val="-1.8209570407651841E-2"/>
                  <c:y val="-4.7777479180886678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6"/>
              <c:layout>
                <c:manualLayout>
                  <c:x val="-3.780882316861596E-2"/>
                  <c:y val="5.2551902515033173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7"/>
              <c:layout>
                <c:manualLayout>
                  <c:x val="3.5892135286843631E-2"/>
                  <c:y val="7.092343672740789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8"/>
              <c:layout>
                <c:manualLayout>
                  <c:x val="-1.7967893446746791E-2"/>
                  <c:y val="-5.37069038047676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9"/>
              <c:layout>
                <c:manualLayout>
                  <c:x val="-3.5945823576774415E-2"/>
                  <c:y val="-5.7605124292049538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10"/>
              <c:layout>
                <c:manualLayout>
                  <c:x val="-4.0102284954501966E-2"/>
                  <c:y val="-8.5291471960998552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11"/>
              <c:layout>
                <c:manualLayout>
                  <c:x val="-4.4792761607742843E-2"/>
                  <c:y val="-0.10259447322915231"/>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12"/>
              <c:layout>
                <c:manualLayout>
                  <c:x val="-3.9793378146858661E-2"/>
                  <c:y val="-0.13767670783366756"/>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13"/>
              <c:layout>
                <c:manualLayout>
                  <c:x val="-4.9085275803277185E-2"/>
                  <c:y val="-0.15143523601119335"/>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14"/>
              <c:layout>
                <c:manualLayout>
                  <c:x val="-5.3610386151033924E-2"/>
                  <c:y val="-0.17991758823015627"/>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15"/>
              <c:layout>
                <c:manualLayout>
                  <c:x val="-5.1664862718883334E-2"/>
                  <c:y val="-0.20571446402530416"/>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16"/>
              <c:layout>
                <c:manualLayout>
                  <c:x val="-4.0820146777730798E-2"/>
                  <c:y val="-0.23615496702318942"/>
                </c:manualLayout>
              </c:layout>
              <c:dLblPos val="bestFit"/>
              <c:showLegendKey val="1"/>
              <c:showVal val="0"/>
              <c:showCatName val="0"/>
              <c:showSerName val="0"/>
              <c:showPercent val="1"/>
              <c:showBubbleSize val="0"/>
              <c:extLst>
                <c:ext xmlns:c15="http://schemas.microsoft.com/office/drawing/2012/chart" uri="{CE6537A1-D6FC-4f65-9D91-7224C49458BB}"/>
              </c:extLst>
            </c:dLbl>
            <c:numFmt formatCode="0.00%" sourceLinked="0"/>
            <c:spPr>
              <a:noFill/>
              <a:ln>
                <a:noFill/>
              </a:ln>
              <a:effectLst/>
            </c:spPr>
            <c:txPr>
              <a:bodyPr/>
              <a:lstStyle/>
              <a:p>
                <a:pPr>
                  <a:defRPr sz="800" b="0" i="0" u="none" strike="noStrike" baseline="0">
                    <a:solidFill>
                      <a:srgbClr val="000000"/>
                    </a:solidFill>
                    <a:latin typeface="Verdana" panose="020B0604030504040204" pitchFamily="34" charset="0"/>
                    <a:ea typeface="Verdana" panose="020B0604030504040204" pitchFamily="34" charset="0"/>
                    <a:cs typeface="Verdana" panose="020B0604030504040204" pitchFamily="34" charset="0"/>
                  </a:defRPr>
                </a:pPr>
                <a:endParaRPr lang="sr-Latn-RS"/>
              </a:p>
            </c:txPr>
            <c:showLegendKey val="1"/>
            <c:showVal val="0"/>
            <c:showCatName val="0"/>
            <c:showSerName val="0"/>
            <c:showPercent val="1"/>
            <c:showBubbleSize val="0"/>
            <c:showLeaderLines val="1"/>
            <c:extLst>
              <c:ext xmlns:c15="http://schemas.microsoft.com/office/drawing/2012/chart" uri="{CE6537A1-D6FC-4f65-9D91-7224C49458BB}"/>
            </c:extLst>
          </c:dLbls>
          <c:cat>
            <c:multiLvlStrRef>
              <c:f>'Premija u samopridrzaju po vrst'!$B$5:$C$21</c:f>
              <c:multiLvlStrCache>
                <c:ptCount val="17"/>
                <c:lvl>
                  <c:pt idx="0">
                    <c:v>Осигурање од последица незгоде</c:v>
                  </c:pt>
                  <c:pt idx="1">
                    <c:v>Осигурање моторних возила</c:v>
                  </c:pt>
                  <c:pt idx="2">
                    <c:v>Осигурање шинских возила</c:v>
                  </c:pt>
                  <c:pt idx="3">
                    <c:v>Осигурање ваздухоплова</c:v>
                  </c:pt>
                  <c:pt idx="4">
                    <c:v>Осигурање пловних објеката</c:v>
                  </c:pt>
                  <c:pt idx="5">
                    <c:v>Осигурање робе у превозу</c:v>
                  </c:pt>
                  <c:pt idx="6">
                    <c:v>Осигурање имовине од пожара и др. опасности</c:v>
                  </c:pt>
                  <c:pt idx="7">
                    <c:v>Остала осигурања имовине                </c:v>
                  </c:pt>
                  <c:pt idx="8">
                    <c:v>Осигурање од одговорности због употребе моторних возила  </c:v>
                  </c:pt>
                  <c:pt idx="9">
                    <c:v>Осигурање од одговорности због употребе ваздухоплова</c:v>
                  </c:pt>
                  <c:pt idx="10">
                    <c:v>Осигурање од опште одговорности</c:v>
                  </c:pt>
                  <c:pt idx="11">
                    <c:v>Осигурање јемства</c:v>
                  </c:pt>
                  <c:pt idx="12">
                    <c:v>Осигурање финансијских губитака</c:v>
                  </c:pt>
                  <c:pt idx="13">
                    <c:v>Осигурање трошкова правне заштите</c:v>
                  </c:pt>
                  <c:pt idx="14">
                    <c:v>Осигурање живота</c:v>
                  </c:pt>
                  <c:pt idx="15">
                    <c:v>Oсигурање од последица незгоде, допунско уз осигурање живота</c:v>
                  </c:pt>
                  <c:pt idx="16">
                    <c:v>Остало</c:v>
                  </c:pt>
                </c:lvl>
                <c:lvl>
                  <c:pt idx="0">
                    <c:v>01</c:v>
                  </c:pt>
                  <c:pt idx="1">
                    <c:v>03</c:v>
                  </c:pt>
                  <c:pt idx="2">
                    <c:v>04</c:v>
                  </c:pt>
                  <c:pt idx="3">
                    <c:v>05</c:v>
                  </c:pt>
                  <c:pt idx="4">
                    <c:v>06</c:v>
                  </c:pt>
                  <c:pt idx="5">
                    <c:v>07</c:v>
                  </c:pt>
                  <c:pt idx="6">
                    <c:v>08</c:v>
                  </c:pt>
                  <c:pt idx="7">
                    <c:v>09</c:v>
                  </c:pt>
                  <c:pt idx="8">
                    <c:v>10</c:v>
                  </c:pt>
                  <c:pt idx="9">
                    <c:v>11</c:v>
                  </c:pt>
                  <c:pt idx="10">
                    <c:v>13</c:v>
                  </c:pt>
                  <c:pt idx="11">
                    <c:v>15</c:v>
                  </c:pt>
                  <c:pt idx="12">
                    <c:v>16</c:v>
                  </c:pt>
                  <c:pt idx="13">
                    <c:v>17</c:v>
                  </c:pt>
                  <c:pt idx="14">
                    <c:v>20</c:v>
                  </c:pt>
                  <c:pt idx="15">
                    <c:v>22.01</c:v>
                  </c:pt>
                </c:lvl>
              </c:multiLvlStrCache>
            </c:multiLvlStrRef>
          </c:cat>
          <c:val>
            <c:numRef>
              <c:f>'Premija u samopridrzaju po vrst'!$D$5:$D$21</c:f>
              <c:numCache>
                <c:formatCode>#,##0.00</c:formatCode>
                <c:ptCount val="17"/>
                <c:pt idx="0">
                  <c:v>5948879.4399999995</c:v>
                </c:pt>
                <c:pt idx="1">
                  <c:v>103273754.26000001</c:v>
                </c:pt>
                <c:pt idx="2">
                  <c:v>8849147.9899999984</c:v>
                </c:pt>
                <c:pt idx="3">
                  <c:v>7729179.6199999973</c:v>
                </c:pt>
                <c:pt idx="4">
                  <c:v>1060374.6399999999</c:v>
                </c:pt>
                <c:pt idx="5">
                  <c:v>6615731.4100000113</c:v>
                </c:pt>
                <c:pt idx="6">
                  <c:v>102398187.43000001</c:v>
                </c:pt>
                <c:pt idx="7">
                  <c:v>94118840.079999924</c:v>
                </c:pt>
                <c:pt idx="8">
                  <c:v>12407224.090000004</c:v>
                </c:pt>
                <c:pt idx="9">
                  <c:v>435126.53000000119</c:v>
                </c:pt>
                <c:pt idx="10">
                  <c:v>5256648.1399999857</c:v>
                </c:pt>
                <c:pt idx="11">
                  <c:v>206279.5</c:v>
                </c:pt>
                <c:pt idx="12">
                  <c:v>2695016.3099999987</c:v>
                </c:pt>
                <c:pt idx="13">
                  <c:v>319462.15999999992</c:v>
                </c:pt>
                <c:pt idx="14">
                  <c:v>9437881.299999997</c:v>
                </c:pt>
                <c:pt idx="15">
                  <c:v>6068178.8999999985</c:v>
                </c:pt>
                <c:pt idx="16">
                  <c:v>433888.86</c:v>
                </c:pt>
              </c:numCache>
            </c:numRef>
          </c:val>
        </c:ser>
        <c:ser>
          <c:idx val="1"/>
          <c:order val="1"/>
          <c:dPt>
            <c:idx val="0"/>
            <c:bubble3D val="0"/>
          </c:dPt>
          <c:dPt>
            <c:idx val="1"/>
            <c:bubble3D val="0"/>
          </c:dPt>
          <c:dPt>
            <c:idx val="2"/>
            <c:bubble3D val="0"/>
          </c:dPt>
          <c:dPt>
            <c:idx val="3"/>
            <c:bubble3D val="0"/>
          </c:dPt>
          <c:dPt>
            <c:idx val="4"/>
            <c:bubble3D val="0"/>
          </c:dPt>
          <c:dPt>
            <c:idx val="5"/>
            <c:bubble3D val="0"/>
          </c:dPt>
          <c:dPt>
            <c:idx val="6"/>
            <c:bubble3D val="0"/>
          </c:dPt>
          <c:dPt>
            <c:idx val="7"/>
            <c:bubble3D val="0"/>
          </c:dPt>
          <c:dPt>
            <c:idx val="8"/>
            <c:bubble3D val="0"/>
          </c:dPt>
          <c:dPt>
            <c:idx val="9"/>
            <c:bubble3D val="0"/>
          </c:dPt>
          <c:dPt>
            <c:idx val="10"/>
            <c:bubble3D val="0"/>
          </c:dPt>
          <c:dPt>
            <c:idx val="11"/>
            <c:bubble3D val="0"/>
          </c:dPt>
          <c:dPt>
            <c:idx val="12"/>
            <c:bubble3D val="0"/>
          </c:dPt>
          <c:dPt>
            <c:idx val="13"/>
            <c:bubble3D val="0"/>
          </c:dPt>
          <c:dPt>
            <c:idx val="14"/>
            <c:bubble3D val="0"/>
          </c:dPt>
          <c:dPt>
            <c:idx val="15"/>
            <c:bubble3D val="0"/>
          </c:dPt>
          <c:dPt>
            <c:idx val="16"/>
            <c:bubble3D val="0"/>
          </c:dPt>
          <c:dLbls>
            <c:spPr>
              <a:noFill/>
              <a:ln>
                <a:noFill/>
              </a:ln>
              <a:effectLst/>
            </c:spPr>
            <c:txPr>
              <a:bodyPr/>
              <a:lstStyle/>
              <a:p>
                <a:pPr>
                  <a:defRPr sz="1000" b="0" i="0" u="none" strike="noStrike" baseline="0">
                    <a:solidFill>
                      <a:srgbClr val="000000"/>
                    </a:solidFill>
                    <a:latin typeface="Calibri"/>
                    <a:ea typeface="Calibri"/>
                    <a:cs typeface="Calibri"/>
                  </a:defRPr>
                </a:pPr>
                <a:endParaRPr lang="sr-Latn-RS"/>
              </a:p>
            </c:txPr>
            <c:showLegendKey val="0"/>
            <c:showVal val="0"/>
            <c:showCatName val="0"/>
            <c:showSerName val="0"/>
            <c:showPercent val="1"/>
            <c:showBubbleSize val="0"/>
            <c:showLeaderLines val="1"/>
            <c:extLst>
              <c:ext xmlns:c15="http://schemas.microsoft.com/office/drawing/2012/chart" uri="{CE6537A1-D6FC-4f65-9D91-7224C49458BB}"/>
            </c:extLst>
          </c:dLbls>
          <c:cat>
            <c:multiLvlStrRef>
              <c:f>'Premija u samopridrzaju po vrst'!$B$5:$C$21</c:f>
              <c:multiLvlStrCache>
                <c:ptCount val="17"/>
                <c:lvl>
                  <c:pt idx="0">
                    <c:v>Осигурање од последица незгоде</c:v>
                  </c:pt>
                  <c:pt idx="1">
                    <c:v>Осигурање моторних возила</c:v>
                  </c:pt>
                  <c:pt idx="2">
                    <c:v>Осигурање шинских возила</c:v>
                  </c:pt>
                  <c:pt idx="3">
                    <c:v>Осигурање ваздухоплова</c:v>
                  </c:pt>
                  <c:pt idx="4">
                    <c:v>Осигурање пловних објеката</c:v>
                  </c:pt>
                  <c:pt idx="5">
                    <c:v>Осигурање робе у превозу</c:v>
                  </c:pt>
                  <c:pt idx="6">
                    <c:v>Осигурање имовине од пожара и др. опасности</c:v>
                  </c:pt>
                  <c:pt idx="7">
                    <c:v>Остала осигурања имовине                </c:v>
                  </c:pt>
                  <c:pt idx="8">
                    <c:v>Осигурање од одговорности због употребе моторних возила  </c:v>
                  </c:pt>
                  <c:pt idx="9">
                    <c:v>Осигурање од одговорности због употребе ваздухоплова</c:v>
                  </c:pt>
                  <c:pt idx="10">
                    <c:v>Осигурање од опште одговорности</c:v>
                  </c:pt>
                  <c:pt idx="11">
                    <c:v>Осигурање јемства</c:v>
                  </c:pt>
                  <c:pt idx="12">
                    <c:v>Осигурање финансијских губитака</c:v>
                  </c:pt>
                  <c:pt idx="13">
                    <c:v>Осигурање трошкова правне заштите</c:v>
                  </c:pt>
                  <c:pt idx="14">
                    <c:v>Осигурање живота</c:v>
                  </c:pt>
                  <c:pt idx="15">
                    <c:v>Oсигурање од последица незгоде, допунско уз осигурање живота</c:v>
                  </c:pt>
                  <c:pt idx="16">
                    <c:v>Остало</c:v>
                  </c:pt>
                </c:lvl>
                <c:lvl>
                  <c:pt idx="0">
                    <c:v>01</c:v>
                  </c:pt>
                  <c:pt idx="1">
                    <c:v>03</c:v>
                  </c:pt>
                  <c:pt idx="2">
                    <c:v>04</c:v>
                  </c:pt>
                  <c:pt idx="3">
                    <c:v>05</c:v>
                  </c:pt>
                  <c:pt idx="4">
                    <c:v>06</c:v>
                  </c:pt>
                  <c:pt idx="5">
                    <c:v>07</c:v>
                  </c:pt>
                  <c:pt idx="6">
                    <c:v>08</c:v>
                  </c:pt>
                  <c:pt idx="7">
                    <c:v>09</c:v>
                  </c:pt>
                  <c:pt idx="8">
                    <c:v>10</c:v>
                  </c:pt>
                  <c:pt idx="9">
                    <c:v>11</c:v>
                  </c:pt>
                  <c:pt idx="10">
                    <c:v>13</c:v>
                  </c:pt>
                  <c:pt idx="11">
                    <c:v>15</c:v>
                  </c:pt>
                  <c:pt idx="12">
                    <c:v>16</c:v>
                  </c:pt>
                  <c:pt idx="13">
                    <c:v>17</c:v>
                  </c:pt>
                  <c:pt idx="14">
                    <c:v>20</c:v>
                  </c:pt>
                  <c:pt idx="15">
                    <c:v>22.01</c:v>
                  </c:pt>
                </c:lvl>
              </c:multiLvlStrCache>
            </c:multiLvlStrRef>
          </c:cat>
          <c:val>
            <c:numLit>
              <c:formatCode>General</c:formatCode>
              <c:ptCount val="1"/>
              <c:pt idx="0">
                <c:v>0</c:v>
              </c:pt>
            </c:numLit>
          </c:val>
        </c:ser>
        <c:ser>
          <c:idx val="2"/>
          <c:order val="2"/>
          <c:dPt>
            <c:idx val="0"/>
            <c:bubble3D val="0"/>
          </c:dPt>
          <c:dPt>
            <c:idx val="1"/>
            <c:bubble3D val="0"/>
          </c:dPt>
          <c:dPt>
            <c:idx val="2"/>
            <c:bubble3D val="0"/>
          </c:dPt>
          <c:dPt>
            <c:idx val="3"/>
            <c:bubble3D val="0"/>
          </c:dPt>
          <c:dPt>
            <c:idx val="4"/>
            <c:bubble3D val="0"/>
          </c:dPt>
          <c:dPt>
            <c:idx val="5"/>
            <c:bubble3D val="0"/>
          </c:dPt>
          <c:dPt>
            <c:idx val="6"/>
            <c:bubble3D val="0"/>
          </c:dPt>
          <c:dPt>
            <c:idx val="7"/>
            <c:bubble3D val="0"/>
          </c:dPt>
          <c:dPt>
            <c:idx val="8"/>
            <c:bubble3D val="0"/>
          </c:dPt>
          <c:dPt>
            <c:idx val="9"/>
            <c:bubble3D val="0"/>
          </c:dPt>
          <c:dPt>
            <c:idx val="10"/>
            <c:bubble3D val="0"/>
          </c:dPt>
          <c:dPt>
            <c:idx val="11"/>
            <c:bubble3D val="0"/>
          </c:dPt>
          <c:dPt>
            <c:idx val="12"/>
            <c:bubble3D val="0"/>
          </c:dPt>
          <c:dPt>
            <c:idx val="13"/>
            <c:bubble3D val="0"/>
          </c:dPt>
          <c:dPt>
            <c:idx val="14"/>
            <c:bubble3D val="0"/>
          </c:dPt>
          <c:dPt>
            <c:idx val="15"/>
            <c:bubble3D val="0"/>
          </c:dPt>
          <c:dPt>
            <c:idx val="16"/>
            <c:bubble3D val="0"/>
          </c:dPt>
          <c:dLbls>
            <c:spPr>
              <a:noFill/>
              <a:ln>
                <a:noFill/>
              </a:ln>
              <a:effectLst/>
            </c:spPr>
            <c:txPr>
              <a:bodyPr/>
              <a:lstStyle/>
              <a:p>
                <a:pPr>
                  <a:defRPr sz="1000" b="0" i="0" u="none" strike="noStrike" baseline="0">
                    <a:solidFill>
                      <a:srgbClr val="000000"/>
                    </a:solidFill>
                    <a:latin typeface="Calibri"/>
                    <a:ea typeface="Calibri"/>
                    <a:cs typeface="Calibri"/>
                  </a:defRPr>
                </a:pPr>
                <a:endParaRPr lang="sr-Latn-RS"/>
              </a:p>
            </c:txPr>
            <c:showLegendKey val="0"/>
            <c:showVal val="0"/>
            <c:showCatName val="0"/>
            <c:showSerName val="0"/>
            <c:showPercent val="1"/>
            <c:showBubbleSize val="0"/>
            <c:showLeaderLines val="1"/>
            <c:extLst>
              <c:ext xmlns:c15="http://schemas.microsoft.com/office/drawing/2012/chart" uri="{CE6537A1-D6FC-4f65-9D91-7224C49458BB}"/>
            </c:extLst>
          </c:dLbls>
          <c:cat>
            <c:multiLvlStrRef>
              <c:f>'Premija u samopridrzaju po vrst'!$B$5:$C$21</c:f>
              <c:multiLvlStrCache>
                <c:ptCount val="17"/>
                <c:lvl>
                  <c:pt idx="0">
                    <c:v>Осигурање од последица незгоде</c:v>
                  </c:pt>
                  <c:pt idx="1">
                    <c:v>Осигурање моторних возила</c:v>
                  </c:pt>
                  <c:pt idx="2">
                    <c:v>Осигурање шинских возила</c:v>
                  </c:pt>
                  <c:pt idx="3">
                    <c:v>Осигурање ваздухоплова</c:v>
                  </c:pt>
                  <c:pt idx="4">
                    <c:v>Осигурање пловних објеката</c:v>
                  </c:pt>
                  <c:pt idx="5">
                    <c:v>Осигурање робе у превозу</c:v>
                  </c:pt>
                  <c:pt idx="6">
                    <c:v>Осигурање имовине од пожара и др. опасности</c:v>
                  </c:pt>
                  <c:pt idx="7">
                    <c:v>Остала осигурања имовине                </c:v>
                  </c:pt>
                  <c:pt idx="8">
                    <c:v>Осигурање од одговорности због употребе моторних возила  </c:v>
                  </c:pt>
                  <c:pt idx="9">
                    <c:v>Осигурање од одговорности због употребе ваздухоплова</c:v>
                  </c:pt>
                  <c:pt idx="10">
                    <c:v>Осигурање од опште одговорности</c:v>
                  </c:pt>
                  <c:pt idx="11">
                    <c:v>Осигурање јемства</c:v>
                  </c:pt>
                  <c:pt idx="12">
                    <c:v>Осигурање финансијских губитака</c:v>
                  </c:pt>
                  <c:pt idx="13">
                    <c:v>Осигурање трошкова правне заштите</c:v>
                  </c:pt>
                  <c:pt idx="14">
                    <c:v>Осигурање живота</c:v>
                  </c:pt>
                  <c:pt idx="15">
                    <c:v>Oсигурање од последица незгоде, допунско уз осигурање живота</c:v>
                  </c:pt>
                  <c:pt idx="16">
                    <c:v>Остало</c:v>
                  </c:pt>
                </c:lvl>
                <c:lvl>
                  <c:pt idx="0">
                    <c:v>01</c:v>
                  </c:pt>
                  <c:pt idx="1">
                    <c:v>03</c:v>
                  </c:pt>
                  <c:pt idx="2">
                    <c:v>04</c:v>
                  </c:pt>
                  <c:pt idx="3">
                    <c:v>05</c:v>
                  </c:pt>
                  <c:pt idx="4">
                    <c:v>06</c:v>
                  </c:pt>
                  <c:pt idx="5">
                    <c:v>07</c:v>
                  </c:pt>
                  <c:pt idx="6">
                    <c:v>08</c:v>
                  </c:pt>
                  <c:pt idx="7">
                    <c:v>09</c:v>
                  </c:pt>
                  <c:pt idx="8">
                    <c:v>10</c:v>
                  </c:pt>
                  <c:pt idx="9">
                    <c:v>11</c:v>
                  </c:pt>
                  <c:pt idx="10">
                    <c:v>13</c:v>
                  </c:pt>
                  <c:pt idx="11">
                    <c:v>15</c:v>
                  </c:pt>
                  <c:pt idx="12">
                    <c:v>16</c:v>
                  </c:pt>
                  <c:pt idx="13">
                    <c:v>17</c:v>
                  </c:pt>
                  <c:pt idx="14">
                    <c:v>20</c:v>
                  </c:pt>
                  <c:pt idx="15">
                    <c:v>22.01</c:v>
                  </c:pt>
                </c:lvl>
              </c:multiLvlStrCache>
            </c:multiLvlStrRef>
          </c:cat>
          <c:val>
            <c:numLit>
              <c:formatCode>General</c:formatCode>
              <c:ptCount val="1"/>
              <c:pt idx="0">
                <c:v>0</c:v>
              </c:pt>
            </c:numLit>
          </c:val>
        </c:ser>
        <c:dLbls>
          <c:showLegendKey val="0"/>
          <c:showVal val="0"/>
          <c:showCatName val="0"/>
          <c:showSerName val="0"/>
          <c:showPercent val="0"/>
          <c:showBubbleSize val="0"/>
          <c:showLeaderLines val="1"/>
        </c:dLbls>
      </c:pie3DChart>
      <c:spPr>
        <a:noFill/>
        <a:ln w="25400">
          <a:noFill/>
        </a:ln>
      </c:spPr>
    </c:plotArea>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sr-Latn-R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rgbClr val="000000"/>
                </a:solidFill>
                <a:latin typeface="Calibri"/>
                <a:ea typeface="Calibri"/>
                <a:cs typeface="Calibri"/>
              </a:defRPr>
            </a:pPr>
            <a:r>
              <a:rPr lang="sr-Cyrl-RS" sz="1200">
                <a:latin typeface="Verdana" panose="020B0604030504040204" pitchFamily="34" charset="0"/>
                <a:ea typeface="Verdana" panose="020B0604030504040204" pitchFamily="34" charset="0"/>
                <a:cs typeface="Verdana" panose="020B0604030504040204" pitchFamily="34" charset="0"/>
              </a:rPr>
              <a:t>Пасивна премија по врстама</a:t>
            </a:r>
            <a:r>
              <a:rPr lang="en-US" sz="1200">
                <a:latin typeface="Verdana" panose="020B0604030504040204" pitchFamily="34" charset="0"/>
                <a:ea typeface="Verdana" panose="020B0604030504040204" pitchFamily="34" charset="0"/>
                <a:cs typeface="Verdana" panose="020B0604030504040204" pitchFamily="34" charset="0"/>
              </a:rPr>
              <a:t> </a:t>
            </a:r>
          </a:p>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rgbClr val="000000"/>
                </a:solidFill>
                <a:latin typeface="Calibri"/>
                <a:ea typeface="Calibri"/>
                <a:cs typeface="Calibri"/>
              </a:defRPr>
            </a:pPr>
            <a:r>
              <a:rPr lang="sr-Cyrl-RS" sz="1200" b="1" i="0" baseline="0">
                <a:effectLst/>
                <a:latin typeface="Verdana" panose="020B0604030504040204" pitchFamily="34" charset="0"/>
                <a:ea typeface="Verdana" panose="020B0604030504040204" pitchFamily="34" charset="0"/>
                <a:cs typeface="Verdana" panose="020B0604030504040204" pitchFamily="34" charset="0"/>
              </a:rPr>
              <a:t>- учешће у укупној </a:t>
            </a:r>
            <a:r>
              <a:rPr lang="sr-Cyrl-RS" sz="1200" b="1" i="0" u="none" strike="noStrike" baseline="0">
                <a:effectLst/>
                <a:latin typeface="Verdana" panose="020B0604030504040204" pitchFamily="34" charset="0"/>
                <a:ea typeface="Verdana" panose="020B0604030504040204" pitchFamily="34" charset="0"/>
                <a:cs typeface="Verdana" panose="020B0604030504040204" pitchFamily="34" charset="0"/>
              </a:rPr>
              <a:t>пасивној</a:t>
            </a:r>
            <a:r>
              <a:rPr lang="en-US" sz="1200" b="1" i="0" u="none" strike="noStrike" baseline="0">
                <a:effectLst/>
                <a:latin typeface="Verdana" panose="020B0604030504040204" pitchFamily="34" charset="0"/>
                <a:ea typeface="Verdana" panose="020B0604030504040204" pitchFamily="34" charset="0"/>
                <a:cs typeface="Verdana" panose="020B0604030504040204" pitchFamily="34" charset="0"/>
              </a:rPr>
              <a:t> </a:t>
            </a:r>
            <a:r>
              <a:rPr lang="sr-Cyrl-RS" sz="1200" b="1" i="0" u="none" strike="noStrike" baseline="0">
                <a:effectLst/>
                <a:latin typeface="Verdana" panose="020B0604030504040204" pitchFamily="34" charset="0"/>
                <a:ea typeface="Verdana" panose="020B0604030504040204" pitchFamily="34" charset="0"/>
                <a:cs typeface="Verdana" panose="020B0604030504040204" pitchFamily="34" charset="0"/>
              </a:rPr>
              <a:t>п</a:t>
            </a:r>
            <a:r>
              <a:rPr lang="sr-Cyrl-RS" sz="1200" b="1" i="0" baseline="0">
                <a:effectLst/>
                <a:latin typeface="Verdana" panose="020B0604030504040204" pitchFamily="34" charset="0"/>
                <a:ea typeface="Verdana" panose="020B0604030504040204" pitchFamily="34" charset="0"/>
                <a:cs typeface="Verdana" panose="020B0604030504040204" pitchFamily="34" charset="0"/>
              </a:rPr>
              <a:t>ремији </a:t>
            </a:r>
            <a:endParaRPr lang="en-US" sz="1200">
              <a:effectLst/>
              <a:latin typeface="Verdana" panose="020B0604030504040204" pitchFamily="34" charset="0"/>
              <a:ea typeface="Verdana" panose="020B0604030504040204" pitchFamily="34" charset="0"/>
              <a:cs typeface="Verdana" panose="020B0604030504040204" pitchFamily="34" charset="0"/>
            </a:endParaRPr>
          </a:p>
        </c:rich>
      </c:tx>
      <c:layout>
        <c:manualLayout>
          <c:xMode val="edge"/>
          <c:yMode val="edge"/>
          <c:x val="0.20279704794108627"/>
          <c:y val="4.1504539559014265E-2"/>
        </c:manualLayout>
      </c:layout>
      <c:overlay val="0"/>
    </c:title>
    <c:autoTitleDeleted val="0"/>
    <c:view3D>
      <c:rotX val="70"/>
      <c:rotY val="190"/>
      <c:rAngAx val="0"/>
      <c:perspective val="30"/>
    </c:view3D>
    <c:floor>
      <c:thickness val="0"/>
    </c:floor>
    <c:sideWall>
      <c:thickness val="0"/>
    </c:sideWall>
    <c:backWall>
      <c:thickness val="0"/>
    </c:backWall>
    <c:plotArea>
      <c:layout/>
      <c:pie3DChart>
        <c:varyColors val="1"/>
        <c:ser>
          <c:idx val="0"/>
          <c:order val="0"/>
          <c:tx>
            <c:strRef>
              <c:f>'Pasivan premija po vrstama'!$D$4</c:f>
              <c:strCache>
                <c:ptCount val="1"/>
                <c:pt idx="0">
                  <c:v>Пасивна премија</c:v>
                </c:pt>
              </c:strCache>
            </c:strRef>
          </c:tx>
          <c:dPt>
            <c:idx val="0"/>
            <c:bubble3D val="0"/>
          </c:dPt>
          <c:dPt>
            <c:idx val="1"/>
            <c:bubble3D val="0"/>
          </c:dPt>
          <c:dPt>
            <c:idx val="2"/>
            <c:bubble3D val="0"/>
          </c:dPt>
          <c:dPt>
            <c:idx val="3"/>
            <c:bubble3D val="0"/>
          </c:dPt>
          <c:dPt>
            <c:idx val="4"/>
            <c:bubble3D val="0"/>
          </c:dPt>
          <c:dPt>
            <c:idx val="5"/>
            <c:bubble3D val="0"/>
          </c:dPt>
          <c:dPt>
            <c:idx val="6"/>
            <c:bubble3D val="0"/>
          </c:dPt>
          <c:dPt>
            <c:idx val="7"/>
            <c:bubble3D val="0"/>
          </c:dPt>
          <c:dPt>
            <c:idx val="8"/>
            <c:bubble3D val="0"/>
          </c:dPt>
          <c:dPt>
            <c:idx val="9"/>
            <c:bubble3D val="0"/>
          </c:dPt>
          <c:dPt>
            <c:idx val="10"/>
            <c:bubble3D val="0"/>
          </c:dPt>
          <c:dPt>
            <c:idx val="11"/>
            <c:bubble3D val="0"/>
          </c:dPt>
          <c:dPt>
            <c:idx val="12"/>
            <c:bubble3D val="0"/>
          </c:dPt>
          <c:dPt>
            <c:idx val="13"/>
            <c:bubble3D val="0"/>
          </c:dPt>
          <c:dPt>
            <c:idx val="14"/>
            <c:bubble3D val="0"/>
          </c:dPt>
          <c:dPt>
            <c:idx val="15"/>
            <c:bubble3D val="0"/>
          </c:dPt>
          <c:dPt>
            <c:idx val="16"/>
            <c:bubble3D val="0"/>
          </c:dPt>
          <c:dLbls>
            <c:dLbl>
              <c:idx val="0"/>
              <c:layout>
                <c:manualLayout>
                  <c:x val="-0.10780089064331473"/>
                  <c:y val="7.4591938966569862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1"/>
              <c:layout>
                <c:manualLayout>
                  <c:x val="-0.19214506677513701"/>
                  <c:y val="4.3714934746263569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2"/>
              <c:layout>
                <c:manualLayout>
                  <c:x val="-0.19963880449951676"/>
                  <c:y val="1.1117493873406029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3"/>
              <c:layout>
                <c:manualLayout>
                  <c:x val="-0.14970546215266664"/>
                  <c:y val="-2.0128750783517016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4"/>
              <c:layout>
                <c:manualLayout>
                  <c:x val="-0.14523857122662023"/>
                  <c:y val="-5.6352580308116601E-2"/>
                </c:manualLayout>
              </c:layout>
              <c:numFmt formatCode="0.000%" sourceLinked="0"/>
              <c:spPr/>
              <c:txPr>
                <a:bodyPr/>
                <a:lstStyle/>
                <a:p>
                  <a:pPr>
                    <a:defRPr sz="800" b="0" i="0" u="none" strike="noStrike" baseline="0">
                      <a:solidFill>
                        <a:srgbClr val="000000"/>
                      </a:solidFill>
                      <a:latin typeface="Verdana" panose="020B0604030504040204" pitchFamily="34" charset="0"/>
                      <a:ea typeface="Verdana" panose="020B0604030504040204" pitchFamily="34" charset="0"/>
                      <a:cs typeface="Verdana" panose="020B0604030504040204" pitchFamily="34" charset="0"/>
                    </a:defRPr>
                  </a:pPr>
                  <a:endParaRPr lang="sr-Latn-RS"/>
                </a:p>
              </c:txPr>
              <c:dLblPos val="bestFit"/>
              <c:showLegendKey val="1"/>
              <c:showVal val="0"/>
              <c:showCatName val="0"/>
              <c:showSerName val="0"/>
              <c:showPercent val="1"/>
              <c:showBubbleSize val="0"/>
              <c:extLst>
                <c:ext xmlns:c15="http://schemas.microsoft.com/office/drawing/2012/chart" uri="{CE6537A1-D6FC-4f65-9D91-7224C49458BB}"/>
              </c:extLst>
            </c:dLbl>
            <c:dLbl>
              <c:idx val="5"/>
              <c:layout>
                <c:manualLayout>
                  <c:x val="-9.3464776601526675E-2"/>
                  <c:y val="-0.1035900688197039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6"/>
              <c:layout>
                <c:manualLayout>
                  <c:x val="6.2576533039354013E-3"/>
                  <c:y val="-0.17254292308184629"/>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7"/>
              <c:layout>
                <c:manualLayout>
                  <c:x val="-0.21912571968501995"/>
                  <c:y val="1.8161930057805149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8"/>
              <c:layout>
                <c:manualLayout>
                  <c:x val="-6.19660020931389E-3"/>
                  <c:y val="-5.944323465364016E-3"/>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9"/>
              <c:layout>
                <c:manualLayout>
                  <c:x val="-1.7351982838880304E-2"/>
                  <c:y val="-1.3546200818013025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10"/>
              <c:layout>
                <c:manualLayout>
                  <c:x val="7.5074120768028668E-4"/>
                  <c:y val="-4.2608332346827316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11"/>
              <c:layout>
                <c:manualLayout>
                  <c:x val="4.260408204457377E-2"/>
                  <c:y val="-1.5081345906007498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12"/>
              <c:layout>
                <c:manualLayout>
                  <c:x val="8.7852899405685678E-2"/>
                  <c:y val="1.7493269194404644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13"/>
              <c:layout>
                <c:manualLayout>
                  <c:x val="0.12067192301069951"/>
                  <c:y val="5.3991679334597406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14"/>
              <c:layout>
                <c:manualLayout>
                  <c:x val="8.605786801092373E-2"/>
                  <c:y val="8.674901539349314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15"/>
              <c:layout>
                <c:manualLayout>
                  <c:x val="3.2179795778361477E-2"/>
                  <c:y val="3.894904772891386E-2"/>
                </c:manualLayout>
              </c:layout>
              <c:dLblPos val="bestFit"/>
              <c:showLegendKey val="1"/>
              <c:showVal val="0"/>
              <c:showCatName val="0"/>
              <c:showSerName val="0"/>
              <c:showPercent val="1"/>
              <c:showBubbleSize val="0"/>
              <c:extLst>
                <c:ext xmlns:c15="http://schemas.microsoft.com/office/drawing/2012/chart" uri="{CE6537A1-D6FC-4f65-9D91-7224C49458BB}"/>
              </c:extLst>
            </c:dLbl>
            <c:dLbl>
              <c:idx val="16"/>
              <c:layout>
                <c:manualLayout>
                  <c:x val="3.7203868416521547E-3"/>
                  <c:y val="7.5513473583532151E-2"/>
                </c:manualLayout>
              </c:layout>
              <c:dLblPos val="bestFit"/>
              <c:showLegendKey val="1"/>
              <c:showVal val="0"/>
              <c:showCatName val="0"/>
              <c:showSerName val="0"/>
              <c:showPercent val="1"/>
              <c:showBubbleSize val="0"/>
              <c:extLst>
                <c:ext xmlns:c15="http://schemas.microsoft.com/office/drawing/2012/chart" uri="{CE6537A1-D6FC-4f65-9D91-7224C49458BB}"/>
              </c:extLst>
            </c:dLbl>
            <c:numFmt formatCode="0.00%" sourceLinked="0"/>
            <c:spPr>
              <a:noFill/>
              <a:ln>
                <a:noFill/>
              </a:ln>
              <a:effectLst/>
            </c:spPr>
            <c:txPr>
              <a:bodyPr/>
              <a:lstStyle/>
              <a:p>
                <a:pPr>
                  <a:defRPr sz="800" b="0" i="0" u="none" strike="noStrike" baseline="0">
                    <a:solidFill>
                      <a:srgbClr val="000000"/>
                    </a:solidFill>
                    <a:latin typeface="Verdana" panose="020B0604030504040204" pitchFamily="34" charset="0"/>
                    <a:ea typeface="Verdana" panose="020B0604030504040204" pitchFamily="34" charset="0"/>
                    <a:cs typeface="Verdana" panose="020B0604030504040204" pitchFamily="34" charset="0"/>
                  </a:defRPr>
                </a:pPr>
                <a:endParaRPr lang="sr-Latn-RS"/>
              </a:p>
            </c:txPr>
            <c:showLegendKey val="1"/>
            <c:showVal val="0"/>
            <c:showCatName val="0"/>
            <c:showSerName val="0"/>
            <c:showPercent val="1"/>
            <c:showBubbleSize val="0"/>
            <c:showLeaderLines val="1"/>
            <c:extLst>
              <c:ext xmlns:c15="http://schemas.microsoft.com/office/drawing/2012/chart" uri="{CE6537A1-D6FC-4f65-9D91-7224C49458BB}"/>
            </c:extLst>
          </c:dLbls>
          <c:cat>
            <c:multiLvlStrRef>
              <c:f>'Pasivan premija po vrstama'!$B$5:$C$21</c:f>
              <c:multiLvlStrCache>
                <c:ptCount val="17"/>
                <c:lvl>
                  <c:pt idx="0">
                    <c:v>Осигурање од последица незгоде</c:v>
                  </c:pt>
                  <c:pt idx="1">
                    <c:v>Осигурање моторних возила</c:v>
                  </c:pt>
                  <c:pt idx="2">
                    <c:v>Осигурање шинских возила</c:v>
                  </c:pt>
                  <c:pt idx="3">
                    <c:v>Осигурање ваздухоплова</c:v>
                  </c:pt>
                  <c:pt idx="4">
                    <c:v>Осигурање пловних објеката</c:v>
                  </c:pt>
                  <c:pt idx="5">
                    <c:v>Осигурање робе у превозу</c:v>
                  </c:pt>
                  <c:pt idx="6">
                    <c:v>Осигурање имовине од пожара и др. опасности</c:v>
                  </c:pt>
                  <c:pt idx="7">
                    <c:v>Остала осигурања имовине                </c:v>
                  </c:pt>
                  <c:pt idx="8">
                    <c:v>Осигурање од одговорности због употребе моторних возила  </c:v>
                  </c:pt>
                  <c:pt idx="9">
                    <c:v>Осигурање од одговорности због употребе ваздухоплова</c:v>
                  </c:pt>
                  <c:pt idx="10">
                    <c:v>Осигурање од опште одговорности</c:v>
                  </c:pt>
                  <c:pt idx="11">
                    <c:v>Осигурање јемства</c:v>
                  </c:pt>
                  <c:pt idx="12">
                    <c:v>Осигурање финансијских губитака</c:v>
                  </c:pt>
                  <c:pt idx="13">
                    <c:v>Осигурање трошкова правне заштите</c:v>
                  </c:pt>
                  <c:pt idx="14">
                    <c:v>Осигурање живота</c:v>
                  </c:pt>
                  <c:pt idx="15">
                    <c:v>Oсигурање од последица незгоде, допунско уз осигурање живота</c:v>
                  </c:pt>
                  <c:pt idx="16">
                    <c:v>Остало</c:v>
                  </c:pt>
                </c:lvl>
                <c:lvl>
                  <c:pt idx="0">
                    <c:v>01</c:v>
                  </c:pt>
                  <c:pt idx="1">
                    <c:v>03</c:v>
                  </c:pt>
                  <c:pt idx="2">
                    <c:v>04</c:v>
                  </c:pt>
                  <c:pt idx="3">
                    <c:v>05</c:v>
                  </c:pt>
                  <c:pt idx="4">
                    <c:v>06</c:v>
                  </c:pt>
                  <c:pt idx="5">
                    <c:v>07</c:v>
                  </c:pt>
                  <c:pt idx="6">
                    <c:v>08</c:v>
                  </c:pt>
                  <c:pt idx="7">
                    <c:v>09</c:v>
                  </c:pt>
                  <c:pt idx="8">
                    <c:v>10</c:v>
                  </c:pt>
                  <c:pt idx="9">
                    <c:v>11</c:v>
                  </c:pt>
                  <c:pt idx="10">
                    <c:v>13</c:v>
                  </c:pt>
                  <c:pt idx="11">
                    <c:v>15</c:v>
                  </c:pt>
                  <c:pt idx="12">
                    <c:v>16</c:v>
                  </c:pt>
                  <c:pt idx="13">
                    <c:v>17</c:v>
                  </c:pt>
                  <c:pt idx="14">
                    <c:v>20</c:v>
                  </c:pt>
                  <c:pt idx="15">
                    <c:v>22.01</c:v>
                  </c:pt>
                </c:lvl>
              </c:multiLvlStrCache>
            </c:multiLvlStrRef>
          </c:cat>
          <c:val>
            <c:numRef>
              <c:f>'Pasivan premija po vrstama'!$D$5:$D$21</c:f>
              <c:numCache>
                <c:formatCode>#,##0.00</c:formatCode>
                <c:ptCount val="17"/>
                <c:pt idx="0">
                  <c:v>13424819.279999999</c:v>
                </c:pt>
                <c:pt idx="1">
                  <c:v>123131.42</c:v>
                </c:pt>
                <c:pt idx="2">
                  <c:v>3207454.46</c:v>
                </c:pt>
                <c:pt idx="3">
                  <c:v>49128520.700000003</c:v>
                </c:pt>
                <c:pt idx="4">
                  <c:v>62640</c:v>
                </c:pt>
                <c:pt idx="5">
                  <c:v>67536334.019999996</c:v>
                </c:pt>
                <c:pt idx="6">
                  <c:v>483119515.57999998</c:v>
                </c:pt>
                <c:pt idx="7">
                  <c:v>739711915.84000003</c:v>
                </c:pt>
                <c:pt idx="8">
                  <c:v>126039709.59999999</c:v>
                </c:pt>
                <c:pt idx="9">
                  <c:v>75485919.129999995</c:v>
                </c:pt>
                <c:pt idx="10">
                  <c:v>244836706.96000001</c:v>
                </c:pt>
                <c:pt idx="11">
                  <c:v>18605902.870000001</c:v>
                </c:pt>
                <c:pt idx="12">
                  <c:v>33139573.199999999</c:v>
                </c:pt>
                <c:pt idx="13">
                  <c:v>1277852.57</c:v>
                </c:pt>
                <c:pt idx="14">
                  <c:v>43733822.200000003</c:v>
                </c:pt>
                <c:pt idx="15">
                  <c:v>58202848.630000003</c:v>
                </c:pt>
                <c:pt idx="16">
                  <c:v>0</c:v>
                </c:pt>
              </c:numCache>
            </c:numRef>
          </c:val>
        </c:ser>
        <c:ser>
          <c:idx val="1"/>
          <c:order val="1"/>
          <c:dPt>
            <c:idx val="0"/>
            <c:bubble3D val="0"/>
          </c:dPt>
          <c:dPt>
            <c:idx val="1"/>
            <c:bubble3D val="0"/>
          </c:dPt>
          <c:dPt>
            <c:idx val="2"/>
            <c:bubble3D val="0"/>
          </c:dPt>
          <c:dPt>
            <c:idx val="3"/>
            <c:bubble3D val="0"/>
          </c:dPt>
          <c:dPt>
            <c:idx val="4"/>
            <c:bubble3D val="0"/>
          </c:dPt>
          <c:dPt>
            <c:idx val="5"/>
            <c:bubble3D val="0"/>
          </c:dPt>
          <c:dPt>
            <c:idx val="6"/>
            <c:bubble3D val="0"/>
          </c:dPt>
          <c:dPt>
            <c:idx val="7"/>
            <c:bubble3D val="0"/>
          </c:dPt>
          <c:dPt>
            <c:idx val="8"/>
            <c:bubble3D val="0"/>
          </c:dPt>
          <c:dPt>
            <c:idx val="9"/>
            <c:bubble3D val="0"/>
          </c:dPt>
          <c:dPt>
            <c:idx val="10"/>
            <c:bubble3D val="0"/>
          </c:dPt>
          <c:dPt>
            <c:idx val="11"/>
            <c:bubble3D val="0"/>
          </c:dPt>
          <c:dPt>
            <c:idx val="12"/>
            <c:bubble3D val="0"/>
          </c:dPt>
          <c:dPt>
            <c:idx val="13"/>
            <c:bubble3D val="0"/>
          </c:dPt>
          <c:dPt>
            <c:idx val="14"/>
            <c:bubble3D val="0"/>
          </c:dPt>
          <c:dPt>
            <c:idx val="15"/>
            <c:bubble3D val="0"/>
          </c:dPt>
          <c:dPt>
            <c:idx val="16"/>
            <c:bubble3D val="0"/>
          </c:dPt>
          <c:dLbls>
            <c:spPr>
              <a:noFill/>
              <a:ln>
                <a:noFill/>
              </a:ln>
              <a:effectLst/>
            </c:spPr>
            <c:txPr>
              <a:bodyPr/>
              <a:lstStyle/>
              <a:p>
                <a:pPr>
                  <a:defRPr sz="1000" b="0" i="0" u="none" strike="noStrike" baseline="0">
                    <a:solidFill>
                      <a:srgbClr val="000000"/>
                    </a:solidFill>
                    <a:latin typeface="Calibri"/>
                    <a:ea typeface="Calibri"/>
                    <a:cs typeface="Calibri"/>
                  </a:defRPr>
                </a:pPr>
                <a:endParaRPr lang="sr-Latn-RS"/>
              </a:p>
            </c:txPr>
            <c:showLegendKey val="0"/>
            <c:showVal val="0"/>
            <c:showCatName val="0"/>
            <c:showSerName val="0"/>
            <c:showPercent val="1"/>
            <c:showBubbleSize val="0"/>
            <c:showLeaderLines val="1"/>
            <c:extLst>
              <c:ext xmlns:c15="http://schemas.microsoft.com/office/drawing/2012/chart" uri="{CE6537A1-D6FC-4f65-9D91-7224C49458BB}"/>
            </c:extLst>
          </c:dLbls>
          <c:cat>
            <c:multiLvlStrRef>
              <c:f>'Pasivan premija po vrstama'!$B$5:$C$21</c:f>
              <c:multiLvlStrCache>
                <c:ptCount val="17"/>
                <c:lvl>
                  <c:pt idx="0">
                    <c:v>Осигурање од последица незгоде</c:v>
                  </c:pt>
                  <c:pt idx="1">
                    <c:v>Осигурање моторних возила</c:v>
                  </c:pt>
                  <c:pt idx="2">
                    <c:v>Осигурање шинских возила</c:v>
                  </c:pt>
                  <c:pt idx="3">
                    <c:v>Осигурање ваздухоплова</c:v>
                  </c:pt>
                  <c:pt idx="4">
                    <c:v>Осигурање пловних објеката</c:v>
                  </c:pt>
                  <c:pt idx="5">
                    <c:v>Осигурање робе у превозу</c:v>
                  </c:pt>
                  <c:pt idx="6">
                    <c:v>Осигурање имовине од пожара и др. опасности</c:v>
                  </c:pt>
                  <c:pt idx="7">
                    <c:v>Остала осигурања имовине                </c:v>
                  </c:pt>
                  <c:pt idx="8">
                    <c:v>Осигурање од одговорности због употребе моторних возила  </c:v>
                  </c:pt>
                  <c:pt idx="9">
                    <c:v>Осигурање од одговорности због употребе ваздухоплова</c:v>
                  </c:pt>
                  <c:pt idx="10">
                    <c:v>Осигурање од опште одговорности</c:v>
                  </c:pt>
                  <c:pt idx="11">
                    <c:v>Осигурање јемства</c:v>
                  </c:pt>
                  <c:pt idx="12">
                    <c:v>Осигурање финансијских губитака</c:v>
                  </c:pt>
                  <c:pt idx="13">
                    <c:v>Осигурање трошкова правне заштите</c:v>
                  </c:pt>
                  <c:pt idx="14">
                    <c:v>Осигурање живота</c:v>
                  </c:pt>
                  <c:pt idx="15">
                    <c:v>Oсигурање од последица незгоде, допунско уз осигурање живота</c:v>
                  </c:pt>
                  <c:pt idx="16">
                    <c:v>Остало</c:v>
                  </c:pt>
                </c:lvl>
                <c:lvl>
                  <c:pt idx="0">
                    <c:v>01</c:v>
                  </c:pt>
                  <c:pt idx="1">
                    <c:v>03</c:v>
                  </c:pt>
                  <c:pt idx="2">
                    <c:v>04</c:v>
                  </c:pt>
                  <c:pt idx="3">
                    <c:v>05</c:v>
                  </c:pt>
                  <c:pt idx="4">
                    <c:v>06</c:v>
                  </c:pt>
                  <c:pt idx="5">
                    <c:v>07</c:v>
                  </c:pt>
                  <c:pt idx="6">
                    <c:v>08</c:v>
                  </c:pt>
                  <c:pt idx="7">
                    <c:v>09</c:v>
                  </c:pt>
                  <c:pt idx="8">
                    <c:v>10</c:v>
                  </c:pt>
                  <c:pt idx="9">
                    <c:v>11</c:v>
                  </c:pt>
                  <c:pt idx="10">
                    <c:v>13</c:v>
                  </c:pt>
                  <c:pt idx="11">
                    <c:v>15</c:v>
                  </c:pt>
                  <c:pt idx="12">
                    <c:v>16</c:v>
                  </c:pt>
                  <c:pt idx="13">
                    <c:v>17</c:v>
                  </c:pt>
                  <c:pt idx="14">
                    <c:v>20</c:v>
                  </c:pt>
                  <c:pt idx="15">
                    <c:v>22.01</c:v>
                  </c:pt>
                </c:lvl>
              </c:multiLvlStrCache>
            </c:multiLvlStrRef>
          </c:cat>
          <c:val>
            <c:numLit>
              <c:formatCode>General</c:formatCode>
              <c:ptCount val="1"/>
              <c:pt idx="0">
                <c:v>0</c:v>
              </c:pt>
            </c:numLit>
          </c:val>
        </c:ser>
        <c:ser>
          <c:idx val="2"/>
          <c:order val="2"/>
          <c:dPt>
            <c:idx val="0"/>
            <c:bubble3D val="0"/>
          </c:dPt>
          <c:dPt>
            <c:idx val="1"/>
            <c:bubble3D val="0"/>
          </c:dPt>
          <c:dPt>
            <c:idx val="2"/>
            <c:bubble3D val="0"/>
          </c:dPt>
          <c:dPt>
            <c:idx val="3"/>
            <c:bubble3D val="0"/>
          </c:dPt>
          <c:dPt>
            <c:idx val="4"/>
            <c:bubble3D val="0"/>
          </c:dPt>
          <c:dPt>
            <c:idx val="5"/>
            <c:bubble3D val="0"/>
          </c:dPt>
          <c:dPt>
            <c:idx val="6"/>
            <c:bubble3D val="0"/>
          </c:dPt>
          <c:dPt>
            <c:idx val="7"/>
            <c:bubble3D val="0"/>
          </c:dPt>
          <c:dPt>
            <c:idx val="8"/>
            <c:bubble3D val="0"/>
          </c:dPt>
          <c:dPt>
            <c:idx val="9"/>
            <c:bubble3D val="0"/>
          </c:dPt>
          <c:dPt>
            <c:idx val="10"/>
            <c:bubble3D val="0"/>
          </c:dPt>
          <c:dPt>
            <c:idx val="11"/>
            <c:bubble3D val="0"/>
          </c:dPt>
          <c:dPt>
            <c:idx val="12"/>
            <c:bubble3D val="0"/>
          </c:dPt>
          <c:dPt>
            <c:idx val="13"/>
            <c:bubble3D val="0"/>
          </c:dPt>
          <c:dPt>
            <c:idx val="14"/>
            <c:bubble3D val="0"/>
          </c:dPt>
          <c:dPt>
            <c:idx val="15"/>
            <c:bubble3D val="0"/>
          </c:dPt>
          <c:dPt>
            <c:idx val="16"/>
            <c:bubble3D val="0"/>
          </c:dPt>
          <c:dLbls>
            <c:spPr>
              <a:noFill/>
              <a:ln>
                <a:noFill/>
              </a:ln>
              <a:effectLst/>
            </c:spPr>
            <c:txPr>
              <a:bodyPr/>
              <a:lstStyle/>
              <a:p>
                <a:pPr>
                  <a:defRPr sz="1000" b="0" i="0" u="none" strike="noStrike" baseline="0">
                    <a:solidFill>
                      <a:srgbClr val="000000"/>
                    </a:solidFill>
                    <a:latin typeface="Calibri"/>
                    <a:ea typeface="Calibri"/>
                    <a:cs typeface="Calibri"/>
                  </a:defRPr>
                </a:pPr>
                <a:endParaRPr lang="sr-Latn-RS"/>
              </a:p>
            </c:txPr>
            <c:showLegendKey val="0"/>
            <c:showVal val="0"/>
            <c:showCatName val="0"/>
            <c:showSerName val="0"/>
            <c:showPercent val="1"/>
            <c:showBubbleSize val="0"/>
            <c:showLeaderLines val="1"/>
            <c:extLst>
              <c:ext xmlns:c15="http://schemas.microsoft.com/office/drawing/2012/chart" uri="{CE6537A1-D6FC-4f65-9D91-7224C49458BB}"/>
            </c:extLst>
          </c:dLbls>
          <c:cat>
            <c:multiLvlStrRef>
              <c:f>'Pasivan premija po vrstama'!$B$5:$C$21</c:f>
              <c:multiLvlStrCache>
                <c:ptCount val="17"/>
                <c:lvl>
                  <c:pt idx="0">
                    <c:v>Осигурање од последица незгоде</c:v>
                  </c:pt>
                  <c:pt idx="1">
                    <c:v>Осигурање моторних возила</c:v>
                  </c:pt>
                  <c:pt idx="2">
                    <c:v>Осигурање шинских возила</c:v>
                  </c:pt>
                  <c:pt idx="3">
                    <c:v>Осигурање ваздухоплова</c:v>
                  </c:pt>
                  <c:pt idx="4">
                    <c:v>Осигурање пловних објеката</c:v>
                  </c:pt>
                  <c:pt idx="5">
                    <c:v>Осигурање робе у превозу</c:v>
                  </c:pt>
                  <c:pt idx="6">
                    <c:v>Осигурање имовине од пожара и др. опасности</c:v>
                  </c:pt>
                  <c:pt idx="7">
                    <c:v>Остала осигурања имовине                </c:v>
                  </c:pt>
                  <c:pt idx="8">
                    <c:v>Осигурање од одговорности због употребе моторних возила  </c:v>
                  </c:pt>
                  <c:pt idx="9">
                    <c:v>Осигурање од одговорности због употребе ваздухоплова</c:v>
                  </c:pt>
                  <c:pt idx="10">
                    <c:v>Осигурање од опште одговорности</c:v>
                  </c:pt>
                  <c:pt idx="11">
                    <c:v>Осигурање јемства</c:v>
                  </c:pt>
                  <c:pt idx="12">
                    <c:v>Осигурање финансијских губитака</c:v>
                  </c:pt>
                  <c:pt idx="13">
                    <c:v>Осигурање трошкова правне заштите</c:v>
                  </c:pt>
                  <c:pt idx="14">
                    <c:v>Осигурање живота</c:v>
                  </c:pt>
                  <c:pt idx="15">
                    <c:v>Oсигурање од последица незгоде, допунско уз осигурање живота</c:v>
                  </c:pt>
                  <c:pt idx="16">
                    <c:v>Остало</c:v>
                  </c:pt>
                </c:lvl>
                <c:lvl>
                  <c:pt idx="0">
                    <c:v>01</c:v>
                  </c:pt>
                  <c:pt idx="1">
                    <c:v>03</c:v>
                  </c:pt>
                  <c:pt idx="2">
                    <c:v>04</c:v>
                  </c:pt>
                  <c:pt idx="3">
                    <c:v>05</c:v>
                  </c:pt>
                  <c:pt idx="4">
                    <c:v>06</c:v>
                  </c:pt>
                  <c:pt idx="5">
                    <c:v>07</c:v>
                  </c:pt>
                  <c:pt idx="6">
                    <c:v>08</c:v>
                  </c:pt>
                  <c:pt idx="7">
                    <c:v>09</c:v>
                  </c:pt>
                  <c:pt idx="8">
                    <c:v>10</c:v>
                  </c:pt>
                  <c:pt idx="9">
                    <c:v>11</c:v>
                  </c:pt>
                  <c:pt idx="10">
                    <c:v>13</c:v>
                  </c:pt>
                  <c:pt idx="11">
                    <c:v>15</c:v>
                  </c:pt>
                  <c:pt idx="12">
                    <c:v>16</c:v>
                  </c:pt>
                  <c:pt idx="13">
                    <c:v>17</c:v>
                  </c:pt>
                  <c:pt idx="14">
                    <c:v>20</c:v>
                  </c:pt>
                  <c:pt idx="15">
                    <c:v>22.01</c:v>
                  </c:pt>
                </c:lvl>
              </c:multiLvlStrCache>
            </c:multiLvlStrRef>
          </c:cat>
          <c:val>
            <c:numLit>
              <c:formatCode>General</c:formatCode>
              <c:ptCount val="1"/>
              <c:pt idx="0">
                <c:v>0</c:v>
              </c:pt>
            </c:numLit>
          </c:val>
        </c:ser>
        <c:dLbls>
          <c:showLegendKey val="0"/>
          <c:showVal val="0"/>
          <c:showCatName val="0"/>
          <c:showSerName val="0"/>
          <c:showPercent val="0"/>
          <c:showBubbleSize val="0"/>
          <c:showLeaderLines val="1"/>
        </c:dLbls>
      </c:pie3DChart>
      <c:spPr>
        <a:noFill/>
        <a:ln w="25400">
          <a:noFill/>
        </a:ln>
      </c:spPr>
    </c:plotArea>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sr-Latn-RS"/>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sz="1200">
                <a:latin typeface="Verdana" panose="020B0604030504040204" pitchFamily="34" charset="0"/>
                <a:ea typeface="Verdana" panose="020B0604030504040204" pitchFamily="34" charset="0"/>
                <a:cs typeface="Verdana" panose="020B0604030504040204" pitchFamily="34" charset="0"/>
              </a:defRPr>
            </a:pPr>
            <a:r>
              <a:rPr lang="sr-Cyrl-RS" sz="1200">
                <a:latin typeface="Verdana" panose="020B0604030504040204" pitchFamily="34" charset="0"/>
                <a:ea typeface="Verdana" panose="020B0604030504040204" pitchFamily="34" charset="0"/>
                <a:cs typeface="Verdana" panose="020B0604030504040204" pitchFamily="34" charset="0"/>
              </a:rPr>
              <a:t>Приказ премије </a:t>
            </a:r>
            <a:r>
              <a:rPr lang="sr-Cyrl-RS" sz="1200" baseline="0">
                <a:latin typeface="Verdana" panose="020B0604030504040204" pitchFamily="34" charset="0"/>
                <a:ea typeface="Verdana" panose="020B0604030504040204" pitchFamily="34" charset="0"/>
                <a:cs typeface="Verdana" panose="020B0604030504040204" pitchFamily="34" charset="0"/>
              </a:rPr>
              <a:t>у хиљадама динара</a:t>
            </a:r>
            <a:endParaRPr lang="en-US" sz="1200">
              <a:latin typeface="Verdana" panose="020B0604030504040204" pitchFamily="34" charset="0"/>
              <a:ea typeface="Verdana" panose="020B0604030504040204" pitchFamily="34" charset="0"/>
              <a:cs typeface="Verdana" panose="020B0604030504040204" pitchFamily="34" charset="0"/>
            </a:endParaRPr>
          </a:p>
        </c:rich>
      </c:tx>
      <c:overlay val="0"/>
    </c:title>
    <c:autoTitleDeleted val="0"/>
    <c:plotArea>
      <c:layout/>
      <c:barChart>
        <c:barDir val="col"/>
        <c:grouping val="clustered"/>
        <c:varyColors val="0"/>
        <c:ser>
          <c:idx val="0"/>
          <c:order val="0"/>
          <c:tx>
            <c:strRef>
              <c:f>'premija 31.12.2014'!$B$32</c:f>
              <c:strCache>
                <c:ptCount val="1"/>
                <c:pt idx="0">
                  <c:v>Активна </c:v>
                </c:pt>
              </c:strCache>
            </c:strRef>
          </c:tx>
          <c:invertIfNegative val="0"/>
          <c:cat>
            <c:numRef>
              <c:f>'premija 31.12.2014'!$C$31:$I$31</c:f>
              <c:numCache>
                <c:formatCode>General</c:formatCode>
                <c:ptCount val="7"/>
                <c:pt idx="0">
                  <c:v>2008</c:v>
                </c:pt>
                <c:pt idx="1">
                  <c:v>2009</c:v>
                </c:pt>
                <c:pt idx="2">
                  <c:v>2010</c:v>
                </c:pt>
                <c:pt idx="3">
                  <c:v>2011</c:v>
                </c:pt>
                <c:pt idx="4">
                  <c:v>2012</c:v>
                </c:pt>
                <c:pt idx="5">
                  <c:v>2013</c:v>
                </c:pt>
                <c:pt idx="6">
                  <c:v>2014</c:v>
                </c:pt>
              </c:numCache>
            </c:numRef>
          </c:cat>
          <c:val>
            <c:numRef>
              <c:f>'premija 31.12.2014'!$C$32:$I$32</c:f>
              <c:numCache>
                <c:formatCode>#,##0</c:formatCode>
                <c:ptCount val="7"/>
                <c:pt idx="0">
                  <c:v>3308540</c:v>
                </c:pt>
                <c:pt idx="1">
                  <c:v>3687046</c:v>
                </c:pt>
                <c:pt idx="2">
                  <c:v>3137998</c:v>
                </c:pt>
                <c:pt idx="3">
                  <c:v>3132319</c:v>
                </c:pt>
                <c:pt idx="4">
                  <c:v>3069915</c:v>
                </c:pt>
                <c:pt idx="5">
                  <c:v>2667750</c:v>
                </c:pt>
                <c:pt idx="6">
                  <c:v>2324890</c:v>
                </c:pt>
              </c:numCache>
            </c:numRef>
          </c:val>
        </c:ser>
        <c:ser>
          <c:idx val="1"/>
          <c:order val="1"/>
          <c:tx>
            <c:strRef>
              <c:f>'premija 31.12.2014'!$B$33</c:f>
              <c:strCache>
                <c:ptCount val="1"/>
                <c:pt idx="0">
                  <c:v>Пасивна </c:v>
                </c:pt>
              </c:strCache>
            </c:strRef>
          </c:tx>
          <c:invertIfNegative val="0"/>
          <c:cat>
            <c:numRef>
              <c:f>'premija 31.12.2014'!$C$31:$I$31</c:f>
              <c:numCache>
                <c:formatCode>General</c:formatCode>
                <c:ptCount val="7"/>
                <c:pt idx="0">
                  <c:v>2008</c:v>
                </c:pt>
                <c:pt idx="1">
                  <c:v>2009</c:v>
                </c:pt>
                <c:pt idx="2">
                  <c:v>2010</c:v>
                </c:pt>
                <c:pt idx="3">
                  <c:v>2011</c:v>
                </c:pt>
                <c:pt idx="4">
                  <c:v>2012</c:v>
                </c:pt>
                <c:pt idx="5">
                  <c:v>2013</c:v>
                </c:pt>
                <c:pt idx="6">
                  <c:v>2014</c:v>
                </c:pt>
              </c:numCache>
            </c:numRef>
          </c:cat>
          <c:val>
            <c:numRef>
              <c:f>'premija 31.12.2014'!$C$33:$I$33</c:f>
              <c:numCache>
                <c:formatCode>#,##0</c:formatCode>
                <c:ptCount val="7"/>
                <c:pt idx="0">
                  <c:v>2317252</c:v>
                </c:pt>
                <c:pt idx="1">
                  <c:v>2366778</c:v>
                </c:pt>
                <c:pt idx="2">
                  <c:v>1831591</c:v>
                </c:pt>
                <c:pt idx="3">
                  <c:v>2059303</c:v>
                </c:pt>
                <c:pt idx="4">
                  <c:v>2288924</c:v>
                </c:pt>
                <c:pt idx="5">
                  <c:v>2243892</c:v>
                </c:pt>
                <c:pt idx="6">
                  <c:v>1957637</c:v>
                </c:pt>
              </c:numCache>
            </c:numRef>
          </c:val>
        </c:ser>
        <c:ser>
          <c:idx val="2"/>
          <c:order val="2"/>
          <c:tx>
            <c:strRef>
              <c:f>'premija 31.12.2014'!$B$34</c:f>
              <c:strCache>
                <c:ptCount val="1"/>
                <c:pt idx="0">
                  <c:v>Самопридржај</c:v>
                </c:pt>
              </c:strCache>
            </c:strRef>
          </c:tx>
          <c:invertIfNegative val="0"/>
          <c:cat>
            <c:numRef>
              <c:f>'premija 31.12.2014'!$C$31:$I$31</c:f>
              <c:numCache>
                <c:formatCode>General</c:formatCode>
                <c:ptCount val="7"/>
                <c:pt idx="0">
                  <c:v>2008</c:v>
                </c:pt>
                <c:pt idx="1">
                  <c:v>2009</c:v>
                </c:pt>
                <c:pt idx="2">
                  <c:v>2010</c:v>
                </c:pt>
                <c:pt idx="3">
                  <c:v>2011</c:v>
                </c:pt>
                <c:pt idx="4">
                  <c:v>2012</c:v>
                </c:pt>
                <c:pt idx="5">
                  <c:v>2013</c:v>
                </c:pt>
                <c:pt idx="6">
                  <c:v>2014</c:v>
                </c:pt>
              </c:numCache>
            </c:numRef>
          </c:cat>
          <c:val>
            <c:numRef>
              <c:f>'premija 31.12.2014'!$C$34:$I$34</c:f>
              <c:numCache>
                <c:formatCode>#,##0</c:formatCode>
                <c:ptCount val="7"/>
                <c:pt idx="0">
                  <c:v>991288</c:v>
                </c:pt>
                <c:pt idx="1">
                  <c:v>1320269</c:v>
                </c:pt>
                <c:pt idx="2">
                  <c:v>1306407</c:v>
                </c:pt>
                <c:pt idx="3">
                  <c:v>1073017</c:v>
                </c:pt>
                <c:pt idx="4">
                  <c:v>780991</c:v>
                </c:pt>
                <c:pt idx="5">
                  <c:v>423857</c:v>
                </c:pt>
                <c:pt idx="6">
                  <c:v>367254</c:v>
                </c:pt>
              </c:numCache>
            </c:numRef>
          </c:val>
        </c:ser>
        <c:dLbls>
          <c:showLegendKey val="0"/>
          <c:showVal val="0"/>
          <c:showCatName val="0"/>
          <c:showSerName val="0"/>
          <c:showPercent val="0"/>
          <c:showBubbleSize val="0"/>
        </c:dLbls>
        <c:gapWidth val="150"/>
        <c:axId val="154875776"/>
        <c:axId val="154877312"/>
      </c:barChart>
      <c:catAx>
        <c:axId val="154875776"/>
        <c:scaling>
          <c:orientation val="minMax"/>
        </c:scaling>
        <c:delete val="0"/>
        <c:axPos val="b"/>
        <c:numFmt formatCode="General" sourceLinked="0"/>
        <c:majorTickMark val="none"/>
        <c:minorTickMark val="none"/>
        <c:tickLblPos val="nextTo"/>
        <c:txPr>
          <a:bodyPr/>
          <a:lstStyle/>
          <a:p>
            <a:pPr>
              <a:defRPr sz="900">
                <a:latin typeface="Verdana" panose="020B0604030504040204" pitchFamily="34" charset="0"/>
                <a:ea typeface="Verdana" panose="020B0604030504040204" pitchFamily="34" charset="0"/>
                <a:cs typeface="Verdana" panose="020B0604030504040204" pitchFamily="34" charset="0"/>
              </a:defRPr>
            </a:pPr>
            <a:endParaRPr lang="sr-Latn-RS"/>
          </a:p>
        </c:txPr>
        <c:crossAx val="154877312"/>
        <c:crosses val="autoZero"/>
        <c:auto val="1"/>
        <c:lblAlgn val="ctr"/>
        <c:lblOffset val="100"/>
        <c:noMultiLvlLbl val="0"/>
      </c:catAx>
      <c:valAx>
        <c:axId val="154877312"/>
        <c:scaling>
          <c:orientation val="minMax"/>
          <c:max val="4000000"/>
        </c:scaling>
        <c:delete val="0"/>
        <c:axPos val="l"/>
        <c:majorGridlines/>
        <c:numFmt formatCode="#,##0" sourceLinked="1"/>
        <c:majorTickMark val="none"/>
        <c:minorTickMark val="none"/>
        <c:tickLblPos val="nextTo"/>
        <c:txPr>
          <a:bodyPr/>
          <a:lstStyle/>
          <a:p>
            <a:pPr>
              <a:defRPr sz="900">
                <a:latin typeface="Verdana" panose="020B0604030504040204" pitchFamily="34" charset="0"/>
                <a:ea typeface="Verdana" panose="020B0604030504040204" pitchFamily="34" charset="0"/>
                <a:cs typeface="Verdana" panose="020B0604030504040204" pitchFamily="34" charset="0"/>
              </a:defRPr>
            </a:pPr>
            <a:endParaRPr lang="sr-Latn-RS"/>
          </a:p>
        </c:txPr>
        <c:crossAx val="154875776"/>
        <c:crosses val="autoZero"/>
        <c:crossBetween val="between"/>
      </c:valAx>
    </c:plotArea>
    <c:legend>
      <c:legendPos val="b"/>
      <c:overlay val="0"/>
      <c:txPr>
        <a:bodyPr/>
        <a:lstStyle/>
        <a:p>
          <a:pPr>
            <a:defRPr sz="800">
              <a:latin typeface="Verdana" panose="020B0604030504040204" pitchFamily="34" charset="0"/>
              <a:ea typeface="Verdana" panose="020B0604030504040204" pitchFamily="34" charset="0"/>
              <a:cs typeface="Verdana" panose="020B0604030504040204" pitchFamily="34" charset="0"/>
            </a:defRPr>
          </a:pPr>
          <a:endParaRPr lang="sr-Latn-RS"/>
        </a:p>
      </c:txPr>
    </c:legend>
    <c:plotVisOnly val="1"/>
    <c:dispBlanksAs val="gap"/>
    <c:showDLblsOverMax val="0"/>
  </c:chart>
  <c:spPr>
    <a:ln>
      <a:noFill/>
    </a:ln>
  </c:sp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sz="1200">
                <a:latin typeface="Verdana" panose="020B0604030504040204" pitchFamily="34" charset="0"/>
                <a:ea typeface="Verdana" panose="020B0604030504040204" pitchFamily="34" charset="0"/>
                <a:cs typeface="Verdana" panose="020B0604030504040204" pitchFamily="34" charset="0"/>
              </a:defRPr>
            </a:pPr>
            <a:r>
              <a:rPr lang="sr-Cyrl-RS" sz="1200">
                <a:latin typeface="Verdana" panose="020B0604030504040204" pitchFamily="34" charset="0"/>
                <a:ea typeface="Verdana" panose="020B0604030504040204" pitchFamily="34" charset="0"/>
                <a:cs typeface="Verdana" panose="020B0604030504040204" pitchFamily="34" charset="0"/>
              </a:rPr>
              <a:t>Ликвидиране</a:t>
            </a:r>
            <a:r>
              <a:rPr lang="sr-Cyrl-RS" sz="1200" baseline="0">
                <a:latin typeface="Verdana" panose="020B0604030504040204" pitchFamily="34" charset="0"/>
                <a:ea typeface="Verdana" panose="020B0604030504040204" pitchFamily="34" charset="0"/>
                <a:cs typeface="Verdana" panose="020B0604030504040204" pitchFamily="34" charset="0"/>
              </a:rPr>
              <a:t> штете у хиљадама динара</a:t>
            </a:r>
            <a:endParaRPr lang="en-US" sz="1200">
              <a:latin typeface="Verdana" panose="020B0604030504040204" pitchFamily="34" charset="0"/>
              <a:ea typeface="Verdana" panose="020B0604030504040204" pitchFamily="34" charset="0"/>
              <a:cs typeface="Verdana" panose="020B0604030504040204" pitchFamily="34" charset="0"/>
            </a:endParaRPr>
          </a:p>
        </c:rich>
      </c:tx>
      <c:overlay val="0"/>
    </c:title>
    <c:autoTitleDeleted val="0"/>
    <c:plotArea>
      <c:layout/>
      <c:barChart>
        <c:barDir val="col"/>
        <c:grouping val="clustered"/>
        <c:varyColors val="0"/>
        <c:ser>
          <c:idx val="0"/>
          <c:order val="0"/>
          <c:tx>
            <c:strRef>
              <c:f>'likvidirane stete 31.12.2014'!$B$32</c:f>
              <c:strCache>
                <c:ptCount val="1"/>
                <c:pt idx="0">
                  <c:v>Активнe</c:v>
                </c:pt>
              </c:strCache>
            </c:strRef>
          </c:tx>
          <c:invertIfNegative val="0"/>
          <c:cat>
            <c:numRef>
              <c:f>'likvidirane stete 31.12.2014'!$C$31:$I$31</c:f>
              <c:numCache>
                <c:formatCode>General</c:formatCode>
                <c:ptCount val="7"/>
                <c:pt idx="0">
                  <c:v>2008</c:v>
                </c:pt>
                <c:pt idx="1">
                  <c:v>2009</c:v>
                </c:pt>
                <c:pt idx="2">
                  <c:v>2010</c:v>
                </c:pt>
                <c:pt idx="3">
                  <c:v>2011</c:v>
                </c:pt>
                <c:pt idx="4">
                  <c:v>2012</c:v>
                </c:pt>
                <c:pt idx="5">
                  <c:v>2013</c:v>
                </c:pt>
                <c:pt idx="6">
                  <c:v>2014</c:v>
                </c:pt>
              </c:numCache>
            </c:numRef>
          </c:cat>
          <c:val>
            <c:numRef>
              <c:f>'likvidirane stete 31.12.2014'!$C$32:$I$32</c:f>
              <c:numCache>
                <c:formatCode>#,##0</c:formatCode>
                <c:ptCount val="7"/>
                <c:pt idx="0">
                  <c:v>1365474</c:v>
                </c:pt>
                <c:pt idx="1">
                  <c:v>1878936</c:v>
                </c:pt>
                <c:pt idx="2">
                  <c:v>1729417</c:v>
                </c:pt>
                <c:pt idx="3">
                  <c:v>1131850</c:v>
                </c:pt>
                <c:pt idx="4">
                  <c:v>1245759</c:v>
                </c:pt>
                <c:pt idx="5">
                  <c:v>924234</c:v>
                </c:pt>
                <c:pt idx="6">
                  <c:v>770321</c:v>
                </c:pt>
              </c:numCache>
            </c:numRef>
          </c:val>
        </c:ser>
        <c:ser>
          <c:idx val="1"/>
          <c:order val="1"/>
          <c:tx>
            <c:strRef>
              <c:f>'likvidirane stete 31.12.2014'!$B$33</c:f>
              <c:strCache>
                <c:ptCount val="1"/>
                <c:pt idx="0">
                  <c:v>Пасивнe</c:v>
                </c:pt>
              </c:strCache>
            </c:strRef>
          </c:tx>
          <c:invertIfNegative val="0"/>
          <c:cat>
            <c:numRef>
              <c:f>'likvidirane stete 31.12.2014'!$C$31:$I$31</c:f>
              <c:numCache>
                <c:formatCode>General</c:formatCode>
                <c:ptCount val="7"/>
                <c:pt idx="0">
                  <c:v>2008</c:v>
                </c:pt>
                <c:pt idx="1">
                  <c:v>2009</c:v>
                </c:pt>
                <c:pt idx="2">
                  <c:v>2010</c:v>
                </c:pt>
                <c:pt idx="3">
                  <c:v>2011</c:v>
                </c:pt>
                <c:pt idx="4">
                  <c:v>2012</c:v>
                </c:pt>
                <c:pt idx="5">
                  <c:v>2013</c:v>
                </c:pt>
                <c:pt idx="6">
                  <c:v>2014</c:v>
                </c:pt>
              </c:numCache>
            </c:numRef>
          </c:cat>
          <c:val>
            <c:numRef>
              <c:f>'likvidirane stete 31.12.2014'!$C$33:$I$33</c:f>
              <c:numCache>
                <c:formatCode>#,##0</c:formatCode>
                <c:ptCount val="7"/>
                <c:pt idx="0">
                  <c:v>1025470</c:v>
                </c:pt>
                <c:pt idx="1">
                  <c:v>1129372</c:v>
                </c:pt>
                <c:pt idx="2">
                  <c:v>874015</c:v>
                </c:pt>
                <c:pt idx="3">
                  <c:v>377514</c:v>
                </c:pt>
                <c:pt idx="4">
                  <c:v>587118</c:v>
                </c:pt>
                <c:pt idx="5">
                  <c:v>400508</c:v>
                </c:pt>
                <c:pt idx="6">
                  <c:v>317431</c:v>
                </c:pt>
              </c:numCache>
            </c:numRef>
          </c:val>
        </c:ser>
        <c:ser>
          <c:idx val="2"/>
          <c:order val="2"/>
          <c:tx>
            <c:strRef>
              <c:f>'likvidirane stete 31.12.2014'!$B$34</c:f>
              <c:strCache>
                <c:ptCount val="1"/>
                <c:pt idx="0">
                  <c:v>Самопридржај</c:v>
                </c:pt>
              </c:strCache>
            </c:strRef>
          </c:tx>
          <c:invertIfNegative val="0"/>
          <c:cat>
            <c:numRef>
              <c:f>'likvidirane stete 31.12.2014'!$C$31:$I$31</c:f>
              <c:numCache>
                <c:formatCode>General</c:formatCode>
                <c:ptCount val="7"/>
                <c:pt idx="0">
                  <c:v>2008</c:v>
                </c:pt>
                <c:pt idx="1">
                  <c:v>2009</c:v>
                </c:pt>
                <c:pt idx="2">
                  <c:v>2010</c:v>
                </c:pt>
                <c:pt idx="3">
                  <c:v>2011</c:v>
                </c:pt>
                <c:pt idx="4">
                  <c:v>2012</c:v>
                </c:pt>
                <c:pt idx="5">
                  <c:v>2013</c:v>
                </c:pt>
                <c:pt idx="6">
                  <c:v>2014</c:v>
                </c:pt>
              </c:numCache>
            </c:numRef>
          </c:cat>
          <c:val>
            <c:numRef>
              <c:f>'likvidirane stete 31.12.2014'!$C$34:$I$34</c:f>
              <c:numCache>
                <c:formatCode>#,##0</c:formatCode>
                <c:ptCount val="7"/>
                <c:pt idx="0">
                  <c:v>340004</c:v>
                </c:pt>
                <c:pt idx="1">
                  <c:v>749564</c:v>
                </c:pt>
                <c:pt idx="2">
                  <c:v>855402</c:v>
                </c:pt>
                <c:pt idx="3">
                  <c:v>754337</c:v>
                </c:pt>
                <c:pt idx="4">
                  <c:v>658642</c:v>
                </c:pt>
                <c:pt idx="5">
                  <c:v>523726</c:v>
                </c:pt>
                <c:pt idx="6">
                  <c:v>452890</c:v>
                </c:pt>
              </c:numCache>
            </c:numRef>
          </c:val>
        </c:ser>
        <c:dLbls>
          <c:showLegendKey val="0"/>
          <c:showVal val="0"/>
          <c:showCatName val="0"/>
          <c:showSerName val="0"/>
          <c:showPercent val="0"/>
          <c:showBubbleSize val="0"/>
        </c:dLbls>
        <c:gapWidth val="150"/>
        <c:axId val="154928640"/>
        <c:axId val="154930176"/>
      </c:barChart>
      <c:catAx>
        <c:axId val="154928640"/>
        <c:scaling>
          <c:orientation val="minMax"/>
        </c:scaling>
        <c:delete val="0"/>
        <c:axPos val="b"/>
        <c:numFmt formatCode="General" sourceLinked="0"/>
        <c:majorTickMark val="none"/>
        <c:minorTickMark val="none"/>
        <c:tickLblPos val="nextTo"/>
        <c:txPr>
          <a:bodyPr/>
          <a:lstStyle/>
          <a:p>
            <a:pPr>
              <a:defRPr sz="900">
                <a:latin typeface="Verdana" panose="020B0604030504040204" pitchFamily="34" charset="0"/>
                <a:ea typeface="Verdana" panose="020B0604030504040204" pitchFamily="34" charset="0"/>
                <a:cs typeface="Verdana" panose="020B0604030504040204" pitchFamily="34" charset="0"/>
              </a:defRPr>
            </a:pPr>
            <a:endParaRPr lang="sr-Latn-RS"/>
          </a:p>
        </c:txPr>
        <c:crossAx val="154930176"/>
        <c:crosses val="autoZero"/>
        <c:auto val="1"/>
        <c:lblAlgn val="ctr"/>
        <c:lblOffset val="100"/>
        <c:noMultiLvlLbl val="0"/>
      </c:catAx>
      <c:valAx>
        <c:axId val="154930176"/>
        <c:scaling>
          <c:orientation val="minMax"/>
        </c:scaling>
        <c:delete val="0"/>
        <c:axPos val="l"/>
        <c:majorGridlines/>
        <c:numFmt formatCode="#,##0" sourceLinked="1"/>
        <c:majorTickMark val="none"/>
        <c:minorTickMark val="none"/>
        <c:tickLblPos val="nextTo"/>
        <c:txPr>
          <a:bodyPr/>
          <a:lstStyle/>
          <a:p>
            <a:pPr>
              <a:defRPr sz="900">
                <a:latin typeface="Verdana" panose="020B0604030504040204" pitchFamily="34" charset="0"/>
                <a:ea typeface="Verdana" panose="020B0604030504040204" pitchFamily="34" charset="0"/>
                <a:cs typeface="Verdana" panose="020B0604030504040204" pitchFamily="34" charset="0"/>
              </a:defRPr>
            </a:pPr>
            <a:endParaRPr lang="sr-Latn-RS"/>
          </a:p>
        </c:txPr>
        <c:crossAx val="154928640"/>
        <c:crosses val="autoZero"/>
        <c:crossBetween val="between"/>
      </c:valAx>
    </c:plotArea>
    <c:legend>
      <c:legendPos val="b"/>
      <c:overlay val="0"/>
      <c:txPr>
        <a:bodyPr/>
        <a:lstStyle/>
        <a:p>
          <a:pPr>
            <a:defRPr sz="800">
              <a:latin typeface="Verdana" panose="020B0604030504040204" pitchFamily="34" charset="0"/>
              <a:ea typeface="Verdana" panose="020B0604030504040204" pitchFamily="34" charset="0"/>
              <a:cs typeface="Verdana" panose="020B0604030504040204" pitchFamily="34" charset="0"/>
            </a:defRPr>
          </a:pPr>
          <a:endParaRPr lang="sr-Latn-RS"/>
        </a:p>
      </c:txPr>
    </c:legend>
    <c:plotVisOnly val="1"/>
    <c:dispBlanksAs val="gap"/>
    <c:showDLblsOverMax val="0"/>
  </c:chart>
  <c:spPr>
    <a:ln>
      <a:noFill/>
    </a:ln>
  </c:spPr>
  <c:externalData r:id="rId2">
    <c:autoUpdate val="0"/>
  </c:externalData>
</c:chartSpace>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Aspec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Elemental">
      <a:fillStyleLst>
        <a:solidFill>
          <a:schemeClr val="phClr"/>
        </a:solidFill>
        <a:gradFill rotWithShape="1">
          <a:gsLst>
            <a:gs pos="0">
              <a:schemeClr val="phClr">
                <a:tint val="90000"/>
              </a:schemeClr>
            </a:gs>
            <a:gs pos="48000">
              <a:schemeClr val="phClr">
                <a:tint val="54000"/>
                <a:satMod val="140000"/>
              </a:schemeClr>
            </a:gs>
            <a:gs pos="100000">
              <a:schemeClr val="phClr">
                <a:tint val="24000"/>
                <a:satMod val="260000"/>
              </a:schemeClr>
            </a:gs>
          </a:gsLst>
          <a:lin ang="16200000" scaled="1"/>
        </a:gradFill>
        <a:gradFill rotWithShape="1">
          <a:gsLst>
            <a:gs pos="0">
              <a:schemeClr val="phClr"/>
            </a:gs>
            <a:gs pos="100000">
              <a:schemeClr val="phClr">
                <a:shade val="48000"/>
                <a:satMod val="180000"/>
                <a:lumMod val="94000"/>
              </a:schemeClr>
            </a:gs>
            <a:gs pos="100000">
              <a:schemeClr val="phClr">
                <a:shade val="48000"/>
                <a:satMod val="180000"/>
                <a:lumMod val="94000"/>
              </a:schemeClr>
            </a:gs>
          </a:gsLst>
          <a:lin ang="4140000" scaled="1"/>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63500" dist="12700" dir="5400000" sx="102000" sy="102000" rotWithShape="0">
              <a:srgbClr val="000000">
                <a:alpha val="32000"/>
              </a:srgbClr>
            </a:outerShdw>
          </a:effectLst>
        </a:effectStyle>
        <a:effectStyle>
          <a:effectLst>
            <a:outerShdw blurRad="76200" dist="38100" dir="5400000" rotWithShape="0">
              <a:srgbClr val="000000">
                <a:alpha val="60000"/>
              </a:srgbClr>
            </a:outerShdw>
          </a:effectLst>
          <a:scene3d>
            <a:camera prst="orthographicFront">
              <a:rot lat="0" lon="0" rev="0"/>
            </a:camera>
            <a:lightRig rig="glow" dir="tl">
              <a:rot lat="0" lon="0" rev="19800000"/>
            </a:lightRig>
          </a:scene3d>
          <a:sp3d prstMaterial="metal">
            <a:bevelT w="38100" h="38100"/>
          </a:sp3d>
        </a:effectStyle>
        <a:effectStyle>
          <a:effectLst>
            <a:outerShdw blurRad="114300" dist="114300" dir="5400000" rotWithShape="0">
              <a:srgbClr val="000000">
                <a:alpha val="70000"/>
              </a:srgbClr>
            </a:outerShdw>
          </a:effectLst>
          <a:scene3d>
            <a:camera prst="orthographicFront">
              <a:rot lat="0" lon="0" rev="0"/>
            </a:camera>
            <a:lightRig rig="threePt" dir="t">
              <a:rot lat="0" lon="0" rev="19800000"/>
            </a:lightRig>
          </a:scene3d>
          <a:sp3d prstMaterial="plastic">
            <a:bevelT w="50800"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C757A-FFDF-4904-99D9-E3ABC9659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61</Pages>
  <Words>16813</Words>
  <Characters>95840</Characters>
  <Application>Microsoft Office Word</Application>
  <DocSecurity>0</DocSecurity>
  <Lines>798</Lines>
  <Paragraphs>224</Paragraphs>
  <ScaleCrop>false</ScaleCrop>
  <HeadingPairs>
    <vt:vector size="2" baseType="variant">
      <vt:variant>
        <vt:lpstr>Title</vt:lpstr>
      </vt:variant>
      <vt:variant>
        <vt:i4>1</vt:i4>
      </vt:variant>
    </vt:vector>
  </HeadingPairs>
  <TitlesOfParts>
    <vt:vector size="1" baseType="lpstr">
      <vt:lpstr>ГОДИШЊИ ИЗВЕШТАЈ О ПОСЛОВАЊУ ЗА 2014. ГОДИНУ</vt:lpstr>
    </vt:vector>
  </TitlesOfParts>
  <Company>Hewlett-Packard Company</Company>
  <LinksUpToDate>false</LinksUpToDate>
  <CharactersWithSpaces>112429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ГОДИШЊИ ИЗВЕШТАЈ О ПОСЛОВАЊУ ЗА 2014. ГОДИНУ</dc:title>
  <dc:creator>Dragana Blecic</dc:creator>
  <cp:lastModifiedBy>Vesna Katic</cp:lastModifiedBy>
  <cp:revision>2</cp:revision>
  <cp:lastPrinted>2014-03-19T07:55:00Z</cp:lastPrinted>
  <dcterms:created xsi:type="dcterms:W3CDTF">2015-03-20T10:08:00Z</dcterms:created>
  <dcterms:modified xsi:type="dcterms:W3CDTF">2015-03-20T10:08:00Z</dcterms:modified>
</cp:coreProperties>
</file>